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460ED" w14:textId="77777777" w:rsidR="00047EF8" w:rsidRPr="00F563CD" w:rsidRDefault="00047EF8" w:rsidP="00047EF8">
      <w:pPr>
        <w:keepNext/>
        <w:autoSpaceDE w:val="0"/>
        <w:autoSpaceDN w:val="0"/>
        <w:adjustRightInd w:val="0"/>
        <w:jc w:val="center"/>
        <w:rPr>
          <w:rFonts w:asciiTheme="minorHAnsi" w:hAnsiTheme="minorHAnsi" w:cs="Arial"/>
          <w:b/>
          <w:bCs/>
          <w:sz w:val="24"/>
          <w:szCs w:val="24"/>
        </w:rPr>
      </w:pPr>
    </w:p>
    <w:p w14:paraId="62B73DEF" w14:textId="77777777" w:rsidR="00047EF8" w:rsidRPr="00F563CD" w:rsidRDefault="00864F83" w:rsidP="00047EF8">
      <w:pPr>
        <w:keepNext/>
        <w:autoSpaceDE w:val="0"/>
        <w:autoSpaceDN w:val="0"/>
        <w:adjustRightInd w:val="0"/>
        <w:jc w:val="center"/>
        <w:rPr>
          <w:rFonts w:asciiTheme="minorHAnsi" w:hAnsiTheme="minorHAnsi" w:cs="Arial"/>
          <w:b/>
          <w:bCs/>
          <w:sz w:val="24"/>
          <w:szCs w:val="24"/>
        </w:rPr>
      </w:pPr>
      <w:r w:rsidRPr="00F563CD">
        <w:rPr>
          <w:rFonts w:asciiTheme="minorHAnsi" w:hAnsiTheme="minorHAnsi" w:cs="Arial"/>
          <w:b/>
          <w:bCs/>
          <w:sz w:val="24"/>
          <w:szCs w:val="24"/>
        </w:rPr>
        <w:t>IPA III STRATEŠKI ODGOVOR</w:t>
      </w:r>
    </w:p>
    <w:p w14:paraId="2ACFF1DC" w14:textId="77777777" w:rsidR="00047EF8" w:rsidRPr="00F563CD" w:rsidRDefault="00864F83" w:rsidP="00047EF8">
      <w:pPr>
        <w:keepNext/>
        <w:autoSpaceDE w:val="0"/>
        <w:autoSpaceDN w:val="0"/>
        <w:adjustRightInd w:val="0"/>
        <w:jc w:val="center"/>
        <w:rPr>
          <w:rFonts w:asciiTheme="minorHAnsi" w:hAnsiTheme="minorHAnsi" w:cs="Arial"/>
          <w:iCs/>
          <w:sz w:val="24"/>
          <w:szCs w:val="24"/>
        </w:rPr>
      </w:pPr>
      <w:r w:rsidRPr="00F563CD">
        <w:rPr>
          <w:rFonts w:asciiTheme="minorHAnsi" w:hAnsiTheme="minorHAnsi" w:cs="Arial"/>
          <w:iCs/>
          <w:sz w:val="24"/>
          <w:szCs w:val="24"/>
        </w:rPr>
        <w:t>CRNA GORA</w:t>
      </w:r>
    </w:p>
    <w:p w14:paraId="067E5E51" w14:textId="77777777" w:rsidR="00047EF8" w:rsidRPr="00F563CD" w:rsidRDefault="00864F83" w:rsidP="00047EF8">
      <w:pPr>
        <w:keepNext/>
        <w:autoSpaceDE w:val="0"/>
        <w:autoSpaceDN w:val="0"/>
        <w:adjustRightInd w:val="0"/>
        <w:jc w:val="center"/>
        <w:rPr>
          <w:rFonts w:asciiTheme="minorHAnsi" w:hAnsiTheme="minorHAnsi" w:cs="Arial"/>
          <w:sz w:val="24"/>
          <w:szCs w:val="24"/>
        </w:rPr>
      </w:pPr>
      <w:r w:rsidRPr="00F563CD">
        <w:rPr>
          <w:rFonts w:asciiTheme="minorHAnsi" w:hAnsiTheme="minorHAnsi" w:cs="Arial"/>
          <w:sz w:val="24"/>
          <w:szCs w:val="24"/>
        </w:rPr>
        <w:t>Nacrt 22/11/2021</w:t>
      </w:r>
    </w:p>
    <w:sdt>
      <w:sdtPr>
        <w:rPr>
          <w:rFonts w:asciiTheme="minorHAnsi" w:hAnsiTheme="minorHAnsi"/>
          <w:b w:val="0"/>
          <w:bCs w:val="0"/>
          <w:caps w:val="0"/>
          <w:color w:val="auto"/>
          <w:sz w:val="22"/>
          <w:szCs w:val="22"/>
        </w:rPr>
        <w:id w:val="-316349475"/>
        <w:docPartObj>
          <w:docPartGallery w:val="Table of Contents"/>
          <w:docPartUnique/>
        </w:docPartObj>
      </w:sdtPr>
      <w:sdtEndPr>
        <w:rPr>
          <w:noProof/>
        </w:rPr>
      </w:sdtEndPr>
      <w:sdtContent>
        <w:p w14:paraId="38F4F14A" w14:textId="77777777" w:rsidR="00047EF8" w:rsidRPr="00F563CD" w:rsidRDefault="00864F83" w:rsidP="00047EF8">
          <w:pPr>
            <w:pStyle w:val="TOCHeading"/>
            <w:jc w:val="center"/>
            <w:rPr>
              <w:rFonts w:asciiTheme="minorHAnsi" w:hAnsiTheme="minorHAnsi" w:cs="Arial"/>
              <w:smallCaps/>
              <w:color w:val="auto"/>
              <w:sz w:val="24"/>
            </w:rPr>
          </w:pPr>
          <w:r w:rsidRPr="00F563CD">
            <w:rPr>
              <w:rFonts w:asciiTheme="minorHAnsi" w:hAnsiTheme="minorHAnsi" w:cs="Arial"/>
              <w:caps w:val="0"/>
              <w:smallCaps/>
              <w:color w:val="auto"/>
              <w:sz w:val="24"/>
            </w:rPr>
            <w:t>Sadržaj</w:t>
          </w:r>
        </w:p>
        <w:p w14:paraId="3D199D85" w14:textId="1956E463" w:rsidR="00AC43AD" w:rsidRDefault="00864F83">
          <w:pPr>
            <w:pStyle w:val="TOC1"/>
            <w:tabs>
              <w:tab w:val="right" w:leader="dot" w:pos="10620"/>
            </w:tabs>
            <w:rPr>
              <w:rFonts w:asciiTheme="minorHAnsi" w:eastAsiaTheme="minorEastAsia" w:hAnsiTheme="minorHAnsi" w:cstheme="minorBidi"/>
              <w:b w:val="0"/>
              <w:bCs w:val="0"/>
              <w:caps w:val="0"/>
              <w:noProof/>
              <w:sz w:val="22"/>
              <w:szCs w:val="22"/>
            </w:rPr>
          </w:pPr>
          <w:r w:rsidRPr="00F563CD">
            <w:rPr>
              <w:rFonts w:asciiTheme="minorHAnsi" w:hAnsiTheme="minorHAnsi"/>
            </w:rPr>
            <w:fldChar w:fldCharType="begin"/>
          </w:r>
          <w:r w:rsidRPr="00F563CD">
            <w:rPr>
              <w:rFonts w:asciiTheme="minorHAnsi" w:hAnsiTheme="minorHAnsi"/>
            </w:rPr>
            <w:instrText xml:space="preserve"> TOC \o "1-3" \h \z \u </w:instrText>
          </w:r>
          <w:r w:rsidRPr="00F563CD">
            <w:rPr>
              <w:rFonts w:asciiTheme="minorHAnsi" w:hAnsiTheme="minorHAnsi"/>
            </w:rPr>
            <w:fldChar w:fldCharType="separate"/>
          </w:r>
          <w:hyperlink w:anchor="_Toc91500233" w:history="1">
            <w:r w:rsidR="00AC43AD" w:rsidRPr="003F37B3">
              <w:rPr>
                <w:rStyle w:val="Hyperlink"/>
                <w:rFonts w:cs="Arial"/>
                <w:noProof/>
              </w:rPr>
              <w:t>UVOD</w:t>
            </w:r>
            <w:r w:rsidR="00AC43AD">
              <w:rPr>
                <w:noProof/>
                <w:webHidden/>
              </w:rPr>
              <w:tab/>
            </w:r>
            <w:r w:rsidR="00AC43AD">
              <w:rPr>
                <w:noProof/>
                <w:webHidden/>
              </w:rPr>
              <w:fldChar w:fldCharType="begin"/>
            </w:r>
            <w:r w:rsidR="00AC43AD">
              <w:rPr>
                <w:noProof/>
                <w:webHidden/>
              </w:rPr>
              <w:instrText xml:space="preserve"> PAGEREF _Toc91500233 \h </w:instrText>
            </w:r>
            <w:r w:rsidR="00AC43AD">
              <w:rPr>
                <w:noProof/>
                <w:webHidden/>
              </w:rPr>
            </w:r>
            <w:r w:rsidR="00AC43AD">
              <w:rPr>
                <w:noProof/>
                <w:webHidden/>
              </w:rPr>
              <w:fldChar w:fldCharType="separate"/>
            </w:r>
            <w:r w:rsidR="008C3F18">
              <w:rPr>
                <w:noProof/>
                <w:webHidden/>
              </w:rPr>
              <w:t>3</w:t>
            </w:r>
            <w:r w:rsidR="00AC43AD">
              <w:rPr>
                <w:noProof/>
                <w:webHidden/>
              </w:rPr>
              <w:fldChar w:fldCharType="end"/>
            </w:r>
          </w:hyperlink>
        </w:p>
        <w:p w14:paraId="1ABCC744" w14:textId="1F364743" w:rsidR="00AC43AD" w:rsidRDefault="001D48BA">
          <w:pPr>
            <w:pStyle w:val="TOC2"/>
            <w:tabs>
              <w:tab w:val="right" w:leader="dot" w:pos="10620"/>
            </w:tabs>
            <w:rPr>
              <w:rFonts w:asciiTheme="minorHAnsi" w:eastAsiaTheme="minorEastAsia" w:hAnsiTheme="minorHAnsi" w:cstheme="minorBidi"/>
              <w:smallCaps w:val="0"/>
              <w:noProof/>
              <w:sz w:val="22"/>
              <w:szCs w:val="22"/>
            </w:rPr>
          </w:pPr>
          <w:hyperlink w:anchor="_Toc91500234" w:history="1">
            <w:r w:rsidR="00AC43AD" w:rsidRPr="003F37B3">
              <w:rPr>
                <w:rStyle w:val="Hyperlink"/>
                <w:rFonts w:cs="Arial"/>
                <w:noProof/>
                <w:lang w:val="fr-BE"/>
              </w:rPr>
              <w:t>prioritizacija i redosljed prozora</w:t>
            </w:r>
            <w:r w:rsidR="00AC43AD">
              <w:rPr>
                <w:noProof/>
                <w:webHidden/>
              </w:rPr>
              <w:tab/>
            </w:r>
            <w:r w:rsidR="00AC43AD">
              <w:rPr>
                <w:noProof/>
                <w:webHidden/>
              </w:rPr>
              <w:fldChar w:fldCharType="begin"/>
            </w:r>
            <w:r w:rsidR="00AC43AD">
              <w:rPr>
                <w:noProof/>
                <w:webHidden/>
              </w:rPr>
              <w:instrText xml:space="preserve"> PAGEREF _Toc91500234 \h </w:instrText>
            </w:r>
            <w:r w:rsidR="00AC43AD">
              <w:rPr>
                <w:noProof/>
                <w:webHidden/>
              </w:rPr>
            </w:r>
            <w:r w:rsidR="00AC43AD">
              <w:rPr>
                <w:noProof/>
                <w:webHidden/>
              </w:rPr>
              <w:fldChar w:fldCharType="separate"/>
            </w:r>
            <w:r w:rsidR="008C3F18">
              <w:rPr>
                <w:noProof/>
                <w:webHidden/>
              </w:rPr>
              <w:t>3</w:t>
            </w:r>
            <w:r w:rsidR="00AC43AD">
              <w:rPr>
                <w:noProof/>
                <w:webHidden/>
              </w:rPr>
              <w:fldChar w:fldCharType="end"/>
            </w:r>
          </w:hyperlink>
        </w:p>
        <w:p w14:paraId="57354E46" w14:textId="6BA00F37" w:rsidR="00AC43AD" w:rsidRDefault="001D48BA">
          <w:pPr>
            <w:pStyle w:val="TOC2"/>
            <w:tabs>
              <w:tab w:val="right" w:leader="dot" w:pos="10620"/>
            </w:tabs>
            <w:rPr>
              <w:rFonts w:asciiTheme="minorHAnsi" w:eastAsiaTheme="minorEastAsia" w:hAnsiTheme="minorHAnsi" w:cstheme="minorBidi"/>
              <w:smallCaps w:val="0"/>
              <w:noProof/>
              <w:sz w:val="22"/>
              <w:szCs w:val="22"/>
            </w:rPr>
          </w:pPr>
          <w:hyperlink w:anchor="_Toc91500235" w:history="1">
            <w:r w:rsidR="00AC43AD" w:rsidRPr="003F37B3">
              <w:rPr>
                <w:rStyle w:val="Hyperlink"/>
                <w:rFonts w:cs="Arial"/>
                <w:noProof/>
              </w:rPr>
              <w:t>Analiza strateškog okvira</w:t>
            </w:r>
            <w:r w:rsidR="00AC43AD">
              <w:rPr>
                <w:noProof/>
                <w:webHidden/>
              </w:rPr>
              <w:tab/>
            </w:r>
            <w:r w:rsidR="00AC43AD">
              <w:rPr>
                <w:noProof/>
                <w:webHidden/>
              </w:rPr>
              <w:fldChar w:fldCharType="begin"/>
            </w:r>
            <w:r w:rsidR="00AC43AD">
              <w:rPr>
                <w:noProof/>
                <w:webHidden/>
              </w:rPr>
              <w:instrText xml:space="preserve"> PAGEREF _Toc91500235 \h </w:instrText>
            </w:r>
            <w:r w:rsidR="00AC43AD">
              <w:rPr>
                <w:noProof/>
                <w:webHidden/>
              </w:rPr>
            </w:r>
            <w:r w:rsidR="00AC43AD">
              <w:rPr>
                <w:noProof/>
                <w:webHidden/>
              </w:rPr>
              <w:fldChar w:fldCharType="separate"/>
            </w:r>
            <w:r w:rsidR="008C3F18">
              <w:rPr>
                <w:noProof/>
                <w:webHidden/>
              </w:rPr>
              <w:t>4</w:t>
            </w:r>
            <w:r w:rsidR="00AC43AD">
              <w:rPr>
                <w:noProof/>
                <w:webHidden/>
              </w:rPr>
              <w:fldChar w:fldCharType="end"/>
            </w:r>
          </w:hyperlink>
        </w:p>
        <w:p w14:paraId="3308B3B7" w14:textId="58BB21D7" w:rsidR="00AC43AD" w:rsidRDefault="001D48BA">
          <w:pPr>
            <w:pStyle w:val="TOC1"/>
            <w:tabs>
              <w:tab w:val="right" w:leader="dot" w:pos="10620"/>
            </w:tabs>
            <w:rPr>
              <w:rFonts w:asciiTheme="minorHAnsi" w:eastAsiaTheme="minorEastAsia" w:hAnsiTheme="minorHAnsi" w:cstheme="minorBidi"/>
              <w:b w:val="0"/>
              <w:bCs w:val="0"/>
              <w:caps w:val="0"/>
              <w:noProof/>
              <w:sz w:val="22"/>
              <w:szCs w:val="22"/>
            </w:rPr>
          </w:pPr>
          <w:hyperlink w:anchor="_Toc91500236" w:history="1">
            <w:r w:rsidR="00AC43AD" w:rsidRPr="003F37B3">
              <w:rPr>
                <w:rStyle w:val="Hyperlink"/>
                <w:rFonts w:cs="Arial"/>
                <w:noProof/>
              </w:rPr>
              <w:t>PROZOR 1 – VLADAVINA PRAVA, TEMELJNA PRAVA I DEMOKRATIJA</w:t>
            </w:r>
            <w:r w:rsidR="00AC43AD">
              <w:rPr>
                <w:noProof/>
                <w:webHidden/>
              </w:rPr>
              <w:tab/>
            </w:r>
            <w:r w:rsidR="00AC43AD">
              <w:rPr>
                <w:noProof/>
                <w:webHidden/>
              </w:rPr>
              <w:fldChar w:fldCharType="begin"/>
            </w:r>
            <w:r w:rsidR="00AC43AD">
              <w:rPr>
                <w:noProof/>
                <w:webHidden/>
              </w:rPr>
              <w:instrText xml:space="preserve"> PAGEREF _Toc91500236 \h </w:instrText>
            </w:r>
            <w:r w:rsidR="00AC43AD">
              <w:rPr>
                <w:noProof/>
                <w:webHidden/>
              </w:rPr>
            </w:r>
            <w:r w:rsidR="00AC43AD">
              <w:rPr>
                <w:noProof/>
                <w:webHidden/>
              </w:rPr>
              <w:fldChar w:fldCharType="separate"/>
            </w:r>
            <w:r w:rsidR="008C3F18">
              <w:rPr>
                <w:noProof/>
                <w:webHidden/>
              </w:rPr>
              <w:t>6</w:t>
            </w:r>
            <w:r w:rsidR="00AC43AD">
              <w:rPr>
                <w:noProof/>
                <w:webHidden/>
              </w:rPr>
              <w:fldChar w:fldCharType="end"/>
            </w:r>
          </w:hyperlink>
        </w:p>
        <w:p w14:paraId="6FE3369D" w14:textId="0527FC33" w:rsidR="00AC43AD" w:rsidRDefault="001D48BA">
          <w:pPr>
            <w:pStyle w:val="TOC3"/>
            <w:tabs>
              <w:tab w:val="right" w:leader="dot" w:pos="10620"/>
            </w:tabs>
            <w:rPr>
              <w:rFonts w:asciiTheme="minorHAnsi" w:eastAsiaTheme="minorEastAsia" w:hAnsiTheme="minorHAnsi" w:cstheme="minorBidi"/>
              <w:i w:val="0"/>
              <w:iCs w:val="0"/>
              <w:noProof/>
              <w:sz w:val="22"/>
              <w:szCs w:val="22"/>
            </w:rPr>
          </w:pPr>
          <w:hyperlink w:anchor="_Toc91500237" w:history="1">
            <w:r w:rsidR="00AC43AD" w:rsidRPr="003F37B3">
              <w:rPr>
                <w:rStyle w:val="Hyperlink"/>
                <w:rFonts w:cs="Arial"/>
                <w:noProof/>
              </w:rPr>
              <w:t>DIO 1 – SEKTORSKI KONTEKST I RELEVANTNOST ZA POLITIKU PROŠIRENJA</w:t>
            </w:r>
            <w:r w:rsidR="00AC43AD">
              <w:rPr>
                <w:noProof/>
                <w:webHidden/>
              </w:rPr>
              <w:tab/>
            </w:r>
            <w:r w:rsidR="00AC43AD">
              <w:rPr>
                <w:noProof/>
                <w:webHidden/>
              </w:rPr>
              <w:fldChar w:fldCharType="begin"/>
            </w:r>
            <w:r w:rsidR="00AC43AD">
              <w:rPr>
                <w:noProof/>
                <w:webHidden/>
              </w:rPr>
              <w:instrText xml:space="preserve"> PAGEREF _Toc91500237 \h </w:instrText>
            </w:r>
            <w:r w:rsidR="00AC43AD">
              <w:rPr>
                <w:noProof/>
                <w:webHidden/>
              </w:rPr>
            </w:r>
            <w:r w:rsidR="00AC43AD">
              <w:rPr>
                <w:noProof/>
                <w:webHidden/>
              </w:rPr>
              <w:fldChar w:fldCharType="separate"/>
            </w:r>
            <w:r w:rsidR="008C3F18">
              <w:rPr>
                <w:noProof/>
                <w:webHidden/>
              </w:rPr>
              <w:t>6</w:t>
            </w:r>
            <w:r w:rsidR="00AC43AD">
              <w:rPr>
                <w:noProof/>
                <w:webHidden/>
              </w:rPr>
              <w:fldChar w:fldCharType="end"/>
            </w:r>
          </w:hyperlink>
        </w:p>
        <w:p w14:paraId="7AB31BA5" w14:textId="390A602B"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38" w:history="1">
            <w:r w:rsidR="00AC43AD" w:rsidRPr="003F37B3">
              <w:rPr>
                <w:rStyle w:val="Hyperlink"/>
                <w:rFonts w:cs="Arial"/>
                <w:noProof/>
              </w:rPr>
              <w:t>1.</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Proces konsultacija</w:t>
            </w:r>
            <w:r w:rsidR="00AC43AD">
              <w:rPr>
                <w:noProof/>
                <w:webHidden/>
              </w:rPr>
              <w:tab/>
            </w:r>
            <w:r w:rsidR="00AC43AD">
              <w:rPr>
                <w:noProof/>
                <w:webHidden/>
              </w:rPr>
              <w:fldChar w:fldCharType="begin"/>
            </w:r>
            <w:r w:rsidR="00AC43AD">
              <w:rPr>
                <w:noProof/>
                <w:webHidden/>
              </w:rPr>
              <w:instrText xml:space="preserve"> PAGEREF _Toc91500238 \h </w:instrText>
            </w:r>
            <w:r w:rsidR="00AC43AD">
              <w:rPr>
                <w:noProof/>
                <w:webHidden/>
              </w:rPr>
            </w:r>
            <w:r w:rsidR="00AC43AD">
              <w:rPr>
                <w:noProof/>
                <w:webHidden/>
              </w:rPr>
              <w:fldChar w:fldCharType="separate"/>
            </w:r>
            <w:r w:rsidR="008C3F18">
              <w:rPr>
                <w:noProof/>
                <w:webHidden/>
              </w:rPr>
              <w:t>6</w:t>
            </w:r>
            <w:r w:rsidR="00AC43AD">
              <w:rPr>
                <w:noProof/>
                <w:webHidden/>
              </w:rPr>
              <w:fldChar w:fldCharType="end"/>
            </w:r>
          </w:hyperlink>
        </w:p>
        <w:p w14:paraId="44387776" w14:textId="0D45950D"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39" w:history="1">
            <w:r w:rsidR="00AC43AD" w:rsidRPr="003F37B3">
              <w:rPr>
                <w:rStyle w:val="Hyperlink"/>
                <w:rFonts w:cs="Arial"/>
                <w:noProof/>
              </w:rPr>
              <w:t>2.</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Usklađenost strategija zemlje korisnice sa IPA III Programskim okvirom</w:t>
            </w:r>
            <w:r w:rsidR="00AC43AD">
              <w:rPr>
                <w:noProof/>
                <w:webHidden/>
              </w:rPr>
              <w:tab/>
            </w:r>
            <w:r w:rsidR="00AC43AD">
              <w:rPr>
                <w:noProof/>
                <w:webHidden/>
              </w:rPr>
              <w:fldChar w:fldCharType="begin"/>
            </w:r>
            <w:r w:rsidR="00AC43AD">
              <w:rPr>
                <w:noProof/>
                <w:webHidden/>
              </w:rPr>
              <w:instrText xml:space="preserve"> PAGEREF _Toc91500239 \h </w:instrText>
            </w:r>
            <w:r w:rsidR="00AC43AD">
              <w:rPr>
                <w:noProof/>
                <w:webHidden/>
              </w:rPr>
            </w:r>
            <w:r w:rsidR="00AC43AD">
              <w:rPr>
                <w:noProof/>
                <w:webHidden/>
              </w:rPr>
              <w:fldChar w:fldCharType="separate"/>
            </w:r>
            <w:r w:rsidR="008C3F18">
              <w:rPr>
                <w:noProof/>
                <w:webHidden/>
              </w:rPr>
              <w:t>6</w:t>
            </w:r>
            <w:r w:rsidR="00AC43AD">
              <w:rPr>
                <w:noProof/>
                <w:webHidden/>
              </w:rPr>
              <w:fldChar w:fldCharType="end"/>
            </w:r>
          </w:hyperlink>
        </w:p>
        <w:p w14:paraId="454BC0B6" w14:textId="77910284"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40" w:history="1">
            <w:r w:rsidR="00AC43AD" w:rsidRPr="003F37B3">
              <w:rPr>
                <w:rStyle w:val="Hyperlink"/>
                <w:rFonts w:cs="Arial"/>
                <w:noProof/>
              </w:rPr>
              <w:t>3.</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Povezanost strategija zemlje korisnice sa politikom proširenja</w:t>
            </w:r>
            <w:r w:rsidR="00AC43AD">
              <w:rPr>
                <w:noProof/>
                <w:webHidden/>
              </w:rPr>
              <w:tab/>
            </w:r>
            <w:r w:rsidR="00AC43AD">
              <w:rPr>
                <w:noProof/>
                <w:webHidden/>
              </w:rPr>
              <w:fldChar w:fldCharType="begin"/>
            </w:r>
            <w:r w:rsidR="00AC43AD">
              <w:rPr>
                <w:noProof/>
                <w:webHidden/>
              </w:rPr>
              <w:instrText xml:space="preserve"> PAGEREF _Toc91500240 \h </w:instrText>
            </w:r>
            <w:r w:rsidR="00AC43AD">
              <w:rPr>
                <w:noProof/>
                <w:webHidden/>
              </w:rPr>
            </w:r>
            <w:r w:rsidR="00AC43AD">
              <w:rPr>
                <w:noProof/>
                <w:webHidden/>
              </w:rPr>
              <w:fldChar w:fldCharType="separate"/>
            </w:r>
            <w:r w:rsidR="008C3F18">
              <w:rPr>
                <w:noProof/>
                <w:webHidden/>
              </w:rPr>
              <w:t>11</w:t>
            </w:r>
            <w:r w:rsidR="00AC43AD">
              <w:rPr>
                <w:noProof/>
                <w:webHidden/>
              </w:rPr>
              <w:fldChar w:fldCharType="end"/>
            </w:r>
          </w:hyperlink>
        </w:p>
        <w:p w14:paraId="062CCD9A" w14:textId="4B319F27"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41" w:history="1">
            <w:r w:rsidR="00AC43AD" w:rsidRPr="003F37B3">
              <w:rPr>
                <w:rStyle w:val="Hyperlink"/>
                <w:rFonts w:cs="Arial"/>
                <w:noProof/>
              </w:rPr>
              <w:t>4.</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Sektorska analiza</w:t>
            </w:r>
            <w:r w:rsidR="00AC43AD">
              <w:rPr>
                <w:noProof/>
                <w:webHidden/>
              </w:rPr>
              <w:tab/>
            </w:r>
            <w:r w:rsidR="00AC43AD">
              <w:rPr>
                <w:noProof/>
                <w:webHidden/>
              </w:rPr>
              <w:fldChar w:fldCharType="begin"/>
            </w:r>
            <w:r w:rsidR="00AC43AD">
              <w:rPr>
                <w:noProof/>
                <w:webHidden/>
              </w:rPr>
              <w:instrText xml:space="preserve"> PAGEREF _Toc91500241 \h </w:instrText>
            </w:r>
            <w:r w:rsidR="00AC43AD">
              <w:rPr>
                <w:noProof/>
                <w:webHidden/>
              </w:rPr>
            </w:r>
            <w:r w:rsidR="00AC43AD">
              <w:rPr>
                <w:noProof/>
                <w:webHidden/>
              </w:rPr>
              <w:fldChar w:fldCharType="separate"/>
            </w:r>
            <w:r w:rsidR="008C3F18">
              <w:rPr>
                <w:noProof/>
                <w:webHidden/>
              </w:rPr>
              <w:t>12</w:t>
            </w:r>
            <w:r w:rsidR="00AC43AD">
              <w:rPr>
                <w:noProof/>
                <w:webHidden/>
              </w:rPr>
              <w:fldChar w:fldCharType="end"/>
            </w:r>
          </w:hyperlink>
        </w:p>
        <w:p w14:paraId="7FD84B5B" w14:textId="69DD656A" w:rsidR="00AC43AD" w:rsidRDefault="001D48BA">
          <w:pPr>
            <w:pStyle w:val="TOC2"/>
            <w:tabs>
              <w:tab w:val="right" w:leader="dot" w:pos="10620"/>
            </w:tabs>
            <w:rPr>
              <w:rFonts w:asciiTheme="minorHAnsi" w:eastAsiaTheme="minorEastAsia" w:hAnsiTheme="minorHAnsi" w:cstheme="minorBidi"/>
              <w:smallCaps w:val="0"/>
              <w:noProof/>
              <w:sz w:val="22"/>
              <w:szCs w:val="22"/>
            </w:rPr>
          </w:pPr>
          <w:hyperlink w:anchor="_Toc91500242" w:history="1">
            <w:r w:rsidR="00AC43AD" w:rsidRPr="003F37B3">
              <w:rPr>
                <w:rStyle w:val="Hyperlink"/>
                <w:rFonts w:cs="Arial"/>
                <w:noProof/>
                <w:lang w:val="fr-BE"/>
              </w:rPr>
              <w:t>U izradi Strategije o migraciji i reintegraciji povratnika u Crnu Goru 2021-2025 godine učestvovali su Uprava policije, Ministarstvo rada i socijalnog staranja, Ministarstvo vanjskih poslova, Ministarstvo prosvjete, nauke, kulture i sporta, Ministarstvo zdravlja, Ministarstvo finansija sa nadležnima tijelima u okviru Ministarstva, Zavoda za zapošljavanje i 4 NVO: Građanska alijansa, LGBT Forum Progres, Juventas i Mladi Romi.</w:t>
            </w:r>
            <w:r w:rsidR="00AC43AD">
              <w:rPr>
                <w:noProof/>
                <w:webHidden/>
              </w:rPr>
              <w:tab/>
            </w:r>
            <w:r w:rsidR="00AC43AD">
              <w:rPr>
                <w:noProof/>
                <w:webHidden/>
              </w:rPr>
              <w:fldChar w:fldCharType="begin"/>
            </w:r>
            <w:r w:rsidR="00AC43AD">
              <w:rPr>
                <w:noProof/>
                <w:webHidden/>
              </w:rPr>
              <w:instrText xml:space="preserve"> PAGEREF _Toc91500242 \h </w:instrText>
            </w:r>
            <w:r w:rsidR="00AC43AD">
              <w:rPr>
                <w:noProof/>
                <w:webHidden/>
              </w:rPr>
            </w:r>
            <w:r w:rsidR="00AC43AD">
              <w:rPr>
                <w:noProof/>
                <w:webHidden/>
              </w:rPr>
              <w:fldChar w:fldCharType="separate"/>
            </w:r>
            <w:r w:rsidR="008C3F18">
              <w:rPr>
                <w:noProof/>
                <w:webHidden/>
              </w:rPr>
              <w:t>13</w:t>
            </w:r>
            <w:r w:rsidR="00AC43AD">
              <w:rPr>
                <w:noProof/>
                <w:webHidden/>
              </w:rPr>
              <w:fldChar w:fldCharType="end"/>
            </w:r>
          </w:hyperlink>
        </w:p>
        <w:p w14:paraId="27CFEE07" w14:textId="07B97FA5"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43" w:history="1">
            <w:r w:rsidR="00AC43AD" w:rsidRPr="003F37B3">
              <w:rPr>
                <w:rStyle w:val="Hyperlink"/>
                <w:rFonts w:cs="Arial"/>
                <w:noProof/>
              </w:rPr>
              <w:t>5.</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povezanost sa regionalnim i globalnim strategijama</w:t>
            </w:r>
            <w:r w:rsidR="00AC43AD">
              <w:rPr>
                <w:noProof/>
                <w:webHidden/>
              </w:rPr>
              <w:tab/>
            </w:r>
            <w:r w:rsidR="00AC43AD">
              <w:rPr>
                <w:noProof/>
                <w:webHidden/>
              </w:rPr>
              <w:fldChar w:fldCharType="begin"/>
            </w:r>
            <w:r w:rsidR="00AC43AD">
              <w:rPr>
                <w:noProof/>
                <w:webHidden/>
              </w:rPr>
              <w:instrText xml:space="preserve"> PAGEREF _Toc91500243 \h </w:instrText>
            </w:r>
            <w:r w:rsidR="00AC43AD">
              <w:rPr>
                <w:noProof/>
                <w:webHidden/>
              </w:rPr>
            </w:r>
            <w:r w:rsidR="00AC43AD">
              <w:rPr>
                <w:noProof/>
                <w:webHidden/>
              </w:rPr>
              <w:fldChar w:fldCharType="separate"/>
            </w:r>
            <w:r w:rsidR="008C3F18">
              <w:rPr>
                <w:noProof/>
                <w:webHidden/>
              </w:rPr>
              <w:t>13</w:t>
            </w:r>
            <w:r w:rsidR="00AC43AD">
              <w:rPr>
                <w:noProof/>
                <w:webHidden/>
              </w:rPr>
              <w:fldChar w:fldCharType="end"/>
            </w:r>
          </w:hyperlink>
        </w:p>
        <w:p w14:paraId="6EEB41B4" w14:textId="198A18B9" w:rsidR="00AC43AD" w:rsidRDefault="001D48BA">
          <w:pPr>
            <w:pStyle w:val="TOC3"/>
            <w:tabs>
              <w:tab w:val="right" w:leader="dot" w:pos="10620"/>
            </w:tabs>
            <w:rPr>
              <w:rFonts w:asciiTheme="minorHAnsi" w:eastAsiaTheme="minorEastAsia" w:hAnsiTheme="minorHAnsi" w:cstheme="minorBidi"/>
              <w:i w:val="0"/>
              <w:iCs w:val="0"/>
              <w:noProof/>
              <w:sz w:val="22"/>
              <w:szCs w:val="22"/>
            </w:rPr>
          </w:pPr>
          <w:hyperlink w:anchor="_Toc91500244" w:history="1">
            <w:r w:rsidR="00AC43AD" w:rsidRPr="003F37B3">
              <w:rPr>
                <w:rStyle w:val="Hyperlink"/>
                <w:rFonts w:cs="Arial"/>
                <w:noProof/>
              </w:rPr>
              <w:t>DIO 2 – PRIORITETI, CILJEVI I AKCIJE U OKVIRU IPA III PODRŠKE</w:t>
            </w:r>
            <w:r w:rsidR="00AC43AD">
              <w:rPr>
                <w:noProof/>
                <w:webHidden/>
              </w:rPr>
              <w:tab/>
            </w:r>
            <w:r w:rsidR="00AC43AD">
              <w:rPr>
                <w:noProof/>
                <w:webHidden/>
              </w:rPr>
              <w:fldChar w:fldCharType="begin"/>
            </w:r>
            <w:r w:rsidR="00AC43AD">
              <w:rPr>
                <w:noProof/>
                <w:webHidden/>
              </w:rPr>
              <w:instrText xml:space="preserve"> PAGEREF _Toc91500244 \h </w:instrText>
            </w:r>
            <w:r w:rsidR="00AC43AD">
              <w:rPr>
                <w:noProof/>
                <w:webHidden/>
              </w:rPr>
            </w:r>
            <w:r w:rsidR="00AC43AD">
              <w:rPr>
                <w:noProof/>
                <w:webHidden/>
              </w:rPr>
              <w:fldChar w:fldCharType="separate"/>
            </w:r>
            <w:r w:rsidR="008C3F18">
              <w:rPr>
                <w:noProof/>
                <w:webHidden/>
              </w:rPr>
              <w:t>13</w:t>
            </w:r>
            <w:r w:rsidR="00AC43AD">
              <w:rPr>
                <w:noProof/>
                <w:webHidden/>
              </w:rPr>
              <w:fldChar w:fldCharType="end"/>
            </w:r>
          </w:hyperlink>
        </w:p>
        <w:p w14:paraId="52449B50" w14:textId="4DC343E5"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45" w:history="1">
            <w:r w:rsidR="00AC43AD" w:rsidRPr="003F37B3">
              <w:rPr>
                <w:rStyle w:val="Hyperlink"/>
                <w:rFonts w:cs="Arial"/>
                <w:noProof/>
              </w:rPr>
              <w:t>1.</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Proces konsultacija</w:t>
            </w:r>
            <w:r w:rsidR="00AC43AD">
              <w:rPr>
                <w:noProof/>
                <w:webHidden/>
              </w:rPr>
              <w:tab/>
            </w:r>
            <w:r w:rsidR="00AC43AD">
              <w:rPr>
                <w:noProof/>
                <w:webHidden/>
              </w:rPr>
              <w:fldChar w:fldCharType="begin"/>
            </w:r>
            <w:r w:rsidR="00AC43AD">
              <w:rPr>
                <w:noProof/>
                <w:webHidden/>
              </w:rPr>
              <w:instrText xml:space="preserve"> PAGEREF _Toc91500245 \h </w:instrText>
            </w:r>
            <w:r w:rsidR="00AC43AD">
              <w:rPr>
                <w:noProof/>
                <w:webHidden/>
              </w:rPr>
            </w:r>
            <w:r w:rsidR="00AC43AD">
              <w:rPr>
                <w:noProof/>
                <w:webHidden/>
              </w:rPr>
              <w:fldChar w:fldCharType="separate"/>
            </w:r>
            <w:r w:rsidR="008C3F18">
              <w:rPr>
                <w:noProof/>
                <w:webHidden/>
              </w:rPr>
              <w:t>13</w:t>
            </w:r>
            <w:r w:rsidR="00AC43AD">
              <w:rPr>
                <w:noProof/>
                <w:webHidden/>
              </w:rPr>
              <w:fldChar w:fldCharType="end"/>
            </w:r>
          </w:hyperlink>
        </w:p>
        <w:p w14:paraId="2D072EE5" w14:textId="542C712A"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46" w:history="1">
            <w:r w:rsidR="00AC43AD" w:rsidRPr="003F37B3">
              <w:rPr>
                <w:rStyle w:val="Hyperlink"/>
                <w:rFonts w:cs="Arial"/>
                <w:noProof/>
              </w:rPr>
              <w:t>2.</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Ključni tematski prioriteti</w:t>
            </w:r>
            <w:r w:rsidR="00AC43AD">
              <w:rPr>
                <w:noProof/>
                <w:webHidden/>
              </w:rPr>
              <w:tab/>
            </w:r>
            <w:r w:rsidR="00AC43AD">
              <w:rPr>
                <w:noProof/>
                <w:webHidden/>
              </w:rPr>
              <w:fldChar w:fldCharType="begin"/>
            </w:r>
            <w:r w:rsidR="00AC43AD">
              <w:rPr>
                <w:noProof/>
                <w:webHidden/>
              </w:rPr>
              <w:instrText xml:space="preserve"> PAGEREF _Toc91500246 \h </w:instrText>
            </w:r>
            <w:r w:rsidR="00AC43AD">
              <w:rPr>
                <w:noProof/>
                <w:webHidden/>
              </w:rPr>
            </w:r>
            <w:r w:rsidR="00AC43AD">
              <w:rPr>
                <w:noProof/>
                <w:webHidden/>
              </w:rPr>
              <w:fldChar w:fldCharType="separate"/>
            </w:r>
            <w:r w:rsidR="008C3F18">
              <w:rPr>
                <w:noProof/>
                <w:webHidden/>
              </w:rPr>
              <w:t>13</w:t>
            </w:r>
            <w:r w:rsidR="00AC43AD">
              <w:rPr>
                <w:noProof/>
                <w:webHidden/>
              </w:rPr>
              <w:fldChar w:fldCharType="end"/>
            </w:r>
          </w:hyperlink>
        </w:p>
        <w:p w14:paraId="079ED113" w14:textId="66D51E75"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47" w:history="1">
            <w:r w:rsidR="00AC43AD" w:rsidRPr="003F37B3">
              <w:rPr>
                <w:rStyle w:val="Hyperlink"/>
                <w:rFonts w:cs="Arial"/>
                <w:noProof/>
              </w:rPr>
              <w:t>3.</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Lista predloženih akcija IPA III podršku 2021 – 2024</w:t>
            </w:r>
            <w:r w:rsidR="00AC43AD">
              <w:rPr>
                <w:noProof/>
                <w:webHidden/>
              </w:rPr>
              <w:tab/>
            </w:r>
            <w:r w:rsidR="00AC43AD">
              <w:rPr>
                <w:noProof/>
                <w:webHidden/>
              </w:rPr>
              <w:fldChar w:fldCharType="begin"/>
            </w:r>
            <w:r w:rsidR="00AC43AD">
              <w:rPr>
                <w:noProof/>
                <w:webHidden/>
              </w:rPr>
              <w:instrText xml:space="preserve"> PAGEREF _Toc91500247 \h </w:instrText>
            </w:r>
            <w:r w:rsidR="00AC43AD">
              <w:rPr>
                <w:noProof/>
                <w:webHidden/>
              </w:rPr>
            </w:r>
            <w:r w:rsidR="00AC43AD">
              <w:rPr>
                <w:noProof/>
                <w:webHidden/>
              </w:rPr>
              <w:fldChar w:fldCharType="separate"/>
            </w:r>
            <w:r w:rsidR="008C3F18">
              <w:rPr>
                <w:noProof/>
                <w:webHidden/>
              </w:rPr>
              <w:t>14</w:t>
            </w:r>
            <w:r w:rsidR="00AC43AD">
              <w:rPr>
                <w:noProof/>
                <w:webHidden/>
              </w:rPr>
              <w:fldChar w:fldCharType="end"/>
            </w:r>
          </w:hyperlink>
        </w:p>
        <w:p w14:paraId="72C77D1F" w14:textId="035DEB7C"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48" w:history="1">
            <w:r w:rsidR="00AC43AD" w:rsidRPr="003F37B3">
              <w:rPr>
                <w:rStyle w:val="Hyperlink"/>
                <w:rFonts w:cs="Arial"/>
                <w:noProof/>
              </w:rPr>
              <w:t>4.</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Indikativni budžet i plan sprovođenja 2021-2024</w:t>
            </w:r>
            <w:r w:rsidR="00AC43AD">
              <w:rPr>
                <w:noProof/>
                <w:webHidden/>
              </w:rPr>
              <w:tab/>
            </w:r>
            <w:r w:rsidR="00AC43AD">
              <w:rPr>
                <w:noProof/>
                <w:webHidden/>
              </w:rPr>
              <w:fldChar w:fldCharType="begin"/>
            </w:r>
            <w:r w:rsidR="00AC43AD">
              <w:rPr>
                <w:noProof/>
                <w:webHidden/>
              </w:rPr>
              <w:instrText xml:space="preserve"> PAGEREF _Toc91500248 \h </w:instrText>
            </w:r>
            <w:r w:rsidR="00AC43AD">
              <w:rPr>
                <w:noProof/>
                <w:webHidden/>
              </w:rPr>
            </w:r>
            <w:r w:rsidR="00AC43AD">
              <w:rPr>
                <w:noProof/>
                <w:webHidden/>
              </w:rPr>
              <w:fldChar w:fldCharType="separate"/>
            </w:r>
            <w:r w:rsidR="008C3F18">
              <w:rPr>
                <w:noProof/>
                <w:webHidden/>
              </w:rPr>
              <w:t>15</w:t>
            </w:r>
            <w:r w:rsidR="00AC43AD">
              <w:rPr>
                <w:noProof/>
                <w:webHidden/>
              </w:rPr>
              <w:fldChar w:fldCharType="end"/>
            </w:r>
          </w:hyperlink>
        </w:p>
        <w:p w14:paraId="6A180971" w14:textId="3C97F76F" w:rsidR="00AC43AD" w:rsidRDefault="001D48BA">
          <w:pPr>
            <w:pStyle w:val="TOC1"/>
            <w:tabs>
              <w:tab w:val="right" w:leader="dot" w:pos="10620"/>
            </w:tabs>
            <w:rPr>
              <w:rFonts w:asciiTheme="minorHAnsi" w:eastAsiaTheme="minorEastAsia" w:hAnsiTheme="minorHAnsi" w:cstheme="minorBidi"/>
              <w:b w:val="0"/>
              <w:bCs w:val="0"/>
              <w:caps w:val="0"/>
              <w:noProof/>
              <w:sz w:val="22"/>
              <w:szCs w:val="22"/>
            </w:rPr>
          </w:pPr>
          <w:hyperlink w:anchor="_Toc91500249" w:history="1">
            <w:r w:rsidR="00AC43AD" w:rsidRPr="003F37B3">
              <w:rPr>
                <w:rStyle w:val="Hyperlink"/>
                <w:rFonts w:cs="Arial"/>
                <w:noProof/>
              </w:rPr>
              <w:t>PROZOR 2 – DOBRO UPRAVLJANJE, USKLAĐIVANJE SA PRAVNOM TEKOVINOM, DOBROSUSJEDSKI ODNOSI I STRATEŠKO KOMUNICIRANJE</w:t>
            </w:r>
            <w:r w:rsidR="00AC43AD">
              <w:rPr>
                <w:noProof/>
                <w:webHidden/>
              </w:rPr>
              <w:tab/>
            </w:r>
            <w:r w:rsidR="00AC43AD">
              <w:rPr>
                <w:noProof/>
                <w:webHidden/>
              </w:rPr>
              <w:fldChar w:fldCharType="begin"/>
            </w:r>
            <w:r w:rsidR="00AC43AD">
              <w:rPr>
                <w:noProof/>
                <w:webHidden/>
              </w:rPr>
              <w:instrText xml:space="preserve"> PAGEREF _Toc91500249 \h </w:instrText>
            </w:r>
            <w:r w:rsidR="00AC43AD">
              <w:rPr>
                <w:noProof/>
                <w:webHidden/>
              </w:rPr>
            </w:r>
            <w:r w:rsidR="00AC43AD">
              <w:rPr>
                <w:noProof/>
                <w:webHidden/>
              </w:rPr>
              <w:fldChar w:fldCharType="separate"/>
            </w:r>
            <w:r w:rsidR="008C3F18">
              <w:rPr>
                <w:noProof/>
                <w:webHidden/>
              </w:rPr>
              <w:t>17</w:t>
            </w:r>
            <w:r w:rsidR="00AC43AD">
              <w:rPr>
                <w:noProof/>
                <w:webHidden/>
              </w:rPr>
              <w:fldChar w:fldCharType="end"/>
            </w:r>
          </w:hyperlink>
        </w:p>
        <w:p w14:paraId="372F2591" w14:textId="38012967" w:rsidR="00AC43AD" w:rsidRPr="008C3F18" w:rsidRDefault="001D48BA">
          <w:pPr>
            <w:pStyle w:val="TOC3"/>
            <w:tabs>
              <w:tab w:val="right" w:leader="dot" w:pos="10620"/>
            </w:tabs>
            <w:rPr>
              <w:rFonts w:asciiTheme="minorHAnsi" w:eastAsiaTheme="minorEastAsia" w:hAnsiTheme="minorHAnsi" w:cstheme="minorBidi"/>
              <w:i w:val="0"/>
              <w:iCs w:val="0"/>
              <w:noProof/>
              <w:sz w:val="22"/>
              <w:szCs w:val="22"/>
            </w:rPr>
          </w:pPr>
          <w:hyperlink w:anchor="_Toc91500250" w:history="1">
            <w:r w:rsidR="00AC43AD" w:rsidRPr="008C3F18">
              <w:rPr>
                <w:rStyle w:val="Hyperlink"/>
                <w:rFonts w:cs="Arial"/>
                <w:bCs/>
                <w:noProof/>
                <w:lang w:val="sr-Latn-ME"/>
              </w:rPr>
              <w:t>1 DIO – SEKTORSKI KONTEKST I RELEVANTNOST ZA POLITIKU PROŠIRENJA</w:t>
            </w:r>
            <w:r w:rsidR="00AC43AD" w:rsidRPr="008C3F18">
              <w:rPr>
                <w:noProof/>
                <w:webHidden/>
              </w:rPr>
              <w:tab/>
            </w:r>
            <w:r w:rsidR="00AC43AD" w:rsidRPr="008C3F18">
              <w:rPr>
                <w:noProof/>
                <w:webHidden/>
              </w:rPr>
              <w:fldChar w:fldCharType="begin"/>
            </w:r>
            <w:r w:rsidR="00AC43AD" w:rsidRPr="008C3F18">
              <w:rPr>
                <w:noProof/>
                <w:webHidden/>
              </w:rPr>
              <w:instrText xml:space="preserve"> PAGEREF _Toc91500250 \h </w:instrText>
            </w:r>
            <w:r w:rsidR="00AC43AD" w:rsidRPr="008C3F18">
              <w:rPr>
                <w:noProof/>
                <w:webHidden/>
              </w:rPr>
            </w:r>
            <w:r w:rsidR="00AC43AD" w:rsidRPr="008C3F18">
              <w:rPr>
                <w:noProof/>
                <w:webHidden/>
              </w:rPr>
              <w:fldChar w:fldCharType="separate"/>
            </w:r>
            <w:r w:rsidR="008C3F18">
              <w:rPr>
                <w:noProof/>
                <w:webHidden/>
              </w:rPr>
              <w:t>17</w:t>
            </w:r>
            <w:r w:rsidR="00AC43AD" w:rsidRPr="008C3F18">
              <w:rPr>
                <w:noProof/>
                <w:webHidden/>
              </w:rPr>
              <w:fldChar w:fldCharType="end"/>
            </w:r>
          </w:hyperlink>
        </w:p>
        <w:p w14:paraId="26C10CA3" w14:textId="05AF4875" w:rsidR="00AC43AD" w:rsidRPr="008C3F18"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51" w:history="1">
            <w:r w:rsidR="00AC43AD" w:rsidRPr="008C3F18">
              <w:rPr>
                <w:rStyle w:val="Hyperlink"/>
                <w:rFonts w:cs="Arial"/>
                <w:bCs/>
                <w:noProof/>
                <w:lang w:val="sr-Latn-ME"/>
              </w:rPr>
              <w:t>1.</w:t>
            </w:r>
            <w:r w:rsidR="00AC43AD" w:rsidRPr="008C3F18">
              <w:rPr>
                <w:rFonts w:asciiTheme="minorHAnsi" w:eastAsiaTheme="minorEastAsia" w:hAnsiTheme="minorHAnsi" w:cstheme="minorBidi"/>
                <w:smallCaps w:val="0"/>
                <w:noProof/>
                <w:sz w:val="22"/>
                <w:szCs w:val="22"/>
              </w:rPr>
              <w:tab/>
            </w:r>
            <w:r w:rsidR="00AC43AD" w:rsidRPr="008C3F18">
              <w:rPr>
                <w:rStyle w:val="Hyperlink"/>
                <w:rFonts w:cs="Arial"/>
                <w:bCs/>
                <w:noProof/>
                <w:lang w:val="sr-Latn-ME"/>
              </w:rPr>
              <w:t>Proces konsultacija</w:t>
            </w:r>
            <w:r w:rsidR="00AC43AD" w:rsidRPr="008C3F18">
              <w:rPr>
                <w:noProof/>
                <w:webHidden/>
              </w:rPr>
              <w:tab/>
            </w:r>
            <w:r w:rsidR="00AC43AD" w:rsidRPr="008C3F18">
              <w:rPr>
                <w:noProof/>
                <w:webHidden/>
              </w:rPr>
              <w:fldChar w:fldCharType="begin"/>
            </w:r>
            <w:r w:rsidR="00AC43AD" w:rsidRPr="008C3F18">
              <w:rPr>
                <w:noProof/>
                <w:webHidden/>
              </w:rPr>
              <w:instrText xml:space="preserve"> PAGEREF _Toc91500251 \h </w:instrText>
            </w:r>
            <w:r w:rsidR="00AC43AD" w:rsidRPr="008C3F18">
              <w:rPr>
                <w:noProof/>
                <w:webHidden/>
              </w:rPr>
            </w:r>
            <w:r w:rsidR="00AC43AD" w:rsidRPr="008C3F18">
              <w:rPr>
                <w:noProof/>
                <w:webHidden/>
              </w:rPr>
              <w:fldChar w:fldCharType="separate"/>
            </w:r>
            <w:r w:rsidR="008C3F18">
              <w:rPr>
                <w:noProof/>
                <w:webHidden/>
              </w:rPr>
              <w:t>17</w:t>
            </w:r>
            <w:r w:rsidR="00AC43AD" w:rsidRPr="008C3F18">
              <w:rPr>
                <w:noProof/>
                <w:webHidden/>
              </w:rPr>
              <w:fldChar w:fldCharType="end"/>
            </w:r>
          </w:hyperlink>
        </w:p>
        <w:p w14:paraId="570E7E57" w14:textId="38233DBA" w:rsidR="00AC43AD" w:rsidRPr="008C3F18"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52" w:history="1">
            <w:r w:rsidR="00AC43AD" w:rsidRPr="008C3F18">
              <w:rPr>
                <w:rStyle w:val="Hyperlink"/>
                <w:rFonts w:cs="Arial"/>
                <w:bCs/>
                <w:noProof/>
                <w:lang w:val="sr-Latn-ME"/>
              </w:rPr>
              <w:t>2.</w:t>
            </w:r>
            <w:r w:rsidR="00AC43AD" w:rsidRPr="008C3F18">
              <w:rPr>
                <w:rFonts w:asciiTheme="minorHAnsi" w:eastAsiaTheme="minorEastAsia" w:hAnsiTheme="minorHAnsi" w:cstheme="minorBidi"/>
                <w:smallCaps w:val="0"/>
                <w:noProof/>
                <w:sz w:val="22"/>
                <w:szCs w:val="22"/>
              </w:rPr>
              <w:tab/>
            </w:r>
            <w:r w:rsidR="00AC43AD" w:rsidRPr="008C3F18">
              <w:rPr>
                <w:rStyle w:val="Hyperlink"/>
                <w:rFonts w:cs="Arial"/>
                <w:bCs/>
                <w:noProof/>
                <w:lang w:val="sr-Latn-ME"/>
              </w:rPr>
              <w:t>USKLAĐENOST STRATEGIJA ZEMLJE KORISNICE SA IPA III PROGRAMSKIM OKVIROM</w:t>
            </w:r>
            <w:r w:rsidR="00AC43AD" w:rsidRPr="008C3F18">
              <w:rPr>
                <w:noProof/>
                <w:webHidden/>
              </w:rPr>
              <w:tab/>
            </w:r>
            <w:r w:rsidR="00AC43AD" w:rsidRPr="008C3F18">
              <w:rPr>
                <w:noProof/>
                <w:webHidden/>
              </w:rPr>
              <w:fldChar w:fldCharType="begin"/>
            </w:r>
            <w:r w:rsidR="00AC43AD" w:rsidRPr="008C3F18">
              <w:rPr>
                <w:noProof/>
                <w:webHidden/>
              </w:rPr>
              <w:instrText xml:space="preserve"> PAGEREF _Toc91500252 \h </w:instrText>
            </w:r>
            <w:r w:rsidR="00AC43AD" w:rsidRPr="008C3F18">
              <w:rPr>
                <w:noProof/>
                <w:webHidden/>
              </w:rPr>
            </w:r>
            <w:r w:rsidR="00AC43AD" w:rsidRPr="008C3F18">
              <w:rPr>
                <w:noProof/>
                <w:webHidden/>
              </w:rPr>
              <w:fldChar w:fldCharType="separate"/>
            </w:r>
            <w:r w:rsidR="008C3F18">
              <w:rPr>
                <w:noProof/>
                <w:webHidden/>
              </w:rPr>
              <w:t>17</w:t>
            </w:r>
            <w:r w:rsidR="00AC43AD" w:rsidRPr="008C3F18">
              <w:rPr>
                <w:noProof/>
                <w:webHidden/>
              </w:rPr>
              <w:fldChar w:fldCharType="end"/>
            </w:r>
          </w:hyperlink>
        </w:p>
        <w:p w14:paraId="6211A120" w14:textId="6A48EA29" w:rsidR="00AC43AD" w:rsidRPr="008C3F18"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53" w:history="1">
            <w:r w:rsidR="00AC43AD" w:rsidRPr="008C3F18">
              <w:rPr>
                <w:rStyle w:val="Hyperlink"/>
                <w:rFonts w:cs="Arial"/>
                <w:bCs/>
                <w:noProof/>
                <w:lang w:val="sr-Latn-ME"/>
              </w:rPr>
              <w:t>3.</w:t>
            </w:r>
            <w:r w:rsidR="00AC43AD" w:rsidRPr="008C3F18">
              <w:rPr>
                <w:rFonts w:asciiTheme="minorHAnsi" w:eastAsiaTheme="minorEastAsia" w:hAnsiTheme="minorHAnsi" w:cstheme="minorBidi"/>
                <w:smallCaps w:val="0"/>
                <w:noProof/>
                <w:sz w:val="22"/>
                <w:szCs w:val="22"/>
              </w:rPr>
              <w:tab/>
            </w:r>
            <w:r w:rsidR="00AC43AD" w:rsidRPr="008C3F18">
              <w:rPr>
                <w:rStyle w:val="Hyperlink"/>
                <w:rFonts w:cs="Arial"/>
                <w:bCs/>
                <w:noProof/>
                <w:lang w:val="sr-Latn-ME"/>
              </w:rPr>
              <w:t>POVEZANOST  STRATEGIJA ZEMLJE KORISNICE SA POLITIKOM PROŠIRENJA  EU</w:t>
            </w:r>
            <w:r w:rsidR="00AC43AD" w:rsidRPr="008C3F18">
              <w:rPr>
                <w:noProof/>
                <w:webHidden/>
              </w:rPr>
              <w:tab/>
            </w:r>
            <w:r w:rsidR="00AC43AD" w:rsidRPr="008C3F18">
              <w:rPr>
                <w:noProof/>
                <w:webHidden/>
              </w:rPr>
              <w:fldChar w:fldCharType="begin"/>
            </w:r>
            <w:r w:rsidR="00AC43AD" w:rsidRPr="008C3F18">
              <w:rPr>
                <w:noProof/>
                <w:webHidden/>
              </w:rPr>
              <w:instrText xml:space="preserve"> PAGEREF _Toc91500253 \h </w:instrText>
            </w:r>
            <w:r w:rsidR="00AC43AD" w:rsidRPr="008C3F18">
              <w:rPr>
                <w:noProof/>
                <w:webHidden/>
              </w:rPr>
            </w:r>
            <w:r w:rsidR="00AC43AD" w:rsidRPr="008C3F18">
              <w:rPr>
                <w:noProof/>
                <w:webHidden/>
              </w:rPr>
              <w:fldChar w:fldCharType="separate"/>
            </w:r>
            <w:r w:rsidR="008C3F18">
              <w:rPr>
                <w:noProof/>
                <w:webHidden/>
              </w:rPr>
              <w:t>23</w:t>
            </w:r>
            <w:r w:rsidR="00AC43AD" w:rsidRPr="008C3F18">
              <w:rPr>
                <w:noProof/>
                <w:webHidden/>
              </w:rPr>
              <w:fldChar w:fldCharType="end"/>
            </w:r>
          </w:hyperlink>
        </w:p>
        <w:p w14:paraId="595F3A71" w14:textId="318A52C1" w:rsidR="00AC43AD" w:rsidRPr="008C3F18"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54" w:history="1">
            <w:r w:rsidR="00AC43AD" w:rsidRPr="008C3F18">
              <w:rPr>
                <w:rStyle w:val="Hyperlink"/>
                <w:rFonts w:cs="Arial"/>
                <w:bCs/>
                <w:noProof/>
                <w:lang w:val="sr-Latn-ME"/>
              </w:rPr>
              <w:t>4.</w:t>
            </w:r>
            <w:r w:rsidR="00AC43AD" w:rsidRPr="008C3F18">
              <w:rPr>
                <w:rFonts w:asciiTheme="minorHAnsi" w:eastAsiaTheme="minorEastAsia" w:hAnsiTheme="minorHAnsi" w:cstheme="minorBidi"/>
                <w:smallCaps w:val="0"/>
                <w:noProof/>
                <w:sz w:val="22"/>
                <w:szCs w:val="22"/>
              </w:rPr>
              <w:tab/>
            </w:r>
            <w:r w:rsidR="00AC43AD" w:rsidRPr="008C3F18">
              <w:rPr>
                <w:rStyle w:val="Hyperlink"/>
                <w:rFonts w:cs="Arial"/>
                <w:bCs/>
                <w:noProof/>
                <w:lang w:val="sr-Latn-ME"/>
              </w:rPr>
              <w:t>Sektorska analiza</w:t>
            </w:r>
            <w:r w:rsidR="00AC43AD" w:rsidRPr="008C3F18">
              <w:rPr>
                <w:noProof/>
                <w:webHidden/>
              </w:rPr>
              <w:tab/>
            </w:r>
            <w:r w:rsidR="00AC43AD" w:rsidRPr="008C3F18">
              <w:rPr>
                <w:noProof/>
                <w:webHidden/>
              </w:rPr>
              <w:fldChar w:fldCharType="begin"/>
            </w:r>
            <w:r w:rsidR="00AC43AD" w:rsidRPr="008C3F18">
              <w:rPr>
                <w:noProof/>
                <w:webHidden/>
              </w:rPr>
              <w:instrText xml:space="preserve"> PAGEREF _Toc91500254 \h </w:instrText>
            </w:r>
            <w:r w:rsidR="00AC43AD" w:rsidRPr="008C3F18">
              <w:rPr>
                <w:noProof/>
                <w:webHidden/>
              </w:rPr>
            </w:r>
            <w:r w:rsidR="00AC43AD" w:rsidRPr="008C3F18">
              <w:rPr>
                <w:noProof/>
                <w:webHidden/>
              </w:rPr>
              <w:fldChar w:fldCharType="separate"/>
            </w:r>
            <w:r w:rsidR="008C3F18">
              <w:rPr>
                <w:noProof/>
                <w:webHidden/>
              </w:rPr>
              <w:t>25</w:t>
            </w:r>
            <w:r w:rsidR="00AC43AD" w:rsidRPr="008C3F18">
              <w:rPr>
                <w:noProof/>
                <w:webHidden/>
              </w:rPr>
              <w:fldChar w:fldCharType="end"/>
            </w:r>
          </w:hyperlink>
        </w:p>
        <w:p w14:paraId="3551D785" w14:textId="44F4B1A7" w:rsidR="00AC43AD" w:rsidRPr="008C3F18"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55" w:history="1">
            <w:r w:rsidR="00AC43AD" w:rsidRPr="008C3F18">
              <w:rPr>
                <w:rStyle w:val="Hyperlink"/>
                <w:rFonts w:cs="Arial"/>
                <w:bCs/>
                <w:noProof/>
                <w:lang w:val="sr-Latn-ME"/>
              </w:rPr>
              <w:t>5.</w:t>
            </w:r>
            <w:r w:rsidR="00AC43AD" w:rsidRPr="008C3F18">
              <w:rPr>
                <w:rFonts w:asciiTheme="minorHAnsi" w:eastAsiaTheme="minorEastAsia" w:hAnsiTheme="minorHAnsi" w:cstheme="minorBidi"/>
                <w:smallCaps w:val="0"/>
                <w:noProof/>
                <w:sz w:val="22"/>
                <w:szCs w:val="22"/>
              </w:rPr>
              <w:tab/>
            </w:r>
            <w:r w:rsidR="00AC43AD" w:rsidRPr="008C3F18">
              <w:rPr>
                <w:rStyle w:val="Hyperlink"/>
                <w:rFonts w:cs="Arial"/>
                <w:bCs/>
                <w:noProof/>
                <w:lang w:val="sr-Latn-ME"/>
              </w:rPr>
              <w:t>povezanost sektorskih strategija sa regionalnim i globalnim strategijama</w:t>
            </w:r>
            <w:r w:rsidR="00AC43AD" w:rsidRPr="008C3F18">
              <w:rPr>
                <w:noProof/>
                <w:webHidden/>
              </w:rPr>
              <w:tab/>
            </w:r>
            <w:r w:rsidR="00AC43AD" w:rsidRPr="008C3F18">
              <w:rPr>
                <w:noProof/>
                <w:webHidden/>
              </w:rPr>
              <w:fldChar w:fldCharType="begin"/>
            </w:r>
            <w:r w:rsidR="00AC43AD" w:rsidRPr="008C3F18">
              <w:rPr>
                <w:noProof/>
                <w:webHidden/>
              </w:rPr>
              <w:instrText xml:space="preserve"> PAGEREF _Toc91500255 \h </w:instrText>
            </w:r>
            <w:r w:rsidR="00AC43AD" w:rsidRPr="008C3F18">
              <w:rPr>
                <w:noProof/>
                <w:webHidden/>
              </w:rPr>
            </w:r>
            <w:r w:rsidR="00AC43AD" w:rsidRPr="008C3F18">
              <w:rPr>
                <w:noProof/>
                <w:webHidden/>
              </w:rPr>
              <w:fldChar w:fldCharType="separate"/>
            </w:r>
            <w:r w:rsidR="008C3F18">
              <w:rPr>
                <w:noProof/>
                <w:webHidden/>
              </w:rPr>
              <w:t>28</w:t>
            </w:r>
            <w:r w:rsidR="00AC43AD" w:rsidRPr="008C3F18">
              <w:rPr>
                <w:noProof/>
                <w:webHidden/>
              </w:rPr>
              <w:fldChar w:fldCharType="end"/>
            </w:r>
          </w:hyperlink>
        </w:p>
        <w:p w14:paraId="1FC5D452" w14:textId="4D6BCFE9" w:rsidR="00AC43AD" w:rsidRPr="008C3F18" w:rsidRDefault="001D48BA">
          <w:pPr>
            <w:pStyle w:val="TOC3"/>
            <w:tabs>
              <w:tab w:val="right" w:leader="dot" w:pos="10620"/>
            </w:tabs>
            <w:rPr>
              <w:rFonts w:asciiTheme="minorHAnsi" w:eastAsiaTheme="minorEastAsia" w:hAnsiTheme="minorHAnsi" w:cstheme="minorBidi"/>
              <w:i w:val="0"/>
              <w:iCs w:val="0"/>
              <w:noProof/>
              <w:sz w:val="22"/>
              <w:szCs w:val="22"/>
            </w:rPr>
          </w:pPr>
          <w:hyperlink w:anchor="_Toc91500256" w:history="1">
            <w:r w:rsidR="00AC43AD" w:rsidRPr="008C3F18">
              <w:rPr>
                <w:rStyle w:val="Hyperlink"/>
                <w:rFonts w:cs="Arial"/>
                <w:bCs/>
                <w:noProof/>
                <w:lang w:val="sr-Latn-ME"/>
              </w:rPr>
              <w:t>DIO 2 – PRIORITETI, CILJEVI I AKCIJE U OKVIRU IPA III PODRŠKE</w:t>
            </w:r>
            <w:r w:rsidR="00AC43AD" w:rsidRPr="008C3F18">
              <w:rPr>
                <w:noProof/>
                <w:webHidden/>
              </w:rPr>
              <w:tab/>
            </w:r>
            <w:r w:rsidR="00AC43AD" w:rsidRPr="008C3F18">
              <w:rPr>
                <w:noProof/>
                <w:webHidden/>
              </w:rPr>
              <w:fldChar w:fldCharType="begin"/>
            </w:r>
            <w:r w:rsidR="00AC43AD" w:rsidRPr="008C3F18">
              <w:rPr>
                <w:noProof/>
                <w:webHidden/>
              </w:rPr>
              <w:instrText xml:space="preserve"> PAGEREF _Toc91500256 \h </w:instrText>
            </w:r>
            <w:r w:rsidR="00AC43AD" w:rsidRPr="008C3F18">
              <w:rPr>
                <w:noProof/>
                <w:webHidden/>
              </w:rPr>
            </w:r>
            <w:r w:rsidR="00AC43AD" w:rsidRPr="008C3F18">
              <w:rPr>
                <w:noProof/>
                <w:webHidden/>
              </w:rPr>
              <w:fldChar w:fldCharType="separate"/>
            </w:r>
            <w:r w:rsidR="008C3F18">
              <w:rPr>
                <w:noProof/>
                <w:webHidden/>
              </w:rPr>
              <w:t>29</w:t>
            </w:r>
            <w:r w:rsidR="00AC43AD" w:rsidRPr="008C3F18">
              <w:rPr>
                <w:noProof/>
                <w:webHidden/>
              </w:rPr>
              <w:fldChar w:fldCharType="end"/>
            </w:r>
          </w:hyperlink>
        </w:p>
        <w:p w14:paraId="036F20D0" w14:textId="427343EE" w:rsidR="00AC43AD" w:rsidRPr="008C3F18"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57" w:history="1">
            <w:r w:rsidR="00AC43AD" w:rsidRPr="008C3F18">
              <w:rPr>
                <w:rStyle w:val="Hyperlink"/>
                <w:rFonts w:cs="Arial"/>
                <w:bCs/>
                <w:noProof/>
                <w:lang w:val="sr-Latn-ME"/>
              </w:rPr>
              <w:t>1.</w:t>
            </w:r>
            <w:r w:rsidR="00AC43AD" w:rsidRPr="008C3F18">
              <w:rPr>
                <w:rFonts w:asciiTheme="minorHAnsi" w:eastAsiaTheme="minorEastAsia" w:hAnsiTheme="minorHAnsi" w:cstheme="minorBidi"/>
                <w:smallCaps w:val="0"/>
                <w:noProof/>
                <w:sz w:val="22"/>
                <w:szCs w:val="22"/>
              </w:rPr>
              <w:tab/>
            </w:r>
            <w:r w:rsidR="00AC43AD" w:rsidRPr="008C3F18">
              <w:rPr>
                <w:rStyle w:val="Hyperlink"/>
                <w:rFonts w:cs="Arial"/>
                <w:bCs/>
                <w:noProof/>
                <w:lang w:val="sr-Latn-ME"/>
              </w:rPr>
              <w:t>Proces konsultacija</w:t>
            </w:r>
            <w:r w:rsidR="00AC43AD" w:rsidRPr="008C3F18">
              <w:rPr>
                <w:noProof/>
                <w:webHidden/>
              </w:rPr>
              <w:tab/>
            </w:r>
            <w:r w:rsidR="00AC43AD" w:rsidRPr="008C3F18">
              <w:rPr>
                <w:noProof/>
                <w:webHidden/>
              </w:rPr>
              <w:fldChar w:fldCharType="begin"/>
            </w:r>
            <w:r w:rsidR="00AC43AD" w:rsidRPr="008C3F18">
              <w:rPr>
                <w:noProof/>
                <w:webHidden/>
              </w:rPr>
              <w:instrText xml:space="preserve"> PAGEREF _Toc91500257 \h </w:instrText>
            </w:r>
            <w:r w:rsidR="00AC43AD" w:rsidRPr="008C3F18">
              <w:rPr>
                <w:noProof/>
                <w:webHidden/>
              </w:rPr>
            </w:r>
            <w:r w:rsidR="00AC43AD" w:rsidRPr="008C3F18">
              <w:rPr>
                <w:noProof/>
                <w:webHidden/>
              </w:rPr>
              <w:fldChar w:fldCharType="separate"/>
            </w:r>
            <w:r w:rsidR="008C3F18">
              <w:rPr>
                <w:noProof/>
                <w:webHidden/>
              </w:rPr>
              <w:t>29</w:t>
            </w:r>
            <w:r w:rsidR="00AC43AD" w:rsidRPr="008C3F18">
              <w:rPr>
                <w:noProof/>
                <w:webHidden/>
              </w:rPr>
              <w:fldChar w:fldCharType="end"/>
            </w:r>
          </w:hyperlink>
        </w:p>
        <w:p w14:paraId="594A88ED" w14:textId="22ED2DBB" w:rsidR="00AC43AD" w:rsidRPr="008C3F18"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58" w:history="1">
            <w:r w:rsidR="00AC43AD" w:rsidRPr="008C3F18">
              <w:rPr>
                <w:rStyle w:val="Hyperlink"/>
                <w:rFonts w:cs="Arial"/>
                <w:bCs/>
                <w:noProof/>
                <w:lang w:val="sr-Latn-ME"/>
              </w:rPr>
              <w:t>2.</w:t>
            </w:r>
            <w:r w:rsidR="00AC43AD" w:rsidRPr="008C3F18">
              <w:rPr>
                <w:rFonts w:asciiTheme="minorHAnsi" w:eastAsiaTheme="minorEastAsia" w:hAnsiTheme="minorHAnsi" w:cstheme="minorBidi"/>
                <w:smallCaps w:val="0"/>
                <w:noProof/>
                <w:sz w:val="22"/>
                <w:szCs w:val="22"/>
              </w:rPr>
              <w:tab/>
            </w:r>
            <w:r w:rsidR="00AC43AD" w:rsidRPr="008C3F18">
              <w:rPr>
                <w:rStyle w:val="Hyperlink"/>
                <w:rFonts w:cs="Arial"/>
                <w:bCs/>
                <w:noProof/>
                <w:lang w:val="sr-Latn-ME"/>
              </w:rPr>
              <w:t>Ključni tematski prioriteti</w:t>
            </w:r>
            <w:r w:rsidR="00AC43AD" w:rsidRPr="008C3F18">
              <w:rPr>
                <w:noProof/>
                <w:webHidden/>
              </w:rPr>
              <w:tab/>
            </w:r>
            <w:r w:rsidR="00AC43AD" w:rsidRPr="008C3F18">
              <w:rPr>
                <w:noProof/>
                <w:webHidden/>
              </w:rPr>
              <w:fldChar w:fldCharType="begin"/>
            </w:r>
            <w:r w:rsidR="00AC43AD" w:rsidRPr="008C3F18">
              <w:rPr>
                <w:noProof/>
                <w:webHidden/>
              </w:rPr>
              <w:instrText xml:space="preserve"> PAGEREF _Toc91500258 \h </w:instrText>
            </w:r>
            <w:r w:rsidR="00AC43AD" w:rsidRPr="008C3F18">
              <w:rPr>
                <w:noProof/>
                <w:webHidden/>
              </w:rPr>
            </w:r>
            <w:r w:rsidR="00AC43AD" w:rsidRPr="008C3F18">
              <w:rPr>
                <w:noProof/>
                <w:webHidden/>
              </w:rPr>
              <w:fldChar w:fldCharType="separate"/>
            </w:r>
            <w:r w:rsidR="008C3F18">
              <w:rPr>
                <w:noProof/>
                <w:webHidden/>
              </w:rPr>
              <w:t>29</w:t>
            </w:r>
            <w:r w:rsidR="00AC43AD" w:rsidRPr="008C3F18">
              <w:rPr>
                <w:noProof/>
                <w:webHidden/>
              </w:rPr>
              <w:fldChar w:fldCharType="end"/>
            </w:r>
          </w:hyperlink>
        </w:p>
        <w:p w14:paraId="1B73E33C" w14:textId="7B536F02" w:rsidR="00AC43AD" w:rsidRPr="008C3F18"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59" w:history="1">
            <w:r w:rsidR="00AC43AD" w:rsidRPr="008C3F18">
              <w:rPr>
                <w:rStyle w:val="Hyperlink"/>
                <w:rFonts w:cs="Arial"/>
                <w:bCs/>
                <w:noProof/>
                <w:lang w:val="sr-Latn-ME"/>
              </w:rPr>
              <w:t>3.</w:t>
            </w:r>
            <w:r w:rsidR="00AC43AD" w:rsidRPr="008C3F18">
              <w:rPr>
                <w:rFonts w:asciiTheme="minorHAnsi" w:eastAsiaTheme="minorEastAsia" w:hAnsiTheme="minorHAnsi" w:cstheme="minorBidi"/>
                <w:smallCaps w:val="0"/>
                <w:noProof/>
                <w:sz w:val="22"/>
                <w:szCs w:val="22"/>
              </w:rPr>
              <w:tab/>
            </w:r>
            <w:r w:rsidR="00AC43AD" w:rsidRPr="008C3F18">
              <w:rPr>
                <w:rStyle w:val="Hyperlink"/>
                <w:rFonts w:cs="Arial"/>
                <w:bCs/>
                <w:noProof/>
                <w:lang w:val="sr-Latn-ME"/>
              </w:rPr>
              <w:t>Lista predloženih akcija za IPA III podršku 2021 – 2024</w:t>
            </w:r>
            <w:r w:rsidR="00AC43AD" w:rsidRPr="008C3F18">
              <w:rPr>
                <w:noProof/>
                <w:webHidden/>
              </w:rPr>
              <w:tab/>
            </w:r>
            <w:r w:rsidR="00AC43AD" w:rsidRPr="008C3F18">
              <w:rPr>
                <w:noProof/>
                <w:webHidden/>
              </w:rPr>
              <w:fldChar w:fldCharType="begin"/>
            </w:r>
            <w:r w:rsidR="00AC43AD" w:rsidRPr="008C3F18">
              <w:rPr>
                <w:noProof/>
                <w:webHidden/>
              </w:rPr>
              <w:instrText xml:space="preserve"> PAGEREF _Toc91500259 \h </w:instrText>
            </w:r>
            <w:r w:rsidR="00AC43AD" w:rsidRPr="008C3F18">
              <w:rPr>
                <w:noProof/>
                <w:webHidden/>
              </w:rPr>
            </w:r>
            <w:r w:rsidR="00AC43AD" w:rsidRPr="008C3F18">
              <w:rPr>
                <w:noProof/>
                <w:webHidden/>
              </w:rPr>
              <w:fldChar w:fldCharType="separate"/>
            </w:r>
            <w:r w:rsidR="008C3F18">
              <w:rPr>
                <w:noProof/>
                <w:webHidden/>
              </w:rPr>
              <w:t>31</w:t>
            </w:r>
            <w:r w:rsidR="00AC43AD" w:rsidRPr="008C3F18">
              <w:rPr>
                <w:noProof/>
                <w:webHidden/>
              </w:rPr>
              <w:fldChar w:fldCharType="end"/>
            </w:r>
          </w:hyperlink>
        </w:p>
        <w:p w14:paraId="40721892" w14:textId="71D8CEFE" w:rsidR="00AC43AD" w:rsidRPr="008C3F18"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62" w:history="1">
            <w:r w:rsidR="00AC43AD" w:rsidRPr="008C3F18">
              <w:rPr>
                <w:rStyle w:val="Hyperlink"/>
                <w:rFonts w:cs="Arial"/>
                <w:bCs/>
                <w:noProof/>
                <w:lang w:val="sr-Latn-ME"/>
              </w:rPr>
              <w:t>4.</w:t>
            </w:r>
            <w:r w:rsidR="00AC43AD" w:rsidRPr="008C3F18">
              <w:rPr>
                <w:rFonts w:asciiTheme="minorHAnsi" w:eastAsiaTheme="minorEastAsia" w:hAnsiTheme="minorHAnsi" w:cstheme="minorBidi"/>
                <w:smallCaps w:val="0"/>
                <w:noProof/>
                <w:sz w:val="22"/>
                <w:szCs w:val="22"/>
              </w:rPr>
              <w:tab/>
            </w:r>
            <w:r w:rsidR="00AC43AD" w:rsidRPr="008C3F18">
              <w:rPr>
                <w:rStyle w:val="Hyperlink"/>
                <w:rFonts w:cs="Arial"/>
                <w:bCs/>
                <w:noProof/>
                <w:lang w:val="sr-Latn-ME"/>
              </w:rPr>
              <w:t>Indikativni budžet i plan sprovođenja 2021-2024</w:t>
            </w:r>
            <w:r w:rsidR="00AC43AD" w:rsidRPr="008C3F18">
              <w:rPr>
                <w:noProof/>
                <w:webHidden/>
              </w:rPr>
              <w:tab/>
            </w:r>
            <w:r w:rsidR="00AC43AD" w:rsidRPr="008C3F18">
              <w:rPr>
                <w:noProof/>
                <w:webHidden/>
              </w:rPr>
              <w:fldChar w:fldCharType="begin"/>
            </w:r>
            <w:r w:rsidR="00AC43AD" w:rsidRPr="008C3F18">
              <w:rPr>
                <w:noProof/>
                <w:webHidden/>
              </w:rPr>
              <w:instrText xml:space="preserve"> PAGEREF _Toc91500262 \h </w:instrText>
            </w:r>
            <w:r w:rsidR="00AC43AD" w:rsidRPr="008C3F18">
              <w:rPr>
                <w:noProof/>
                <w:webHidden/>
              </w:rPr>
            </w:r>
            <w:r w:rsidR="00AC43AD" w:rsidRPr="008C3F18">
              <w:rPr>
                <w:noProof/>
                <w:webHidden/>
              </w:rPr>
              <w:fldChar w:fldCharType="separate"/>
            </w:r>
            <w:r w:rsidR="008C3F18">
              <w:rPr>
                <w:noProof/>
                <w:webHidden/>
              </w:rPr>
              <w:t>33</w:t>
            </w:r>
            <w:r w:rsidR="00AC43AD" w:rsidRPr="008C3F18">
              <w:rPr>
                <w:noProof/>
                <w:webHidden/>
              </w:rPr>
              <w:fldChar w:fldCharType="end"/>
            </w:r>
          </w:hyperlink>
        </w:p>
        <w:p w14:paraId="742568E9" w14:textId="777092CF" w:rsidR="00AC43AD" w:rsidRDefault="001D48BA">
          <w:pPr>
            <w:pStyle w:val="TOC1"/>
            <w:tabs>
              <w:tab w:val="right" w:leader="dot" w:pos="10620"/>
            </w:tabs>
            <w:rPr>
              <w:rFonts w:asciiTheme="minorHAnsi" w:eastAsiaTheme="minorEastAsia" w:hAnsiTheme="minorHAnsi" w:cstheme="minorBidi"/>
              <w:b w:val="0"/>
              <w:bCs w:val="0"/>
              <w:caps w:val="0"/>
              <w:noProof/>
              <w:sz w:val="22"/>
              <w:szCs w:val="22"/>
            </w:rPr>
          </w:pPr>
          <w:hyperlink w:anchor="_Toc91500263" w:history="1">
            <w:r w:rsidR="00AC43AD" w:rsidRPr="003F37B3">
              <w:rPr>
                <w:rStyle w:val="Hyperlink"/>
                <w:rFonts w:cs="Arial"/>
                <w:noProof/>
              </w:rPr>
              <w:t>PROZOR 3 – ODRŽIVA POVEZANOST I ZELENA AGENDA</w:t>
            </w:r>
            <w:r w:rsidR="00AC43AD">
              <w:rPr>
                <w:noProof/>
                <w:webHidden/>
              </w:rPr>
              <w:tab/>
            </w:r>
            <w:r w:rsidR="00AC43AD">
              <w:rPr>
                <w:noProof/>
                <w:webHidden/>
              </w:rPr>
              <w:fldChar w:fldCharType="begin"/>
            </w:r>
            <w:r w:rsidR="00AC43AD">
              <w:rPr>
                <w:noProof/>
                <w:webHidden/>
              </w:rPr>
              <w:instrText xml:space="preserve"> PAGEREF _Toc91500263 \h </w:instrText>
            </w:r>
            <w:r w:rsidR="00AC43AD">
              <w:rPr>
                <w:noProof/>
                <w:webHidden/>
              </w:rPr>
            </w:r>
            <w:r w:rsidR="00AC43AD">
              <w:rPr>
                <w:noProof/>
                <w:webHidden/>
              </w:rPr>
              <w:fldChar w:fldCharType="separate"/>
            </w:r>
            <w:r w:rsidR="008C3F18">
              <w:rPr>
                <w:noProof/>
                <w:webHidden/>
              </w:rPr>
              <w:t>40</w:t>
            </w:r>
            <w:r w:rsidR="00AC43AD">
              <w:rPr>
                <w:noProof/>
                <w:webHidden/>
              </w:rPr>
              <w:fldChar w:fldCharType="end"/>
            </w:r>
          </w:hyperlink>
        </w:p>
        <w:p w14:paraId="5A36A49C" w14:textId="754B11FB" w:rsidR="00AC43AD" w:rsidRDefault="001D48BA">
          <w:pPr>
            <w:pStyle w:val="TOC3"/>
            <w:tabs>
              <w:tab w:val="right" w:leader="dot" w:pos="10620"/>
            </w:tabs>
            <w:rPr>
              <w:rFonts w:asciiTheme="minorHAnsi" w:eastAsiaTheme="minorEastAsia" w:hAnsiTheme="minorHAnsi" w:cstheme="minorBidi"/>
              <w:i w:val="0"/>
              <w:iCs w:val="0"/>
              <w:noProof/>
              <w:sz w:val="22"/>
              <w:szCs w:val="22"/>
            </w:rPr>
          </w:pPr>
          <w:hyperlink w:anchor="_Toc91500264" w:history="1">
            <w:r w:rsidR="00AC43AD" w:rsidRPr="003F37B3">
              <w:rPr>
                <w:rStyle w:val="Hyperlink"/>
                <w:rFonts w:cs="Arial"/>
                <w:noProof/>
              </w:rPr>
              <w:t>DIO 1 – SEKTORSKI KONTEKST I RELEVANTNOST ZA POLITIKU PROŠIRENJA</w:t>
            </w:r>
            <w:r w:rsidR="00AC43AD">
              <w:rPr>
                <w:noProof/>
                <w:webHidden/>
              </w:rPr>
              <w:tab/>
            </w:r>
            <w:r w:rsidR="00AC43AD">
              <w:rPr>
                <w:noProof/>
                <w:webHidden/>
              </w:rPr>
              <w:fldChar w:fldCharType="begin"/>
            </w:r>
            <w:r w:rsidR="00AC43AD">
              <w:rPr>
                <w:noProof/>
                <w:webHidden/>
              </w:rPr>
              <w:instrText xml:space="preserve"> PAGEREF _Toc91500264 \h </w:instrText>
            </w:r>
            <w:r w:rsidR="00AC43AD">
              <w:rPr>
                <w:noProof/>
                <w:webHidden/>
              </w:rPr>
            </w:r>
            <w:r w:rsidR="00AC43AD">
              <w:rPr>
                <w:noProof/>
                <w:webHidden/>
              </w:rPr>
              <w:fldChar w:fldCharType="separate"/>
            </w:r>
            <w:r w:rsidR="008C3F18">
              <w:rPr>
                <w:noProof/>
                <w:webHidden/>
              </w:rPr>
              <w:t>40</w:t>
            </w:r>
            <w:r w:rsidR="00AC43AD">
              <w:rPr>
                <w:noProof/>
                <w:webHidden/>
              </w:rPr>
              <w:fldChar w:fldCharType="end"/>
            </w:r>
          </w:hyperlink>
        </w:p>
        <w:p w14:paraId="7D55D926" w14:textId="2A3CAA52"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65" w:history="1">
            <w:r w:rsidR="00AC43AD" w:rsidRPr="003F37B3">
              <w:rPr>
                <w:rStyle w:val="Hyperlink"/>
                <w:rFonts w:cs="Arial"/>
                <w:noProof/>
              </w:rPr>
              <w:t>1.</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Proces konsultacija</w:t>
            </w:r>
            <w:r w:rsidR="00AC43AD">
              <w:rPr>
                <w:noProof/>
                <w:webHidden/>
              </w:rPr>
              <w:tab/>
            </w:r>
            <w:r w:rsidR="00AC43AD">
              <w:rPr>
                <w:noProof/>
                <w:webHidden/>
              </w:rPr>
              <w:fldChar w:fldCharType="begin"/>
            </w:r>
            <w:r w:rsidR="00AC43AD">
              <w:rPr>
                <w:noProof/>
                <w:webHidden/>
              </w:rPr>
              <w:instrText xml:space="preserve"> PAGEREF _Toc91500265 \h </w:instrText>
            </w:r>
            <w:r w:rsidR="00AC43AD">
              <w:rPr>
                <w:noProof/>
                <w:webHidden/>
              </w:rPr>
            </w:r>
            <w:r w:rsidR="00AC43AD">
              <w:rPr>
                <w:noProof/>
                <w:webHidden/>
              </w:rPr>
              <w:fldChar w:fldCharType="separate"/>
            </w:r>
            <w:r w:rsidR="008C3F18">
              <w:rPr>
                <w:noProof/>
                <w:webHidden/>
              </w:rPr>
              <w:t>40</w:t>
            </w:r>
            <w:r w:rsidR="00AC43AD">
              <w:rPr>
                <w:noProof/>
                <w:webHidden/>
              </w:rPr>
              <w:fldChar w:fldCharType="end"/>
            </w:r>
          </w:hyperlink>
        </w:p>
        <w:p w14:paraId="617876E5" w14:textId="4679129C"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66" w:history="1">
            <w:r w:rsidR="00AC43AD" w:rsidRPr="003F37B3">
              <w:rPr>
                <w:rStyle w:val="Hyperlink"/>
                <w:rFonts w:cs="Arial"/>
                <w:noProof/>
              </w:rPr>
              <w:t>2.</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Usklađenost strategija zemlje korisnice sa IPA III programskim okvirom</w:t>
            </w:r>
            <w:r w:rsidR="00AC43AD">
              <w:rPr>
                <w:noProof/>
                <w:webHidden/>
              </w:rPr>
              <w:tab/>
            </w:r>
            <w:r w:rsidR="00AC43AD">
              <w:rPr>
                <w:noProof/>
                <w:webHidden/>
              </w:rPr>
              <w:fldChar w:fldCharType="begin"/>
            </w:r>
            <w:r w:rsidR="00AC43AD">
              <w:rPr>
                <w:noProof/>
                <w:webHidden/>
              </w:rPr>
              <w:instrText xml:space="preserve"> PAGEREF _Toc91500266 \h </w:instrText>
            </w:r>
            <w:r w:rsidR="00AC43AD">
              <w:rPr>
                <w:noProof/>
                <w:webHidden/>
              </w:rPr>
            </w:r>
            <w:r w:rsidR="00AC43AD">
              <w:rPr>
                <w:noProof/>
                <w:webHidden/>
              </w:rPr>
              <w:fldChar w:fldCharType="separate"/>
            </w:r>
            <w:r w:rsidR="008C3F18">
              <w:rPr>
                <w:noProof/>
                <w:webHidden/>
              </w:rPr>
              <w:t>41</w:t>
            </w:r>
            <w:r w:rsidR="00AC43AD">
              <w:rPr>
                <w:noProof/>
                <w:webHidden/>
              </w:rPr>
              <w:fldChar w:fldCharType="end"/>
            </w:r>
          </w:hyperlink>
        </w:p>
        <w:p w14:paraId="65762534" w14:textId="0B54F52A"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67" w:history="1">
            <w:r w:rsidR="00AC43AD" w:rsidRPr="003F37B3">
              <w:rPr>
                <w:rStyle w:val="Hyperlink"/>
                <w:rFonts w:cs="Arial"/>
                <w:noProof/>
              </w:rPr>
              <w:t>3.</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Povezanost strategija zemlje korisnice sa politikom proširenja</w:t>
            </w:r>
            <w:r w:rsidR="00AC43AD">
              <w:rPr>
                <w:noProof/>
                <w:webHidden/>
              </w:rPr>
              <w:tab/>
            </w:r>
            <w:r w:rsidR="00AC43AD">
              <w:rPr>
                <w:noProof/>
                <w:webHidden/>
              </w:rPr>
              <w:fldChar w:fldCharType="begin"/>
            </w:r>
            <w:r w:rsidR="00AC43AD">
              <w:rPr>
                <w:noProof/>
                <w:webHidden/>
              </w:rPr>
              <w:instrText xml:space="preserve"> PAGEREF _Toc91500267 \h </w:instrText>
            </w:r>
            <w:r w:rsidR="00AC43AD">
              <w:rPr>
                <w:noProof/>
                <w:webHidden/>
              </w:rPr>
            </w:r>
            <w:r w:rsidR="00AC43AD">
              <w:rPr>
                <w:noProof/>
                <w:webHidden/>
              </w:rPr>
              <w:fldChar w:fldCharType="separate"/>
            </w:r>
            <w:r w:rsidR="008C3F18">
              <w:rPr>
                <w:noProof/>
                <w:webHidden/>
              </w:rPr>
              <w:t>46</w:t>
            </w:r>
            <w:r w:rsidR="00AC43AD">
              <w:rPr>
                <w:noProof/>
                <w:webHidden/>
              </w:rPr>
              <w:fldChar w:fldCharType="end"/>
            </w:r>
          </w:hyperlink>
        </w:p>
        <w:p w14:paraId="007E18F5" w14:textId="54E70086"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68" w:history="1">
            <w:r w:rsidR="00AC43AD" w:rsidRPr="003F37B3">
              <w:rPr>
                <w:rStyle w:val="Hyperlink"/>
                <w:rFonts w:cs="Arial"/>
                <w:noProof/>
              </w:rPr>
              <w:t>4.</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Sektorska analiza</w:t>
            </w:r>
            <w:r w:rsidR="00AC43AD">
              <w:rPr>
                <w:noProof/>
                <w:webHidden/>
              </w:rPr>
              <w:tab/>
            </w:r>
            <w:r w:rsidR="00AC43AD">
              <w:rPr>
                <w:noProof/>
                <w:webHidden/>
              </w:rPr>
              <w:fldChar w:fldCharType="begin"/>
            </w:r>
            <w:r w:rsidR="00AC43AD">
              <w:rPr>
                <w:noProof/>
                <w:webHidden/>
              </w:rPr>
              <w:instrText xml:space="preserve"> PAGEREF _Toc91500268 \h </w:instrText>
            </w:r>
            <w:r w:rsidR="00AC43AD">
              <w:rPr>
                <w:noProof/>
                <w:webHidden/>
              </w:rPr>
            </w:r>
            <w:r w:rsidR="00AC43AD">
              <w:rPr>
                <w:noProof/>
                <w:webHidden/>
              </w:rPr>
              <w:fldChar w:fldCharType="separate"/>
            </w:r>
            <w:r w:rsidR="008C3F18">
              <w:rPr>
                <w:noProof/>
                <w:webHidden/>
              </w:rPr>
              <w:t>47</w:t>
            </w:r>
            <w:r w:rsidR="00AC43AD">
              <w:rPr>
                <w:noProof/>
                <w:webHidden/>
              </w:rPr>
              <w:fldChar w:fldCharType="end"/>
            </w:r>
          </w:hyperlink>
        </w:p>
        <w:p w14:paraId="0090130C" w14:textId="100AA868"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69" w:history="1">
            <w:r w:rsidR="00AC43AD" w:rsidRPr="003F37B3">
              <w:rPr>
                <w:rStyle w:val="Hyperlink"/>
                <w:rFonts w:cs="Arial"/>
                <w:noProof/>
              </w:rPr>
              <w:t>5.</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povezanost sektorskih strategija sa regionalnim i globalnim strategijama</w:t>
            </w:r>
            <w:r w:rsidR="00AC43AD">
              <w:rPr>
                <w:noProof/>
                <w:webHidden/>
              </w:rPr>
              <w:tab/>
            </w:r>
            <w:r w:rsidR="00AC43AD">
              <w:rPr>
                <w:noProof/>
                <w:webHidden/>
              </w:rPr>
              <w:fldChar w:fldCharType="begin"/>
            </w:r>
            <w:r w:rsidR="00AC43AD">
              <w:rPr>
                <w:noProof/>
                <w:webHidden/>
              </w:rPr>
              <w:instrText xml:space="preserve"> PAGEREF _Toc91500269 \h </w:instrText>
            </w:r>
            <w:r w:rsidR="00AC43AD">
              <w:rPr>
                <w:noProof/>
                <w:webHidden/>
              </w:rPr>
            </w:r>
            <w:r w:rsidR="00AC43AD">
              <w:rPr>
                <w:noProof/>
                <w:webHidden/>
              </w:rPr>
              <w:fldChar w:fldCharType="separate"/>
            </w:r>
            <w:r w:rsidR="008C3F18">
              <w:rPr>
                <w:noProof/>
                <w:webHidden/>
              </w:rPr>
              <w:t>51</w:t>
            </w:r>
            <w:r w:rsidR="00AC43AD">
              <w:rPr>
                <w:noProof/>
                <w:webHidden/>
              </w:rPr>
              <w:fldChar w:fldCharType="end"/>
            </w:r>
          </w:hyperlink>
        </w:p>
        <w:p w14:paraId="32377500" w14:textId="0C6FBB35" w:rsidR="00AC43AD" w:rsidRDefault="001D48BA">
          <w:pPr>
            <w:pStyle w:val="TOC3"/>
            <w:tabs>
              <w:tab w:val="right" w:leader="dot" w:pos="10620"/>
            </w:tabs>
            <w:rPr>
              <w:rFonts w:asciiTheme="minorHAnsi" w:eastAsiaTheme="minorEastAsia" w:hAnsiTheme="minorHAnsi" w:cstheme="minorBidi"/>
              <w:i w:val="0"/>
              <w:iCs w:val="0"/>
              <w:noProof/>
              <w:sz w:val="22"/>
              <w:szCs w:val="22"/>
            </w:rPr>
          </w:pPr>
          <w:hyperlink w:anchor="_Toc91500270" w:history="1">
            <w:r w:rsidR="00AC43AD" w:rsidRPr="003F37B3">
              <w:rPr>
                <w:rStyle w:val="Hyperlink"/>
                <w:rFonts w:cs="Arial"/>
                <w:noProof/>
              </w:rPr>
              <w:t>DIO 2 – PRIORITETI, CILJEVI I AKCIJE U OKVIRU IPA III PODRŠKE</w:t>
            </w:r>
            <w:r w:rsidR="00AC43AD">
              <w:rPr>
                <w:noProof/>
                <w:webHidden/>
              </w:rPr>
              <w:tab/>
            </w:r>
            <w:r w:rsidR="00AC43AD">
              <w:rPr>
                <w:noProof/>
                <w:webHidden/>
              </w:rPr>
              <w:fldChar w:fldCharType="begin"/>
            </w:r>
            <w:r w:rsidR="00AC43AD">
              <w:rPr>
                <w:noProof/>
                <w:webHidden/>
              </w:rPr>
              <w:instrText xml:space="preserve"> PAGEREF _Toc91500270 \h </w:instrText>
            </w:r>
            <w:r w:rsidR="00AC43AD">
              <w:rPr>
                <w:noProof/>
                <w:webHidden/>
              </w:rPr>
            </w:r>
            <w:r w:rsidR="00AC43AD">
              <w:rPr>
                <w:noProof/>
                <w:webHidden/>
              </w:rPr>
              <w:fldChar w:fldCharType="separate"/>
            </w:r>
            <w:r w:rsidR="008C3F18">
              <w:rPr>
                <w:noProof/>
                <w:webHidden/>
              </w:rPr>
              <w:t>53</w:t>
            </w:r>
            <w:r w:rsidR="00AC43AD">
              <w:rPr>
                <w:noProof/>
                <w:webHidden/>
              </w:rPr>
              <w:fldChar w:fldCharType="end"/>
            </w:r>
          </w:hyperlink>
        </w:p>
        <w:p w14:paraId="14904479" w14:textId="127F9C0B"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71" w:history="1">
            <w:r w:rsidR="00AC43AD" w:rsidRPr="003F37B3">
              <w:rPr>
                <w:rStyle w:val="Hyperlink"/>
                <w:rFonts w:cs="Arial"/>
                <w:noProof/>
              </w:rPr>
              <w:t>1.</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proces konsultacija</w:t>
            </w:r>
            <w:r w:rsidR="00AC43AD">
              <w:rPr>
                <w:noProof/>
                <w:webHidden/>
              </w:rPr>
              <w:tab/>
            </w:r>
            <w:r w:rsidR="00AC43AD">
              <w:rPr>
                <w:noProof/>
                <w:webHidden/>
              </w:rPr>
              <w:fldChar w:fldCharType="begin"/>
            </w:r>
            <w:r w:rsidR="00AC43AD">
              <w:rPr>
                <w:noProof/>
                <w:webHidden/>
              </w:rPr>
              <w:instrText xml:space="preserve"> PAGEREF _Toc91500271 \h </w:instrText>
            </w:r>
            <w:r w:rsidR="00AC43AD">
              <w:rPr>
                <w:noProof/>
                <w:webHidden/>
              </w:rPr>
            </w:r>
            <w:r w:rsidR="00AC43AD">
              <w:rPr>
                <w:noProof/>
                <w:webHidden/>
              </w:rPr>
              <w:fldChar w:fldCharType="separate"/>
            </w:r>
            <w:r w:rsidR="008C3F18">
              <w:rPr>
                <w:noProof/>
                <w:webHidden/>
              </w:rPr>
              <w:t>53</w:t>
            </w:r>
            <w:r w:rsidR="00AC43AD">
              <w:rPr>
                <w:noProof/>
                <w:webHidden/>
              </w:rPr>
              <w:fldChar w:fldCharType="end"/>
            </w:r>
          </w:hyperlink>
        </w:p>
        <w:p w14:paraId="7D9F9B60" w14:textId="4939E48D"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72" w:history="1">
            <w:r w:rsidR="00AC43AD" w:rsidRPr="003F37B3">
              <w:rPr>
                <w:rStyle w:val="Hyperlink"/>
                <w:rFonts w:cs="Arial"/>
                <w:noProof/>
              </w:rPr>
              <w:t>2.</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Ključni tematski prioriteti</w:t>
            </w:r>
            <w:r w:rsidR="00AC43AD">
              <w:rPr>
                <w:noProof/>
                <w:webHidden/>
              </w:rPr>
              <w:tab/>
            </w:r>
            <w:r w:rsidR="00AC43AD">
              <w:rPr>
                <w:noProof/>
                <w:webHidden/>
              </w:rPr>
              <w:fldChar w:fldCharType="begin"/>
            </w:r>
            <w:r w:rsidR="00AC43AD">
              <w:rPr>
                <w:noProof/>
                <w:webHidden/>
              </w:rPr>
              <w:instrText xml:space="preserve"> PAGEREF _Toc91500272 \h </w:instrText>
            </w:r>
            <w:r w:rsidR="00AC43AD">
              <w:rPr>
                <w:noProof/>
                <w:webHidden/>
              </w:rPr>
            </w:r>
            <w:r w:rsidR="00AC43AD">
              <w:rPr>
                <w:noProof/>
                <w:webHidden/>
              </w:rPr>
              <w:fldChar w:fldCharType="separate"/>
            </w:r>
            <w:r w:rsidR="008C3F18">
              <w:rPr>
                <w:noProof/>
                <w:webHidden/>
              </w:rPr>
              <w:t>54</w:t>
            </w:r>
            <w:r w:rsidR="00AC43AD">
              <w:rPr>
                <w:noProof/>
                <w:webHidden/>
              </w:rPr>
              <w:fldChar w:fldCharType="end"/>
            </w:r>
          </w:hyperlink>
        </w:p>
        <w:p w14:paraId="6F18AA05" w14:textId="789164C1"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73" w:history="1">
            <w:r w:rsidR="00AC43AD" w:rsidRPr="003F37B3">
              <w:rPr>
                <w:rStyle w:val="Hyperlink"/>
                <w:rFonts w:cs="Arial"/>
                <w:noProof/>
              </w:rPr>
              <w:t>3.</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Lista akcija predloženih za IPA III podršku, za period 2021 – 2024</w:t>
            </w:r>
            <w:r w:rsidR="00AC43AD">
              <w:rPr>
                <w:noProof/>
                <w:webHidden/>
              </w:rPr>
              <w:tab/>
            </w:r>
            <w:r w:rsidR="00AC43AD">
              <w:rPr>
                <w:noProof/>
                <w:webHidden/>
              </w:rPr>
              <w:fldChar w:fldCharType="begin"/>
            </w:r>
            <w:r w:rsidR="00AC43AD">
              <w:rPr>
                <w:noProof/>
                <w:webHidden/>
              </w:rPr>
              <w:instrText xml:space="preserve"> PAGEREF _Toc91500273 \h </w:instrText>
            </w:r>
            <w:r w:rsidR="00AC43AD">
              <w:rPr>
                <w:noProof/>
                <w:webHidden/>
              </w:rPr>
            </w:r>
            <w:r w:rsidR="00AC43AD">
              <w:rPr>
                <w:noProof/>
                <w:webHidden/>
              </w:rPr>
              <w:fldChar w:fldCharType="separate"/>
            </w:r>
            <w:r w:rsidR="008C3F18">
              <w:rPr>
                <w:noProof/>
                <w:webHidden/>
              </w:rPr>
              <w:t>54</w:t>
            </w:r>
            <w:r w:rsidR="00AC43AD">
              <w:rPr>
                <w:noProof/>
                <w:webHidden/>
              </w:rPr>
              <w:fldChar w:fldCharType="end"/>
            </w:r>
          </w:hyperlink>
        </w:p>
        <w:p w14:paraId="203F78E1" w14:textId="30DF720D"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74" w:history="1">
            <w:r w:rsidR="00AC43AD" w:rsidRPr="003F37B3">
              <w:rPr>
                <w:rStyle w:val="Hyperlink"/>
                <w:rFonts w:cs="Arial"/>
                <w:noProof/>
              </w:rPr>
              <w:t>4.</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Indikativni budžet i plan sprovođenja za period 2021-2024</w:t>
            </w:r>
            <w:r w:rsidR="00AC43AD">
              <w:rPr>
                <w:noProof/>
                <w:webHidden/>
              </w:rPr>
              <w:tab/>
            </w:r>
            <w:r w:rsidR="00AC43AD">
              <w:rPr>
                <w:noProof/>
                <w:webHidden/>
              </w:rPr>
              <w:fldChar w:fldCharType="begin"/>
            </w:r>
            <w:r w:rsidR="00AC43AD">
              <w:rPr>
                <w:noProof/>
                <w:webHidden/>
              </w:rPr>
              <w:instrText xml:space="preserve"> PAGEREF _Toc91500274 \h </w:instrText>
            </w:r>
            <w:r w:rsidR="00AC43AD">
              <w:rPr>
                <w:noProof/>
                <w:webHidden/>
              </w:rPr>
            </w:r>
            <w:r w:rsidR="00AC43AD">
              <w:rPr>
                <w:noProof/>
                <w:webHidden/>
              </w:rPr>
              <w:fldChar w:fldCharType="separate"/>
            </w:r>
            <w:r w:rsidR="008C3F18">
              <w:rPr>
                <w:noProof/>
                <w:webHidden/>
              </w:rPr>
              <w:t>57</w:t>
            </w:r>
            <w:r w:rsidR="00AC43AD">
              <w:rPr>
                <w:noProof/>
                <w:webHidden/>
              </w:rPr>
              <w:fldChar w:fldCharType="end"/>
            </w:r>
          </w:hyperlink>
        </w:p>
        <w:p w14:paraId="3E0D1B57" w14:textId="7411614C" w:rsidR="00AC43AD" w:rsidRDefault="001D48BA">
          <w:pPr>
            <w:pStyle w:val="TOC1"/>
            <w:tabs>
              <w:tab w:val="right" w:leader="dot" w:pos="10620"/>
            </w:tabs>
            <w:rPr>
              <w:rFonts w:asciiTheme="minorHAnsi" w:eastAsiaTheme="minorEastAsia" w:hAnsiTheme="minorHAnsi" w:cstheme="minorBidi"/>
              <w:b w:val="0"/>
              <w:bCs w:val="0"/>
              <w:caps w:val="0"/>
              <w:noProof/>
              <w:sz w:val="22"/>
              <w:szCs w:val="22"/>
            </w:rPr>
          </w:pPr>
          <w:hyperlink w:anchor="_Toc91500275" w:history="1">
            <w:r w:rsidR="00AC43AD" w:rsidRPr="003F37B3">
              <w:rPr>
                <w:rStyle w:val="Hyperlink"/>
                <w:rFonts w:cs="Arial"/>
                <w:noProof/>
              </w:rPr>
              <w:t>PROZOR 4 – KONKURENTNOST I INKLUZIVNI RAST</w:t>
            </w:r>
            <w:r w:rsidR="00AC43AD">
              <w:rPr>
                <w:noProof/>
                <w:webHidden/>
              </w:rPr>
              <w:tab/>
            </w:r>
            <w:r w:rsidR="00AC43AD">
              <w:rPr>
                <w:noProof/>
                <w:webHidden/>
              </w:rPr>
              <w:fldChar w:fldCharType="begin"/>
            </w:r>
            <w:r w:rsidR="00AC43AD">
              <w:rPr>
                <w:noProof/>
                <w:webHidden/>
              </w:rPr>
              <w:instrText xml:space="preserve"> PAGEREF _Toc91500275 \h </w:instrText>
            </w:r>
            <w:r w:rsidR="00AC43AD">
              <w:rPr>
                <w:noProof/>
                <w:webHidden/>
              </w:rPr>
            </w:r>
            <w:r w:rsidR="00AC43AD">
              <w:rPr>
                <w:noProof/>
                <w:webHidden/>
              </w:rPr>
              <w:fldChar w:fldCharType="separate"/>
            </w:r>
            <w:r w:rsidR="008C3F18">
              <w:rPr>
                <w:noProof/>
                <w:webHidden/>
              </w:rPr>
              <w:t>60</w:t>
            </w:r>
            <w:r w:rsidR="00AC43AD">
              <w:rPr>
                <w:noProof/>
                <w:webHidden/>
              </w:rPr>
              <w:fldChar w:fldCharType="end"/>
            </w:r>
          </w:hyperlink>
        </w:p>
        <w:p w14:paraId="17DEBD03" w14:textId="462CBDCC" w:rsidR="00AC43AD" w:rsidRDefault="001D48BA">
          <w:pPr>
            <w:pStyle w:val="TOC3"/>
            <w:tabs>
              <w:tab w:val="right" w:leader="dot" w:pos="10620"/>
            </w:tabs>
            <w:rPr>
              <w:rFonts w:asciiTheme="minorHAnsi" w:eastAsiaTheme="minorEastAsia" w:hAnsiTheme="minorHAnsi" w:cstheme="minorBidi"/>
              <w:i w:val="0"/>
              <w:iCs w:val="0"/>
              <w:noProof/>
              <w:sz w:val="22"/>
              <w:szCs w:val="22"/>
            </w:rPr>
          </w:pPr>
          <w:hyperlink w:anchor="_Toc91500276" w:history="1">
            <w:r w:rsidR="00AC43AD" w:rsidRPr="003F37B3">
              <w:rPr>
                <w:rStyle w:val="Hyperlink"/>
                <w:rFonts w:cs="Arial"/>
                <w:noProof/>
              </w:rPr>
              <w:t>DIO 1 – SEKTORSKI KONTEKST I RELEVANTNOST ZA POLITIKU PROŠIRENJA</w:t>
            </w:r>
            <w:r w:rsidR="00AC43AD">
              <w:rPr>
                <w:noProof/>
                <w:webHidden/>
              </w:rPr>
              <w:tab/>
            </w:r>
            <w:r w:rsidR="00AC43AD">
              <w:rPr>
                <w:noProof/>
                <w:webHidden/>
              </w:rPr>
              <w:fldChar w:fldCharType="begin"/>
            </w:r>
            <w:r w:rsidR="00AC43AD">
              <w:rPr>
                <w:noProof/>
                <w:webHidden/>
              </w:rPr>
              <w:instrText xml:space="preserve"> PAGEREF _Toc91500276 \h </w:instrText>
            </w:r>
            <w:r w:rsidR="00AC43AD">
              <w:rPr>
                <w:noProof/>
                <w:webHidden/>
              </w:rPr>
            </w:r>
            <w:r w:rsidR="00AC43AD">
              <w:rPr>
                <w:noProof/>
                <w:webHidden/>
              </w:rPr>
              <w:fldChar w:fldCharType="separate"/>
            </w:r>
            <w:r w:rsidR="008C3F18">
              <w:rPr>
                <w:noProof/>
                <w:webHidden/>
              </w:rPr>
              <w:t>60</w:t>
            </w:r>
            <w:r w:rsidR="00AC43AD">
              <w:rPr>
                <w:noProof/>
                <w:webHidden/>
              </w:rPr>
              <w:fldChar w:fldCharType="end"/>
            </w:r>
          </w:hyperlink>
        </w:p>
        <w:p w14:paraId="5705DEDA" w14:textId="77195662"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77" w:history="1">
            <w:r w:rsidR="00AC43AD" w:rsidRPr="003F37B3">
              <w:rPr>
                <w:rStyle w:val="Hyperlink"/>
                <w:rFonts w:cs="Arial"/>
                <w:noProof/>
              </w:rPr>
              <w:t>1.</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Proces konsultacija</w:t>
            </w:r>
            <w:r w:rsidR="00AC43AD">
              <w:rPr>
                <w:noProof/>
                <w:webHidden/>
              </w:rPr>
              <w:tab/>
            </w:r>
            <w:r w:rsidR="00AC43AD">
              <w:rPr>
                <w:noProof/>
                <w:webHidden/>
              </w:rPr>
              <w:fldChar w:fldCharType="begin"/>
            </w:r>
            <w:r w:rsidR="00AC43AD">
              <w:rPr>
                <w:noProof/>
                <w:webHidden/>
              </w:rPr>
              <w:instrText xml:space="preserve"> PAGEREF _Toc91500277 \h </w:instrText>
            </w:r>
            <w:r w:rsidR="00AC43AD">
              <w:rPr>
                <w:noProof/>
                <w:webHidden/>
              </w:rPr>
            </w:r>
            <w:r w:rsidR="00AC43AD">
              <w:rPr>
                <w:noProof/>
                <w:webHidden/>
              </w:rPr>
              <w:fldChar w:fldCharType="separate"/>
            </w:r>
            <w:r w:rsidR="008C3F18">
              <w:rPr>
                <w:noProof/>
                <w:webHidden/>
              </w:rPr>
              <w:t>60</w:t>
            </w:r>
            <w:r w:rsidR="00AC43AD">
              <w:rPr>
                <w:noProof/>
                <w:webHidden/>
              </w:rPr>
              <w:fldChar w:fldCharType="end"/>
            </w:r>
          </w:hyperlink>
        </w:p>
        <w:p w14:paraId="174324F8" w14:textId="415EAAE4"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78" w:history="1">
            <w:r w:rsidR="00AC43AD" w:rsidRPr="003F37B3">
              <w:rPr>
                <w:rStyle w:val="Hyperlink"/>
                <w:rFonts w:cs="Arial"/>
                <w:noProof/>
              </w:rPr>
              <w:t>2.</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Usklađenost strategija zemlje korisnice sa IPA III programskim okvirom</w:t>
            </w:r>
            <w:r w:rsidR="00AC43AD">
              <w:rPr>
                <w:noProof/>
                <w:webHidden/>
              </w:rPr>
              <w:tab/>
            </w:r>
            <w:r w:rsidR="00AC43AD">
              <w:rPr>
                <w:noProof/>
                <w:webHidden/>
              </w:rPr>
              <w:fldChar w:fldCharType="begin"/>
            </w:r>
            <w:r w:rsidR="00AC43AD">
              <w:rPr>
                <w:noProof/>
                <w:webHidden/>
              </w:rPr>
              <w:instrText xml:space="preserve"> PAGEREF _Toc91500278 \h </w:instrText>
            </w:r>
            <w:r w:rsidR="00AC43AD">
              <w:rPr>
                <w:noProof/>
                <w:webHidden/>
              </w:rPr>
            </w:r>
            <w:r w:rsidR="00AC43AD">
              <w:rPr>
                <w:noProof/>
                <w:webHidden/>
              </w:rPr>
              <w:fldChar w:fldCharType="separate"/>
            </w:r>
            <w:r w:rsidR="008C3F18">
              <w:rPr>
                <w:noProof/>
                <w:webHidden/>
              </w:rPr>
              <w:t>60</w:t>
            </w:r>
            <w:r w:rsidR="00AC43AD">
              <w:rPr>
                <w:noProof/>
                <w:webHidden/>
              </w:rPr>
              <w:fldChar w:fldCharType="end"/>
            </w:r>
          </w:hyperlink>
        </w:p>
        <w:p w14:paraId="05EDF46C" w14:textId="7C71F6A3"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79" w:history="1">
            <w:r w:rsidR="00AC43AD" w:rsidRPr="003F37B3">
              <w:rPr>
                <w:rStyle w:val="Hyperlink"/>
                <w:rFonts w:cs="Arial"/>
                <w:noProof/>
              </w:rPr>
              <w:t>3.</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Povezanost strategija zemlje korisnice sa politikom proširenja</w:t>
            </w:r>
            <w:r w:rsidR="00AC43AD">
              <w:rPr>
                <w:noProof/>
                <w:webHidden/>
              </w:rPr>
              <w:tab/>
            </w:r>
            <w:r w:rsidR="00AC43AD">
              <w:rPr>
                <w:noProof/>
                <w:webHidden/>
              </w:rPr>
              <w:fldChar w:fldCharType="begin"/>
            </w:r>
            <w:r w:rsidR="00AC43AD">
              <w:rPr>
                <w:noProof/>
                <w:webHidden/>
              </w:rPr>
              <w:instrText xml:space="preserve"> PAGEREF _Toc91500279 \h </w:instrText>
            </w:r>
            <w:r w:rsidR="00AC43AD">
              <w:rPr>
                <w:noProof/>
                <w:webHidden/>
              </w:rPr>
            </w:r>
            <w:r w:rsidR="00AC43AD">
              <w:rPr>
                <w:noProof/>
                <w:webHidden/>
              </w:rPr>
              <w:fldChar w:fldCharType="separate"/>
            </w:r>
            <w:r w:rsidR="008C3F18">
              <w:rPr>
                <w:noProof/>
                <w:webHidden/>
              </w:rPr>
              <w:t>73</w:t>
            </w:r>
            <w:r w:rsidR="00AC43AD">
              <w:rPr>
                <w:noProof/>
                <w:webHidden/>
              </w:rPr>
              <w:fldChar w:fldCharType="end"/>
            </w:r>
          </w:hyperlink>
        </w:p>
        <w:p w14:paraId="14C67ACD" w14:textId="04D34659"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80" w:history="1">
            <w:r w:rsidR="00AC43AD" w:rsidRPr="003F37B3">
              <w:rPr>
                <w:rStyle w:val="Hyperlink"/>
                <w:rFonts w:cs="Arial"/>
                <w:noProof/>
              </w:rPr>
              <w:t>4.</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Sektorska analiza</w:t>
            </w:r>
            <w:r w:rsidR="00AC43AD">
              <w:rPr>
                <w:noProof/>
                <w:webHidden/>
              </w:rPr>
              <w:tab/>
            </w:r>
            <w:r w:rsidR="00AC43AD">
              <w:rPr>
                <w:noProof/>
                <w:webHidden/>
              </w:rPr>
              <w:fldChar w:fldCharType="begin"/>
            </w:r>
            <w:r w:rsidR="00AC43AD">
              <w:rPr>
                <w:noProof/>
                <w:webHidden/>
              </w:rPr>
              <w:instrText xml:space="preserve"> PAGEREF _Toc91500280 \h </w:instrText>
            </w:r>
            <w:r w:rsidR="00AC43AD">
              <w:rPr>
                <w:noProof/>
                <w:webHidden/>
              </w:rPr>
            </w:r>
            <w:r w:rsidR="00AC43AD">
              <w:rPr>
                <w:noProof/>
                <w:webHidden/>
              </w:rPr>
              <w:fldChar w:fldCharType="separate"/>
            </w:r>
            <w:r w:rsidR="008C3F18">
              <w:rPr>
                <w:noProof/>
                <w:webHidden/>
              </w:rPr>
              <w:t>81</w:t>
            </w:r>
            <w:r w:rsidR="00AC43AD">
              <w:rPr>
                <w:noProof/>
                <w:webHidden/>
              </w:rPr>
              <w:fldChar w:fldCharType="end"/>
            </w:r>
          </w:hyperlink>
        </w:p>
        <w:p w14:paraId="1D61BA5B" w14:textId="2F389D9F"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81" w:history="1">
            <w:r w:rsidR="00AC43AD" w:rsidRPr="003F37B3">
              <w:rPr>
                <w:rStyle w:val="Hyperlink"/>
                <w:rFonts w:cs="Arial"/>
                <w:noProof/>
              </w:rPr>
              <w:t>5.</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Povezanost sektorskih strategija sa regionalnim i globalnim strategijama</w:t>
            </w:r>
            <w:r w:rsidR="00AC43AD">
              <w:rPr>
                <w:noProof/>
                <w:webHidden/>
              </w:rPr>
              <w:tab/>
            </w:r>
            <w:r w:rsidR="00AC43AD">
              <w:rPr>
                <w:noProof/>
                <w:webHidden/>
              </w:rPr>
              <w:fldChar w:fldCharType="begin"/>
            </w:r>
            <w:r w:rsidR="00AC43AD">
              <w:rPr>
                <w:noProof/>
                <w:webHidden/>
              </w:rPr>
              <w:instrText xml:space="preserve"> PAGEREF _Toc91500281 \h </w:instrText>
            </w:r>
            <w:r w:rsidR="00AC43AD">
              <w:rPr>
                <w:noProof/>
                <w:webHidden/>
              </w:rPr>
            </w:r>
            <w:r w:rsidR="00AC43AD">
              <w:rPr>
                <w:noProof/>
                <w:webHidden/>
              </w:rPr>
              <w:fldChar w:fldCharType="separate"/>
            </w:r>
            <w:r w:rsidR="008C3F18">
              <w:rPr>
                <w:noProof/>
                <w:webHidden/>
              </w:rPr>
              <w:t>88</w:t>
            </w:r>
            <w:r w:rsidR="00AC43AD">
              <w:rPr>
                <w:noProof/>
                <w:webHidden/>
              </w:rPr>
              <w:fldChar w:fldCharType="end"/>
            </w:r>
          </w:hyperlink>
        </w:p>
        <w:p w14:paraId="4936EB28" w14:textId="3C125DD4" w:rsidR="00AC43AD" w:rsidRDefault="001D48BA">
          <w:pPr>
            <w:pStyle w:val="TOC3"/>
            <w:tabs>
              <w:tab w:val="right" w:leader="dot" w:pos="10620"/>
            </w:tabs>
            <w:rPr>
              <w:rFonts w:asciiTheme="minorHAnsi" w:eastAsiaTheme="minorEastAsia" w:hAnsiTheme="minorHAnsi" w:cstheme="minorBidi"/>
              <w:i w:val="0"/>
              <w:iCs w:val="0"/>
              <w:noProof/>
              <w:sz w:val="22"/>
              <w:szCs w:val="22"/>
            </w:rPr>
          </w:pPr>
          <w:hyperlink w:anchor="_Toc91500282" w:history="1">
            <w:r w:rsidR="00AC43AD" w:rsidRPr="003F37B3">
              <w:rPr>
                <w:rStyle w:val="Hyperlink"/>
                <w:rFonts w:cs="Arial"/>
                <w:noProof/>
              </w:rPr>
              <w:t>DIO 2 – PRIORITETI, CILJEVI I AKCIJE U OKVIRU IPA III PODRŠKE</w:t>
            </w:r>
            <w:r w:rsidR="00AC43AD">
              <w:rPr>
                <w:noProof/>
                <w:webHidden/>
              </w:rPr>
              <w:tab/>
            </w:r>
            <w:r w:rsidR="00AC43AD">
              <w:rPr>
                <w:noProof/>
                <w:webHidden/>
              </w:rPr>
              <w:fldChar w:fldCharType="begin"/>
            </w:r>
            <w:r w:rsidR="00AC43AD">
              <w:rPr>
                <w:noProof/>
                <w:webHidden/>
              </w:rPr>
              <w:instrText xml:space="preserve"> PAGEREF _Toc91500282 \h </w:instrText>
            </w:r>
            <w:r w:rsidR="00AC43AD">
              <w:rPr>
                <w:noProof/>
                <w:webHidden/>
              </w:rPr>
            </w:r>
            <w:r w:rsidR="00AC43AD">
              <w:rPr>
                <w:noProof/>
                <w:webHidden/>
              </w:rPr>
              <w:fldChar w:fldCharType="separate"/>
            </w:r>
            <w:r w:rsidR="008C3F18">
              <w:rPr>
                <w:noProof/>
                <w:webHidden/>
              </w:rPr>
              <w:t>93</w:t>
            </w:r>
            <w:r w:rsidR="00AC43AD">
              <w:rPr>
                <w:noProof/>
                <w:webHidden/>
              </w:rPr>
              <w:fldChar w:fldCharType="end"/>
            </w:r>
          </w:hyperlink>
        </w:p>
        <w:p w14:paraId="5AE83CEA" w14:textId="09A7FA04"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83" w:history="1">
            <w:r w:rsidR="00AC43AD" w:rsidRPr="003F37B3">
              <w:rPr>
                <w:rStyle w:val="Hyperlink"/>
                <w:rFonts w:cs="Arial"/>
                <w:noProof/>
              </w:rPr>
              <w:t>1.</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Proces konsultacija</w:t>
            </w:r>
            <w:r w:rsidR="00AC43AD">
              <w:rPr>
                <w:noProof/>
                <w:webHidden/>
              </w:rPr>
              <w:tab/>
            </w:r>
            <w:r w:rsidR="00AC43AD">
              <w:rPr>
                <w:noProof/>
                <w:webHidden/>
              </w:rPr>
              <w:fldChar w:fldCharType="begin"/>
            </w:r>
            <w:r w:rsidR="00AC43AD">
              <w:rPr>
                <w:noProof/>
                <w:webHidden/>
              </w:rPr>
              <w:instrText xml:space="preserve"> PAGEREF _Toc91500283 \h </w:instrText>
            </w:r>
            <w:r w:rsidR="00AC43AD">
              <w:rPr>
                <w:noProof/>
                <w:webHidden/>
              </w:rPr>
            </w:r>
            <w:r w:rsidR="00AC43AD">
              <w:rPr>
                <w:noProof/>
                <w:webHidden/>
              </w:rPr>
              <w:fldChar w:fldCharType="separate"/>
            </w:r>
            <w:r w:rsidR="008C3F18">
              <w:rPr>
                <w:noProof/>
                <w:webHidden/>
              </w:rPr>
              <w:t>93</w:t>
            </w:r>
            <w:r w:rsidR="00AC43AD">
              <w:rPr>
                <w:noProof/>
                <w:webHidden/>
              </w:rPr>
              <w:fldChar w:fldCharType="end"/>
            </w:r>
          </w:hyperlink>
        </w:p>
        <w:p w14:paraId="1A75BF9E" w14:textId="6A1C6EA2"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84" w:history="1">
            <w:r w:rsidR="00AC43AD" w:rsidRPr="003F37B3">
              <w:rPr>
                <w:rStyle w:val="Hyperlink"/>
                <w:rFonts w:cs="Arial"/>
                <w:noProof/>
              </w:rPr>
              <w:t>2.</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Ključni tematski prioriteti</w:t>
            </w:r>
            <w:r w:rsidR="00AC43AD">
              <w:rPr>
                <w:noProof/>
                <w:webHidden/>
              </w:rPr>
              <w:tab/>
            </w:r>
            <w:r w:rsidR="00AC43AD">
              <w:rPr>
                <w:noProof/>
                <w:webHidden/>
              </w:rPr>
              <w:fldChar w:fldCharType="begin"/>
            </w:r>
            <w:r w:rsidR="00AC43AD">
              <w:rPr>
                <w:noProof/>
                <w:webHidden/>
              </w:rPr>
              <w:instrText xml:space="preserve"> PAGEREF _Toc91500284 \h </w:instrText>
            </w:r>
            <w:r w:rsidR="00AC43AD">
              <w:rPr>
                <w:noProof/>
                <w:webHidden/>
              </w:rPr>
            </w:r>
            <w:r w:rsidR="00AC43AD">
              <w:rPr>
                <w:noProof/>
                <w:webHidden/>
              </w:rPr>
              <w:fldChar w:fldCharType="separate"/>
            </w:r>
            <w:r w:rsidR="008C3F18">
              <w:rPr>
                <w:noProof/>
                <w:webHidden/>
              </w:rPr>
              <w:t>94</w:t>
            </w:r>
            <w:r w:rsidR="00AC43AD">
              <w:rPr>
                <w:noProof/>
                <w:webHidden/>
              </w:rPr>
              <w:fldChar w:fldCharType="end"/>
            </w:r>
          </w:hyperlink>
        </w:p>
        <w:p w14:paraId="3244C560" w14:textId="156D5C43"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85" w:history="1">
            <w:r w:rsidR="00AC43AD" w:rsidRPr="003F37B3">
              <w:rPr>
                <w:rStyle w:val="Hyperlink"/>
                <w:rFonts w:cs="Arial"/>
                <w:noProof/>
              </w:rPr>
              <w:t>3.</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Lista predloženih akcija za IPA III podršku 2021 – 2024.</w:t>
            </w:r>
            <w:r w:rsidR="00AC43AD">
              <w:rPr>
                <w:noProof/>
                <w:webHidden/>
              </w:rPr>
              <w:tab/>
            </w:r>
            <w:r w:rsidR="00AC43AD">
              <w:rPr>
                <w:noProof/>
                <w:webHidden/>
              </w:rPr>
              <w:fldChar w:fldCharType="begin"/>
            </w:r>
            <w:r w:rsidR="00AC43AD">
              <w:rPr>
                <w:noProof/>
                <w:webHidden/>
              </w:rPr>
              <w:instrText xml:space="preserve"> PAGEREF _Toc91500285 \h </w:instrText>
            </w:r>
            <w:r w:rsidR="00AC43AD">
              <w:rPr>
                <w:noProof/>
                <w:webHidden/>
              </w:rPr>
            </w:r>
            <w:r w:rsidR="00AC43AD">
              <w:rPr>
                <w:noProof/>
                <w:webHidden/>
              </w:rPr>
              <w:fldChar w:fldCharType="separate"/>
            </w:r>
            <w:r w:rsidR="008C3F18">
              <w:rPr>
                <w:noProof/>
                <w:webHidden/>
              </w:rPr>
              <w:t>97</w:t>
            </w:r>
            <w:r w:rsidR="00AC43AD">
              <w:rPr>
                <w:noProof/>
                <w:webHidden/>
              </w:rPr>
              <w:fldChar w:fldCharType="end"/>
            </w:r>
          </w:hyperlink>
        </w:p>
        <w:p w14:paraId="1354B777" w14:textId="1C1A60F7" w:rsidR="00AC43AD" w:rsidRDefault="001D48BA">
          <w:pPr>
            <w:pStyle w:val="TOC2"/>
            <w:tabs>
              <w:tab w:val="left" w:pos="660"/>
              <w:tab w:val="right" w:leader="dot" w:pos="10620"/>
            </w:tabs>
            <w:rPr>
              <w:rFonts w:asciiTheme="minorHAnsi" w:eastAsiaTheme="minorEastAsia" w:hAnsiTheme="minorHAnsi" w:cstheme="minorBidi"/>
              <w:smallCaps w:val="0"/>
              <w:noProof/>
              <w:sz w:val="22"/>
              <w:szCs w:val="22"/>
            </w:rPr>
          </w:pPr>
          <w:hyperlink w:anchor="_Toc91500286" w:history="1">
            <w:r w:rsidR="00AC43AD" w:rsidRPr="003F37B3">
              <w:rPr>
                <w:rStyle w:val="Hyperlink"/>
                <w:rFonts w:cs="Arial"/>
                <w:noProof/>
              </w:rPr>
              <w:t>4.</w:t>
            </w:r>
            <w:r w:rsidR="00AC43AD">
              <w:rPr>
                <w:rFonts w:asciiTheme="minorHAnsi" w:eastAsiaTheme="minorEastAsia" w:hAnsiTheme="minorHAnsi" w:cstheme="minorBidi"/>
                <w:smallCaps w:val="0"/>
                <w:noProof/>
                <w:sz w:val="22"/>
                <w:szCs w:val="22"/>
              </w:rPr>
              <w:tab/>
            </w:r>
            <w:r w:rsidR="00AC43AD" w:rsidRPr="003F37B3">
              <w:rPr>
                <w:rStyle w:val="Hyperlink"/>
                <w:rFonts w:cs="Arial"/>
                <w:noProof/>
              </w:rPr>
              <w:t>Indikativni budžet i plan sprovođenja  2021-2024.</w:t>
            </w:r>
            <w:r w:rsidR="00AC43AD">
              <w:rPr>
                <w:noProof/>
                <w:webHidden/>
              </w:rPr>
              <w:tab/>
            </w:r>
            <w:r w:rsidR="00AC43AD">
              <w:rPr>
                <w:noProof/>
                <w:webHidden/>
              </w:rPr>
              <w:fldChar w:fldCharType="begin"/>
            </w:r>
            <w:r w:rsidR="00AC43AD">
              <w:rPr>
                <w:noProof/>
                <w:webHidden/>
              </w:rPr>
              <w:instrText xml:space="preserve"> PAGEREF _Toc91500286 \h </w:instrText>
            </w:r>
            <w:r w:rsidR="00AC43AD">
              <w:rPr>
                <w:noProof/>
                <w:webHidden/>
              </w:rPr>
            </w:r>
            <w:r w:rsidR="00AC43AD">
              <w:rPr>
                <w:noProof/>
                <w:webHidden/>
              </w:rPr>
              <w:fldChar w:fldCharType="separate"/>
            </w:r>
            <w:r w:rsidR="008C3F18">
              <w:rPr>
                <w:noProof/>
                <w:webHidden/>
              </w:rPr>
              <w:t>102</w:t>
            </w:r>
            <w:r w:rsidR="00AC43AD">
              <w:rPr>
                <w:noProof/>
                <w:webHidden/>
              </w:rPr>
              <w:fldChar w:fldCharType="end"/>
            </w:r>
          </w:hyperlink>
        </w:p>
        <w:p w14:paraId="340EFD90" w14:textId="3964FB5F" w:rsidR="00AC43AD" w:rsidRDefault="001D48BA">
          <w:pPr>
            <w:pStyle w:val="TOC1"/>
            <w:tabs>
              <w:tab w:val="right" w:leader="dot" w:pos="10620"/>
            </w:tabs>
            <w:rPr>
              <w:rFonts w:asciiTheme="minorHAnsi" w:eastAsiaTheme="minorEastAsia" w:hAnsiTheme="minorHAnsi" w:cstheme="minorBidi"/>
              <w:b w:val="0"/>
              <w:bCs w:val="0"/>
              <w:caps w:val="0"/>
              <w:noProof/>
              <w:sz w:val="22"/>
              <w:szCs w:val="22"/>
            </w:rPr>
          </w:pPr>
          <w:hyperlink w:anchor="_Toc91500287" w:history="1">
            <w:r w:rsidR="00AC43AD" w:rsidRPr="003F37B3">
              <w:rPr>
                <w:rStyle w:val="Hyperlink"/>
                <w:rFonts w:cs="Arial"/>
                <w:noProof/>
              </w:rPr>
              <w:t>PROZOR 5 – TERITORIJALNA I PREKOGRANIČNA SARADNJA</w:t>
            </w:r>
            <w:r w:rsidR="00AC43AD">
              <w:rPr>
                <w:noProof/>
                <w:webHidden/>
              </w:rPr>
              <w:tab/>
            </w:r>
            <w:r w:rsidR="00AC43AD">
              <w:rPr>
                <w:noProof/>
                <w:webHidden/>
              </w:rPr>
              <w:fldChar w:fldCharType="begin"/>
            </w:r>
            <w:r w:rsidR="00AC43AD">
              <w:rPr>
                <w:noProof/>
                <w:webHidden/>
              </w:rPr>
              <w:instrText xml:space="preserve"> PAGEREF _Toc91500287 \h </w:instrText>
            </w:r>
            <w:r w:rsidR="00AC43AD">
              <w:rPr>
                <w:noProof/>
                <w:webHidden/>
              </w:rPr>
            </w:r>
            <w:r w:rsidR="00AC43AD">
              <w:rPr>
                <w:noProof/>
                <w:webHidden/>
              </w:rPr>
              <w:fldChar w:fldCharType="separate"/>
            </w:r>
            <w:r w:rsidR="008C3F18">
              <w:rPr>
                <w:noProof/>
                <w:webHidden/>
              </w:rPr>
              <w:t>111</w:t>
            </w:r>
            <w:r w:rsidR="00AC43AD">
              <w:rPr>
                <w:noProof/>
                <w:webHidden/>
              </w:rPr>
              <w:fldChar w:fldCharType="end"/>
            </w:r>
          </w:hyperlink>
        </w:p>
        <w:p w14:paraId="3E225308" w14:textId="3797ADF2" w:rsidR="00AC43AD" w:rsidRDefault="001D48BA">
          <w:pPr>
            <w:pStyle w:val="TOC2"/>
            <w:tabs>
              <w:tab w:val="right" w:leader="dot" w:pos="10620"/>
            </w:tabs>
            <w:rPr>
              <w:rFonts w:asciiTheme="minorHAnsi" w:eastAsiaTheme="minorEastAsia" w:hAnsiTheme="minorHAnsi" w:cstheme="minorBidi"/>
              <w:smallCaps w:val="0"/>
              <w:noProof/>
              <w:sz w:val="22"/>
              <w:szCs w:val="22"/>
            </w:rPr>
          </w:pPr>
          <w:hyperlink w:anchor="_Toc91500288" w:history="1">
            <w:r w:rsidR="00AC43AD" w:rsidRPr="003F37B3">
              <w:rPr>
                <w:rStyle w:val="Hyperlink"/>
                <w:rFonts w:cs="Arial"/>
                <w:b/>
                <w:bCs/>
                <w:i/>
                <w:noProof/>
              </w:rPr>
              <w:t xml:space="preserve">Prilog 1 – </w:t>
            </w:r>
            <w:r w:rsidR="00AC43AD" w:rsidRPr="003F37B3">
              <w:rPr>
                <w:rStyle w:val="Hyperlink"/>
                <w:rFonts w:cs="Arial"/>
                <w:b/>
                <w:i/>
                <w:noProof/>
              </w:rPr>
              <w:t>Strateška dokumenta po sektoru i ukupan broj strategija (februar 2020)</w:t>
            </w:r>
            <w:r w:rsidR="00AC43AD">
              <w:rPr>
                <w:noProof/>
                <w:webHidden/>
              </w:rPr>
              <w:tab/>
            </w:r>
            <w:r w:rsidR="00AC43AD">
              <w:rPr>
                <w:noProof/>
                <w:webHidden/>
              </w:rPr>
              <w:fldChar w:fldCharType="begin"/>
            </w:r>
            <w:r w:rsidR="00AC43AD">
              <w:rPr>
                <w:noProof/>
                <w:webHidden/>
              </w:rPr>
              <w:instrText xml:space="preserve"> PAGEREF _Toc91500288 \h </w:instrText>
            </w:r>
            <w:r w:rsidR="00AC43AD">
              <w:rPr>
                <w:noProof/>
                <w:webHidden/>
              </w:rPr>
            </w:r>
            <w:r w:rsidR="00AC43AD">
              <w:rPr>
                <w:noProof/>
                <w:webHidden/>
              </w:rPr>
              <w:fldChar w:fldCharType="separate"/>
            </w:r>
            <w:r w:rsidR="008C3F18">
              <w:rPr>
                <w:noProof/>
                <w:webHidden/>
              </w:rPr>
              <w:t>116</w:t>
            </w:r>
            <w:r w:rsidR="00AC43AD">
              <w:rPr>
                <w:noProof/>
                <w:webHidden/>
              </w:rPr>
              <w:fldChar w:fldCharType="end"/>
            </w:r>
          </w:hyperlink>
        </w:p>
        <w:p w14:paraId="45D82BF4" w14:textId="367C82D2" w:rsidR="00AC43AD" w:rsidRDefault="001D48BA">
          <w:pPr>
            <w:pStyle w:val="TOC2"/>
            <w:tabs>
              <w:tab w:val="right" w:leader="dot" w:pos="10620"/>
            </w:tabs>
            <w:rPr>
              <w:rFonts w:asciiTheme="minorHAnsi" w:eastAsiaTheme="minorEastAsia" w:hAnsiTheme="minorHAnsi" w:cstheme="minorBidi"/>
              <w:smallCaps w:val="0"/>
              <w:noProof/>
              <w:sz w:val="22"/>
              <w:szCs w:val="22"/>
            </w:rPr>
          </w:pPr>
          <w:hyperlink w:anchor="_Toc91500289" w:history="1">
            <w:r w:rsidR="00AC43AD" w:rsidRPr="003F37B3">
              <w:rPr>
                <w:rStyle w:val="Hyperlink"/>
                <w:rFonts w:cs="Arial"/>
                <w:b/>
                <w:bCs/>
                <w:i/>
                <w:noProof/>
              </w:rPr>
              <w:t>Prilog 2 – Detaljna tabela sa relevantnim sektorskim strategijama i pridruženim akcionim planovima</w:t>
            </w:r>
            <w:r w:rsidR="00AC43AD">
              <w:rPr>
                <w:noProof/>
                <w:webHidden/>
              </w:rPr>
              <w:tab/>
            </w:r>
            <w:r w:rsidR="00AC43AD">
              <w:rPr>
                <w:noProof/>
                <w:webHidden/>
              </w:rPr>
              <w:fldChar w:fldCharType="begin"/>
            </w:r>
            <w:r w:rsidR="00AC43AD">
              <w:rPr>
                <w:noProof/>
                <w:webHidden/>
              </w:rPr>
              <w:instrText xml:space="preserve"> PAGEREF _Toc91500289 \h </w:instrText>
            </w:r>
            <w:r w:rsidR="00AC43AD">
              <w:rPr>
                <w:noProof/>
                <w:webHidden/>
              </w:rPr>
            </w:r>
            <w:r w:rsidR="00AC43AD">
              <w:rPr>
                <w:noProof/>
                <w:webHidden/>
              </w:rPr>
              <w:fldChar w:fldCharType="separate"/>
            </w:r>
            <w:r w:rsidR="008C3F18">
              <w:rPr>
                <w:noProof/>
                <w:webHidden/>
              </w:rPr>
              <w:t>124</w:t>
            </w:r>
            <w:r w:rsidR="00AC43AD">
              <w:rPr>
                <w:noProof/>
                <w:webHidden/>
              </w:rPr>
              <w:fldChar w:fldCharType="end"/>
            </w:r>
          </w:hyperlink>
        </w:p>
        <w:p w14:paraId="111B0583" w14:textId="4DC7D3D9" w:rsidR="00AC43AD" w:rsidRDefault="001D48BA">
          <w:pPr>
            <w:pStyle w:val="TOC2"/>
            <w:tabs>
              <w:tab w:val="right" w:leader="dot" w:pos="10620"/>
            </w:tabs>
            <w:rPr>
              <w:rFonts w:asciiTheme="minorHAnsi" w:eastAsiaTheme="minorEastAsia" w:hAnsiTheme="minorHAnsi" w:cstheme="minorBidi"/>
              <w:smallCaps w:val="0"/>
              <w:noProof/>
              <w:sz w:val="22"/>
              <w:szCs w:val="22"/>
            </w:rPr>
          </w:pPr>
          <w:hyperlink w:anchor="_Toc91500290" w:history="1">
            <w:r w:rsidR="00AC43AD" w:rsidRPr="003F37B3">
              <w:rPr>
                <w:rStyle w:val="Hyperlink"/>
                <w:rFonts w:cs="Arial"/>
                <w:i/>
                <w:noProof/>
              </w:rPr>
              <w:t>Prilog 3 – Lista PFM akcija koje će biti finansirane kroz 2022. sektorsku budžetsku podršku za reformu javne uprave i PFM / kroz 2023. programsku godinu</w:t>
            </w:r>
            <w:r w:rsidR="00AC43AD">
              <w:rPr>
                <w:noProof/>
                <w:webHidden/>
              </w:rPr>
              <w:tab/>
            </w:r>
            <w:r w:rsidR="00AC43AD">
              <w:rPr>
                <w:noProof/>
                <w:webHidden/>
              </w:rPr>
              <w:fldChar w:fldCharType="begin"/>
            </w:r>
            <w:r w:rsidR="00AC43AD">
              <w:rPr>
                <w:noProof/>
                <w:webHidden/>
              </w:rPr>
              <w:instrText xml:space="preserve"> PAGEREF _Toc91500290 \h </w:instrText>
            </w:r>
            <w:r w:rsidR="00AC43AD">
              <w:rPr>
                <w:noProof/>
                <w:webHidden/>
              </w:rPr>
            </w:r>
            <w:r w:rsidR="00AC43AD">
              <w:rPr>
                <w:noProof/>
                <w:webHidden/>
              </w:rPr>
              <w:fldChar w:fldCharType="separate"/>
            </w:r>
            <w:r w:rsidR="008C3F18">
              <w:rPr>
                <w:noProof/>
                <w:webHidden/>
              </w:rPr>
              <w:t>126</w:t>
            </w:r>
            <w:r w:rsidR="00AC43AD">
              <w:rPr>
                <w:noProof/>
                <w:webHidden/>
              </w:rPr>
              <w:fldChar w:fldCharType="end"/>
            </w:r>
          </w:hyperlink>
        </w:p>
        <w:p w14:paraId="18CBA30B" w14:textId="584DD60D" w:rsidR="00047EF8" w:rsidRPr="00F563CD" w:rsidRDefault="00864F83" w:rsidP="00047EF8">
          <w:pPr>
            <w:pStyle w:val="TOC2"/>
            <w:tabs>
              <w:tab w:val="right" w:leader="dot" w:pos="10620"/>
            </w:tabs>
            <w:rPr>
              <w:rFonts w:asciiTheme="minorHAnsi" w:hAnsiTheme="minorHAnsi"/>
              <w:bCs/>
              <w:noProof/>
            </w:rPr>
          </w:pPr>
          <w:r w:rsidRPr="00F563CD">
            <w:rPr>
              <w:rFonts w:asciiTheme="minorHAnsi" w:hAnsiTheme="minorHAnsi"/>
              <w:b/>
              <w:bCs/>
              <w:noProof/>
            </w:rPr>
            <w:fldChar w:fldCharType="end"/>
          </w:r>
          <w:r w:rsidRPr="00F563CD">
            <w:rPr>
              <w:rFonts w:asciiTheme="minorHAnsi" w:hAnsiTheme="minorHAnsi"/>
              <w:bCs/>
              <w:noProof/>
            </w:rPr>
            <w:t>Prilog 4 – Detaljan pregled planiranih aktivnosti u okviru tematskog prioriteta 1.5 – Temeljna prava………..………..…………………….130</w:t>
          </w:r>
        </w:p>
        <w:p w14:paraId="573A9B1C" w14:textId="77777777" w:rsidR="00047EF8" w:rsidRPr="00F563CD" w:rsidRDefault="001D48BA" w:rsidP="00047EF8">
          <w:pPr>
            <w:ind w:left="142"/>
            <w:rPr>
              <w:rFonts w:asciiTheme="minorHAnsi" w:hAnsiTheme="minorHAnsi"/>
            </w:rPr>
          </w:pPr>
        </w:p>
      </w:sdtContent>
    </w:sdt>
    <w:p w14:paraId="7E5D7143" w14:textId="77777777" w:rsidR="00047EF8" w:rsidRPr="00F563CD" w:rsidRDefault="00047EF8" w:rsidP="00047EF8">
      <w:pPr>
        <w:spacing w:after="0"/>
        <w:rPr>
          <w:rFonts w:asciiTheme="minorHAnsi" w:hAnsiTheme="minorHAnsi" w:cs="Arial"/>
          <w:bCs/>
          <w:caps/>
          <w:szCs w:val="24"/>
        </w:rPr>
      </w:pPr>
    </w:p>
    <w:p w14:paraId="61CF0D5A" w14:textId="77777777" w:rsidR="00047EF8" w:rsidRPr="00F563CD" w:rsidRDefault="00864F83" w:rsidP="00047EF8">
      <w:pPr>
        <w:spacing w:after="0" w:line="240" w:lineRule="auto"/>
        <w:rPr>
          <w:rFonts w:asciiTheme="minorHAnsi" w:hAnsiTheme="minorHAnsi" w:cs="Arial"/>
          <w:szCs w:val="24"/>
        </w:rPr>
      </w:pPr>
      <w:r w:rsidRPr="00F563CD">
        <w:rPr>
          <w:rFonts w:asciiTheme="minorHAnsi" w:hAnsiTheme="minorHAnsi" w:cs="Arial"/>
          <w:szCs w:val="24"/>
        </w:rPr>
        <w:br w:type="page"/>
      </w:r>
    </w:p>
    <w:p w14:paraId="5F4012D4" w14:textId="77777777" w:rsidR="00047EF8" w:rsidRPr="00F563CD" w:rsidRDefault="00864F83" w:rsidP="00047EF8">
      <w:pPr>
        <w:pStyle w:val="Heading1"/>
        <w:pBdr>
          <w:bottom w:val="single" w:sz="12" w:space="1" w:color="auto"/>
        </w:pBdr>
        <w:rPr>
          <w:rFonts w:asciiTheme="minorHAnsi" w:hAnsiTheme="minorHAnsi" w:cs="Arial"/>
          <w:color w:val="auto"/>
        </w:rPr>
      </w:pPr>
      <w:bookmarkStart w:id="0" w:name="_Toc91500233"/>
      <w:r w:rsidRPr="00F563CD">
        <w:rPr>
          <w:rFonts w:asciiTheme="minorHAnsi" w:hAnsiTheme="minorHAnsi" w:cs="Arial"/>
          <w:color w:val="auto"/>
        </w:rPr>
        <w:lastRenderedPageBreak/>
        <w:t>UVOD</w:t>
      </w:r>
      <w:bookmarkEnd w:id="0"/>
    </w:p>
    <w:p w14:paraId="381F46C0" w14:textId="77777777" w:rsidR="00047EF8" w:rsidRPr="00F563CD" w:rsidRDefault="00047EF8" w:rsidP="00047EF8">
      <w:pPr>
        <w:spacing w:line="240" w:lineRule="auto"/>
        <w:jc w:val="both"/>
        <w:rPr>
          <w:rFonts w:asciiTheme="minorHAnsi" w:hAnsiTheme="minorHAnsi"/>
          <w:sz w:val="20"/>
          <w:szCs w:val="20"/>
        </w:rPr>
      </w:pPr>
    </w:p>
    <w:p w14:paraId="22EA17A2"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sz w:val="20"/>
          <w:szCs w:val="20"/>
        </w:rPr>
        <w:t>Strateški odgovor opisuje kako Crna Gora planira da iskoristi IPA III finansijsku podršku kako bi doprinijela opštim i specifičnim ciljevima navedenim u Programskom okviru IPA III. Konkretno, pruža pregled planiranih akcija u okviru ključnih tematskih prioriteta unutar svakog od pet tematskih prozora.</w:t>
      </w:r>
    </w:p>
    <w:p w14:paraId="09995A34"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sz w:val="20"/>
          <w:szCs w:val="20"/>
        </w:rPr>
        <w:t>Ovaj dokument se sastoji od pet prozora, svaki podijeljen na dva dijela. Prvi dio svakog prozora pruža analizu konteksta navodeći u kojoj mjeri su prioriteti i strateški okviri crnogorske politike usklađeni sa strateškim orjentacijama Programskog okvira IPA III i koherentni sa politikom proširenja, sektorskim pristupom i drugim regionalnim i makro-regionalnim strategijama.</w:t>
      </w:r>
    </w:p>
    <w:p w14:paraId="5B2620C8" w14:textId="77777777" w:rsidR="00047EF8" w:rsidRPr="00F563CD" w:rsidRDefault="00864F83" w:rsidP="00047EF8">
      <w:pPr>
        <w:spacing w:line="240" w:lineRule="auto"/>
        <w:jc w:val="both"/>
        <w:rPr>
          <w:rFonts w:asciiTheme="minorHAnsi" w:hAnsiTheme="minorHAnsi"/>
          <w:sz w:val="20"/>
          <w:szCs w:val="20"/>
          <w:lang w:val="fr-BE"/>
        </w:rPr>
      </w:pPr>
      <w:r w:rsidRPr="00F563CD">
        <w:rPr>
          <w:rFonts w:asciiTheme="minorHAnsi" w:hAnsiTheme="minorHAnsi"/>
          <w:sz w:val="20"/>
          <w:szCs w:val="20"/>
        </w:rPr>
        <w:t xml:space="preserve">Za svaki prozor, dio 1 Strateškog odgovora je dokument koji se podnosi za cijelo vrijeme trajanja Višegodišnjeg finansijskog okvira (2021-2027) i podliježe ažuriranju na godišnjoj osnovi, ako i kada se smatra potrebnim. Za svaki prozor, osim prozora 5 (koji prate specifična pravila za programiranje), dio 2 sadrži listu akcija planiranih tokom četiri programske godine, sa više detalja za prvu godinu. </w:t>
      </w:r>
      <w:r w:rsidRPr="00F563CD">
        <w:rPr>
          <w:rFonts w:asciiTheme="minorHAnsi" w:hAnsiTheme="minorHAnsi"/>
          <w:sz w:val="20"/>
          <w:szCs w:val="20"/>
          <w:lang w:val="fr-BE"/>
        </w:rPr>
        <w:t>Dio 2 je tekući dokument koji se revidira i ponovo podnosi svake godine.</w:t>
      </w:r>
    </w:p>
    <w:p w14:paraId="60C472B8" w14:textId="77777777" w:rsidR="00047EF8" w:rsidRPr="00F563CD" w:rsidRDefault="00864F83"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Procjena relevantnosti predloženih akcija u ovom Strateškom odgovoru će se izvršiti korišćenjem kriterijuma navedenih u </w:t>
      </w:r>
      <w:r w:rsidRPr="00F563CD">
        <w:rPr>
          <w:rFonts w:asciiTheme="minorHAnsi" w:hAnsiTheme="minorHAnsi"/>
          <w:i/>
          <w:sz w:val="20"/>
          <w:szCs w:val="20"/>
          <w:lang w:val="fr-BE"/>
        </w:rPr>
        <w:t>Kriterijumima procjene relevantnosti</w:t>
      </w:r>
      <w:r w:rsidRPr="00F563CD">
        <w:rPr>
          <w:rFonts w:asciiTheme="minorHAnsi" w:hAnsiTheme="minorHAnsi"/>
          <w:sz w:val="20"/>
          <w:szCs w:val="20"/>
          <w:lang w:val="fr-BE"/>
        </w:rPr>
        <w:t xml:space="preserve"> i uzimajući u obzir strateški okvir naveden u dijelu 1 svakog prozora. Samo akcije koje su dovoljno tehnički zrele smatraće se spremnim za usvajanje. Akcija će se smatrati dovoljno tehnički zrelom, kada većina pripremnih aktivnosti bude završena, u skladu s </w:t>
      </w:r>
      <w:r w:rsidRPr="00F563CD">
        <w:rPr>
          <w:rFonts w:asciiTheme="minorHAnsi" w:hAnsiTheme="minorHAnsi"/>
          <w:i/>
          <w:sz w:val="20"/>
          <w:szCs w:val="20"/>
          <w:lang w:val="fr-BE"/>
        </w:rPr>
        <w:t>Kriterijumima procjene zrelosti</w:t>
      </w:r>
      <w:r w:rsidRPr="00F563CD">
        <w:rPr>
          <w:rFonts w:asciiTheme="minorHAnsi" w:hAnsiTheme="minorHAnsi"/>
          <w:sz w:val="20"/>
          <w:szCs w:val="20"/>
          <w:lang w:val="fr-BE"/>
        </w:rPr>
        <w:t xml:space="preserve"> EK.</w:t>
      </w:r>
    </w:p>
    <w:p w14:paraId="6B71E36B" w14:textId="77777777" w:rsidR="00047EF8" w:rsidRPr="00F563CD" w:rsidRDefault="00864F83"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U skladu s posvećenošću procesu proširenja zasnovanom na zaslugama, konačni odabir akcija koje će se finansirati takođe će uzeti u obzir procjenu učinka korisnika IPA III u agendi proširenja, njihovu posvećenost i napredak u sprovođenju reformi, sa posebnom pažnjom na ključne oblasti političkih kriterijuma za pristupanje, sa fokusom na reforme u oblasti vladavine prava, uključujući funkcionisanje pravosuđa, borbu protiv korupcije, borbu protiv organizovanog kriminala, slobodu izražavanja i reformu javne uprave.</w:t>
      </w:r>
    </w:p>
    <w:p w14:paraId="0B2E7344" w14:textId="77777777" w:rsidR="00047EF8" w:rsidRPr="00F563CD" w:rsidRDefault="00864F83" w:rsidP="00047EF8">
      <w:pPr>
        <w:pStyle w:val="Heading2"/>
        <w:rPr>
          <w:rFonts w:asciiTheme="minorHAnsi" w:hAnsiTheme="minorHAnsi" w:cs="Arial"/>
          <w:smallCaps/>
          <w:color w:val="auto"/>
          <w:sz w:val="24"/>
          <w:szCs w:val="24"/>
          <w:lang w:val="fr-BE"/>
        </w:rPr>
      </w:pPr>
      <w:bookmarkStart w:id="1" w:name="_Toc91500234"/>
      <w:r w:rsidRPr="00F563CD">
        <w:rPr>
          <w:rFonts w:asciiTheme="minorHAnsi" w:hAnsiTheme="minorHAnsi" w:cs="Arial"/>
          <w:smallCaps/>
          <w:color w:val="auto"/>
          <w:sz w:val="24"/>
          <w:szCs w:val="24"/>
          <w:lang w:val="fr-BE"/>
        </w:rPr>
        <w:t>prioritizacija i redosljed prozora</w:t>
      </w:r>
      <w:bookmarkEnd w:id="1"/>
    </w:p>
    <w:p w14:paraId="1008A0B1" w14:textId="77777777" w:rsidR="00047EF8" w:rsidRPr="00F563CD" w:rsidRDefault="00864F83" w:rsidP="00047EF8">
      <w:pPr>
        <w:spacing w:line="240" w:lineRule="auto"/>
        <w:jc w:val="both"/>
        <w:rPr>
          <w:rFonts w:asciiTheme="minorHAnsi" w:hAnsiTheme="minorHAnsi"/>
          <w:iCs/>
          <w:sz w:val="20"/>
          <w:szCs w:val="20"/>
        </w:rPr>
      </w:pPr>
      <w:r w:rsidRPr="00F563CD">
        <w:rPr>
          <w:rFonts w:asciiTheme="minorHAnsi" w:hAnsiTheme="minorHAnsi"/>
          <w:iCs/>
          <w:sz w:val="20"/>
          <w:szCs w:val="20"/>
          <w:lang w:val="fr-BE"/>
        </w:rPr>
        <w:t xml:space="preserve">Na osnovu procjene relevantnosti koju je tokom druge polovine 2020. </w:t>
      </w:r>
      <w:proofErr w:type="gramStart"/>
      <w:r w:rsidRPr="00F563CD">
        <w:rPr>
          <w:rFonts w:asciiTheme="minorHAnsi" w:hAnsiTheme="minorHAnsi"/>
          <w:iCs/>
          <w:sz w:val="20"/>
          <w:szCs w:val="20"/>
          <w:lang w:val="fr-BE"/>
        </w:rPr>
        <w:t>godine</w:t>
      </w:r>
      <w:proofErr w:type="gramEnd"/>
      <w:r w:rsidRPr="00F563CD">
        <w:rPr>
          <w:rFonts w:asciiTheme="minorHAnsi" w:hAnsiTheme="minorHAnsi"/>
          <w:iCs/>
          <w:sz w:val="20"/>
          <w:szCs w:val="20"/>
          <w:lang w:val="fr-BE"/>
        </w:rPr>
        <w:t xml:space="preserve"> uradila Evropska komisija, fokus programa IPA 2021 i IPA 2022 biće razvoj infrastrukture i jačanje bezbjednosti i pravosuđa. </w:t>
      </w:r>
      <w:r w:rsidRPr="00F563CD">
        <w:rPr>
          <w:rFonts w:asciiTheme="minorHAnsi" w:hAnsiTheme="minorHAnsi"/>
          <w:iCs/>
          <w:sz w:val="20"/>
          <w:szCs w:val="20"/>
        </w:rPr>
        <w:t>Stoga će kroz ove programe biti podržani sljedeći tematski prioriteti:</w:t>
      </w:r>
    </w:p>
    <w:p w14:paraId="3609677D" w14:textId="77777777" w:rsidR="00047EF8" w:rsidRPr="00F563CD" w:rsidRDefault="00864F83" w:rsidP="00047EF8">
      <w:pPr>
        <w:pStyle w:val="ListParagraph"/>
        <w:numPr>
          <w:ilvl w:val="0"/>
          <w:numId w:val="73"/>
        </w:numPr>
        <w:spacing w:line="240" w:lineRule="auto"/>
        <w:jc w:val="both"/>
        <w:rPr>
          <w:rFonts w:asciiTheme="minorHAnsi" w:hAnsiTheme="minorHAnsi"/>
          <w:iCs/>
          <w:sz w:val="20"/>
          <w:szCs w:val="20"/>
        </w:rPr>
      </w:pPr>
      <w:r w:rsidRPr="00F563CD">
        <w:rPr>
          <w:rFonts w:asciiTheme="minorHAnsi" w:hAnsiTheme="minorHAnsi"/>
          <w:iCs/>
          <w:sz w:val="20"/>
          <w:szCs w:val="20"/>
        </w:rPr>
        <w:t>Životna sredina i klimatske promjene;</w:t>
      </w:r>
    </w:p>
    <w:p w14:paraId="21D4014D" w14:textId="77777777" w:rsidR="00047EF8" w:rsidRPr="00F563CD" w:rsidRDefault="00864F83" w:rsidP="00047EF8">
      <w:pPr>
        <w:pStyle w:val="ListParagraph"/>
        <w:numPr>
          <w:ilvl w:val="0"/>
          <w:numId w:val="73"/>
        </w:numPr>
        <w:spacing w:line="240" w:lineRule="auto"/>
        <w:jc w:val="both"/>
        <w:rPr>
          <w:rFonts w:asciiTheme="minorHAnsi" w:hAnsiTheme="minorHAnsi"/>
          <w:iCs/>
          <w:sz w:val="20"/>
          <w:szCs w:val="20"/>
        </w:rPr>
      </w:pPr>
      <w:r w:rsidRPr="00F563CD">
        <w:rPr>
          <w:rFonts w:asciiTheme="minorHAnsi" w:hAnsiTheme="minorHAnsi"/>
          <w:iCs/>
          <w:sz w:val="20"/>
          <w:szCs w:val="20"/>
        </w:rPr>
        <w:t>Administrativni kapaciteti i usklađenost sa pravnom tekovinom;</w:t>
      </w:r>
    </w:p>
    <w:p w14:paraId="5D42A71C" w14:textId="77777777" w:rsidR="00047EF8" w:rsidRPr="00F563CD" w:rsidRDefault="00864F83" w:rsidP="00047EF8">
      <w:pPr>
        <w:pStyle w:val="ListParagraph"/>
        <w:numPr>
          <w:ilvl w:val="0"/>
          <w:numId w:val="73"/>
        </w:numPr>
        <w:spacing w:line="240" w:lineRule="auto"/>
        <w:jc w:val="both"/>
        <w:rPr>
          <w:rFonts w:asciiTheme="minorHAnsi" w:hAnsiTheme="minorHAnsi"/>
          <w:iCs/>
          <w:sz w:val="20"/>
          <w:szCs w:val="20"/>
        </w:rPr>
      </w:pPr>
      <w:r w:rsidRPr="00F563CD">
        <w:rPr>
          <w:rFonts w:asciiTheme="minorHAnsi" w:hAnsiTheme="minorHAnsi"/>
          <w:iCs/>
          <w:sz w:val="20"/>
          <w:szCs w:val="20"/>
        </w:rPr>
        <w:t>Poljoprivredni i seoski razvoj;</w:t>
      </w:r>
    </w:p>
    <w:p w14:paraId="6111C997" w14:textId="77777777" w:rsidR="00047EF8" w:rsidRPr="00F563CD" w:rsidRDefault="00864F83" w:rsidP="00047EF8">
      <w:pPr>
        <w:pStyle w:val="ListParagraph"/>
        <w:numPr>
          <w:ilvl w:val="0"/>
          <w:numId w:val="73"/>
        </w:numPr>
        <w:spacing w:line="240" w:lineRule="auto"/>
        <w:jc w:val="both"/>
        <w:rPr>
          <w:rFonts w:asciiTheme="minorHAnsi" w:hAnsiTheme="minorHAnsi"/>
          <w:iCs/>
          <w:sz w:val="20"/>
          <w:szCs w:val="20"/>
        </w:rPr>
      </w:pPr>
      <w:r w:rsidRPr="00F563CD">
        <w:rPr>
          <w:rFonts w:asciiTheme="minorHAnsi" w:hAnsiTheme="minorHAnsi"/>
          <w:iCs/>
          <w:sz w:val="20"/>
          <w:szCs w:val="20"/>
        </w:rPr>
        <w:t>Ribarstvo;</w:t>
      </w:r>
    </w:p>
    <w:p w14:paraId="026F9FB1" w14:textId="77777777" w:rsidR="00047EF8" w:rsidRPr="00F563CD" w:rsidRDefault="00864F83" w:rsidP="00047EF8">
      <w:pPr>
        <w:pStyle w:val="ListParagraph"/>
        <w:numPr>
          <w:ilvl w:val="0"/>
          <w:numId w:val="73"/>
        </w:numPr>
        <w:spacing w:line="240" w:lineRule="auto"/>
        <w:jc w:val="both"/>
        <w:rPr>
          <w:rFonts w:asciiTheme="minorHAnsi" w:hAnsiTheme="minorHAnsi"/>
          <w:iCs/>
          <w:sz w:val="20"/>
          <w:szCs w:val="20"/>
        </w:rPr>
      </w:pPr>
      <w:r w:rsidRPr="00F563CD">
        <w:rPr>
          <w:rFonts w:asciiTheme="minorHAnsi" w:hAnsiTheme="minorHAnsi"/>
          <w:iCs/>
          <w:sz w:val="20"/>
          <w:szCs w:val="20"/>
        </w:rPr>
        <w:t>Saobraćaj, digitalna ekonomija i društvo, energetika;</w:t>
      </w:r>
    </w:p>
    <w:p w14:paraId="0F4E0A1E" w14:textId="77777777" w:rsidR="00047EF8" w:rsidRPr="00F563CD" w:rsidRDefault="00864F83" w:rsidP="00047EF8">
      <w:pPr>
        <w:pStyle w:val="ListParagraph"/>
        <w:numPr>
          <w:ilvl w:val="0"/>
          <w:numId w:val="73"/>
        </w:numPr>
        <w:spacing w:line="240" w:lineRule="auto"/>
        <w:jc w:val="both"/>
        <w:rPr>
          <w:rFonts w:asciiTheme="minorHAnsi" w:hAnsiTheme="minorHAnsi"/>
          <w:iCs/>
          <w:sz w:val="20"/>
          <w:szCs w:val="20"/>
        </w:rPr>
      </w:pPr>
      <w:r w:rsidRPr="00F563CD">
        <w:rPr>
          <w:rFonts w:asciiTheme="minorHAnsi" w:hAnsiTheme="minorHAnsi"/>
          <w:iCs/>
          <w:sz w:val="20"/>
          <w:szCs w:val="20"/>
        </w:rPr>
        <w:t>Dobro upravljanje;</w:t>
      </w:r>
    </w:p>
    <w:p w14:paraId="3FE6D8F3" w14:textId="77777777" w:rsidR="00047EF8" w:rsidRPr="00F563CD" w:rsidRDefault="00864F83" w:rsidP="00047EF8">
      <w:pPr>
        <w:pStyle w:val="ListParagraph"/>
        <w:numPr>
          <w:ilvl w:val="0"/>
          <w:numId w:val="73"/>
        </w:numPr>
        <w:spacing w:line="240" w:lineRule="auto"/>
        <w:jc w:val="both"/>
        <w:rPr>
          <w:rFonts w:asciiTheme="minorHAnsi" w:hAnsiTheme="minorHAnsi"/>
          <w:iCs/>
          <w:sz w:val="20"/>
          <w:szCs w:val="20"/>
        </w:rPr>
      </w:pPr>
      <w:r w:rsidRPr="00F563CD">
        <w:rPr>
          <w:rFonts w:asciiTheme="minorHAnsi" w:hAnsiTheme="minorHAnsi"/>
          <w:iCs/>
          <w:sz w:val="20"/>
          <w:szCs w:val="20"/>
        </w:rPr>
        <w:t>Migracije i upravljanje granicama;</w:t>
      </w:r>
    </w:p>
    <w:p w14:paraId="161DA7AA" w14:textId="77777777" w:rsidR="00047EF8" w:rsidRPr="00F563CD" w:rsidRDefault="00864F83" w:rsidP="00047EF8">
      <w:pPr>
        <w:pStyle w:val="ListParagraph"/>
        <w:numPr>
          <w:ilvl w:val="0"/>
          <w:numId w:val="73"/>
        </w:numPr>
        <w:spacing w:line="240" w:lineRule="auto"/>
        <w:jc w:val="both"/>
        <w:rPr>
          <w:rFonts w:asciiTheme="minorHAnsi" w:hAnsiTheme="minorHAnsi"/>
          <w:iCs/>
          <w:sz w:val="20"/>
          <w:szCs w:val="20"/>
        </w:rPr>
      </w:pPr>
      <w:r w:rsidRPr="00F563CD">
        <w:rPr>
          <w:rFonts w:asciiTheme="minorHAnsi" w:hAnsiTheme="minorHAnsi"/>
          <w:iCs/>
          <w:sz w:val="20"/>
          <w:szCs w:val="20"/>
        </w:rPr>
        <w:t>Pravosuđe.</w:t>
      </w:r>
    </w:p>
    <w:p w14:paraId="0AB5DFE1" w14:textId="77777777" w:rsidR="00047EF8" w:rsidRPr="00F563CD" w:rsidRDefault="00864F83" w:rsidP="00047EF8">
      <w:pPr>
        <w:spacing w:line="240" w:lineRule="auto"/>
        <w:jc w:val="both"/>
        <w:rPr>
          <w:rFonts w:asciiTheme="minorHAnsi" w:hAnsiTheme="minorHAnsi"/>
          <w:iCs/>
          <w:sz w:val="20"/>
          <w:szCs w:val="20"/>
        </w:rPr>
      </w:pPr>
      <w:r w:rsidRPr="00F563CD">
        <w:rPr>
          <w:rFonts w:asciiTheme="minorHAnsi" w:hAnsiTheme="minorHAnsi"/>
          <w:iCs/>
          <w:sz w:val="20"/>
          <w:szCs w:val="20"/>
        </w:rPr>
        <w:t>Što se tiče programa IPA 2023 i IPA 2024, prioritet će biti usmjeren na jačanje oblasti konkurentnosti, inovacija i obrazovanja. Stoga će kroz ove programe biti podržani sljedeći tematski prioriteti:</w:t>
      </w:r>
    </w:p>
    <w:p w14:paraId="7E5A7A46" w14:textId="77777777" w:rsidR="00047EF8" w:rsidRPr="00F563CD" w:rsidRDefault="00864F83" w:rsidP="00047EF8">
      <w:pPr>
        <w:pStyle w:val="ListParagraph"/>
        <w:numPr>
          <w:ilvl w:val="0"/>
          <w:numId w:val="74"/>
        </w:numPr>
        <w:spacing w:line="240" w:lineRule="auto"/>
        <w:jc w:val="both"/>
        <w:rPr>
          <w:rFonts w:asciiTheme="minorHAnsi" w:hAnsiTheme="minorHAnsi"/>
          <w:iCs/>
          <w:sz w:val="20"/>
          <w:szCs w:val="20"/>
        </w:rPr>
      </w:pPr>
      <w:r w:rsidRPr="00F563CD">
        <w:rPr>
          <w:rFonts w:asciiTheme="minorHAnsi" w:hAnsiTheme="minorHAnsi"/>
          <w:iCs/>
          <w:sz w:val="20"/>
          <w:szCs w:val="20"/>
        </w:rPr>
        <w:t>Osnovna prava;</w:t>
      </w:r>
    </w:p>
    <w:p w14:paraId="7011D0D4" w14:textId="77777777" w:rsidR="00047EF8" w:rsidRPr="00F563CD" w:rsidRDefault="00864F83" w:rsidP="00047EF8">
      <w:pPr>
        <w:pStyle w:val="ListParagraph"/>
        <w:numPr>
          <w:ilvl w:val="0"/>
          <w:numId w:val="74"/>
        </w:numPr>
        <w:spacing w:line="240" w:lineRule="auto"/>
        <w:jc w:val="both"/>
        <w:rPr>
          <w:rFonts w:asciiTheme="minorHAnsi" w:hAnsiTheme="minorHAnsi"/>
          <w:iCs/>
          <w:sz w:val="20"/>
          <w:szCs w:val="20"/>
        </w:rPr>
      </w:pPr>
      <w:r w:rsidRPr="00F563CD">
        <w:rPr>
          <w:rFonts w:asciiTheme="minorHAnsi" w:hAnsiTheme="minorHAnsi"/>
          <w:iCs/>
          <w:sz w:val="20"/>
          <w:szCs w:val="20"/>
        </w:rPr>
        <w:t>Dobro upravljanje;</w:t>
      </w:r>
    </w:p>
    <w:p w14:paraId="76854987" w14:textId="77777777" w:rsidR="00047EF8" w:rsidRPr="00F563CD" w:rsidRDefault="00864F83" w:rsidP="00047EF8">
      <w:pPr>
        <w:pStyle w:val="ListParagraph"/>
        <w:numPr>
          <w:ilvl w:val="0"/>
          <w:numId w:val="74"/>
        </w:numPr>
        <w:spacing w:line="240" w:lineRule="auto"/>
        <w:jc w:val="both"/>
        <w:rPr>
          <w:rFonts w:asciiTheme="minorHAnsi" w:hAnsiTheme="minorHAnsi"/>
          <w:iCs/>
          <w:sz w:val="20"/>
          <w:szCs w:val="20"/>
        </w:rPr>
      </w:pPr>
      <w:r w:rsidRPr="00F563CD">
        <w:rPr>
          <w:rFonts w:asciiTheme="minorHAnsi" w:hAnsiTheme="minorHAnsi"/>
          <w:iCs/>
          <w:sz w:val="20"/>
          <w:szCs w:val="20"/>
        </w:rPr>
        <w:t>Administrativni kapaciteti i usklađenost sa pravnom tekovinom;</w:t>
      </w:r>
    </w:p>
    <w:p w14:paraId="7262AB43" w14:textId="77777777" w:rsidR="00047EF8" w:rsidRPr="00F563CD" w:rsidRDefault="00864F83" w:rsidP="00047EF8">
      <w:pPr>
        <w:pStyle w:val="ListParagraph"/>
        <w:numPr>
          <w:ilvl w:val="0"/>
          <w:numId w:val="74"/>
        </w:numPr>
        <w:spacing w:line="240" w:lineRule="auto"/>
        <w:jc w:val="both"/>
        <w:rPr>
          <w:rFonts w:asciiTheme="minorHAnsi" w:hAnsiTheme="minorHAnsi"/>
          <w:iCs/>
          <w:sz w:val="20"/>
          <w:szCs w:val="20"/>
        </w:rPr>
      </w:pPr>
      <w:r w:rsidRPr="00F563CD">
        <w:rPr>
          <w:rFonts w:asciiTheme="minorHAnsi" w:hAnsiTheme="minorHAnsi"/>
          <w:iCs/>
          <w:sz w:val="20"/>
          <w:szCs w:val="20"/>
        </w:rPr>
        <w:t>Životna sredina i klimatske promjene;</w:t>
      </w:r>
    </w:p>
    <w:p w14:paraId="4E5126D8" w14:textId="77777777" w:rsidR="00047EF8" w:rsidRPr="00F563CD" w:rsidRDefault="00864F83" w:rsidP="00047EF8">
      <w:pPr>
        <w:pStyle w:val="ListParagraph"/>
        <w:numPr>
          <w:ilvl w:val="0"/>
          <w:numId w:val="74"/>
        </w:numPr>
        <w:spacing w:line="240" w:lineRule="auto"/>
        <w:jc w:val="both"/>
        <w:rPr>
          <w:rFonts w:asciiTheme="minorHAnsi" w:hAnsiTheme="minorHAnsi"/>
          <w:iCs/>
          <w:sz w:val="20"/>
          <w:szCs w:val="20"/>
        </w:rPr>
      </w:pPr>
      <w:r w:rsidRPr="00F563CD">
        <w:rPr>
          <w:rFonts w:asciiTheme="minorHAnsi" w:hAnsiTheme="minorHAnsi"/>
          <w:iCs/>
          <w:sz w:val="20"/>
          <w:szCs w:val="20"/>
        </w:rPr>
        <w:t>Obrazovanje, zapošljavanje, socijalna inkluzija i zdravstvo;</w:t>
      </w:r>
    </w:p>
    <w:p w14:paraId="1A4C0FE7" w14:textId="77777777" w:rsidR="00047EF8" w:rsidRPr="00F563CD" w:rsidRDefault="00864F83" w:rsidP="00047EF8">
      <w:pPr>
        <w:pStyle w:val="ListParagraph"/>
        <w:numPr>
          <w:ilvl w:val="0"/>
          <w:numId w:val="74"/>
        </w:numPr>
        <w:spacing w:line="240" w:lineRule="auto"/>
        <w:jc w:val="both"/>
        <w:rPr>
          <w:rFonts w:asciiTheme="minorHAnsi" w:hAnsiTheme="minorHAnsi"/>
          <w:iCs/>
          <w:sz w:val="20"/>
          <w:szCs w:val="20"/>
        </w:rPr>
      </w:pPr>
      <w:r w:rsidRPr="00F563CD">
        <w:rPr>
          <w:rFonts w:asciiTheme="minorHAnsi" w:hAnsiTheme="minorHAnsi"/>
          <w:iCs/>
          <w:sz w:val="20"/>
          <w:szCs w:val="20"/>
        </w:rPr>
        <w:t>Razvoj privatnog sektora.</w:t>
      </w:r>
    </w:p>
    <w:p w14:paraId="730AC5D1" w14:textId="77777777" w:rsidR="00047EF8" w:rsidRPr="00F563CD" w:rsidRDefault="00864F83" w:rsidP="00047EF8">
      <w:pPr>
        <w:spacing w:line="240" w:lineRule="auto"/>
        <w:jc w:val="both"/>
        <w:rPr>
          <w:rFonts w:asciiTheme="minorHAnsi" w:hAnsiTheme="minorHAnsi"/>
          <w:iCs/>
          <w:sz w:val="20"/>
          <w:szCs w:val="20"/>
        </w:rPr>
      </w:pPr>
      <w:r w:rsidRPr="00F563CD">
        <w:rPr>
          <w:rFonts w:asciiTheme="minorHAnsi" w:hAnsiTheme="minorHAnsi"/>
          <w:iCs/>
          <w:sz w:val="20"/>
          <w:szCs w:val="20"/>
        </w:rPr>
        <w:t>Jačanje administrativnih kapaciteta i usklađivanje sa pravnom tekovinom, posebno kroz podršku koja se obezbjeđuje kroz Instrument za evropsku integraciju, ostaće prioritet tokom čitavog programskog perioda, s obzirom na činjenicu da je ovaj tematski prioritet od ukupnog značaja za jačanje kapaciteta Crne Gore u pregovaračkom procesu. Pored toga, podrška Pregovaračkom poglavlju 22 – Regionalna politika i koordinacija strukturnih instrumenata i razvoj kapaciteta za uspješno korišćenje strukturnih fondova EU ostaje jedan od ključnih prioriteta u narednom periodu.</w:t>
      </w:r>
    </w:p>
    <w:p w14:paraId="7F53C5E7" w14:textId="77777777" w:rsidR="00047EF8" w:rsidRPr="00F563CD" w:rsidRDefault="00047EF8" w:rsidP="00047EF8">
      <w:pPr>
        <w:spacing w:line="240" w:lineRule="auto"/>
        <w:jc w:val="both"/>
        <w:rPr>
          <w:rFonts w:asciiTheme="minorHAnsi" w:hAnsiTheme="minorHAnsi"/>
          <w:iCs/>
          <w:sz w:val="20"/>
          <w:szCs w:val="20"/>
        </w:rPr>
      </w:pPr>
    </w:p>
    <w:p w14:paraId="4BDC2D2C" w14:textId="77777777" w:rsidR="00047EF8" w:rsidRPr="00F563CD" w:rsidRDefault="00864F83" w:rsidP="00047EF8">
      <w:pPr>
        <w:spacing w:line="240" w:lineRule="auto"/>
        <w:jc w:val="both"/>
        <w:rPr>
          <w:rFonts w:asciiTheme="minorHAnsi" w:hAnsiTheme="minorHAnsi"/>
          <w:iCs/>
          <w:sz w:val="20"/>
          <w:szCs w:val="20"/>
        </w:rPr>
      </w:pPr>
      <w:r w:rsidRPr="00F563CD">
        <w:rPr>
          <w:rFonts w:asciiTheme="minorHAnsi" w:hAnsiTheme="minorHAnsi"/>
          <w:iCs/>
          <w:sz w:val="20"/>
          <w:szCs w:val="20"/>
        </w:rPr>
        <w:lastRenderedPageBreak/>
        <w:t>Prioriteti za programski period 2025-2027, biće odlučeni u kasnijoj fazi, na osnovu relevantnih nacionalnih i sektorskih potreba.</w:t>
      </w:r>
    </w:p>
    <w:p w14:paraId="58BDCD5F" w14:textId="77777777" w:rsidR="00047EF8" w:rsidRPr="00F563CD" w:rsidRDefault="00864F83" w:rsidP="00047EF8">
      <w:pPr>
        <w:pStyle w:val="Heading2"/>
        <w:rPr>
          <w:rFonts w:asciiTheme="minorHAnsi" w:hAnsiTheme="minorHAnsi" w:cs="Arial"/>
          <w:smallCaps/>
          <w:color w:val="auto"/>
          <w:sz w:val="24"/>
          <w:szCs w:val="24"/>
        </w:rPr>
      </w:pPr>
      <w:bookmarkStart w:id="2" w:name="_Toc91500235"/>
      <w:r w:rsidRPr="00F563CD">
        <w:rPr>
          <w:rFonts w:asciiTheme="minorHAnsi" w:hAnsiTheme="minorHAnsi" w:cs="Arial"/>
          <w:smallCaps/>
          <w:color w:val="auto"/>
          <w:sz w:val="24"/>
          <w:szCs w:val="24"/>
        </w:rPr>
        <w:t>Analiza strateškog okvira</w:t>
      </w:r>
      <w:bookmarkEnd w:id="2"/>
    </w:p>
    <w:p w14:paraId="047C8DEE" w14:textId="77777777" w:rsidR="00047EF8" w:rsidRPr="00F563CD" w:rsidRDefault="00864F83" w:rsidP="00047EF8">
      <w:pPr>
        <w:pStyle w:val="paragraph"/>
        <w:spacing w:before="0" w:beforeAutospacing="0" w:after="0" w:afterAutospacing="0"/>
        <w:jc w:val="both"/>
        <w:textAlignment w:val="baseline"/>
        <w:rPr>
          <w:rStyle w:val="normaltextrun"/>
          <w:rFonts w:asciiTheme="minorHAnsi" w:hAnsiTheme="minorHAnsi" w:cs="Calibri"/>
          <w:sz w:val="20"/>
          <w:szCs w:val="20"/>
        </w:rPr>
      </w:pPr>
      <w:r w:rsidRPr="00F563CD">
        <w:rPr>
          <w:rStyle w:val="normaltextrun"/>
          <w:rFonts w:asciiTheme="minorHAnsi" w:hAnsiTheme="minorHAnsi" w:cs="Calibri"/>
          <w:sz w:val="20"/>
          <w:szCs w:val="20"/>
        </w:rPr>
        <w:t>U sklopu priprema za pristupne pregovore, Vlada Crne Gore se posvetila procesu izrade novih strategija ili ažuriranja postojećih u cilju boljeg fokusiranja i redosljeda reformskih napora zemlje u narednom periodu. Ovo je takođe bio zahtjev koji proizilazi iz početnih mjerila pregovaračkih poglavlja.</w:t>
      </w:r>
    </w:p>
    <w:p w14:paraId="395DA3D3" w14:textId="77777777" w:rsidR="00047EF8" w:rsidRPr="00F563CD" w:rsidRDefault="00047EF8" w:rsidP="00047EF8">
      <w:pPr>
        <w:pStyle w:val="paragraph"/>
        <w:spacing w:before="0" w:beforeAutospacing="0" w:after="0" w:afterAutospacing="0"/>
        <w:jc w:val="both"/>
        <w:textAlignment w:val="baseline"/>
        <w:rPr>
          <w:rStyle w:val="normaltextrun"/>
          <w:rFonts w:asciiTheme="minorHAnsi" w:hAnsiTheme="minorHAnsi" w:cs="Calibri"/>
          <w:sz w:val="20"/>
          <w:szCs w:val="20"/>
        </w:rPr>
      </w:pPr>
    </w:p>
    <w:p w14:paraId="5862B09D" w14:textId="77777777" w:rsidR="00047EF8" w:rsidRPr="00F563CD" w:rsidRDefault="00864F83" w:rsidP="00047EF8">
      <w:pPr>
        <w:pStyle w:val="paragraph"/>
        <w:spacing w:before="0" w:beforeAutospacing="0" w:after="0" w:afterAutospacing="0"/>
        <w:jc w:val="both"/>
        <w:textAlignment w:val="baseline"/>
        <w:rPr>
          <w:rStyle w:val="normaltextrun"/>
          <w:rFonts w:asciiTheme="minorHAnsi" w:hAnsiTheme="minorHAnsi" w:cs="Calibri"/>
          <w:sz w:val="20"/>
          <w:szCs w:val="20"/>
        </w:rPr>
      </w:pPr>
      <w:r w:rsidRPr="00F563CD">
        <w:rPr>
          <w:rStyle w:val="normaltextrun"/>
          <w:rFonts w:asciiTheme="minorHAnsi" w:hAnsiTheme="minorHAnsi" w:cs="Calibri"/>
          <w:sz w:val="20"/>
          <w:szCs w:val="20"/>
        </w:rPr>
        <w:t>Sistem strateškog planiranja u Crnoj Gori zasniva se na Uredbi o načinu i postupku izrade, usaglašavanja i praćenja sprovođenja strateških dokumenata, kojom se utvrđuju minimalni kriterijumi kvaliteta za sve strateške dokumente koje donosi Vlada Crne Gore. Uspostavljanje funkcionalnog sistema strateškog planiranja ima za cilj uspostavljanje jasnijih horizontalnih i vertikalnih odnosa između postojećih strateških dokumenata, u cilju poboljšanja njihovog kvaliteta, ali i efikasnije sprovođenje strateških dokumenata, unapređenje međuresorne saradnje i uspostavljanje održivog mehanizma za praćenje njihovog sprovođenja. Uredbom se uređuje postupak izrade strategija i programa kojima se predlažu unutrašnje i spoljne politike u datoj oblasti koje donosi Vlada Crne Gore. Takođe, utvrđuje aktivnosti za sprovođenje strateških dokumenata, procedure za provjeru njihove međusobne usklađenosti i usklađenosti sa planskim i strateškim dokumentima kojima se utvrđuju opšti pravci razvoja Crne Gore, kao i sa finansijskim strateškim dokumentima. Uredbom su definisani modaliteti praćenja sprovođenja strateških dokumenata i druga pitanja vezana za njihovu izradu i sprovođenje. Uredbu prati i dalje razrađuje Metodologija za izradu i praćenje sprovođenja strateških dokumenata, koju sprovodi Generalni sekretarijat Vlade – Odjeljenje za koordinaciju, praćenje usklađenosti i praćenje sprovođenja strategija. Metodologija daje praktične smjernice za izradu i praćenje sprovođenja strateških dokumenata, u cilju poboljšanja njihovog kvaliteta.</w:t>
      </w:r>
    </w:p>
    <w:p w14:paraId="5D1E6481" w14:textId="77777777" w:rsidR="00047EF8" w:rsidRPr="00F563CD" w:rsidRDefault="00047EF8" w:rsidP="00047EF8">
      <w:pPr>
        <w:pStyle w:val="paragraph"/>
        <w:spacing w:before="0" w:beforeAutospacing="0" w:after="0" w:afterAutospacing="0"/>
        <w:jc w:val="both"/>
        <w:textAlignment w:val="baseline"/>
        <w:rPr>
          <w:rFonts w:asciiTheme="minorHAnsi" w:hAnsiTheme="minorHAnsi" w:cs="Segoe UI"/>
          <w:sz w:val="18"/>
          <w:szCs w:val="18"/>
        </w:rPr>
      </w:pPr>
    </w:p>
    <w:p w14:paraId="72029129" w14:textId="77777777" w:rsidR="00047EF8" w:rsidRPr="00F563CD" w:rsidRDefault="00864F83" w:rsidP="00047EF8">
      <w:pPr>
        <w:pStyle w:val="paragraph"/>
        <w:spacing w:before="0" w:beforeAutospacing="0" w:after="0" w:afterAutospacing="0"/>
        <w:jc w:val="both"/>
        <w:textAlignment w:val="baseline"/>
        <w:rPr>
          <w:rFonts w:asciiTheme="minorHAnsi" w:hAnsiTheme="minorHAnsi" w:cs="Segoe UI"/>
          <w:sz w:val="18"/>
          <w:szCs w:val="18"/>
          <w:lang w:val="fr-BE"/>
        </w:rPr>
      </w:pPr>
      <w:r w:rsidRPr="00F563CD">
        <w:rPr>
          <w:rStyle w:val="normaltextrun"/>
          <w:rFonts w:asciiTheme="minorHAnsi" w:hAnsiTheme="minorHAnsi" w:cs="Calibri"/>
          <w:sz w:val="20"/>
          <w:szCs w:val="20"/>
          <w:lang w:val="fr-BE"/>
        </w:rPr>
        <w:t xml:space="preserve">Sveobuhvatne strategije Crne Gore su </w:t>
      </w:r>
      <w:proofErr w:type="gramStart"/>
      <w:r w:rsidRPr="00F563CD">
        <w:rPr>
          <w:rStyle w:val="normaltextrun"/>
          <w:rFonts w:asciiTheme="minorHAnsi" w:hAnsiTheme="minorHAnsi" w:cs="Calibri"/>
          <w:sz w:val="20"/>
          <w:szCs w:val="20"/>
          <w:lang w:val="fr-BE"/>
        </w:rPr>
        <w:t>sljedeće:</w:t>
      </w:r>
      <w:proofErr w:type="gramEnd"/>
      <w:r w:rsidRPr="00F563CD">
        <w:rPr>
          <w:rStyle w:val="normaltextrun"/>
          <w:rFonts w:asciiTheme="minorHAnsi" w:hAnsiTheme="minorHAnsi" w:cs="Calibri"/>
          <w:sz w:val="20"/>
          <w:szCs w:val="20"/>
          <w:lang w:val="fr-BE"/>
        </w:rPr>
        <w:t> </w:t>
      </w:r>
      <w:r w:rsidRPr="00F563CD">
        <w:rPr>
          <w:rStyle w:val="eop"/>
          <w:rFonts w:asciiTheme="minorHAnsi" w:hAnsiTheme="minorHAnsi" w:cs="Calibri"/>
          <w:sz w:val="20"/>
          <w:szCs w:val="20"/>
          <w:lang w:val="fr-BE"/>
        </w:rPr>
        <w:t> </w:t>
      </w:r>
    </w:p>
    <w:p w14:paraId="6787CC1A" w14:textId="77777777" w:rsidR="00047EF8" w:rsidRPr="00F563CD" w:rsidRDefault="00864F83" w:rsidP="00047EF8">
      <w:pPr>
        <w:pStyle w:val="paragraph"/>
        <w:numPr>
          <w:ilvl w:val="0"/>
          <w:numId w:val="72"/>
        </w:numPr>
        <w:spacing w:before="0" w:beforeAutospacing="0" w:after="0" w:afterAutospacing="0"/>
        <w:jc w:val="both"/>
        <w:textAlignment w:val="baseline"/>
        <w:rPr>
          <w:rStyle w:val="normaltextrun"/>
          <w:rFonts w:asciiTheme="minorHAnsi" w:hAnsiTheme="minorHAnsi" w:cs="Calibri"/>
          <w:sz w:val="20"/>
          <w:szCs w:val="20"/>
        </w:rPr>
      </w:pPr>
      <w:r w:rsidRPr="00F563CD">
        <w:rPr>
          <w:rStyle w:val="normaltextrun"/>
          <w:rFonts w:asciiTheme="minorHAnsi" w:hAnsiTheme="minorHAnsi" w:cs="Calibri"/>
          <w:b/>
          <w:sz w:val="20"/>
          <w:szCs w:val="20"/>
          <w:lang w:val="fr-BE"/>
        </w:rPr>
        <w:t>Pravci razvoja Crne Gore</w:t>
      </w:r>
      <w:r w:rsidRPr="00F563CD">
        <w:rPr>
          <w:rStyle w:val="normaltextrun"/>
          <w:rFonts w:asciiTheme="minorHAnsi" w:hAnsiTheme="minorHAnsi" w:cs="Calibri"/>
          <w:sz w:val="20"/>
          <w:szCs w:val="20"/>
          <w:lang w:val="fr-BE"/>
        </w:rPr>
        <w:t xml:space="preserve"> (2018-2021) je sveobuhvatni razvojni program Vlade Crne Gore. Strateški cilj je usmjeren na povećanje kvaliteta života građana, a njegovi specifični ciljevi usmjereni su na četiri prioritetna razvojna </w:t>
      </w:r>
      <w:proofErr w:type="gramStart"/>
      <w:r w:rsidRPr="00F563CD">
        <w:rPr>
          <w:rStyle w:val="normaltextrun"/>
          <w:rFonts w:asciiTheme="minorHAnsi" w:hAnsiTheme="minorHAnsi" w:cs="Calibri"/>
          <w:sz w:val="20"/>
          <w:szCs w:val="20"/>
          <w:lang w:val="fr-BE"/>
        </w:rPr>
        <w:t>sektora:</w:t>
      </w:r>
      <w:proofErr w:type="gramEnd"/>
      <w:r w:rsidRPr="00F563CD">
        <w:rPr>
          <w:rStyle w:val="normaltextrun"/>
          <w:rFonts w:asciiTheme="minorHAnsi" w:hAnsiTheme="minorHAnsi" w:cs="Calibri"/>
          <w:sz w:val="20"/>
          <w:szCs w:val="20"/>
          <w:lang w:val="fr-BE"/>
        </w:rPr>
        <w:t xml:space="preserve"> (1) turizam, (2) energetiku, (3) poljoprivredu i seoski razvoj i (4) proizvodnju. </w:t>
      </w:r>
      <w:r w:rsidRPr="00F563CD">
        <w:rPr>
          <w:rStyle w:val="normaltextrun"/>
          <w:rFonts w:asciiTheme="minorHAnsi" w:hAnsiTheme="minorHAnsi" w:cs="Calibri"/>
          <w:sz w:val="20"/>
          <w:szCs w:val="20"/>
        </w:rPr>
        <w:t>Očekuje se da će novi dokument biti usvojen do kraja 2021. za period 2022-2025;</w:t>
      </w:r>
    </w:p>
    <w:p w14:paraId="5FADE52C" w14:textId="77777777" w:rsidR="00047EF8" w:rsidRPr="00F563CD" w:rsidRDefault="00864F83" w:rsidP="00047EF8">
      <w:pPr>
        <w:pStyle w:val="paragraph"/>
        <w:numPr>
          <w:ilvl w:val="0"/>
          <w:numId w:val="72"/>
        </w:numPr>
        <w:spacing w:before="0" w:beforeAutospacing="0" w:after="0" w:afterAutospacing="0"/>
        <w:jc w:val="both"/>
        <w:textAlignment w:val="baseline"/>
        <w:rPr>
          <w:rStyle w:val="normaltextrun"/>
          <w:rFonts w:asciiTheme="minorHAnsi" w:hAnsiTheme="minorHAnsi" w:cs="Calibri"/>
          <w:sz w:val="20"/>
          <w:szCs w:val="20"/>
        </w:rPr>
      </w:pPr>
      <w:r w:rsidRPr="00F563CD">
        <w:rPr>
          <w:rStyle w:val="normaltextrun"/>
          <w:rFonts w:asciiTheme="minorHAnsi" w:hAnsiTheme="minorHAnsi" w:cs="Calibri"/>
          <w:b/>
          <w:sz w:val="20"/>
          <w:szCs w:val="20"/>
        </w:rPr>
        <w:t>Program ekonomskih reformi</w:t>
      </w:r>
      <w:r w:rsidRPr="00F563CD">
        <w:rPr>
          <w:rStyle w:val="normaltextrun"/>
          <w:rFonts w:asciiTheme="minorHAnsi" w:hAnsiTheme="minorHAnsi" w:cs="Calibri"/>
          <w:sz w:val="20"/>
          <w:szCs w:val="20"/>
        </w:rPr>
        <w:t>, koji je pripremila posebna međuresorna koordinaciona struktura kojom upravlja Kabinet predsjednika Vlade, zajedno sa političkim smjernicama koje su zajednički usvojile EU, Zapadni Balkan i Turska, predstavlja glavni instrument za dijalog ekonomske politike sa Crnom Gorom. Mjere i smjernice politike obuhvataju devet oblasti, uključujući: upravljanje javnim finansijama, reformu tržišta energije i transporta; istraživanje, razvoj i inovacije i digitalna ekonomija; trgovinska reforma; obrazovanje i vještine; zapošljavanje i tržišta rada; i socijalno uključivanje, smanjenje siromaštva i jednake mogućnosti. Najnoviji PER, koji je trenutno u pripremi i pokriva period 2021-2023, postavlja srednjoročni okvir makroekonomske i fiskalne politike, sa povećanim fokusom na procjenu eksterne održivosti i glavnih strukturnih prepreka rastu, kao i konkretne reformske mjere za direktnu podršku okviru politika. PER će se fokusirati na oporavak nakon COVID-19, uz integraciju srednjoročnih reformi koje čine ovaj oporavak održivim i jačaju ekonomsku otpornost u skladu sa strateškim prioritetima EU;</w:t>
      </w:r>
    </w:p>
    <w:p w14:paraId="2D3DC01F" w14:textId="77777777" w:rsidR="00047EF8" w:rsidRPr="00F563CD" w:rsidRDefault="00864F83" w:rsidP="00047EF8">
      <w:pPr>
        <w:pStyle w:val="paragraph"/>
        <w:numPr>
          <w:ilvl w:val="0"/>
          <w:numId w:val="72"/>
        </w:numPr>
        <w:spacing w:before="0" w:beforeAutospacing="0" w:after="0" w:afterAutospacing="0"/>
        <w:jc w:val="both"/>
        <w:textAlignment w:val="baseline"/>
        <w:rPr>
          <w:rStyle w:val="normaltextrun"/>
          <w:rFonts w:asciiTheme="minorHAnsi" w:hAnsiTheme="minorHAnsi" w:cs="Calibri"/>
          <w:sz w:val="20"/>
          <w:szCs w:val="20"/>
        </w:rPr>
      </w:pPr>
      <w:r w:rsidRPr="00F563CD">
        <w:rPr>
          <w:rStyle w:val="normaltextrun"/>
          <w:rFonts w:asciiTheme="minorHAnsi" w:hAnsiTheme="minorHAnsi" w:cs="Calibri"/>
          <w:b/>
          <w:sz w:val="20"/>
          <w:szCs w:val="20"/>
        </w:rPr>
        <w:t>Programom pristupanja Crne Gore</w:t>
      </w:r>
      <w:r w:rsidRPr="00F563CD">
        <w:rPr>
          <w:rStyle w:val="normaltextrun"/>
          <w:rFonts w:asciiTheme="minorHAnsi" w:hAnsiTheme="minorHAnsi" w:cs="Calibri"/>
          <w:sz w:val="20"/>
          <w:szCs w:val="20"/>
        </w:rPr>
        <w:t xml:space="preserve"> (PPCG 2021-2023) planirano je zakonodavno usklađivanje i administrativni kapaciteti potrebni da bi Crna Gora mogla da preuzme obaveze iz članstva;</w:t>
      </w:r>
    </w:p>
    <w:p w14:paraId="350037C2" w14:textId="77777777" w:rsidR="00047EF8" w:rsidRPr="00F563CD" w:rsidRDefault="00864F83" w:rsidP="00047EF8">
      <w:pPr>
        <w:pStyle w:val="paragraph"/>
        <w:numPr>
          <w:ilvl w:val="0"/>
          <w:numId w:val="72"/>
        </w:numPr>
        <w:spacing w:before="0" w:beforeAutospacing="0" w:after="0" w:afterAutospacing="0"/>
        <w:jc w:val="both"/>
        <w:textAlignment w:val="baseline"/>
        <w:rPr>
          <w:rStyle w:val="normaltextrun"/>
          <w:rFonts w:asciiTheme="minorHAnsi" w:hAnsiTheme="minorHAnsi" w:cs="Calibri"/>
          <w:sz w:val="20"/>
          <w:szCs w:val="20"/>
        </w:rPr>
      </w:pPr>
      <w:r w:rsidRPr="00F563CD">
        <w:rPr>
          <w:rStyle w:val="normaltextrun"/>
          <w:rFonts w:asciiTheme="minorHAnsi" w:hAnsiTheme="minorHAnsi" w:cs="Calibri"/>
          <w:sz w:val="20"/>
          <w:szCs w:val="20"/>
        </w:rPr>
        <w:t xml:space="preserve">Crna Gora je 2016. godine </w:t>
      </w:r>
      <w:r w:rsidRPr="00F563CD">
        <w:rPr>
          <w:rStyle w:val="normaltextrun"/>
          <w:rFonts w:asciiTheme="minorHAnsi" w:hAnsiTheme="minorHAnsi" w:cs="Calibri"/>
          <w:b/>
          <w:sz w:val="20"/>
          <w:szCs w:val="20"/>
        </w:rPr>
        <w:t>usvojila Nacionalnu strategiju održivog razvoja do 2030. godine (NSOR)</w:t>
      </w:r>
      <w:r w:rsidRPr="00F563CD">
        <w:rPr>
          <w:rStyle w:val="normaltextrun"/>
          <w:rFonts w:asciiTheme="minorHAnsi" w:hAnsiTheme="minorHAnsi" w:cs="Calibri"/>
          <w:sz w:val="20"/>
          <w:szCs w:val="20"/>
        </w:rPr>
        <w:t xml:space="preserve"> koja predstavlja dugoročnu strategiju razvoja kojom se postavljaju rješenja za održivo upravljanje četiri grupe nacionalnih resursa: ljudskim, društvenim, prirodnim i ekonomskim, koji su postavljeni kao prioriteti ukupnog održivog razvoja crnogorskog društva. U smislu objektivnog i integrisanog razmatranja održivosti nacionalnog razvoja, Crna Gora je bila jedna od prvih zemalja koja je u potpunosti prihvatila i integrisala u svoj sistem zahtjeve Ujedinjenih nacija iznesene u Agendi za održivi razvoj do 2030. godine. Ona predstavlja strateški okvir za prenošenje Strateških razvojnih ciljeva i njihovih indikatora u nacionalni kontekst.</w:t>
      </w:r>
    </w:p>
    <w:p w14:paraId="6467E6CA" w14:textId="77777777" w:rsidR="00047EF8" w:rsidRPr="00F563CD" w:rsidRDefault="00047EF8" w:rsidP="00047EF8">
      <w:pPr>
        <w:pStyle w:val="paragraph"/>
        <w:spacing w:before="0" w:beforeAutospacing="0" w:after="0" w:afterAutospacing="0"/>
        <w:jc w:val="both"/>
        <w:textAlignment w:val="baseline"/>
        <w:rPr>
          <w:rStyle w:val="normaltextrun"/>
          <w:rFonts w:asciiTheme="minorHAnsi" w:hAnsiTheme="minorHAnsi" w:cs="Calibri"/>
          <w:sz w:val="20"/>
          <w:szCs w:val="20"/>
        </w:rPr>
      </w:pPr>
    </w:p>
    <w:p w14:paraId="010DC102" w14:textId="77777777" w:rsidR="00047EF8" w:rsidRPr="00F563CD" w:rsidRDefault="00864F83" w:rsidP="00047EF8">
      <w:pPr>
        <w:pStyle w:val="paragraph"/>
        <w:spacing w:before="0" w:beforeAutospacing="0" w:after="0" w:afterAutospacing="0"/>
        <w:jc w:val="both"/>
        <w:textAlignment w:val="baseline"/>
        <w:rPr>
          <w:rStyle w:val="normaltextrun"/>
          <w:rFonts w:asciiTheme="minorHAnsi" w:hAnsiTheme="minorHAnsi" w:cs="Calibri"/>
          <w:sz w:val="20"/>
          <w:szCs w:val="20"/>
        </w:rPr>
      </w:pPr>
      <w:r w:rsidRPr="00F563CD">
        <w:rPr>
          <w:rStyle w:val="normaltextrun"/>
          <w:rFonts w:asciiTheme="minorHAnsi" w:hAnsiTheme="minorHAnsi" w:cs="Calibri"/>
          <w:sz w:val="20"/>
          <w:szCs w:val="20"/>
        </w:rPr>
        <w:t>Pored ovih sveobuhvatnih strateških dokumenata, i druge sektorske i međusektorske strategije i akcioni planovi doprinose strateškim ciljevima Vlade definisanjem više specifičnih reformi i razvojnih ciljeva. Detaljan pregled postojećih strategija u relevantnim sektorima dat je u Prilogu 1 ovog dokumenta.</w:t>
      </w:r>
    </w:p>
    <w:p w14:paraId="07B2133E" w14:textId="77777777" w:rsidR="00047EF8" w:rsidRPr="00F563CD" w:rsidRDefault="00047EF8" w:rsidP="00047EF8">
      <w:pPr>
        <w:pStyle w:val="paragraph"/>
        <w:spacing w:before="0" w:beforeAutospacing="0" w:after="0" w:afterAutospacing="0"/>
        <w:jc w:val="both"/>
        <w:textAlignment w:val="baseline"/>
        <w:rPr>
          <w:rStyle w:val="normaltextrun"/>
          <w:rFonts w:asciiTheme="minorHAnsi" w:hAnsiTheme="minorHAnsi" w:cs="Calibri"/>
          <w:sz w:val="20"/>
          <w:szCs w:val="20"/>
        </w:rPr>
      </w:pPr>
    </w:p>
    <w:p w14:paraId="5598D6C3" w14:textId="77777777" w:rsidR="00047EF8" w:rsidRPr="00F563CD" w:rsidRDefault="00864F83" w:rsidP="00047EF8">
      <w:pPr>
        <w:pStyle w:val="paragraph"/>
        <w:spacing w:before="0" w:beforeAutospacing="0" w:after="0" w:afterAutospacing="0"/>
        <w:jc w:val="both"/>
        <w:textAlignment w:val="baseline"/>
        <w:rPr>
          <w:rStyle w:val="normaltextrun"/>
          <w:rFonts w:asciiTheme="minorHAnsi" w:hAnsiTheme="minorHAnsi" w:cs="Calibri"/>
          <w:sz w:val="20"/>
          <w:szCs w:val="20"/>
        </w:rPr>
      </w:pPr>
      <w:r w:rsidRPr="00F563CD">
        <w:rPr>
          <w:rStyle w:val="normaltextrun"/>
          <w:rFonts w:asciiTheme="minorHAnsi" w:hAnsiTheme="minorHAnsi" w:cs="Calibri"/>
          <w:sz w:val="20"/>
          <w:szCs w:val="20"/>
        </w:rPr>
        <w:t xml:space="preserve">Crna Gora učestvuje u </w:t>
      </w:r>
      <w:r w:rsidRPr="00F563CD">
        <w:rPr>
          <w:rStyle w:val="normaltextrun"/>
          <w:rFonts w:asciiTheme="minorHAnsi" w:hAnsiTheme="minorHAnsi" w:cs="Calibri"/>
          <w:b/>
          <w:sz w:val="20"/>
          <w:szCs w:val="20"/>
        </w:rPr>
        <w:t>Strategiji Jugoistočne Evrope 2020 za radna mjesta i prosperitet</w:t>
      </w:r>
      <w:r w:rsidRPr="00F563CD">
        <w:rPr>
          <w:rStyle w:val="normaltextrun"/>
          <w:rFonts w:asciiTheme="minorHAnsi" w:hAnsiTheme="minorHAnsi" w:cs="Calibri"/>
          <w:sz w:val="20"/>
          <w:szCs w:val="20"/>
        </w:rPr>
        <w:t xml:space="preserve"> u evropskoj perspektivi. U toku je rad na pripremi Strategije Savjeta za regionalnu saradnju Jugoistočne Evrope 2030 za Zapadni Balkan. Nova strategija će uzeti u obzir prioritete Evropske komisije (2019-2024), uključujući Zeleni dogovor i Digitalnu agendu EU i njihovu važnost za Zapadni Balkan, uključujući relevantne informacije u kontekstu pandemije COVID-19.</w:t>
      </w:r>
    </w:p>
    <w:p w14:paraId="6373E6BE" w14:textId="77777777" w:rsidR="00047EF8" w:rsidRPr="00F563CD" w:rsidRDefault="00047EF8" w:rsidP="00047EF8">
      <w:pPr>
        <w:pStyle w:val="paragraph"/>
        <w:spacing w:before="0" w:beforeAutospacing="0" w:after="0" w:afterAutospacing="0"/>
        <w:jc w:val="both"/>
        <w:textAlignment w:val="baseline"/>
        <w:rPr>
          <w:rFonts w:asciiTheme="minorHAnsi" w:hAnsiTheme="minorHAnsi" w:cs="Segoe UI"/>
          <w:sz w:val="18"/>
          <w:szCs w:val="18"/>
        </w:rPr>
      </w:pPr>
    </w:p>
    <w:p w14:paraId="7067FEC2" w14:textId="77777777" w:rsidR="00047EF8" w:rsidRPr="00F563CD" w:rsidRDefault="00864F83" w:rsidP="00047EF8">
      <w:pPr>
        <w:pStyle w:val="paragraph"/>
        <w:spacing w:before="0" w:beforeAutospacing="0" w:after="0" w:afterAutospacing="0"/>
        <w:jc w:val="both"/>
        <w:textAlignment w:val="baseline"/>
        <w:rPr>
          <w:rStyle w:val="normaltextrun"/>
          <w:rFonts w:asciiTheme="minorHAnsi" w:hAnsiTheme="minorHAnsi" w:cs="Calibri"/>
          <w:sz w:val="20"/>
          <w:szCs w:val="20"/>
        </w:rPr>
      </w:pPr>
      <w:r w:rsidRPr="00F563CD">
        <w:rPr>
          <w:rStyle w:val="normaltextrun"/>
          <w:rFonts w:asciiTheme="minorHAnsi" w:hAnsiTheme="minorHAnsi" w:cs="Calibri"/>
          <w:sz w:val="20"/>
          <w:szCs w:val="20"/>
        </w:rPr>
        <w:t xml:space="preserve">Crna Gora je takođe dio dvije makro-regionalne strategije EU, a to su </w:t>
      </w:r>
      <w:r w:rsidRPr="00F563CD">
        <w:rPr>
          <w:rStyle w:val="normaltextrun"/>
          <w:rFonts w:asciiTheme="minorHAnsi" w:hAnsiTheme="minorHAnsi" w:cs="Calibri"/>
          <w:b/>
          <w:sz w:val="20"/>
          <w:szCs w:val="20"/>
        </w:rPr>
        <w:t>Strategija EU za Dunavski region (EUSDR) i Strategija EU za Jadransko-jonski region (EUSAIR)</w:t>
      </w:r>
      <w:r w:rsidRPr="00F563CD">
        <w:rPr>
          <w:rStyle w:val="normaltextrun"/>
          <w:rFonts w:asciiTheme="minorHAnsi" w:hAnsiTheme="minorHAnsi" w:cs="Calibri"/>
          <w:sz w:val="20"/>
          <w:szCs w:val="20"/>
        </w:rPr>
        <w:t>. Fokusiraju se na inovativni razvoj pomorstva i mora, poboljšanu povezanost transportnih i energetskih mreža, bolju zaštitu životne sredine, održive turističke aktivnosti i mjere društveno-ekonomskog razvoja u geografski specifičnom kontekstu.</w:t>
      </w:r>
    </w:p>
    <w:p w14:paraId="60A53C5B" w14:textId="77777777" w:rsidR="00047EF8" w:rsidRPr="00F563CD" w:rsidRDefault="00864F83" w:rsidP="00047EF8">
      <w:pPr>
        <w:pStyle w:val="paragraph"/>
        <w:spacing w:before="0" w:beforeAutospacing="0" w:after="0" w:afterAutospacing="0"/>
        <w:jc w:val="both"/>
        <w:textAlignment w:val="baseline"/>
        <w:rPr>
          <w:rStyle w:val="normaltextrun"/>
          <w:rFonts w:asciiTheme="minorHAnsi" w:hAnsiTheme="minorHAnsi" w:cs="Calibri"/>
          <w:sz w:val="20"/>
          <w:szCs w:val="20"/>
        </w:rPr>
      </w:pPr>
      <w:r w:rsidRPr="00F563CD">
        <w:rPr>
          <w:rStyle w:val="normaltextrun"/>
          <w:rFonts w:asciiTheme="minorHAnsi" w:hAnsiTheme="minorHAnsi" w:cs="Calibri"/>
          <w:sz w:val="20"/>
          <w:szCs w:val="20"/>
        </w:rPr>
        <w:lastRenderedPageBreak/>
        <w:t xml:space="preserve">Crna Gora učestvuje u </w:t>
      </w:r>
      <w:r w:rsidRPr="00F563CD">
        <w:rPr>
          <w:rStyle w:val="normaltextrun"/>
          <w:rFonts w:asciiTheme="minorHAnsi" w:hAnsiTheme="minorHAnsi" w:cs="Calibri"/>
          <w:b/>
          <w:sz w:val="20"/>
          <w:szCs w:val="20"/>
        </w:rPr>
        <w:t>Zelenoj agendi za Zapadni Balkan (2020)</w:t>
      </w:r>
      <w:r w:rsidRPr="00F563CD">
        <w:rPr>
          <w:rStyle w:val="normaltextrun"/>
          <w:rFonts w:asciiTheme="minorHAnsi" w:hAnsiTheme="minorHAnsi" w:cs="Calibri"/>
          <w:sz w:val="20"/>
          <w:szCs w:val="20"/>
        </w:rPr>
        <w:t xml:space="preserve"> koja je uključena u Komunikaciju o </w:t>
      </w:r>
      <w:r w:rsidRPr="00F563CD">
        <w:rPr>
          <w:rStyle w:val="normaltextrun"/>
          <w:rFonts w:asciiTheme="minorHAnsi" w:hAnsiTheme="minorHAnsi" w:cs="Calibri"/>
          <w:b/>
          <w:sz w:val="20"/>
          <w:szCs w:val="20"/>
        </w:rPr>
        <w:t>Ekonomskom i investicionom planu za Zapadni Balkan</w:t>
      </w:r>
      <w:r w:rsidRPr="00F563CD">
        <w:rPr>
          <w:rStyle w:val="normaltextrun"/>
          <w:rFonts w:asciiTheme="minorHAnsi" w:hAnsiTheme="minorHAnsi" w:cs="Calibri"/>
          <w:sz w:val="20"/>
          <w:szCs w:val="20"/>
        </w:rPr>
        <w:t>, koju je usvojila Evropska komisija. Uključuje aktivnosti u okviru pet stubova: (1) klimatska akcija, uključujući dekarbonizaciju, energiju i mobilnost (2) cirkularna ekonomija, koja se posebno bavi otpadom, recikliranjem, održivom proizvodnjom i efikasnom upotrebom resursa (3) biodiverzitet, sa ciljem zaštite i obnavljanja prirodnog bogatstva regiona (4) borba protiv zagađenja vazduha, vode i zemljišta i (5) održivi sistemi ishrane i seoskih područja. Digitalizacija će biti ključni pokretač za gore navedenih pet stubova u skladu s konceptom dvostruke zelene i digitalne tranzicije.</w:t>
      </w:r>
    </w:p>
    <w:p w14:paraId="3E094DD8" w14:textId="77777777" w:rsidR="00047EF8" w:rsidRPr="00F563CD" w:rsidRDefault="00047EF8" w:rsidP="00047EF8">
      <w:pPr>
        <w:pStyle w:val="paragraph"/>
        <w:spacing w:before="0" w:beforeAutospacing="0" w:after="0" w:afterAutospacing="0"/>
        <w:jc w:val="both"/>
        <w:textAlignment w:val="baseline"/>
        <w:rPr>
          <w:rFonts w:asciiTheme="minorHAnsi" w:hAnsiTheme="minorHAnsi" w:cs="Segoe UI"/>
          <w:sz w:val="18"/>
          <w:szCs w:val="18"/>
        </w:rPr>
      </w:pPr>
    </w:p>
    <w:p w14:paraId="05FC28B2" w14:textId="77777777" w:rsidR="00047EF8" w:rsidRPr="00F563CD" w:rsidRDefault="00864F83" w:rsidP="00047EF8">
      <w:pPr>
        <w:pStyle w:val="paragraph"/>
        <w:spacing w:before="0" w:beforeAutospacing="0" w:after="0" w:afterAutospacing="0"/>
        <w:jc w:val="both"/>
        <w:textAlignment w:val="baseline"/>
        <w:rPr>
          <w:rFonts w:asciiTheme="minorHAnsi" w:hAnsiTheme="minorHAnsi" w:cs="Segoe UI"/>
          <w:sz w:val="18"/>
          <w:szCs w:val="18"/>
        </w:rPr>
      </w:pPr>
      <w:r w:rsidRPr="00F563CD">
        <w:rPr>
          <w:rFonts w:asciiTheme="minorHAnsi" w:hAnsiTheme="minorHAnsi"/>
          <w:i/>
          <w:iCs/>
          <w:sz w:val="20"/>
          <w:szCs w:val="20"/>
        </w:rPr>
        <w:br w:type="page"/>
      </w:r>
    </w:p>
    <w:p w14:paraId="35B1E43F" w14:textId="77777777" w:rsidR="00047EF8" w:rsidRPr="00F563CD" w:rsidRDefault="00864F83" w:rsidP="00047EF8">
      <w:pPr>
        <w:pStyle w:val="Heading1"/>
        <w:pBdr>
          <w:bottom w:val="single" w:sz="12" w:space="1" w:color="auto"/>
        </w:pBdr>
        <w:rPr>
          <w:rFonts w:asciiTheme="minorHAnsi" w:hAnsiTheme="minorHAnsi" w:cs="Arial"/>
          <w:color w:val="auto"/>
        </w:rPr>
      </w:pPr>
      <w:bookmarkStart w:id="3" w:name="_Toc91500236"/>
      <w:r w:rsidRPr="00F563CD">
        <w:rPr>
          <w:rFonts w:asciiTheme="minorHAnsi" w:hAnsiTheme="minorHAnsi" w:cs="Arial"/>
          <w:color w:val="auto"/>
        </w:rPr>
        <w:lastRenderedPageBreak/>
        <w:t>PROZ</w:t>
      </w:r>
      <w:r w:rsidR="00AF0227" w:rsidRPr="00F563CD">
        <w:rPr>
          <w:rFonts w:asciiTheme="minorHAnsi" w:hAnsiTheme="minorHAnsi" w:cs="Arial"/>
          <w:color w:val="auto"/>
        </w:rPr>
        <w:t>OR</w:t>
      </w:r>
      <w:r w:rsidRPr="00F563CD">
        <w:rPr>
          <w:rFonts w:asciiTheme="minorHAnsi" w:hAnsiTheme="minorHAnsi" w:cs="Arial"/>
          <w:color w:val="auto"/>
        </w:rPr>
        <w:t xml:space="preserve"> 1 – VLADAVINA PRAVA, TEMELJNA PRAVA I DEMOKRATIJA</w:t>
      </w:r>
      <w:bookmarkEnd w:id="3"/>
    </w:p>
    <w:p w14:paraId="048E057B" w14:textId="77777777" w:rsidR="00047EF8" w:rsidRPr="00F563CD" w:rsidRDefault="00864F83" w:rsidP="00047EF8">
      <w:pPr>
        <w:pStyle w:val="Heading3"/>
        <w:rPr>
          <w:rFonts w:asciiTheme="minorHAnsi" w:hAnsiTheme="minorHAnsi" w:cs="Arial"/>
          <w:sz w:val="22"/>
          <w:szCs w:val="22"/>
        </w:rPr>
      </w:pPr>
      <w:bookmarkStart w:id="4" w:name="_Toc91500237"/>
      <w:r w:rsidRPr="00F563CD">
        <w:rPr>
          <w:rFonts w:asciiTheme="minorHAnsi" w:hAnsiTheme="minorHAnsi" w:cs="Arial"/>
          <w:color w:val="auto"/>
          <w:sz w:val="22"/>
          <w:szCs w:val="22"/>
        </w:rPr>
        <w:t>DIO 1 – SEKTORSKI KONTEKST I RELEVANTNOST ZA POLITIKU PROŠIRENJA</w:t>
      </w:r>
      <w:bookmarkEnd w:id="4"/>
    </w:p>
    <w:p w14:paraId="5774E2D3" w14:textId="77777777" w:rsidR="00047EF8" w:rsidRPr="00F563CD" w:rsidRDefault="00864F83" w:rsidP="00047EF8">
      <w:pPr>
        <w:pStyle w:val="Heading2"/>
        <w:numPr>
          <w:ilvl w:val="0"/>
          <w:numId w:val="24"/>
        </w:numPr>
        <w:rPr>
          <w:rFonts w:asciiTheme="minorHAnsi" w:hAnsiTheme="minorHAnsi" w:cs="Arial"/>
          <w:smallCaps/>
          <w:color w:val="auto"/>
          <w:sz w:val="24"/>
          <w:szCs w:val="24"/>
        </w:rPr>
      </w:pPr>
      <w:bookmarkStart w:id="5" w:name="_Toc91500238"/>
      <w:r w:rsidRPr="00F563CD">
        <w:rPr>
          <w:rFonts w:asciiTheme="minorHAnsi" w:hAnsiTheme="minorHAnsi" w:cs="Arial"/>
          <w:smallCaps/>
          <w:color w:val="auto"/>
          <w:sz w:val="24"/>
          <w:szCs w:val="24"/>
        </w:rPr>
        <w:t>Proces konsultacija</w:t>
      </w:r>
      <w:bookmarkEnd w:id="5"/>
    </w:p>
    <w:p w14:paraId="3A2E99C3" w14:textId="6B937815" w:rsidR="00047EF8" w:rsidRPr="00F563CD" w:rsidRDefault="00864F83" w:rsidP="00047EF8">
      <w:pPr>
        <w:spacing w:before="60" w:after="60" w:line="240" w:lineRule="auto"/>
        <w:ind w:right="190"/>
        <w:jc w:val="both"/>
        <w:rPr>
          <w:rFonts w:asciiTheme="minorHAnsi" w:hAnsiTheme="minorHAnsi" w:cstheme="minorBidi"/>
          <w:sz w:val="20"/>
          <w:szCs w:val="20"/>
        </w:rPr>
      </w:pPr>
      <w:r w:rsidRPr="00F563CD">
        <w:rPr>
          <w:rFonts w:asciiTheme="minorHAnsi" w:hAnsiTheme="minorHAnsi" w:cstheme="minorBidi"/>
          <w:sz w:val="20"/>
          <w:szCs w:val="20"/>
        </w:rPr>
        <w:t xml:space="preserve">Kada je riječ o ranim fazama strateškog planiranja za prve programske godine u okviru ovog prozora, prvi nacrt opisa projekata dostavljen je Evropskoj komisiji prema utvrđenom vremenskom okviru (jun 2020.). Procjena DG NEAR-a dala je dodatne smjernice i sugestije o odabranim akcijama za 2021. i 2022. godinu. Kancelarija NIPAK-a je pokrenula proces konsultacija u januaru 2021., razmjenjujući sve relevantne informacije, određujući prioritete relevantnih dokumenata i dajući početne smjernice za strateški odgovor i akcione dokumente kao glavne inpute koje treba razviti u zadatom roku. Priprema akcionih dokumenata (AD) za programe 2021 i 2022 </w:t>
      </w:r>
      <w:r w:rsidR="006A19B5" w:rsidRPr="00F563CD">
        <w:rPr>
          <w:rFonts w:asciiTheme="minorHAnsi" w:hAnsiTheme="minorHAnsi" w:cstheme="minorBidi"/>
          <w:sz w:val="20"/>
          <w:szCs w:val="20"/>
        </w:rPr>
        <w:t>je tekla</w:t>
      </w:r>
      <w:r w:rsidRPr="00F563CD">
        <w:rPr>
          <w:rFonts w:asciiTheme="minorHAnsi" w:hAnsiTheme="minorHAnsi" w:cstheme="minorBidi"/>
          <w:sz w:val="20"/>
          <w:szCs w:val="20"/>
        </w:rPr>
        <w:t xml:space="preserve"> paralelno sa procesom pripreme strateškog odgovora. Kada je u pitanju širi proces konsultacija po principima partnerstva i transparentnosti tokom procesa programiranja, planirano je da se proces javnih konsultacija o Strateškom odgovoru otvori jednom kada dokument dostigne dovoljnan nivo zrelosti, odnosno nakon najmanje jedne iteracije razmjene komentara sa relevantnim tijelima EK.</w:t>
      </w:r>
    </w:p>
    <w:p w14:paraId="28CD90E7" w14:textId="77777777" w:rsidR="00047EF8" w:rsidRPr="00F563CD" w:rsidRDefault="00047EF8" w:rsidP="00047EF8">
      <w:pPr>
        <w:spacing w:line="240" w:lineRule="auto"/>
        <w:jc w:val="both"/>
        <w:rPr>
          <w:rFonts w:asciiTheme="minorHAnsi" w:hAnsiTheme="minorHAnsi" w:cstheme="minorBidi"/>
          <w:i/>
          <w:sz w:val="20"/>
          <w:szCs w:val="20"/>
        </w:rPr>
      </w:pPr>
    </w:p>
    <w:p w14:paraId="713CB732" w14:textId="77777777" w:rsidR="00047EF8" w:rsidRPr="00F563CD" w:rsidRDefault="00864F83" w:rsidP="00047EF8">
      <w:pPr>
        <w:pStyle w:val="Heading2"/>
        <w:numPr>
          <w:ilvl w:val="0"/>
          <w:numId w:val="24"/>
        </w:numPr>
        <w:rPr>
          <w:rFonts w:asciiTheme="minorHAnsi" w:hAnsiTheme="minorHAnsi" w:cs="Arial"/>
          <w:smallCaps/>
          <w:color w:val="auto"/>
          <w:sz w:val="24"/>
          <w:szCs w:val="24"/>
        </w:rPr>
      </w:pPr>
      <w:bookmarkStart w:id="6" w:name="_Toc91500239"/>
      <w:r w:rsidRPr="00F563CD">
        <w:rPr>
          <w:rFonts w:asciiTheme="minorHAnsi" w:hAnsiTheme="minorHAnsi" w:cs="Arial"/>
          <w:smallCaps/>
          <w:color w:val="auto"/>
          <w:sz w:val="24"/>
          <w:szCs w:val="24"/>
        </w:rPr>
        <w:t>Usklađenost strategija zemlje korisnice sa IPA III Programskim okvirom</w:t>
      </w:r>
      <w:bookmarkEnd w:id="6"/>
    </w:p>
    <w:p w14:paraId="414CEBBB" w14:textId="77777777" w:rsidR="00047EF8" w:rsidRPr="00F563CD" w:rsidRDefault="00047EF8" w:rsidP="00047EF8">
      <w:pPr>
        <w:spacing w:after="0"/>
        <w:rPr>
          <w:rFonts w:asciiTheme="minorHAnsi" w:hAnsiTheme="minorHAnsi"/>
        </w:rPr>
      </w:pPr>
    </w:p>
    <w:p w14:paraId="3EFC346F" w14:textId="77777777" w:rsidR="00047EF8" w:rsidRPr="00F563CD" w:rsidRDefault="00864F83" w:rsidP="00047EF8">
      <w:pPr>
        <w:rPr>
          <w:rFonts w:asciiTheme="minorHAnsi" w:hAnsiTheme="minorHAnsi"/>
          <w:b/>
        </w:rPr>
      </w:pPr>
      <w:r w:rsidRPr="00F563CD">
        <w:rPr>
          <w:rFonts w:asciiTheme="minorHAnsi" w:hAnsiTheme="minorHAnsi"/>
          <w:b/>
          <w:i/>
          <w:iCs/>
        </w:rPr>
        <w:t>Tematski prioritet 1: Pravosuđe </w:t>
      </w:r>
      <w:r w:rsidRPr="00F563CD">
        <w:rPr>
          <w:rFonts w:asciiTheme="minorHAnsi" w:hAnsiTheme="minorHAnsi"/>
          <w:b/>
        </w:rPr>
        <w:t> </w:t>
      </w:r>
    </w:p>
    <w:p w14:paraId="6C745572" w14:textId="77777777" w:rsidR="00047EF8" w:rsidRPr="00F563CD" w:rsidRDefault="00864F83" w:rsidP="00047EF8">
      <w:pPr>
        <w:numPr>
          <w:ilvl w:val="0"/>
          <w:numId w:val="75"/>
        </w:numPr>
        <w:spacing w:line="240" w:lineRule="auto"/>
        <w:contextualSpacing/>
        <w:jc w:val="both"/>
        <w:rPr>
          <w:rStyle w:val="Hyperlink"/>
          <w:rFonts w:asciiTheme="minorHAnsi" w:hAnsiTheme="minorHAnsi" w:cstheme="minorBidi"/>
          <w:color w:val="202124"/>
          <w:sz w:val="20"/>
        </w:rPr>
      </w:pPr>
      <w:r w:rsidRPr="00F563CD">
        <w:rPr>
          <w:rFonts w:asciiTheme="minorHAnsi" w:hAnsiTheme="minorHAnsi" w:cstheme="minorBidi"/>
          <w:sz w:val="20"/>
          <w:szCs w:val="20"/>
        </w:rPr>
        <w:t xml:space="preserve">Akcioni plan za Pregovaračko poglavlje 23 - </w:t>
      </w:r>
      <w:hyperlink r:id="rId8" w:history="1">
        <w:r w:rsidRPr="00F563CD">
          <w:rPr>
            <w:rStyle w:val="Hyperlink"/>
            <w:rFonts w:asciiTheme="minorHAnsi" w:hAnsiTheme="minorHAnsi" w:cstheme="minorBidi"/>
            <w:sz w:val="20"/>
          </w:rPr>
          <w:t>https://www.eu.me/poglavlje-23-pravosudje-i-temeljna-prava/#</w:t>
        </w:r>
      </w:hyperlink>
    </w:p>
    <w:p w14:paraId="45FEEF6C" w14:textId="77777777" w:rsidR="00047EF8" w:rsidRPr="00F563CD" w:rsidRDefault="00864F83" w:rsidP="00047EF8">
      <w:pPr>
        <w:numPr>
          <w:ilvl w:val="0"/>
          <w:numId w:val="75"/>
        </w:numPr>
        <w:spacing w:line="240" w:lineRule="auto"/>
        <w:contextualSpacing/>
        <w:jc w:val="both"/>
        <w:rPr>
          <w:rFonts w:asciiTheme="minorHAnsi" w:hAnsiTheme="minorHAnsi" w:cstheme="minorBidi"/>
          <w:color w:val="202124"/>
          <w:sz w:val="20"/>
          <w:szCs w:val="20"/>
          <w:u w:val="single"/>
        </w:rPr>
      </w:pPr>
      <w:r w:rsidRPr="00F563CD">
        <w:rPr>
          <w:rFonts w:asciiTheme="minorHAnsi" w:hAnsiTheme="minorHAnsi" w:cstheme="minorBidi"/>
          <w:sz w:val="20"/>
          <w:szCs w:val="20"/>
        </w:rPr>
        <w:t xml:space="preserve">Akcioni plan za Pregovaračko poglavlje 24 - </w:t>
      </w:r>
      <w:hyperlink r:id="rId9" w:history="1">
        <w:r w:rsidRPr="00F563CD">
          <w:rPr>
            <w:rStyle w:val="Hyperlink"/>
            <w:rFonts w:asciiTheme="minorHAnsi" w:hAnsiTheme="minorHAnsi" w:cstheme="minorBidi"/>
            <w:sz w:val="20"/>
          </w:rPr>
          <w:t>https://www.eu.me/poglavlje-24-pravda-sloboda-i-bezbjednost/</w:t>
        </w:r>
      </w:hyperlink>
      <w:r w:rsidRPr="00F563CD">
        <w:rPr>
          <w:rFonts w:asciiTheme="minorHAnsi" w:hAnsiTheme="minorHAnsi" w:cstheme="minorBidi"/>
          <w:sz w:val="20"/>
          <w:szCs w:val="20"/>
        </w:rPr>
        <w:t xml:space="preserve"> </w:t>
      </w:r>
    </w:p>
    <w:p w14:paraId="6033E98F" w14:textId="77777777" w:rsidR="00047EF8" w:rsidRPr="00F563CD" w:rsidRDefault="00864F83" w:rsidP="00047EF8">
      <w:pPr>
        <w:numPr>
          <w:ilvl w:val="0"/>
          <w:numId w:val="75"/>
        </w:numPr>
        <w:spacing w:line="240" w:lineRule="auto"/>
        <w:contextualSpacing/>
        <w:jc w:val="both"/>
        <w:rPr>
          <w:rFonts w:asciiTheme="minorHAnsi" w:hAnsiTheme="minorHAnsi" w:cstheme="minorBidi"/>
          <w:color w:val="202124"/>
          <w:sz w:val="20"/>
          <w:szCs w:val="20"/>
          <w:u w:val="single"/>
        </w:rPr>
      </w:pPr>
      <w:r w:rsidRPr="00F563CD">
        <w:rPr>
          <w:rFonts w:asciiTheme="minorHAnsi" w:hAnsiTheme="minorHAnsi" w:cstheme="minorBidi"/>
          <w:color w:val="202124"/>
          <w:sz w:val="20"/>
          <w:szCs w:val="20"/>
          <w:u w:val="single"/>
        </w:rPr>
        <w:t>Strategija reforme pravosuđa 2019-2022 -</w:t>
      </w:r>
      <w:hyperlink r:id="rId10" w:history="1">
        <w:r w:rsidRPr="00F563CD">
          <w:rPr>
            <w:rFonts w:asciiTheme="minorHAnsi" w:hAnsiTheme="minorHAnsi" w:cstheme="minorBidi"/>
            <w:color w:val="0000FF"/>
            <w:sz w:val="20"/>
            <w:szCs w:val="20"/>
            <w:u w:val="single"/>
          </w:rPr>
          <w:t>https://mpa.gov.me/en/library/strategije</w:t>
        </w:r>
      </w:hyperlink>
    </w:p>
    <w:p w14:paraId="4293FF4C" w14:textId="77777777" w:rsidR="00047EF8" w:rsidRPr="00F563CD" w:rsidRDefault="00864F83" w:rsidP="00047EF8">
      <w:pPr>
        <w:numPr>
          <w:ilvl w:val="0"/>
          <w:numId w:val="75"/>
        </w:numPr>
        <w:spacing w:line="240" w:lineRule="auto"/>
        <w:contextualSpacing/>
        <w:jc w:val="both"/>
        <w:rPr>
          <w:rFonts w:asciiTheme="minorHAnsi" w:hAnsiTheme="minorHAnsi" w:cstheme="minorBidi"/>
          <w:color w:val="202124"/>
          <w:sz w:val="20"/>
          <w:szCs w:val="20"/>
          <w:u w:val="single"/>
        </w:rPr>
      </w:pPr>
      <w:r w:rsidRPr="00F563CD">
        <w:rPr>
          <w:rFonts w:asciiTheme="minorHAnsi" w:hAnsiTheme="minorHAnsi" w:cstheme="minorBidi"/>
          <w:color w:val="202124"/>
          <w:sz w:val="20"/>
          <w:szCs w:val="20"/>
          <w:u w:val="single"/>
        </w:rPr>
        <w:t xml:space="preserve">Akcioni plan za sprovođenje Strategije reforme pravosuđa 2019-2020; </w:t>
      </w:r>
      <w:hyperlink r:id="rId11" w:history="1">
        <w:r w:rsidRPr="00F563CD">
          <w:rPr>
            <w:rFonts w:asciiTheme="minorHAnsi" w:hAnsiTheme="minorHAnsi" w:cstheme="minorBidi"/>
            <w:color w:val="0000FF"/>
            <w:sz w:val="20"/>
            <w:szCs w:val="20"/>
            <w:u w:val="single"/>
          </w:rPr>
          <w:t>https://mpa.gov.me/en/library/strategije</w:t>
        </w:r>
      </w:hyperlink>
    </w:p>
    <w:p w14:paraId="42B5D31C" w14:textId="77777777" w:rsidR="00047EF8" w:rsidRPr="00F563CD" w:rsidRDefault="00864F83" w:rsidP="00047EF8">
      <w:pPr>
        <w:numPr>
          <w:ilvl w:val="0"/>
          <w:numId w:val="75"/>
        </w:numPr>
        <w:spacing w:line="240" w:lineRule="auto"/>
        <w:contextualSpacing/>
        <w:jc w:val="both"/>
        <w:rPr>
          <w:rFonts w:asciiTheme="minorHAnsi" w:hAnsiTheme="minorHAnsi" w:cstheme="minorBidi"/>
          <w:color w:val="202124"/>
          <w:sz w:val="20"/>
          <w:szCs w:val="20"/>
          <w:u w:val="single"/>
        </w:rPr>
      </w:pPr>
      <w:r w:rsidRPr="00F563CD">
        <w:rPr>
          <w:rFonts w:asciiTheme="minorHAnsi" w:hAnsiTheme="minorHAnsi"/>
          <w:color w:val="202124"/>
          <w:sz w:val="20"/>
          <w:szCs w:val="20"/>
          <w:u w:val="single"/>
        </w:rPr>
        <w:t xml:space="preserve">Program razvoja IKT u pravosuđu 2021 – 2023 - </w:t>
      </w:r>
      <w:hyperlink r:id="rId12" w:history="1">
        <w:r w:rsidRPr="00F563CD">
          <w:rPr>
            <w:rFonts w:asciiTheme="minorHAnsi" w:hAnsiTheme="minorHAnsi" w:cstheme="minorBidi"/>
            <w:color w:val="0000FF"/>
            <w:sz w:val="20"/>
            <w:szCs w:val="20"/>
            <w:u w:val="single"/>
          </w:rPr>
          <w:t>https://mpa.gov.me/en/library/strategije</w:t>
        </w:r>
      </w:hyperlink>
    </w:p>
    <w:p w14:paraId="5470C478" w14:textId="77777777" w:rsidR="00047EF8" w:rsidRPr="00F563CD" w:rsidRDefault="00864F83" w:rsidP="00047EF8">
      <w:pPr>
        <w:numPr>
          <w:ilvl w:val="0"/>
          <w:numId w:val="75"/>
        </w:numPr>
        <w:spacing w:line="240" w:lineRule="auto"/>
        <w:contextualSpacing/>
        <w:jc w:val="both"/>
        <w:rPr>
          <w:rFonts w:asciiTheme="minorHAnsi" w:hAnsiTheme="minorHAnsi" w:cstheme="minorBidi"/>
          <w:color w:val="202124"/>
          <w:sz w:val="20"/>
          <w:szCs w:val="20"/>
          <w:u w:val="single"/>
        </w:rPr>
      </w:pPr>
      <w:r w:rsidRPr="00F563CD">
        <w:rPr>
          <w:rFonts w:asciiTheme="minorHAnsi" w:hAnsiTheme="minorHAnsi" w:cstheme="minorBidi"/>
          <w:color w:val="202124"/>
          <w:sz w:val="20"/>
          <w:szCs w:val="20"/>
          <w:u w:val="single"/>
        </w:rPr>
        <w:t>Strategija izvršenja krivičnih sankcija 2017-2021 -</w:t>
      </w:r>
      <w:hyperlink r:id="rId13" w:history="1">
        <w:r w:rsidRPr="00F563CD">
          <w:rPr>
            <w:rFonts w:asciiTheme="minorHAnsi" w:hAnsiTheme="minorHAnsi" w:cstheme="minorBidi"/>
            <w:color w:val="0000FF"/>
            <w:sz w:val="20"/>
            <w:szCs w:val="20"/>
            <w:u w:val="single"/>
          </w:rPr>
          <w:t>https://mpa.gov.me/en/library/strategije</w:t>
        </w:r>
      </w:hyperlink>
    </w:p>
    <w:p w14:paraId="052E0DA2" w14:textId="77777777" w:rsidR="00047EF8" w:rsidRPr="00F563CD" w:rsidRDefault="00864F83" w:rsidP="00047EF8">
      <w:pPr>
        <w:numPr>
          <w:ilvl w:val="0"/>
          <w:numId w:val="75"/>
        </w:numPr>
        <w:spacing w:line="240" w:lineRule="auto"/>
        <w:contextualSpacing/>
        <w:jc w:val="both"/>
        <w:rPr>
          <w:rFonts w:asciiTheme="minorHAnsi" w:hAnsiTheme="minorHAnsi" w:cstheme="minorBidi"/>
          <w:color w:val="202124"/>
          <w:sz w:val="20"/>
          <w:szCs w:val="20"/>
          <w:u w:val="single"/>
        </w:rPr>
      </w:pPr>
      <w:r w:rsidRPr="00F563CD">
        <w:rPr>
          <w:rFonts w:asciiTheme="minorHAnsi" w:hAnsiTheme="minorHAnsi" w:cstheme="minorBidi"/>
          <w:color w:val="202124"/>
          <w:sz w:val="20"/>
          <w:szCs w:val="20"/>
          <w:u w:val="single"/>
        </w:rPr>
        <w:t xml:space="preserve">Akcioni plan za sprovođenje Strategije izvršenja krivičnih sankcija (2017-2021)- </w:t>
      </w:r>
      <w:hyperlink r:id="rId14" w:history="1">
        <w:r w:rsidRPr="00F563CD">
          <w:rPr>
            <w:rFonts w:asciiTheme="minorHAnsi" w:hAnsiTheme="minorHAnsi" w:cstheme="minorBidi"/>
            <w:color w:val="0000FF"/>
            <w:sz w:val="20"/>
            <w:szCs w:val="20"/>
            <w:u w:val="single"/>
          </w:rPr>
          <w:t>https://mpa.gov.me/en/library/strategije</w:t>
        </w:r>
      </w:hyperlink>
    </w:p>
    <w:p w14:paraId="52CDB1C1" w14:textId="77777777" w:rsidR="00047EF8" w:rsidRPr="00F563CD" w:rsidRDefault="00864F83" w:rsidP="00047EF8">
      <w:pPr>
        <w:numPr>
          <w:ilvl w:val="0"/>
          <w:numId w:val="75"/>
        </w:numPr>
        <w:spacing w:line="240" w:lineRule="auto"/>
        <w:contextualSpacing/>
        <w:jc w:val="both"/>
        <w:rPr>
          <w:rFonts w:asciiTheme="minorHAnsi" w:hAnsiTheme="minorHAnsi" w:cstheme="minorBidi"/>
          <w:color w:val="202124"/>
          <w:sz w:val="20"/>
          <w:szCs w:val="20"/>
          <w:u w:val="single"/>
        </w:rPr>
      </w:pPr>
      <w:r w:rsidRPr="00F563CD">
        <w:rPr>
          <w:rFonts w:asciiTheme="minorHAnsi" w:hAnsiTheme="minorHAnsi" w:cstheme="minorBidi"/>
          <w:sz w:val="20"/>
          <w:szCs w:val="20"/>
          <w:u w:val="single"/>
        </w:rPr>
        <w:t xml:space="preserve">Program razvoja alternativnog rešavanja sporova 2019-2021 - </w:t>
      </w:r>
      <w:hyperlink r:id="rId15" w:history="1">
        <w:r w:rsidRPr="00F563CD">
          <w:rPr>
            <w:rFonts w:asciiTheme="minorHAnsi" w:hAnsiTheme="minorHAnsi" w:cstheme="minorBidi"/>
            <w:color w:val="0000FF"/>
            <w:sz w:val="20"/>
            <w:szCs w:val="20"/>
            <w:u w:val="single"/>
          </w:rPr>
          <w:t>https://centarzaars.me/strateska-dokumenta/</w:t>
        </w:r>
      </w:hyperlink>
    </w:p>
    <w:p w14:paraId="382911E7" w14:textId="77777777" w:rsidR="00047EF8" w:rsidRPr="00F563CD" w:rsidRDefault="00864F83" w:rsidP="00047EF8">
      <w:pPr>
        <w:numPr>
          <w:ilvl w:val="0"/>
          <w:numId w:val="75"/>
        </w:numPr>
        <w:spacing w:line="240" w:lineRule="auto"/>
        <w:contextualSpacing/>
        <w:jc w:val="both"/>
        <w:rPr>
          <w:rFonts w:asciiTheme="minorHAnsi" w:hAnsiTheme="minorHAnsi" w:cstheme="minorBidi"/>
          <w:sz w:val="20"/>
          <w:szCs w:val="20"/>
        </w:rPr>
      </w:pPr>
      <w:r w:rsidRPr="00F563CD">
        <w:rPr>
          <w:rFonts w:asciiTheme="minorHAnsi" w:hAnsiTheme="minorHAnsi" w:cstheme="minorBidi"/>
          <w:sz w:val="20"/>
          <w:szCs w:val="20"/>
          <w:u w:val="single"/>
        </w:rPr>
        <w:t xml:space="preserve">Jedinstvena lista prioritetnih infrastrukturnih </w:t>
      </w:r>
      <w:proofErr w:type="gramStart"/>
      <w:r w:rsidRPr="00F563CD">
        <w:rPr>
          <w:rFonts w:asciiTheme="minorHAnsi" w:hAnsiTheme="minorHAnsi" w:cstheme="minorBidi"/>
          <w:sz w:val="20"/>
          <w:szCs w:val="20"/>
          <w:u w:val="single"/>
        </w:rPr>
        <w:t>projekata  2020</w:t>
      </w:r>
      <w:proofErr w:type="gramEnd"/>
    </w:p>
    <w:p w14:paraId="1AA0AE20" w14:textId="77777777" w:rsidR="00047EF8" w:rsidRPr="00F563CD" w:rsidRDefault="001D48BA" w:rsidP="00047EF8">
      <w:pPr>
        <w:spacing w:line="240" w:lineRule="auto"/>
        <w:ind w:left="360"/>
        <w:contextualSpacing/>
        <w:jc w:val="both"/>
        <w:rPr>
          <w:rFonts w:asciiTheme="minorHAnsi" w:hAnsiTheme="minorHAnsi" w:cstheme="minorBidi"/>
          <w:sz w:val="20"/>
          <w:szCs w:val="20"/>
        </w:rPr>
      </w:pPr>
      <w:hyperlink r:id="rId16" w:history="1">
        <w:r w:rsidR="00864F83" w:rsidRPr="00F563CD">
          <w:rPr>
            <w:rStyle w:val="Hyperlink"/>
            <w:rFonts w:asciiTheme="minorHAnsi" w:hAnsiTheme="minorHAnsi" w:cstheme="minorBidi"/>
            <w:sz w:val="20"/>
          </w:rPr>
          <w:t>https://www.gov.me/ResourceManager/FileDownload.aspx?rId=413947&amp;rType=2</w:t>
        </w:r>
      </w:hyperlink>
    </w:p>
    <w:p w14:paraId="2144C7FC" w14:textId="77777777" w:rsidR="00047EF8" w:rsidRPr="00F563CD" w:rsidRDefault="00047EF8" w:rsidP="00047EF8">
      <w:pPr>
        <w:ind w:left="720"/>
        <w:contextualSpacing/>
        <w:rPr>
          <w:rFonts w:asciiTheme="minorHAnsi" w:hAnsiTheme="minorHAnsi" w:cstheme="minorBidi"/>
          <w:color w:val="202124"/>
          <w:u w:val="single"/>
        </w:rPr>
      </w:pPr>
    </w:p>
    <w:p w14:paraId="66B8D786"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b/>
          <w:sz w:val="20"/>
          <w:szCs w:val="20"/>
        </w:rPr>
        <w:t xml:space="preserve">Akcioni plan za Poglavlje 23 (Pravosuđe i temeljna prava) </w:t>
      </w:r>
      <w:r w:rsidRPr="00F563CD">
        <w:rPr>
          <w:rFonts w:asciiTheme="minorHAnsi" w:hAnsiTheme="minorHAnsi" w:cstheme="minorBidi"/>
          <w:sz w:val="20"/>
          <w:szCs w:val="20"/>
        </w:rPr>
        <w:t>predstavlja ključni strateški dokument kojim se usmjeravaju reforme u oblasti pravosuđa, borbe protiv korupcije, temeljnih prava i saradnje sa nevladinim organizacijama. Akcioni plan sadrži pregled aktivnosti u okviru jedinstvenog procesa koji omogućava ispunjenje obaveza prema evropskoj integraciji na planski i proaktivan način, kroz ostvarivanje jasno definisanih ciljeva. Mjere iz Akcionog plana za Poglavlje 23 usklađene su sa mjerama predviđenim nacionalnim strateškim dokumentima, i to:</w:t>
      </w:r>
    </w:p>
    <w:p w14:paraId="5C312CBC"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Reformske aktivnosti </w:t>
      </w:r>
      <w:r w:rsidRPr="00F563CD">
        <w:rPr>
          <w:rFonts w:asciiTheme="minorHAnsi" w:hAnsiTheme="minorHAnsi"/>
          <w:b/>
          <w:sz w:val="20"/>
          <w:szCs w:val="20"/>
        </w:rPr>
        <w:t>Strategije reforme pravosuđa 2019-2022</w:t>
      </w:r>
      <w:r w:rsidRPr="00F563CD">
        <w:rPr>
          <w:rFonts w:asciiTheme="minorHAnsi" w:hAnsiTheme="minorHAnsi"/>
          <w:sz w:val="20"/>
          <w:szCs w:val="20"/>
        </w:rPr>
        <w:t>, koje su usmjerene na dalje jačanje nezavisnosti, nepristrasnosti i odgovornosti pravosuđa, ostaju prioritet Crne Gore u procesu evropskih integracija. Povećana efikasnost pravosudnog sistema dovešće do poboljšanja kvaliteta poštovanja ljudskih prava i vladavine prava. Nezavisnost i profesionalnost pravosuđa treba unaprijediti sprovođenjem sistema izbora sudija i državnih tužilaca na transparentan i zasnovan na zaslugama način koji će vratiti povjerenje građana i korisnika suda u pravosuđe. Nadalje, sprovođenjem procedura odgovornosti i promocijom etike i profesionalnog ponašanja, osnažiće se sistem odgovornosti drugih profesija u pravosuđu (advokati, notari, izvršitelji i sudski vještaci). Veća dostupnost i transparentnost pravosudnih institucija treba da rezultira snažnijim povjerenjem javnosti u pravosuđe. Posebnu pažnju treba posvetiti jačanju povjerenja javnosti u rad pravosuđa i informisanju građana o funkcionisanju pravosuđa i profesija koje u njemu rade. Reformske aktivnosti će biti usmjerene i na unapređenje sistema pravne pomoći kroz unapređenje zakonodavnog okvira kroz prepoznavanje novih kategorija korisnika pravne pomoći i povećanog broja korisnika pravne pomoći, kao i na unapređenje alternativnih načina rješavanja sporova. Dodatno, poboljšaće se sistem infrastrukture, pristupačnost i bezbjednost pravosudnih objekata, i fizički pristup pravosudnim institucijama i pravosudnoj infrastrukturi koja je prilagođena djetetu. Reformski procesi će takođe doprinijeti unapređenju međunarodne i regionalne pravosudne saradnje i daljoj izgradnji kapaciteta pravosudnih institucija, kao i razvoju informacionog sistema pravosuđa. Fokus reformskih aktivnosti biće i na organizacionom razvoju i jačanju Centra za obuku u pravosuđu i državnom tužilaštvu u cilju poboljšanja kvaliteta obuke, posebno kada se radi o obuci sudija za primjenu evropskih standarda.</w:t>
      </w:r>
    </w:p>
    <w:p w14:paraId="658E0834"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b/>
          <w:sz w:val="20"/>
          <w:szCs w:val="20"/>
        </w:rPr>
        <w:lastRenderedPageBreak/>
        <w:t xml:space="preserve">Program razvoja informaciono-komunikacionih tehnologija u pravosuđu 2021 – 2023 </w:t>
      </w:r>
      <w:r w:rsidRPr="00F563CD">
        <w:rPr>
          <w:rFonts w:asciiTheme="minorHAnsi" w:hAnsiTheme="minorHAnsi"/>
          <w:sz w:val="20"/>
          <w:szCs w:val="20"/>
        </w:rPr>
        <w:t>ističe da dostupnost informacionih servisa, mogućnost elektronske razmjene i obrade podataka, te vođenje svih oblika pravosudne statistike i arhiva omogućavaju poboljšanje efikasnosti, uštedu vremena i povećanje transparentnosti i odgovornosti pravosudnih organa, čime se stvaraju uslovi da građanima pruže usluge koje su im potrebne. Poseban fokus je na centralizovanom internet portalu, jedinstvenoj URL adresi za pristup svim pravosudnim organima, koji sadrži sistem portala integrisanih u jedinstvenu cjelinu, na adresi www.pravosudje.me. Novi internet portal značajno je povećao nivo javne otvorenosti, transparentnosti i pristupačnosti. Radi na brži, pojednostavljen način, s poboljšanim vizuelnim identitetom i naprednijim sistemom pretraživanja (npr. pretraga optužnica, sudskih odluka i rasporeda suđenja). Pored navedenog, internet portal je složen sistem aplikacija čija je svrha predstavljanje informacija, ali i dinamičan pristup objavljenim dokumentima namijenjenim građanima, pravnicima, pravnim licima, institucijama i međunarodnim organizacijama, tj. cjelokupnoj zainteresovanoj javnosti. Dalji razvoj portala će dovesti do poboljšanja funkcionalnosti i pružanja e-usluga.</w:t>
      </w:r>
    </w:p>
    <w:p w14:paraId="14DD9FEA"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Cilj </w:t>
      </w:r>
      <w:r w:rsidRPr="00F563CD">
        <w:rPr>
          <w:rFonts w:asciiTheme="minorHAnsi" w:hAnsiTheme="minorHAnsi"/>
          <w:b/>
          <w:sz w:val="20"/>
          <w:szCs w:val="20"/>
        </w:rPr>
        <w:t>Strategije za izvršenje krivičnih sankcija 2017-2021</w:t>
      </w:r>
      <w:r w:rsidRPr="00F563CD">
        <w:rPr>
          <w:rFonts w:asciiTheme="minorHAnsi" w:hAnsiTheme="minorHAnsi"/>
          <w:sz w:val="20"/>
          <w:szCs w:val="20"/>
        </w:rPr>
        <w:t xml:space="preserve"> je jačanje efektivnog i efikasnog upravljanja sistemom izvršenja krivičnih sankcija u Crnoj Gori. Strategija ima za cilj izgradnju kapaciteta i primjenu najboljih praksi EU u oblasti zatvorskih i uslov</w:t>
      </w:r>
      <w:r w:rsidR="00AF0227" w:rsidRPr="00F563CD">
        <w:rPr>
          <w:rFonts w:asciiTheme="minorHAnsi" w:hAnsiTheme="minorHAnsi"/>
          <w:sz w:val="20"/>
          <w:szCs w:val="20"/>
        </w:rPr>
        <w:t>n</w:t>
      </w:r>
      <w:r w:rsidRPr="00F563CD">
        <w:rPr>
          <w:rFonts w:asciiTheme="minorHAnsi" w:hAnsiTheme="minorHAnsi"/>
          <w:sz w:val="20"/>
          <w:szCs w:val="20"/>
        </w:rPr>
        <w:t>ih službi u okviru relevantnih struktura u Crnoj Gori. Glavni ciljevi reforme u oblasti izvršenja krivičnih sankcija uključuju trajnu reviziju zakonskog okvira, dalje jačanje sprovođenja zakona i podzakonskih akata, dalje smanjenje broja zatvorenika, stvaranje boljih uslova za pritvorenike, reforma obuka i resocijalizacije zatvorenika sa velikim mogućnostima za rad i zapošljavanje, unapređenje upravljanja ljudskim resursima i obukama, i poboljšanje uslova za rad osoblja u sistemu za izvršenje krivičnih sankcija.</w:t>
      </w:r>
    </w:p>
    <w:p w14:paraId="154C9280"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b/>
          <w:sz w:val="20"/>
          <w:szCs w:val="20"/>
        </w:rPr>
        <w:t xml:space="preserve">Program razvoja alternativnog rješavanja sporova 2019-2021 </w:t>
      </w:r>
      <w:r w:rsidRPr="00F563CD">
        <w:rPr>
          <w:rFonts w:asciiTheme="minorHAnsi" w:hAnsiTheme="minorHAnsi" w:cstheme="minorBidi"/>
          <w:sz w:val="20"/>
          <w:szCs w:val="20"/>
        </w:rPr>
        <w:t>predviđa postizanje ukupno pet operativnih ciljeva u okviru opšteg strateškog cilja - Unaprijeđena primjena medijacije i drugih alternativnih načina rješavanja sporova kao efikasnih, finansijski isplativih, održivih i pristupačnih načina rješavanja sporova, koji obezbjeđuju pravovremenu zaštitu građana i pravnih lica, efikasnost pravosuđa, unapređenje pristupa pravdi i pravnu sigurnost građana.</w:t>
      </w:r>
    </w:p>
    <w:p w14:paraId="359CFEB5"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sz w:val="20"/>
          <w:szCs w:val="20"/>
        </w:rPr>
        <w:t xml:space="preserve">Prioritetne akcije koje se tiču pravosuđa su takođe prepoznate u procesu utvrđivanja prioriteta infrastrukturnih projekata u okviru </w:t>
      </w:r>
      <w:r w:rsidRPr="00F563CD">
        <w:rPr>
          <w:rFonts w:asciiTheme="minorHAnsi" w:hAnsiTheme="minorHAnsi" w:cstheme="minorBidi"/>
          <w:b/>
          <w:sz w:val="20"/>
          <w:szCs w:val="20"/>
        </w:rPr>
        <w:t>Jedinstvene liste infrastrukturnih projekata</w:t>
      </w:r>
      <w:r w:rsidRPr="00F563CD">
        <w:rPr>
          <w:rFonts w:asciiTheme="minorHAnsi" w:hAnsiTheme="minorHAnsi" w:cstheme="minorBidi"/>
          <w:sz w:val="20"/>
          <w:szCs w:val="20"/>
        </w:rPr>
        <w:t xml:space="preserve"> </w:t>
      </w:r>
      <w:r w:rsidRPr="00F563CD">
        <w:rPr>
          <w:rFonts w:asciiTheme="minorHAnsi" w:hAnsiTheme="minorHAnsi" w:cstheme="minorBidi"/>
          <w:b/>
          <w:sz w:val="20"/>
          <w:szCs w:val="20"/>
        </w:rPr>
        <w:t xml:space="preserve">2020, </w:t>
      </w:r>
      <w:r w:rsidRPr="00F563CD">
        <w:rPr>
          <w:rFonts w:asciiTheme="minorHAnsi" w:hAnsiTheme="minorHAnsi" w:cstheme="minorBidi"/>
          <w:i/>
          <w:sz w:val="20"/>
          <w:szCs w:val="20"/>
        </w:rPr>
        <w:t>vidjeti dolje u okviru Dijela II, broj 3</w:t>
      </w:r>
      <w:r w:rsidRPr="00F563CD">
        <w:rPr>
          <w:rFonts w:asciiTheme="minorHAnsi" w:hAnsiTheme="minorHAnsi" w:cstheme="minorBidi"/>
          <w:b/>
          <w:sz w:val="20"/>
          <w:szCs w:val="20"/>
        </w:rPr>
        <w:t>.</w:t>
      </w:r>
    </w:p>
    <w:p w14:paraId="62E44729" w14:textId="77777777" w:rsidR="00047EF8" w:rsidRPr="00F563CD" w:rsidRDefault="00864F83" w:rsidP="00047EF8">
      <w:pPr>
        <w:spacing w:line="240" w:lineRule="auto"/>
        <w:rPr>
          <w:rFonts w:asciiTheme="minorHAnsi" w:hAnsiTheme="minorHAnsi"/>
          <w:b/>
          <w:sz w:val="20"/>
          <w:szCs w:val="20"/>
        </w:rPr>
      </w:pPr>
      <w:r w:rsidRPr="00F563CD">
        <w:rPr>
          <w:rFonts w:asciiTheme="minorHAnsi" w:hAnsiTheme="minorHAnsi"/>
          <w:b/>
          <w:i/>
          <w:iCs/>
          <w:sz w:val="20"/>
          <w:szCs w:val="20"/>
        </w:rPr>
        <w:t>Tematski prioritet 2: Borba protiv korupcije </w:t>
      </w:r>
      <w:r w:rsidRPr="00F563CD">
        <w:rPr>
          <w:rFonts w:asciiTheme="minorHAnsi" w:hAnsiTheme="minorHAnsi"/>
          <w:b/>
          <w:sz w:val="20"/>
          <w:szCs w:val="20"/>
        </w:rPr>
        <w:t> </w:t>
      </w:r>
    </w:p>
    <w:p w14:paraId="6A8ACED4"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Crna Gora je povezala strateško planiranje antikorupcijske politike sa procesom pristupanja Evropskoj uniji. </w:t>
      </w:r>
      <w:r w:rsidRPr="00F563CD">
        <w:rPr>
          <w:rFonts w:asciiTheme="minorHAnsi" w:hAnsiTheme="minorHAnsi"/>
          <w:b/>
          <w:sz w:val="20"/>
          <w:szCs w:val="20"/>
        </w:rPr>
        <w:t>Akcioni plan za Poglavlje 23 “Pravosuđe i temeljna prava”</w:t>
      </w:r>
      <w:r w:rsidRPr="00F563CD">
        <w:rPr>
          <w:rFonts w:asciiTheme="minorHAnsi" w:hAnsiTheme="minorHAnsi"/>
          <w:sz w:val="20"/>
          <w:szCs w:val="20"/>
        </w:rPr>
        <w:t xml:space="preserve"> pristupnih pregovora i Operativni dokument (OD) za prevenciju korupcije u oblastima izloženim posebnom riziku služili su kao odgovarajući strategijama i akcionim planovima za borbu protiv korupcije. OD je prirodni nastavak Strategije za borbu protiv korupcije i organizovanog kriminala 2010-2014, a obuhvata i mjere koje nisu sprovedene iz Akcionih planova za sprovođenje Strategije. Na taj način je održan i nadograđen kontinuitet dosadašnjeg strateškog okvira u oblasti borbe protiv korupcije na nacionalnom nivou. Na osnovu ocjene postignutih rezultata i u skladu sa prioritetima naredne faze pregovora, moguća je revizija dokumenta.</w:t>
      </w:r>
    </w:p>
    <w:p w14:paraId="6A2D7A2C" w14:textId="77777777" w:rsidR="00047EF8" w:rsidRPr="00F563CD" w:rsidRDefault="00864F83"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Uspostavljena su tijela za koordinaciju sa više zainteresovanih strana. Na političkom nivou, Savjet za vladavinu prava će omogućiti koordinaciju i praćenje sprovođenja obaveza iz poglavlja 23 i 24 u procesu pristupanja Crne Gore Evropskoj uniji, kao i pružanje preporuka nadležnim institucijama za hitne aktivnosti u cilju sprovođenja ovih obaveza.</w:t>
      </w:r>
    </w:p>
    <w:p w14:paraId="6DB4DE0C" w14:textId="24E0705F" w:rsidR="00047EF8" w:rsidRPr="00F563CD" w:rsidRDefault="00864F83"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U decembru 2020. </w:t>
      </w:r>
      <w:proofErr w:type="gramStart"/>
      <w:r w:rsidRPr="00F563CD">
        <w:rPr>
          <w:rFonts w:asciiTheme="minorHAnsi" w:hAnsiTheme="minorHAnsi"/>
          <w:sz w:val="20"/>
          <w:szCs w:val="20"/>
          <w:lang w:val="fr-BE"/>
        </w:rPr>
        <w:t>godine</w:t>
      </w:r>
      <w:proofErr w:type="gramEnd"/>
      <w:r w:rsidRPr="00F563CD">
        <w:rPr>
          <w:rFonts w:asciiTheme="minorHAnsi" w:hAnsiTheme="minorHAnsi"/>
          <w:sz w:val="20"/>
          <w:szCs w:val="20"/>
          <w:lang w:val="fr-BE"/>
        </w:rPr>
        <w:t xml:space="preserve"> formiran je Nacionalni savjet za borbu protiv korupcije na visokom nivou. Savjetom rukovodi potpredsjednik Vlade i zadužen je za praćenje dinamike prikupljanja svih relevantnih informacija u vezi sa slučajevima korupcije na visokom nivou i sarađuje sa svim tijelima nadležnim za vođenje ovih slučajeva, sinhronizuje njihove aktivnosti i priprema mišljenje o efikasnom načinu vođenja istrage. Na operativnom nivou, radna grupa za Po</w:t>
      </w:r>
      <w:r w:rsidR="006A19B5" w:rsidRPr="00F563CD">
        <w:rPr>
          <w:rFonts w:asciiTheme="minorHAnsi" w:hAnsiTheme="minorHAnsi"/>
          <w:sz w:val="20"/>
          <w:szCs w:val="20"/>
          <w:lang w:val="fr-BE"/>
        </w:rPr>
        <w:t>glavlje 23 (osnovana u julu 2021),</w:t>
      </w:r>
      <w:r w:rsidRPr="00F563CD">
        <w:rPr>
          <w:rFonts w:asciiTheme="minorHAnsi" w:hAnsiTheme="minorHAnsi"/>
          <w:sz w:val="20"/>
          <w:szCs w:val="20"/>
          <w:lang w:val="fr-BE"/>
        </w:rPr>
        <w:t xml:space="preserve"> osigurava praćenje i podršku pristupnim pregovorima.</w:t>
      </w:r>
    </w:p>
    <w:p w14:paraId="4EB75A0F" w14:textId="77777777" w:rsidR="00047EF8" w:rsidRPr="00F563CD" w:rsidRDefault="00864F83" w:rsidP="00047EF8">
      <w:pPr>
        <w:spacing w:line="240" w:lineRule="auto"/>
        <w:rPr>
          <w:rFonts w:asciiTheme="minorHAnsi" w:hAnsiTheme="minorHAnsi"/>
          <w:b/>
          <w:i/>
          <w:sz w:val="20"/>
          <w:szCs w:val="20"/>
          <w:lang w:val="fr-BE"/>
        </w:rPr>
      </w:pPr>
      <w:r w:rsidRPr="00F563CD">
        <w:rPr>
          <w:rFonts w:asciiTheme="minorHAnsi" w:hAnsiTheme="minorHAnsi"/>
          <w:b/>
          <w:i/>
          <w:iCs/>
          <w:sz w:val="20"/>
          <w:szCs w:val="20"/>
          <w:lang w:val="fr-BE"/>
        </w:rPr>
        <w:t xml:space="preserve">Tematski prioritet </w:t>
      </w:r>
      <w:proofErr w:type="gramStart"/>
      <w:r w:rsidRPr="00F563CD">
        <w:rPr>
          <w:rFonts w:asciiTheme="minorHAnsi" w:hAnsiTheme="minorHAnsi"/>
          <w:b/>
          <w:i/>
          <w:iCs/>
          <w:sz w:val="20"/>
          <w:szCs w:val="20"/>
          <w:lang w:val="fr-BE"/>
        </w:rPr>
        <w:t>3:</w:t>
      </w:r>
      <w:proofErr w:type="gramEnd"/>
      <w:r w:rsidRPr="00F563CD">
        <w:rPr>
          <w:rFonts w:asciiTheme="minorHAnsi" w:hAnsiTheme="minorHAnsi"/>
          <w:b/>
          <w:i/>
          <w:iCs/>
          <w:sz w:val="20"/>
          <w:szCs w:val="20"/>
          <w:lang w:val="fr-BE"/>
        </w:rPr>
        <w:t xml:space="preserve"> Borba protiv organizovanog kriminala/bezbjednost</w:t>
      </w:r>
      <w:r w:rsidRPr="00F563CD">
        <w:rPr>
          <w:rFonts w:asciiTheme="minorHAnsi" w:hAnsiTheme="minorHAnsi"/>
          <w:b/>
          <w:i/>
          <w:sz w:val="20"/>
          <w:szCs w:val="20"/>
          <w:lang w:val="fr-BE"/>
        </w:rPr>
        <w:t> </w:t>
      </w:r>
    </w:p>
    <w:p w14:paraId="6B06DA46" w14:textId="1CD296E9" w:rsidR="00047EF8" w:rsidRPr="00F563CD" w:rsidRDefault="00864F83" w:rsidP="00047EF8">
      <w:pPr>
        <w:spacing w:line="240" w:lineRule="auto"/>
        <w:jc w:val="both"/>
        <w:rPr>
          <w:rFonts w:asciiTheme="minorHAnsi" w:hAnsiTheme="minorHAnsi" w:cs="Arial"/>
          <w:sz w:val="20"/>
          <w:szCs w:val="20"/>
          <w:lang w:val="fr-BE"/>
        </w:rPr>
      </w:pPr>
      <w:r w:rsidRPr="008C3F18">
        <w:rPr>
          <w:rFonts w:asciiTheme="minorHAnsi" w:hAnsiTheme="minorHAnsi" w:cs="Arial"/>
          <w:sz w:val="20"/>
          <w:szCs w:val="20"/>
          <w:lang w:val="fr-BE"/>
        </w:rPr>
        <w:t>U toku je izrad</w:t>
      </w:r>
      <w:r w:rsidR="008C3F18" w:rsidRPr="008C3F18">
        <w:rPr>
          <w:rFonts w:asciiTheme="minorHAnsi" w:hAnsiTheme="minorHAnsi" w:cs="Arial"/>
          <w:sz w:val="20"/>
          <w:szCs w:val="20"/>
          <w:lang w:val="fr-BE"/>
        </w:rPr>
        <w:t xml:space="preserve">a novog strateškog dokumenta u vezi </w:t>
      </w:r>
      <w:r w:rsidRPr="008C3F18">
        <w:rPr>
          <w:rFonts w:asciiTheme="minorHAnsi" w:hAnsiTheme="minorHAnsi" w:cs="Arial"/>
          <w:sz w:val="20"/>
          <w:szCs w:val="20"/>
          <w:lang w:val="fr-BE"/>
        </w:rPr>
        <w:t xml:space="preserve">procjene opasnosti od teškog i organizovanog kriminala u Crnoj Gori u 2021. </w:t>
      </w:r>
      <w:proofErr w:type="gramStart"/>
      <w:r w:rsidRPr="008C3F18">
        <w:rPr>
          <w:rFonts w:asciiTheme="minorHAnsi" w:hAnsiTheme="minorHAnsi" w:cs="Arial"/>
          <w:sz w:val="20"/>
          <w:szCs w:val="20"/>
          <w:lang w:val="fr-BE"/>
        </w:rPr>
        <w:t>godini</w:t>
      </w:r>
      <w:proofErr w:type="gramEnd"/>
      <w:r w:rsidRPr="008C3F18">
        <w:rPr>
          <w:rFonts w:asciiTheme="minorHAnsi" w:hAnsiTheme="minorHAnsi" w:cs="Arial"/>
          <w:sz w:val="20"/>
          <w:szCs w:val="20"/>
          <w:lang w:val="fr-BE"/>
        </w:rPr>
        <w:t>, koji ima za cilj da pruži podršku svim službama za sprovođenje zakona i državnim institucijama u Crnoj Gori, kao i svim drugim</w:t>
      </w:r>
      <w:r w:rsidRPr="00F563CD">
        <w:rPr>
          <w:rFonts w:asciiTheme="minorHAnsi" w:hAnsiTheme="minorHAnsi" w:cs="Arial"/>
          <w:sz w:val="20"/>
          <w:szCs w:val="20"/>
          <w:lang w:val="fr-BE"/>
        </w:rPr>
        <w:t xml:space="preserve"> subjektima uključenim u borbu protiv teškog i organizovanog kriminala i njegovih pojavnih oblika, bolje sagledavanje stanja u zemlji i identifikovanje faktora koji bi značajno uticali na promjenu situacije u Crnoj Gori u ovoj oblasti.</w:t>
      </w:r>
    </w:p>
    <w:p w14:paraId="00F08DB2" w14:textId="77777777" w:rsidR="00047EF8" w:rsidRPr="00F563CD" w:rsidRDefault="00864F83" w:rsidP="00047EF8">
      <w:pPr>
        <w:spacing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 xml:space="preserve">Nacionalna strategija za borbu protiv transnacionalnog organizovanog kriminala još nije u potpunosti izrađena. Ona će se zasnivati na gore pomenutom dokumentu i imaće za cilj jačanje krivičnog gonjenja i saradnje pravosuđa u borbi protiv organizovanih kriminalnih struktura, oduzimanje imovinske koristi od kriminalne aktivnosti i prilagođavanje agencija za sprovođenje zakona najnovijim dešavanjima u digitalnom svijetu. Planirana strategija će biti usklađena sa odgovarajućom Strategijom Evropske unije. Radna grupa određena za rad na Strategiji raspisala je javni poziv za predstavnika NVO u radnu grupu kojom predsjedava ministar unutrašnjih poslova Sergej Sekulović. Akcioni plan za 2022. </w:t>
      </w:r>
      <w:proofErr w:type="gramStart"/>
      <w:r w:rsidRPr="00F563CD">
        <w:rPr>
          <w:rFonts w:asciiTheme="minorHAnsi" w:hAnsiTheme="minorHAnsi" w:cs="Arial"/>
          <w:sz w:val="20"/>
          <w:szCs w:val="20"/>
          <w:lang w:val="fr-BE"/>
        </w:rPr>
        <w:t>i</w:t>
      </w:r>
      <w:proofErr w:type="gramEnd"/>
      <w:r w:rsidRPr="00F563CD">
        <w:rPr>
          <w:rFonts w:asciiTheme="minorHAnsi" w:hAnsiTheme="minorHAnsi" w:cs="Arial"/>
          <w:sz w:val="20"/>
          <w:szCs w:val="20"/>
          <w:lang w:val="fr-BE"/>
        </w:rPr>
        <w:t xml:space="preserve"> 2023. </w:t>
      </w:r>
      <w:proofErr w:type="gramStart"/>
      <w:r w:rsidRPr="00F563CD">
        <w:rPr>
          <w:rFonts w:asciiTheme="minorHAnsi" w:hAnsiTheme="minorHAnsi" w:cs="Arial"/>
          <w:sz w:val="20"/>
          <w:szCs w:val="20"/>
          <w:lang w:val="fr-BE"/>
        </w:rPr>
        <w:t>još</w:t>
      </w:r>
      <w:proofErr w:type="gramEnd"/>
      <w:r w:rsidRPr="00F563CD">
        <w:rPr>
          <w:rFonts w:asciiTheme="minorHAnsi" w:hAnsiTheme="minorHAnsi" w:cs="Arial"/>
          <w:sz w:val="20"/>
          <w:szCs w:val="20"/>
          <w:lang w:val="fr-BE"/>
        </w:rPr>
        <w:t xml:space="preserve"> uvijek je u izradi i očekuje se da će biti završen do kraja 2022. </w:t>
      </w:r>
      <w:proofErr w:type="gramStart"/>
      <w:r w:rsidRPr="00F563CD">
        <w:rPr>
          <w:rFonts w:asciiTheme="minorHAnsi" w:hAnsiTheme="minorHAnsi" w:cs="Arial"/>
          <w:sz w:val="20"/>
          <w:szCs w:val="20"/>
          <w:lang w:val="fr-BE"/>
        </w:rPr>
        <w:t>godine</w:t>
      </w:r>
      <w:proofErr w:type="gramEnd"/>
      <w:r w:rsidRPr="00F563CD">
        <w:rPr>
          <w:rFonts w:asciiTheme="minorHAnsi" w:hAnsiTheme="minorHAnsi" w:cs="Arial"/>
          <w:sz w:val="20"/>
          <w:szCs w:val="20"/>
          <w:lang w:val="fr-BE"/>
        </w:rPr>
        <w:t>.</w:t>
      </w:r>
    </w:p>
    <w:p w14:paraId="27788642" w14:textId="77777777" w:rsidR="00047EF8" w:rsidRPr="00F563CD" w:rsidRDefault="00864F83" w:rsidP="00047EF8">
      <w:pPr>
        <w:spacing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lastRenderedPageBreak/>
        <w:t xml:space="preserve">Nacionalna strategija za suzbijanje nasilnog ekstremizma 2020-2024 usvojena je u januaru 2020. </w:t>
      </w:r>
      <w:proofErr w:type="gramStart"/>
      <w:r w:rsidRPr="00F563CD">
        <w:rPr>
          <w:rFonts w:asciiTheme="minorHAnsi" w:hAnsiTheme="minorHAnsi" w:cs="Arial"/>
          <w:sz w:val="20"/>
          <w:szCs w:val="20"/>
          <w:lang w:val="fr-BE"/>
        </w:rPr>
        <w:t>godine</w:t>
      </w:r>
      <w:proofErr w:type="gramEnd"/>
      <w:r w:rsidRPr="00F563CD">
        <w:rPr>
          <w:rFonts w:asciiTheme="minorHAnsi" w:hAnsiTheme="minorHAnsi" w:cs="Arial"/>
          <w:sz w:val="20"/>
          <w:szCs w:val="20"/>
          <w:lang w:val="fr-BE"/>
        </w:rPr>
        <w:t xml:space="preserve">, izabrani su članovi Radne grupe za Akcioni plan za 2022. </w:t>
      </w:r>
      <w:proofErr w:type="gramStart"/>
      <w:r w:rsidRPr="00F563CD">
        <w:rPr>
          <w:rFonts w:asciiTheme="minorHAnsi" w:hAnsiTheme="minorHAnsi" w:cs="Arial"/>
          <w:sz w:val="20"/>
          <w:szCs w:val="20"/>
          <w:lang w:val="fr-BE"/>
        </w:rPr>
        <w:t>godinu</w:t>
      </w:r>
      <w:proofErr w:type="gramEnd"/>
      <w:r w:rsidRPr="00F563CD">
        <w:rPr>
          <w:rFonts w:asciiTheme="minorHAnsi" w:hAnsiTheme="minorHAnsi" w:cs="Arial"/>
          <w:sz w:val="20"/>
          <w:szCs w:val="20"/>
          <w:lang w:val="fr-BE"/>
        </w:rPr>
        <w:t xml:space="preserve">, međutim Akcioni plan za 2022. </w:t>
      </w:r>
      <w:proofErr w:type="gramStart"/>
      <w:r w:rsidRPr="00F563CD">
        <w:rPr>
          <w:rFonts w:asciiTheme="minorHAnsi" w:hAnsiTheme="minorHAnsi" w:cs="Arial"/>
          <w:sz w:val="20"/>
          <w:szCs w:val="20"/>
          <w:lang w:val="fr-BE"/>
        </w:rPr>
        <w:t>još</w:t>
      </w:r>
      <w:proofErr w:type="gramEnd"/>
      <w:r w:rsidRPr="00F563CD">
        <w:rPr>
          <w:rFonts w:asciiTheme="minorHAnsi" w:hAnsiTheme="minorHAnsi" w:cs="Arial"/>
          <w:sz w:val="20"/>
          <w:szCs w:val="20"/>
          <w:lang w:val="fr-BE"/>
        </w:rPr>
        <w:t xml:space="preserve"> nije pokrenut. Strategija će Crnoj Gori obezbijediti veću društvenu otpornost i bolji institucionalni odgovor, uz jači međunarodni pečat u borbi protiv radikalizma i nasilnog ekstremizma. (</w:t>
      </w:r>
      <w:hyperlink r:id="rId17" w:history="1">
        <w:r w:rsidRPr="00F563CD">
          <w:rPr>
            <w:rStyle w:val="Hyperlink"/>
            <w:rFonts w:asciiTheme="minorHAnsi" w:hAnsiTheme="minorHAnsi" w:cs="Arial"/>
            <w:sz w:val="20"/>
            <w:lang w:val="fr-BE"/>
          </w:rPr>
          <w:t>https://mup.gov.me/biblioteka/strategije?pagerIndex=2</w:t>
        </w:r>
      </w:hyperlink>
      <w:r w:rsidRPr="00F563CD">
        <w:rPr>
          <w:rFonts w:asciiTheme="minorHAnsi" w:hAnsiTheme="minorHAnsi" w:cs="Arial"/>
          <w:sz w:val="20"/>
          <w:szCs w:val="20"/>
          <w:lang w:val="fr-BE"/>
        </w:rPr>
        <w:t xml:space="preserve">) </w:t>
      </w:r>
    </w:p>
    <w:p w14:paraId="55C36C57" w14:textId="77777777" w:rsidR="00047EF8" w:rsidRPr="00F563CD" w:rsidRDefault="00864F83" w:rsidP="00047EF8">
      <w:pPr>
        <w:spacing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Izrađena je Strategija za sprečavanje i borbu protiv terorizma, pranja novca i finansiranja terorizma. Radna grupa određena za rad na Strategiji dostavila je nacrt Strategije Evropskoj komisiji na komentare. Evropska komisija je vratila nacrt strategije na dalju doradu. (</w:t>
      </w:r>
      <w:hyperlink r:id="rId18" w:history="1">
        <w:r w:rsidRPr="00F563CD">
          <w:rPr>
            <w:rStyle w:val="Hyperlink"/>
            <w:rFonts w:asciiTheme="minorHAnsi" w:hAnsiTheme="minorHAnsi" w:cs="Arial"/>
            <w:sz w:val="20"/>
            <w:lang w:val="fr-BE"/>
          </w:rPr>
          <w:t>https://mup.gov.me/biblioteka/strategije?pagerIndex=2</w:t>
        </w:r>
      </w:hyperlink>
      <w:r w:rsidRPr="00F563CD">
        <w:rPr>
          <w:rFonts w:asciiTheme="minorHAnsi" w:hAnsiTheme="minorHAnsi" w:cs="Arial"/>
          <w:sz w:val="20"/>
          <w:szCs w:val="20"/>
          <w:lang w:val="fr-BE"/>
        </w:rPr>
        <w:t>)</w:t>
      </w:r>
    </w:p>
    <w:p w14:paraId="45202D32" w14:textId="77777777" w:rsidR="00047EF8" w:rsidRPr="00F563CD" w:rsidRDefault="00864F83" w:rsidP="00047EF8">
      <w:pPr>
        <w:spacing w:before="240" w:after="120" w:line="240" w:lineRule="auto"/>
        <w:ind w:right="547"/>
        <w:jc w:val="both"/>
        <w:rPr>
          <w:rFonts w:asciiTheme="minorHAnsi" w:hAnsiTheme="minorHAnsi"/>
          <w:b/>
          <w:i/>
          <w:iCs/>
          <w:sz w:val="20"/>
          <w:szCs w:val="20"/>
          <w:lang w:val="fr-BE"/>
        </w:rPr>
      </w:pPr>
      <w:r w:rsidRPr="00F563CD">
        <w:rPr>
          <w:rFonts w:asciiTheme="minorHAnsi" w:hAnsiTheme="minorHAnsi"/>
          <w:b/>
          <w:i/>
          <w:iCs/>
          <w:sz w:val="20"/>
          <w:szCs w:val="20"/>
          <w:lang w:val="fr-BE"/>
        </w:rPr>
        <w:t xml:space="preserve">Tematski prioritet </w:t>
      </w:r>
      <w:proofErr w:type="gramStart"/>
      <w:r w:rsidRPr="00F563CD">
        <w:rPr>
          <w:rFonts w:asciiTheme="minorHAnsi" w:hAnsiTheme="minorHAnsi"/>
          <w:b/>
          <w:i/>
          <w:iCs/>
          <w:sz w:val="20"/>
          <w:szCs w:val="20"/>
          <w:lang w:val="fr-BE"/>
        </w:rPr>
        <w:t>4:</w:t>
      </w:r>
      <w:proofErr w:type="gramEnd"/>
      <w:r w:rsidRPr="00F563CD">
        <w:rPr>
          <w:rFonts w:asciiTheme="minorHAnsi" w:hAnsiTheme="minorHAnsi"/>
          <w:b/>
          <w:i/>
          <w:iCs/>
          <w:sz w:val="20"/>
          <w:szCs w:val="20"/>
          <w:lang w:val="fr-BE"/>
        </w:rPr>
        <w:t xml:space="preserve"> Migracije i upravljanje granicama</w:t>
      </w:r>
    </w:p>
    <w:p w14:paraId="7E72A263" w14:textId="77777777" w:rsidR="00047EF8" w:rsidRPr="00F563CD" w:rsidRDefault="00864F83" w:rsidP="00047EF8">
      <w:pPr>
        <w:spacing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 xml:space="preserve">Strategija integrisanog upravljanja granicom 2020-2024 i Akcioni plan za njeno sprovođenje usvojeni su u januaru 2020. </w:t>
      </w:r>
      <w:proofErr w:type="gramStart"/>
      <w:r w:rsidRPr="00F563CD">
        <w:rPr>
          <w:rFonts w:asciiTheme="minorHAnsi" w:hAnsiTheme="minorHAnsi" w:cs="Arial"/>
          <w:sz w:val="20"/>
          <w:szCs w:val="20"/>
          <w:lang w:val="fr-BE"/>
        </w:rPr>
        <w:t>godine</w:t>
      </w:r>
      <w:proofErr w:type="gramEnd"/>
      <w:r w:rsidRPr="00F563CD">
        <w:rPr>
          <w:rFonts w:asciiTheme="minorHAnsi" w:hAnsiTheme="minorHAnsi" w:cs="Arial"/>
          <w:sz w:val="20"/>
          <w:szCs w:val="20"/>
          <w:lang w:val="fr-BE"/>
        </w:rPr>
        <w:t>. Ciljevi Strategije su razvoj integrisanog upravljanja granicom u skladu sa evropskim sistemom nadzora granica, obezbeđivanje bezbjednosti granica kroz unapređenje saradnje na svim nivoima i jačanje administrativnih, infrastrukturnih i tehničkih kapaciteta. (</w:t>
      </w:r>
      <w:proofErr w:type="gramStart"/>
      <w:r w:rsidRPr="00F563CD">
        <w:rPr>
          <w:rFonts w:asciiTheme="minorHAnsi" w:hAnsiTheme="minorHAnsi" w:cs="Arial"/>
          <w:sz w:val="20"/>
          <w:szCs w:val="20"/>
          <w:lang w:val="fr-BE"/>
        </w:rPr>
        <w:t>https://mup.gov.me/biblioteka/strategije?pagerIndex=2</w:t>
      </w:r>
      <w:proofErr w:type="gramEnd"/>
      <w:r w:rsidRPr="00F563CD">
        <w:rPr>
          <w:rFonts w:asciiTheme="minorHAnsi" w:hAnsiTheme="minorHAnsi" w:cs="Arial"/>
          <w:sz w:val="20"/>
          <w:szCs w:val="20"/>
          <w:lang w:val="fr-BE"/>
        </w:rPr>
        <w:t>)</w:t>
      </w:r>
    </w:p>
    <w:p w14:paraId="0ECCBE42" w14:textId="5BFBE3CE" w:rsidR="00047EF8" w:rsidRPr="008C3F18" w:rsidRDefault="00864F83" w:rsidP="00047EF8">
      <w:pPr>
        <w:spacing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 xml:space="preserve">Strategija o migracijama i reintegraciji povratnika u Crnoj Gori 2021-2025, sa Akcionim planom za 2021. </w:t>
      </w:r>
      <w:proofErr w:type="gramStart"/>
      <w:r w:rsidRPr="00F563CD">
        <w:rPr>
          <w:rFonts w:asciiTheme="minorHAnsi" w:hAnsiTheme="minorHAnsi" w:cs="Arial"/>
          <w:sz w:val="20"/>
          <w:szCs w:val="20"/>
          <w:lang w:val="fr-BE"/>
        </w:rPr>
        <w:t>i</w:t>
      </w:r>
      <w:proofErr w:type="gramEnd"/>
      <w:r w:rsidRPr="00F563CD">
        <w:rPr>
          <w:rFonts w:asciiTheme="minorHAnsi" w:hAnsiTheme="minorHAnsi" w:cs="Arial"/>
          <w:sz w:val="20"/>
          <w:szCs w:val="20"/>
          <w:lang w:val="fr-BE"/>
        </w:rPr>
        <w:t xml:space="preserve"> 2022. </w:t>
      </w:r>
      <w:proofErr w:type="gramStart"/>
      <w:r w:rsidRPr="00F563CD">
        <w:rPr>
          <w:rFonts w:asciiTheme="minorHAnsi" w:hAnsiTheme="minorHAnsi" w:cs="Arial"/>
          <w:sz w:val="20"/>
          <w:szCs w:val="20"/>
          <w:lang w:val="fr-BE"/>
        </w:rPr>
        <w:t>godinu</w:t>
      </w:r>
      <w:proofErr w:type="gramEnd"/>
      <w:r w:rsidRPr="00F563CD">
        <w:rPr>
          <w:rFonts w:asciiTheme="minorHAnsi" w:hAnsiTheme="minorHAnsi" w:cs="Arial"/>
          <w:sz w:val="20"/>
          <w:szCs w:val="20"/>
          <w:lang w:val="fr-BE"/>
        </w:rPr>
        <w:t>, usvojena</w:t>
      </w:r>
      <w:r w:rsidR="006A19B5" w:rsidRPr="00F563CD">
        <w:rPr>
          <w:rFonts w:asciiTheme="minorHAnsi" w:hAnsiTheme="minorHAnsi" w:cs="Arial"/>
          <w:sz w:val="20"/>
          <w:szCs w:val="20"/>
          <w:lang w:val="fr-BE"/>
        </w:rPr>
        <w:t xml:space="preserve"> </w:t>
      </w:r>
      <w:r w:rsidR="008C3F18">
        <w:rPr>
          <w:rFonts w:asciiTheme="minorHAnsi" w:hAnsiTheme="minorHAnsi" w:cs="Arial"/>
          <w:sz w:val="20"/>
          <w:szCs w:val="20"/>
          <w:lang w:val="fr-BE"/>
        </w:rPr>
        <w:t xml:space="preserve">je 23. </w:t>
      </w:r>
      <w:proofErr w:type="gramStart"/>
      <w:r w:rsidR="008C3F18">
        <w:rPr>
          <w:rFonts w:asciiTheme="minorHAnsi" w:hAnsiTheme="minorHAnsi" w:cs="Arial"/>
          <w:sz w:val="20"/>
          <w:szCs w:val="20"/>
          <w:lang w:val="fr-BE"/>
        </w:rPr>
        <w:t>septembra</w:t>
      </w:r>
      <w:proofErr w:type="gramEnd"/>
      <w:r w:rsidR="008C3F18">
        <w:rPr>
          <w:rFonts w:asciiTheme="minorHAnsi" w:hAnsiTheme="minorHAnsi" w:cs="Arial"/>
          <w:sz w:val="20"/>
          <w:szCs w:val="20"/>
          <w:lang w:val="fr-BE"/>
        </w:rPr>
        <w:t xml:space="preserve"> 2021. Godine. </w:t>
      </w:r>
      <w:r w:rsidRPr="008C3F18">
        <w:rPr>
          <w:rFonts w:asciiTheme="minorHAnsi" w:hAnsiTheme="minorHAnsi" w:cs="Arial"/>
          <w:sz w:val="20"/>
          <w:szCs w:val="20"/>
          <w:lang w:val="fr-BE"/>
        </w:rPr>
        <w:t>Ciljevi Strategije su stvaranje društva sa efikasnim sistemom i prepoznatljivim rezultatima u oblasti migracija i reintegracije povratnika po readmisiji. To podrazumijeva uspostavljanje održivog, funkcionalnog i transparentnog sistema migracije i reintegracije povratnika po readmisiji, uz uključivanje svih institucija koje su u potpunosti osposobljene da budu funkcionalni dio sistema.</w:t>
      </w:r>
    </w:p>
    <w:p w14:paraId="5FAB9B0E" w14:textId="77777777" w:rsidR="00047EF8" w:rsidRPr="008C3F18" w:rsidRDefault="00864F83" w:rsidP="00047EF8">
      <w:pPr>
        <w:spacing w:before="240" w:after="120" w:line="240" w:lineRule="auto"/>
        <w:ind w:right="547"/>
        <w:jc w:val="both"/>
        <w:rPr>
          <w:rFonts w:asciiTheme="minorHAnsi" w:hAnsiTheme="minorHAnsi"/>
          <w:b/>
          <w:i/>
          <w:iCs/>
          <w:sz w:val="20"/>
          <w:szCs w:val="20"/>
          <w:lang w:val="fr-BE"/>
        </w:rPr>
      </w:pPr>
      <w:r w:rsidRPr="008C3F18">
        <w:rPr>
          <w:rFonts w:asciiTheme="minorHAnsi" w:hAnsiTheme="minorHAnsi"/>
          <w:b/>
          <w:i/>
          <w:iCs/>
          <w:sz w:val="20"/>
          <w:szCs w:val="20"/>
          <w:lang w:val="fr-BE"/>
        </w:rPr>
        <w:t xml:space="preserve">Tematski prioritet </w:t>
      </w:r>
      <w:proofErr w:type="gramStart"/>
      <w:r w:rsidRPr="008C3F18">
        <w:rPr>
          <w:rFonts w:asciiTheme="minorHAnsi" w:hAnsiTheme="minorHAnsi"/>
          <w:b/>
          <w:i/>
          <w:iCs/>
          <w:sz w:val="20"/>
          <w:szCs w:val="20"/>
          <w:lang w:val="fr-BE"/>
        </w:rPr>
        <w:t>5:</w:t>
      </w:r>
      <w:proofErr w:type="gramEnd"/>
      <w:r w:rsidRPr="008C3F18">
        <w:rPr>
          <w:rFonts w:asciiTheme="minorHAnsi" w:hAnsiTheme="minorHAnsi"/>
          <w:b/>
          <w:i/>
          <w:iCs/>
          <w:sz w:val="20"/>
          <w:szCs w:val="20"/>
          <w:lang w:val="fr-BE"/>
        </w:rPr>
        <w:t xml:space="preserve"> Temeljna prava </w:t>
      </w:r>
    </w:p>
    <w:p w14:paraId="556840F3" w14:textId="77777777" w:rsidR="00047EF8" w:rsidRPr="008C3F18" w:rsidRDefault="00864F83" w:rsidP="00047EF8">
      <w:pPr>
        <w:spacing w:line="240" w:lineRule="auto"/>
        <w:jc w:val="both"/>
        <w:rPr>
          <w:rFonts w:asciiTheme="minorHAnsi" w:hAnsiTheme="minorHAnsi" w:cs="Arial"/>
          <w:sz w:val="20"/>
          <w:szCs w:val="20"/>
          <w:u w:val="single"/>
          <w:lang w:val="fr-BE"/>
        </w:rPr>
      </w:pPr>
      <w:r w:rsidRPr="008C3F18">
        <w:rPr>
          <w:rFonts w:asciiTheme="minorHAnsi" w:hAnsiTheme="minorHAnsi" w:cs="Arial"/>
          <w:sz w:val="20"/>
          <w:szCs w:val="20"/>
          <w:u w:val="single"/>
          <w:lang w:val="fr-BE"/>
        </w:rPr>
        <w:t>Rodna ravnopravnost</w:t>
      </w:r>
    </w:p>
    <w:p w14:paraId="1B909474" w14:textId="77777777" w:rsidR="00047EF8" w:rsidRPr="008C3F18" w:rsidRDefault="00864F83" w:rsidP="00047EF8">
      <w:pPr>
        <w:spacing w:line="240" w:lineRule="auto"/>
        <w:jc w:val="both"/>
        <w:rPr>
          <w:rFonts w:asciiTheme="minorHAnsi" w:hAnsiTheme="minorHAnsi" w:cs="Arial"/>
          <w:sz w:val="20"/>
          <w:szCs w:val="20"/>
          <w:lang w:val="fr-BE"/>
        </w:rPr>
      </w:pPr>
      <w:r w:rsidRPr="008C3F18">
        <w:rPr>
          <w:rFonts w:asciiTheme="minorHAnsi" w:hAnsiTheme="minorHAnsi" w:cs="Arial"/>
          <w:sz w:val="20"/>
          <w:szCs w:val="20"/>
          <w:lang w:val="fr-BE"/>
        </w:rPr>
        <w:t xml:space="preserve">Ustavom iz 2007. </w:t>
      </w:r>
      <w:proofErr w:type="gramStart"/>
      <w:r w:rsidRPr="008C3F18">
        <w:rPr>
          <w:rFonts w:asciiTheme="minorHAnsi" w:hAnsiTheme="minorHAnsi" w:cs="Arial"/>
          <w:sz w:val="20"/>
          <w:szCs w:val="20"/>
          <w:lang w:val="fr-BE"/>
        </w:rPr>
        <w:t>godine</w:t>
      </w:r>
      <w:proofErr w:type="gramEnd"/>
      <w:r w:rsidRPr="008C3F18">
        <w:rPr>
          <w:rFonts w:asciiTheme="minorHAnsi" w:hAnsiTheme="minorHAnsi" w:cs="Arial"/>
          <w:sz w:val="20"/>
          <w:szCs w:val="20"/>
          <w:lang w:val="fr-BE"/>
        </w:rPr>
        <w:t xml:space="preserve"> propisano je da država garantuje ravnopravnost žena i muškaraca i razvija politiku jednakih mogućnosti (član 18), kao i da je zabranjena svaka posredna i neposredna diskriminacija po bilo kom osnovu, ali da mogu biti primijenjene posebne m</w:t>
      </w:r>
      <w:r w:rsidR="001302C4" w:rsidRPr="008C3F18">
        <w:rPr>
          <w:rFonts w:asciiTheme="minorHAnsi" w:hAnsiTheme="minorHAnsi" w:cs="Arial"/>
          <w:sz w:val="20"/>
          <w:szCs w:val="20"/>
          <w:lang w:val="fr-BE"/>
        </w:rPr>
        <w:t>j</w:t>
      </w:r>
      <w:r w:rsidRPr="008C3F18">
        <w:rPr>
          <w:rFonts w:asciiTheme="minorHAnsi" w:hAnsiTheme="minorHAnsi" w:cs="Arial"/>
          <w:sz w:val="20"/>
          <w:szCs w:val="20"/>
          <w:lang w:val="fr-BE"/>
        </w:rPr>
        <w:t>ere u cilju stvaranja rodne ravnopravnosti. (</w:t>
      </w:r>
      <w:proofErr w:type="gramStart"/>
      <w:r w:rsidRPr="008C3F18">
        <w:rPr>
          <w:rFonts w:asciiTheme="minorHAnsi" w:hAnsiTheme="minorHAnsi" w:cs="Arial"/>
          <w:sz w:val="20"/>
          <w:szCs w:val="20"/>
          <w:lang w:val="fr-BE"/>
        </w:rPr>
        <w:t>član</w:t>
      </w:r>
      <w:proofErr w:type="gramEnd"/>
      <w:r w:rsidRPr="008C3F18">
        <w:rPr>
          <w:rFonts w:asciiTheme="minorHAnsi" w:hAnsiTheme="minorHAnsi" w:cs="Arial"/>
          <w:sz w:val="20"/>
          <w:szCs w:val="20"/>
          <w:lang w:val="fr-BE"/>
        </w:rPr>
        <w:t xml:space="preserve"> 8).</w:t>
      </w:r>
    </w:p>
    <w:p w14:paraId="149BE861" w14:textId="77777777" w:rsidR="00047EF8" w:rsidRPr="008C3F18" w:rsidRDefault="00864F83" w:rsidP="00047EF8">
      <w:pPr>
        <w:spacing w:line="240" w:lineRule="auto"/>
        <w:jc w:val="both"/>
        <w:rPr>
          <w:rFonts w:asciiTheme="minorHAnsi" w:hAnsiTheme="minorHAnsi" w:cs="Arial"/>
          <w:sz w:val="20"/>
          <w:szCs w:val="20"/>
          <w:lang w:val="fr-BE"/>
        </w:rPr>
      </w:pPr>
      <w:r w:rsidRPr="008C3F18">
        <w:rPr>
          <w:rFonts w:asciiTheme="minorHAnsi" w:hAnsiTheme="minorHAnsi" w:cs="Arial"/>
          <w:sz w:val="20"/>
          <w:szCs w:val="20"/>
          <w:lang w:val="fr-BE"/>
        </w:rPr>
        <w:t>Iste godine usvojeni su Zakon o rodnoj ravnopravnosti i Zakon o zaštitniku ljudskih prava i sloboda, koji dalje uređuju unapređenje i zaštitu ovih prava i stvaraju uslove za osnaživanje žena i osoba različitog pola, te definišu prioritetne oblasti i ciljeve koji treba da doprinesu smanjenju rodne neravnopravnosti u svim oblastima društvenog, ekonomskog, političkog i kulturnog života.</w:t>
      </w:r>
    </w:p>
    <w:p w14:paraId="3C2E9A98" w14:textId="77777777" w:rsidR="00047EF8" w:rsidRPr="008C3F18" w:rsidRDefault="00864F83" w:rsidP="007840BE">
      <w:pPr>
        <w:spacing w:line="240" w:lineRule="auto"/>
        <w:jc w:val="both"/>
        <w:rPr>
          <w:rFonts w:asciiTheme="minorHAnsi" w:hAnsiTheme="minorHAnsi" w:cs="Arial"/>
          <w:sz w:val="20"/>
          <w:szCs w:val="20"/>
          <w:lang w:val="fr-BE"/>
        </w:rPr>
      </w:pPr>
      <w:r w:rsidRPr="008C3F18">
        <w:rPr>
          <w:rFonts w:asciiTheme="minorHAnsi" w:hAnsiTheme="minorHAnsi" w:cs="Arial"/>
          <w:sz w:val="20"/>
          <w:szCs w:val="20"/>
          <w:lang w:val="fr-BE"/>
        </w:rPr>
        <w:t>Donošenjem Zakona o izmjenama i dopunama Zakona o rodnoj ravnopravnosti dodatno je osnažena institucionalna zaštita rodne ravnopravnosti. Postupak individualne zaštite je prenijet sa resornog Ministarstva na instituciju Zaštitnika kroz sistem pojedinačnih pritužbi. Usklađenost ovog zakona sa Zakonom o zabrani diskriminacije je postignuta i u potpunosti je osiguran prenos rada i postupanje Ombudsmana po pritužbama po osnovu pola, roda i rodnog identiteta.</w:t>
      </w:r>
    </w:p>
    <w:p w14:paraId="62ED8C63" w14:textId="3387EE7E" w:rsidR="00047EF8" w:rsidRPr="008C3F18" w:rsidRDefault="00864F83" w:rsidP="007840BE">
      <w:pPr>
        <w:spacing w:line="240" w:lineRule="auto"/>
        <w:jc w:val="both"/>
        <w:rPr>
          <w:rFonts w:asciiTheme="minorHAnsi" w:hAnsiTheme="minorHAnsi" w:cs="Arial"/>
          <w:sz w:val="20"/>
          <w:szCs w:val="20"/>
          <w:lang w:val="fr-BE"/>
        </w:rPr>
      </w:pPr>
      <w:r w:rsidRPr="008C3F18">
        <w:rPr>
          <w:rFonts w:asciiTheme="minorHAnsi" w:hAnsiTheme="minorHAnsi" w:cs="Arial"/>
          <w:sz w:val="20"/>
          <w:szCs w:val="20"/>
          <w:lang w:val="fr-BE"/>
        </w:rPr>
        <w:t>Četiri godine kasnije, usvajanjem Zakona o zabrani diskriminacije, zakonodavni okvir je dodatno ojačan kroz integraciju međunarodnih principa i standarda za zaštitu od diskriminacije. Pripreme za izradu novog strateškog dokumenta za period 2021-2025 počele su u trećem</w:t>
      </w:r>
      <w:r w:rsidR="007840BE" w:rsidRPr="008C3F18">
        <w:rPr>
          <w:rFonts w:asciiTheme="minorHAnsi" w:hAnsiTheme="minorHAnsi" w:cs="Arial"/>
          <w:sz w:val="20"/>
          <w:szCs w:val="20"/>
          <w:lang w:val="fr-BE"/>
        </w:rPr>
        <w:t xml:space="preserve"> kvartalu 2020. Godine od strane Ministarstva</w:t>
      </w:r>
      <w:r w:rsidRPr="008C3F18">
        <w:rPr>
          <w:rFonts w:asciiTheme="minorHAnsi" w:hAnsiTheme="minorHAnsi" w:cs="Arial"/>
          <w:sz w:val="20"/>
          <w:szCs w:val="20"/>
          <w:lang w:val="fr-BE"/>
        </w:rPr>
        <w:t xml:space="preserve"> pravde, ljudskih i manjinskih prava u saradnji sa Misijom OEBS-a u Crnoj </w:t>
      </w:r>
      <w:r w:rsidR="007840BE" w:rsidRPr="008C3F18">
        <w:rPr>
          <w:rFonts w:asciiTheme="minorHAnsi" w:hAnsiTheme="minorHAnsi" w:cs="Arial"/>
          <w:sz w:val="20"/>
          <w:szCs w:val="20"/>
          <w:lang w:val="fr-BE"/>
        </w:rPr>
        <w:t>Gori i usvajanje istoga je planirano u narednog perioda.</w:t>
      </w:r>
    </w:p>
    <w:p w14:paraId="4E2FA3A1" w14:textId="77777777" w:rsidR="00047EF8" w:rsidRPr="008C3F18" w:rsidRDefault="00864F83" w:rsidP="007840BE">
      <w:pPr>
        <w:spacing w:line="240" w:lineRule="auto"/>
        <w:jc w:val="both"/>
        <w:rPr>
          <w:rFonts w:asciiTheme="minorHAnsi" w:hAnsiTheme="minorHAnsi" w:cs="Arial"/>
          <w:sz w:val="20"/>
          <w:szCs w:val="20"/>
          <w:lang w:val="fr-BE"/>
        </w:rPr>
      </w:pPr>
      <w:r w:rsidRPr="008C3F18">
        <w:rPr>
          <w:rFonts w:asciiTheme="minorHAnsi" w:hAnsiTheme="minorHAnsi" w:cs="Arial"/>
          <w:sz w:val="20"/>
          <w:szCs w:val="20"/>
          <w:lang w:val="fr-BE"/>
        </w:rPr>
        <w:t xml:space="preserve">Četvrti nacionalni strateški dokument za rodnu ravnopravnost u Crnoj Gori Nacionalna strategija za rodnu ravnopravnost (NSRR) 2021-2025, sa Akcionim planom 2021-2022 ima za cilj da usmjeri aktivnosti države kroz konkretne mjere za postizanje rodne ravnopravnosti do 2025. </w:t>
      </w:r>
      <w:proofErr w:type="gramStart"/>
      <w:r w:rsidRPr="008C3F18">
        <w:rPr>
          <w:rFonts w:asciiTheme="minorHAnsi" w:hAnsiTheme="minorHAnsi" w:cs="Arial"/>
          <w:sz w:val="20"/>
          <w:szCs w:val="20"/>
          <w:lang w:val="fr-BE"/>
        </w:rPr>
        <w:t>godine</w:t>
      </w:r>
      <w:proofErr w:type="gramEnd"/>
      <w:r w:rsidRPr="008C3F18">
        <w:rPr>
          <w:rFonts w:asciiTheme="minorHAnsi" w:hAnsiTheme="minorHAnsi" w:cs="Arial"/>
          <w:sz w:val="20"/>
          <w:szCs w:val="20"/>
          <w:lang w:val="fr-BE"/>
        </w:rPr>
        <w:t xml:space="preserve"> u procesu pristupanja Crne Gore EU i sa jasno definisanom vizijom, strateškim i operativnim ciljevima i indikatorima ka postizanju pune rodne ravnopravnosti.</w:t>
      </w:r>
    </w:p>
    <w:p w14:paraId="14A54663" w14:textId="77777777" w:rsidR="00047EF8" w:rsidRPr="008C3F18" w:rsidRDefault="00864F83" w:rsidP="007840BE">
      <w:pPr>
        <w:spacing w:line="240" w:lineRule="auto"/>
        <w:jc w:val="both"/>
        <w:rPr>
          <w:rFonts w:asciiTheme="minorHAnsi" w:hAnsiTheme="minorHAnsi" w:cs="Arial"/>
          <w:sz w:val="20"/>
          <w:szCs w:val="20"/>
          <w:lang w:val="fr-BE"/>
        </w:rPr>
      </w:pPr>
      <w:r w:rsidRPr="008C3F18">
        <w:rPr>
          <w:rFonts w:asciiTheme="minorHAnsi" w:hAnsiTheme="minorHAnsi" w:cs="Arial"/>
          <w:sz w:val="20"/>
          <w:szCs w:val="20"/>
          <w:lang w:val="fr-BE"/>
        </w:rPr>
        <w:t xml:space="preserve">Vlada Crne Gore je usvojila NSRR 2021–2025 sa Akcionim planom za 2021–2022 i usvojila Konačni izvještaj o realizaciji Akcionog plana za postizanje rodne ravnopravnosti u prethodnom periodu od 2017. </w:t>
      </w:r>
      <w:proofErr w:type="gramStart"/>
      <w:r w:rsidRPr="008C3F18">
        <w:rPr>
          <w:rFonts w:asciiTheme="minorHAnsi" w:hAnsiTheme="minorHAnsi" w:cs="Arial"/>
          <w:sz w:val="20"/>
          <w:szCs w:val="20"/>
          <w:lang w:val="fr-BE"/>
        </w:rPr>
        <w:t>do</w:t>
      </w:r>
      <w:proofErr w:type="gramEnd"/>
      <w:r w:rsidRPr="008C3F18">
        <w:rPr>
          <w:rFonts w:asciiTheme="minorHAnsi" w:hAnsiTheme="minorHAnsi" w:cs="Arial"/>
          <w:sz w:val="20"/>
          <w:szCs w:val="20"/>
          <w:lang w:val="fr-BE"/>
        </w:rPr>
        <w:t xml:space="preserve"> 2021. </w:t>
      </w:r>
      <w:proofErr w:type="gramStart"/>
      <w:r w:rsidRPr="008C3F18">
        <w:rPr>
          <w:rFonts w:asciiTheme="minorHAnsi" w:hAnsiTheme="minorHAnsi" w:cs="Arial"/>
          <w:sz w:val="20"/>
          <w:szCs w:val="20"/>
          <w:lang w:val="fr-BE"/>
        </w:rPr>
        <w:t>godine</w:t>
      </w:r>
      <w:proofErr w:type="gramEnd"/>
      <w:r w:rsidRPr="008C3F18">
        <w:rPr>
          <w:rFonts w:asciiTheme="minorHAnsi" w:hAnsiTheme="minorHAnsi" w:cs="Arial"/>
          <w:sz w:val="20"/>
          <w:szCs w:val="20"/>
          <w:lang w:val="fr-BE"/>
        </w:rPr>
        <w:t>. Strategija ima za cilj podizanje nivoa rodne ravnopravnosti kroz unapređenje sprovođenja postojećeg zakonodavnog okvira i primjenu mjera koje jačaju kapacitete institucionalnih mehanizama za primjenu zakonskih odredbi za zaštitu od diskriminacije, uspostavljanje efikasnije koordinacije, primjene, nadzora i izvještavanja. Mjere ove Strategije bave se i potrebom intenzivnijeg uključivanja svih društvenih aktera u rješavanje problema diskriminacije po osnovu pola i roda i osnaživanje žena i osoba različitog rodnog identiteta.</w:t>
      </w:r>
    </w:p>
    <w:p w14:paraId="2389F0D9" w14:textId="77777777" w:rsidR="00047EF8" w:rsidRPr="008C3F18" w:rsidRDefault="00864F83" w:rsidP="00047EF8">
      <w:pPr>
        <w:spacing w:line="240" w:lineRule="auto"/>
        <w:jc w:val="both"/>
        <w:rPr>
          <w:rFonts w:asciiTheme="minorHAnsi" w:hAnsiTheme="minorHAnsi" w:cs="Arial"/>
          <w:sz w:val="20"/>
          <w:szCs w:val="20"/>
          <w:lang w:val="fr-BE"/>
        </w:rPr>
      </w:pPr>
      <w:r w:rsidRPr="008C3F18">
        <w:rPr>
          <w:rFonts w:asciiTheme="minorHAnsi" w:hAnsiTheme="minorHAnsi" w:cs="Arial"/>
          <w:sz w:val="20"/>
          <w:szCs w:val="20"/>
          <w:lang w:val="fr-BE"/>
        </w:rPr>
        <w:t xml:space="preserve">NSRR za 2021-2025 će se fokusirati na tri operativna cilja: prvi je usmjeren na poboljšanje zakonodavnog okvira i sprovođenje politika koje imaju za cilj postizanje viših nivoa rodne ravnopravnosti, ili konkretnije uspostavljanje mehanizama koji osiguravaju uzimanje u obzir rodne ravnopravnosti u svim vladinim politikama; drugi operativni cilj će biti usmjeren na obrazovanje, medije i kulturu s ciljem smanjenja rodno zasnovanih stereotipa; i treći operativni cilj je usmjeren na obezbjeđivanje višeg nivoa zastupljenosti žena u oblastima koje garantuju pristup prirodnim i društvenim resursima, kao i </w:t>
      </w:r>
      <w:r w:rsidRPr="008C3F18">
        <w:rPr>
          <w:rFonts w:asciiTheme="minorHAnsi" w:hAnsiTheme="minorHAnsi" w:cs="Arial"/>
          <w:sz w:val="20"/>
          <w:szCs w:val="20"/>
          <w:lang w:val="fr-BE"/>
        </w:rPr>
        <w:lastRenderedPageBreak/>
        <w:t xml:space="preserve">korišćenje tih resursa. Punu verziju NSRR-a na engleskom jeziku možete pronaći ovdje </w:t>
      </w:r>
      <w:hyperlink r:id="rId19" w:history="1">
        <w:r w:rsidRPr="008C3F18">
          <w:rPr>
            <w:rStyle w:val="Hyperlink"/>
            <w:rFonts w:asciiTheme="minorHAnsi" w:hAnsiTheme="minorHAnsi" w:cs="Arial"/>
            <w:sz w:val="20"/>
            <w:lang w:val="fr-BE"/>
          </w:rPr>
          <w:t>https://www.gov.me/dokumenta/33985332-d431-4c25-9643-e9a15d76e548</w:t>
        </w:r>
      </w:hyperlink>
      <w:r w:rsidRPr="008C3F18">
        <w:rPr>
          <w:rFonts w:asciiTheme="minorHAnsi" w:hAnsiTheme="minorHAnsi" w:cs="Arial"/>
          <w:sz w:val="20"/>
          <w:szCs w:val="20"/>
          <w:lang w:val="fr-BE"/>
        </w:rPr>
        <w:t xml:space="preserve"> .</w:t>
      </w:r>
    </w:p>
    <w:p w14:paraId="7DE9871A" w14:textId="77777777" w:rsidR="00047EF8" w:rsidRPr="008C3F18" w:rsidRDefault="00864F83" w:rsidP="00047EF8">
      <w:pPr>
        <w:spacing w:line="240" w:lineRule="auto"/>
        <w:jc w:val="both"/>
        <w:rPr>
          <w:rFonts w:asciiTheme="minorHAnsi" w:hAnsiTheme="minorHAnsi" w:cs="Arial"/>
          <w:sz w:val="20"/>
          <w:szCs w:val="20"/>
          <w:u w:val="single"/>
          <w:lang w:val="fr-BE"/>
        </w:rPr>
      </w:pPr>
      <w:r w:rsidRPr="008C3F18">
        <w:rPr>
          <w:rFonts w:asciiTheme="minorHAnsi" w:hAnsiTheme="minorHAnsi" w:cs="Arial"/>
          <w:sz w:val="20"/>
          <w:szCs w:val="20"/>
          <w:u w:val="single"/>
          <w:lang w:val="fr-BE"/>
        </w:rPr>
        <w:t xml:space="preserve">INTEGRACIJA ROMA </w:t>
      </w:r>
    </w:p>
    <w:p w14:paraId="02F0DB39" w14:textId="77777777" w:rsidR="00047EF8" w:rsidRPr="008C3F18" w:rsidRDefault="00864F83" w:rsidP="00047EF8">
      <w:pPr>
        <w:spacing w:line="240" w:lineRule="auto"/>
        <w:jc w:val="both"/>
        <w:rPr>
          <w:rFonts w:asciiTheme="minorHAnsi" w:hAnsiTheme="minorHAnsi" w:cs="Arial"/>
          <w:sz w:val="20"/>
          <w:szCs w:val="20"/>
          <w:lang w:val="fr-BE"/>
        </w:rPr>
      </w:pPr>
      <w:r w:rsidRPr="008C3F18">
        <w:rPr>
          <w:rFonts w:asciiTheme="minorHAnsi" w:hAnsiTheme="minorHAnsi" w:cs="Arial"/>
          <w:sz w:val="20"/>
          <w:szCs w:val="20"/>
          <w:lang w:val="fr-BE"/>
        </w:rPr>
        <w:t xml:space="preserve">Vlada Crne Gore je u martu 2016. </w:t>
      </w:r>
      <w:proofErr w:type="gramStart"/>
      <w:r w:rsidRPr="008C3F18">
        <w:rPr>
          <w:rFonts w:asciiTheme="minorHAnsi" w:hAnsiTheme="minorHAnsi" w:cs="Arial"/>
          <w:sz w:val="20"/>
          <w:szCs w:val="20"/>
          <w:lang w:val="fr-BE"/>
        </w:rPr>
        <w:t>godine</w:t>
      </w:r>
      <w:proofErr w:type="gramEnd"/>
      <w:r w:rsidRPr="008C3F18">
        <w:rPr>
          <w:rFonts w:asciiTheme="minorHAnsi" w:hAnsiTheme="minorHAnsi" w:cs="Arial"/>
          <w:sz w:val="20"/>
          <w:szCs w:val="20"/>
          <w:lang w:val="fr-BE"/>
        </w:rPr>
        <w:t xml:space="preserve"> usvojila „Strategiju socijalne inkluzije Roma i Egipćana u Crnoj Gori 2016-2020“, koja je bila treći Strateški dokument za integraciju Roma i Egipćana u Crnoj Gori i realizovana je kroz jednogodišnje akcione planove. Ključni cilj Strategije bio je postizanje pune socijalne inkluzije Roma i Egipćana kroz unapređenje njihovog socio-ekonomskog položaja u Crnoj Gori.</w:t>
      </w:r>
    </w:p>
    <w:p w14:paraId="6D16C709" w14:textId="77777777" w:rsidR="00047EF8" w:rsidRPr="008C3F18" w:rsidRDefault="00864F83" w:rsidP="00047EF8">
      <w:pPr>
        <w:spacing w:line="240" w:lineRule="auto"/>
        <w:jc w:val="both"/>
        <w:rPr>
          <w:rFonts w:asciiTheme="minorHAnsi" w:hAnsiTheme="minorHAnsi" w:cs="Arial"/>
          <w:sz w:val="20"/>
          <w:szCs w:val="20"/>
          <w:lang w:val="fr-BE"/>
        </w:rPr>
      </w:pPr>
      <w:r w:rsidRPr="008C3F18">
        <w:rPr>
          <w:rFonts w:asciiTheme="minorHAnsi" w:hAnsiTheme="minorHAnsi" w:cs="Arial"/>
          <w:sz w:val="20"/>
          <w:szCs w:val="20"/>
          <w:lang w:val="fr-BE"/>
        </w:rPr>
        <w:t xml:space="preserve">U skladu sa navedenim strateškim ciljem, Akcionim planovima za sprovođenje Strategije definisane su i preduzete konkretne aktivnosti u različitim oblastima (pravni status, socijalni status i zaštita porodice), u okviru kojih su definisane četiri </w:t>
      </w:r>
      <w:proofErr w:type="gramStart"/>
      <w:r w:rsidRPr="008C3F18">
        <w:rPr>
          <w:rFonts w:asciiTheme="minorHAnsi" w:hAnsiTheme="minorHAnsi" w:cs="Arial"/>
          <w:sz w:val="20"/>
          <w:szCs w:val="20"/>
          <w:lang w:val="fr-BE"/>
        </w:rPr>
        <w:t>podoblasti:</w:t>
      </w:r>
      <w:proofErr w:type="gramEnd"/>
      <w:r w:rsidRPr="008C3F18">
        <w:rPr>
          <w:rFonts w:asciiTheme="minorHAnsi" w:hAnsiTheme="minorHAnsi" w:cs="Arial"/>
          <w:sz w:val="20"/>
          <w:szCs w:val="20"/>
          <w:lang w:val="fr-BE"/>
        </w:rPr>
        <w:t xml:space="preserve"> borba protiv nasilja u porodici i nasilja nad ženama; prevencija i suzbijanje prosjačenja, borba protiv trgovine ljudima i prevencija dječijih brakova), te oblast kulture, identiteta i informisanja. Sve preduzete aktivnosti bile su usmjerene na smanjenje jaza koji postoji između građana romske i egipćanske zajednice i ostatka stanovništva.</w:t>
      </w:r>
    </w:p>
    <w:p w14:paraId="1DDEA05B" w14:textId="77777777" w:rsidR="00047EF8" w:rsidRPr="008C3F18" w:rsidRDefault="00864F83" w:rsidP="00047EF8">
      <w:pPr>
        <w:spacing w:line="240" w:lineRule="auto"/>
        <w:jc w:val="both"/>
        <w:rPr>
          <w:rFonts w:asciiTheme="minorHAnsi" w:hAnsiTheme="minorHAnsi" w:cs="Arial"/>
          <w:sz w:val="20"/>
          <w:szCs w:val="20"/>
          <w:lang w:val="fr-BE"/>
        </w:rPr>
      </w:pPr>
      <w:r w:rsidRPr="008C3F18">
        <w:rPr>
          <w:rFonts w:asciiTheme="minorHAnsi" w:hAnsiTheme="minorHAnsi" w:cs="Arial"/>
          <w:sz w:val="20"/>
          <w:szCs w:val="20"/>
          <w:lang w:val="fr-BE"/>
        </w:rPr>
        <w:t xml:space="preserve">Vlada Crne Gore je u septembru 2021. </w:t>
      </w:r>
      <w:proofErr w:type="gramStart"/>
      <w:r w:rsidRPr="008C3F18">
        <w:rPr>
          <w:rFonts w:asciiTheme="minorHAnsi" w:hAnsiTheme="minorHAnsi" w:cs="Arial"/>
          <w:sz w:val="20"/>
          <w:szCs w:val="20"/>
          <w:lang w:val="fr-BE"/>
        </w:rPr>
        <w:t>godine</w:t>
      </w:r>
      <w:proofErr w:type="gramEnd"/>
      <w:r w:rsidRPr="008C3F18">
        <w:rPr>
          <w:rFonts w:asciiTheme="minorHAnsi" w:hAnsiTheme="minorHAnsi" w:cs="Arial"/>
          <w:sz w:val="20"/>
          <w:szCs w:val="20"/>
          <w:lang w:val="fr-BE"/>
        </w:rPr>
        <w:t xml:space="preserve"> usvojila „Strategiju socijalne inkluzije Roma i Egipćana u Crnoj Gori 2021-2025“ sa Akcionim planom za 2021. </w:t>
      </w:r>
      <w:proofErr w:type="gramStart"/>
      <w:r w:rsidRPr="008C3F18">
        <w:rPr>
          <w:rFonts w:asciiTheme="minorHAnsi" w:hAnsiTheme="minorHAnsi" w:cs="Arial"/>
          <w:sz w:val="20"/>
          <w:szCs w:val="20"/>
          <w:lang w:val="fr-BE"/>
        </w:rPr>
        <w:t>godinu</w:t>
      </w:r>
      <w:proofErr w:type="gramEnd"/>
      <w:r w:rsidRPr="008C3F18">
        <w:rPr>
          <w:rFonts w:asciiTheme="minorHAnsi" w:hAnsiTheme="minorHAnsi" w:cs="Arial"/>
          <w:sz w:val="20"/>
          <w:szCs w:val="20"/>
          <w:lang w:val="fr-BE"/>
        </w:rPr>
        <w:t>, koja je četvrti Strateški dokument za integraciju Roma i Egipćana u Crnoj Gori, i biće sprovedena kroz jednogodišnje i dvogodišnje akcione planove. Ključni cilj Strategije je unapređenje socio-ekonomskog i pravnog položaja Roma i Egipćana u Crnoj Gori, promovisanjem inkluzivnog i otvorenog društva zasnovanog na promociji ravnopravnosti, borbi i suzbijanju svih oblika diskriminacije, te anticiganizma i siromaštva. Strategija je usklađena sa strateškim okvirom EU za ravnopravnost, inkluziju i učešće Roma za period 2020-2030.</w:t>
      </w:r>
    </w:p>
    <w:p w14:paraId="00BA85D3" w14:textId="77777777" w:rsidR="00047EF8" w:rsidRPr="00F563CD" w:rsidRDefault="00864F83" w:rsidP="00047EF8">
      <w:pPr>
        <w:spacing w:line="240" w:lineRule="auto"/>
        <w:jc w:val="both"/>
        <w:rPr>
          <w:rFonts w:asciiTheme="minorHAnsi" w:hAnsiTheme="minorHAnsi" w:cs="Arial"/>
          <w:sz w:val="20"/>
          <w:szCs w:val="20"/>
        </w:rPr>
      </w:pPr>
      <w:r w:rsidRPr="008C3F18">
        <w:rPr>
          <w:rFonts w:asciiTheme="minorHAnsi" w:hAnsiTheme="minorHAnsi" w:cs="Arial"/>
          <w:sz w:val="20"/>
          <w:szCs w:val="20"/>
          <w:lang w:val="fr-BE"/>
        </w:rPr>
        <w:t xml:space="preserve">Takođe, u Poznanju je 5. </w:t>
      </w:r>
      <w:proofErr w:type="gramStart"/>
      <w:r w:rsidRPr="008C3F18">
        <w:rPr>
          <w:rFonts w:asciiTheme="minorHAnsi" w:hAnsiTheme="minorHAnsi" w:cs="Arial"/>
          <w:sz w:val="20"/>
          <w:szCs w:val="20"/>
          <w:lang w:val="fr-BE"/>
        </w:rPr>
        <w:t>jula</w:t>
      </w:r>
      <w:proofErr w:type="gramEnd"/>
      <w:r w:rsidRPr="008C3F18">
        <w:rPr>
          <w:rFonts w:asciiTheme="minorHAnsi" w:hAnsiTheme="minorHAnsi" w:cs="Arial"/>
          <w:sz w:val="20"/>
          <w:szCs w:val="20"/>
          <w:lang w:val="fr-BE"/>
        </w:rPr>
        <w:t xml:space="preserve"> 2019. </w:t>
      </w:r>
      <w:proofErr w:type="gramStart"/>
      <w:r w:rsidRPr="008C3F18">
        <w:rPr>
          <w:rFonts w:asciiTheme="minorHAnsi" w:hAnsiTheme="minorHAnsi" w:cs="Arial"/>
          <w:sz w:val="20"/>
          <w:szCs w:val="20"/>
          <w:lang w:val="fr-BE"/>
        </w:rPr>
        <w:t>godine</w:t>
      </w:r>
      <w:proofErr w:type="gramEnd"/>
      <w:r w:rsidRPr="008C3F18">
        <w:rPr>
          <w:rFonts w:asciiTheme="minorHAnsi" w:hAnsiTheme="minorHAnsi" w:cs="Arial"/>
          <w:sz w:val="20"/>
          <w:szCs w:val="20"/>
          <w:lang w:val="fr-BE"/>
        </w:rPr>
        <w:t xml:space="preserve"> potpisana Deklaracija partnera sa Zapadnog Balkana o integraciji Roma u sklopu procesa proširenja EU, čime smo se kao država obavezali da ćemo nastaviti jačati napore za postizanje pune ravnopravnosti i integraciju Roma. </w:t>
      </w:r>
      <w:r w:rsidRPr="00F563CD">
        <w:rPr>
          <w:rFonts w:asciiTheme="minorHAnsi" w:hAnsiTheme="minorHAnsi" w:cs="Arial"/>
          <w:sz w:val="20"/>
          <w:szCs w:val="20"/>
        </w:rPr>
        <w:t>Navedena Deklaracija navodi, između ostalog, ciljeve koje treba postići:</w:t>
      </w:r>
    </w:p>
    <w:p w14:paraId="0EAC9D10" w14:textId="77777777" w:rsidR="00047EF8" w:rsidRPr="00F563CD" w:rsidRDefault="00864F83" w:rsidP="00047EF8">
      <w:pPr>
        <w:pStyle w:val="ListParagraph"/>
        <w:numPr>
          <w:ilvl w:val="0"/>
          <w:numId w:val="102"/>
        </w:numPr>
        <w:spacing w:line="240" w:lineRule="auto"/>
        <w:jc w:val="both"/>
        <w:rPr>
          <w:rFonts w:asciiTheme="minorHAnsi" w:hAnsiTheme="minorHAnsi" w:cs="Arial"/>
          <w:sz w:val="20"/>
          <w:szCs w:val="20"/>
        </w:rPr>
      </w:pPr>
      <w:r w:rsidRPr="00F563CD">
        <w:rPr>
          <w:rFonts w:asciiTheme="minorHAnsi" w:hAnsiTheme="minorHAnsi" w:cs="Arial"/>
          <w:sz w:val="20"/>
          <w:szCs w:val="20"/>
        </w:rPr>
        <w:t>povećati stopu upisa i završetka romskog osnovnog obrazovanja na 90 posto i stopu upisa i završetka romskog srednjeg obrazovanja na 50 posto;</w:t>
      </w:r>
    </w:p>
    <w:p w14:paraId="0F122524" w14:textId="77777777" w:rsidR="00047EF8" w:rsidRPr="00F563CD" w:rsidRDefault="00864F83" w:rsidP="00047EF8">
      <w:pPr>
        <w:pStyle w:val="ListParagraph"/>
        <w:numPr>
          <w:ilvl w:val="0"/>
          <w:numId w:val="102"/>
        </w:numPr>
        <w:spacing w:line="240" w:lineRule="auto"/>
        <w:jc w:val="both"/>
        <w:rPr>
          <w:rFonts w:asciiTheme="minorHAnsi" w:hAnsiTheme="minorHAnsi" w:cs="Arial"/>
          <w:sz w:val="20"/>
          <w:szCs w:val="20"/>
        </w:rPr>
      </w:pPr>
      <w:r w:rsidRPr="00F563CD">
        <w:rPr>
          <w:rFonts w:asciiTheme="minorHAnsi" w:hAnsiTheme="minorHAnsi" w:cs="Arial"/>
          <w:sz w:val="20"/>
          <w:szCs w:val="20"/>
        </w:rPr>
        <w:t>povećati stopu zaposlenosti Roma u javnom sektoru na stopu koja je proporcionalna procentu Roma u ukupnoj populaciji, kao i povećati stopu zaposlenosti Roma na minimalno 25 procenata;</w:t>
      </w:r>
    </w:p>
    <w:p w14:paraId="46278924" w14:textId="77777777" w:rsidR="00047EF8" w:rsidRPr="00F563CD" w:rsidRDefault="00864F83" w:rsidP="00047EF8">
      <w:pPr>
        <w:pStyle w:val="ListParagraph"/>
        <w:numPr>
          <w:ilvl w:val="0"/>
          <w:numId w:val="102"/>
        </w:numPr>
        <w:spacing w:line="240" w:lineRule="auto"/>
        <w:jc w:val="both"/>
        <w:rPr>
          <w:rFonts w:asciiTheme="minorHAnsi" w:hAnsiTheme="minorHAnsi" w:cs="Arial"/>
          <w:sz w:val="20"/>
          <w:szCs w:val="20"/>
        </w:rPr>
      </w:pPr>
      <w:r w:rsidRPr="00F563CD">
        <w:rPr>
          <w:rFonts w:asciiTheme="minorHAnsi" w:hAnsiTheme="minorHAnsi" w:cs="Arial"/>
          <w:sz w:val="20"/>
          <w:szCs w:val="20"/>
        </w:rPr>
        <w:t>gde god je to moguće, legalizovati sva neformalna naselja u kojima žive Romi.</w:t>
      </w:r>
    </w:p>
    <w:p w14:paraId="75C50EF7" w14:textId="77777777" w:rsidR="00047EF8" w:rsidRPr="00F563CD" w:rsidRDefault="00864F83" w:rsidP="00047EF8">
      <w:pPr>
        <w:spacing w:after="160" w:line="259" w:lineRule="auto"/>
        <w:rPr>
          <w:rFonts w:asciiTheme="minorHAnsi" w:hAnsiTheme="minorHAnsi" w:cs="Arial"/>
          <w:sz w:val="20"/>
          <w:szCs w:val="20"/>
          <w:u w:val="single"/>
        </w:rPr>
      </w:pPr>
      <w:r w:rsidRPr="00F563CD">
        <w:rPr>
          <w:rFonts w:asciiTheme="minorHAnsi" w:hAnsiTheme="minorHAnsi" w:cs="Arial"/>
          <w:sz w:val="20"/>
          <w:szCs w:val="20"/>
          <w:u w:val="single"/>
        </w:rPr>
        <w:t>PRAVA MANJINA</w:t>
      </w:r>
    </w:p>
    <w:p w14:paraId="23DC1D02" w14:textId="77777777" w:rsidR="00047EF8" w:rsidRPr="00F563CD" w:rsidRDefault="00864F83" w:rsidP="00047EF8">
      <w:pPr>
        <w:numPr>
          <w:ilvl w:val="0"/>
          <w:numId w:val="32"/>
        </w:numPr>
        <w:spacing w:after="160" w:line="259" w:lineRule="auto"/>
        <w:contextualSpacing/>
        <w:rPr>
          <w:rFonts w:asciiTheme="minorHAnsi" w:eastAsiaTheme="minorHAnsi" w:hAnsiTheme="minorHAnsi" w:cs="Arial"/>
          <w:sz w:val="20"/>
          <w:szCs w:val="20"/>
        </w:rPr>
      </w:pPr>
      <w:r w:rsidRPr="00F563CD">
        <w:rPr>
          <w:rFonts w:asciiTheme="minorHAnsi" w:eastAsiaTheme="minorHAnsi" w:hAnsiTheme="minorHAnsi" w:cs="Arial"/>
          <w:sz w:val="20"/>
          <w:szCs w:val="20"/>
        </w:rPr>
        <w:t>Pravni okvir:</w:t>
      </w:r>
    </w:p>
    <w:p w14:paraId="4E519231" w14:textId="77777777" w:rsidR="00047EF8" w:rsidRPr="00F563CD" w:rsidRDefault="00864F83" w:rsidP="00047EF8">
      <w:pPr>
        <w:numPr>
          <w:ilvl w:val="0"/>
          <w:numId w:val="32"/>
        </w:numPr>
        <w:spacing w:after="160" w:line="259" w:lineRule="auto"/>
        <w:contextualSpacing/>
        <w:rPr>
          <w:rFonts w:asciiTheme="minorHAnsi" w:eastAsiaTheme="minorHAnsi" w:hAnsiTheme="minorHAnsi" w:cs="Arial"/>
          <w:sz w:val="20"/>
          <w:szCs w:val="20"/>
        </w:rPr>
      </w:pPr>
      <w:r w:rsidRPr="00F563CD">
        <w:rPr>
          <w:rFonts w:asciiTheme="minorHAnsi" w:eastAsiaTheme="minorHAnsi" w:hAnsiTheme="minorHAnsi" w:cs="Arial"/>
          <w:sz w:val="20"/>
          <w:szCs w:val="20"/>
        </w:rPr>
        <w:t>Ustav Crne Gore</w:t>
      </w:r>
    </w:p>
    <w:p w14:paraId="2A62520C" w14:textId="77777777" w:rsidR="00047EF8" w:rsidRPr="00F563CD" w:rsidRDefault="00864F83" w:rsidP="00047EF8">
      <w:pPr>
        <w:numPr>
          <w:ilvl w:val="0"/>
          <w:numId w:val="32"/>
        </w:numPr>
        <w:spacing w:after="160" w:line="259" w:lineRule="auto"/>
        <w:contextualSpacing/>
        <w:rPr>
          <w:rFonts w:asciiTheme="minorHAnsi" w:eastAsiaTheme="minorHAnsi" w:hAnsiTheme="minorHAnsi" w:cs="Arial"/>
          <w:sz w:val="20"/>
          <w:szCs w:val="20"/>
        </w:rPr>
      </w:pPr>
      <w:r w:rsidRPr="00F563CD">
        <w:rPr>
          <w:rFonts w:asciiTheme="minorHAnsi" w:eastAsiaTheme="minorHAnsi" w:hAnsiTheme="minorHAnsi" w:cs="Arial"/>
          <w:sz w:val="20"/>
          <w:szCs w:val="20"/>
        </w:rPr>
        <w:t>Strategija manjinske politike 2019-2023</w:t>
      </w:r>
    </w:p>
    <w:p w14:paraId="18F24D96" w14:textId="77777777" w:rsidR="00047EF8" w:rsidRPr="00F563CD" w:rsidRDefault="00864F83" w:rsidP="00047EF8">
      <w:pPr>
        <w:numPr>
          <w:ilvl w:val="0"/>
          <w:numId w:val="32"/>
        </w:numPr>
        <w:spacing w:after="160" w:line="259" w:lineRule="auto"/>
        <w:contextualSpacing/>
        <w:jc w:val="both"/>
        <w:rPr>
          <w:rFonts w:asciiTheme="minorHAnsi" w:eastAsiaTheme="minorHAnsi" w:hAnsiTheme="minorHAnsi" w:cs="Arial"/>
          <w:sz w:val="20"/>
          <w:szCs w:val="20"/>
        </w:rPr>
      </w:pPr>
      <w:r w:rsidRPr="00F563CD">
        <w:rPr>
          <w:rFonts w:asciiTheme="minorHAnsi" w:eastAsiaTheme="minorHAnsi" w:hAnsiTheme="minorHAnsi" w:cs="Arial"/>
          <w:sz w:val="20"/>
          <w:szCs w:val="20"/>
        </w:rPr>
        <w:t>Zakon o manjinskim pravima i slobodama</w:t>
      </w:r>
    </w:p>
    <w:p w14:paraId="229721F3" w14:textId="77777777" w:rsidR="00047EF8" w:rsidRPr="00F563CD" w:rsidRDefault="00047EF8" w:rsidP="00047EF8">
      <w:pPr>
        <w:spacing w:after="160" w:line="259" w:lineRule="auto"/>
        <w:ind w:left="720"/>
        <w:contextualSpacing/>
        <w:jc w:val="both"/>
        <w:rPr>
          <w:rFonts w:asciiTheme="minorHAnsi" w:eastAsiaTheme="minorHAnsi" w:hAnsiTheme="minorHAnsi" w:cs="Arial"/>
          <w:sz w:val="20"/>
          <w:szCs w:val="20"/>
        </w:rPr>
      </w:pPr>
    </w:p>
    <w:p w14:paraId="1AFE326F" w14:textId="77777777" w:rsidR="00047EF8" w:rsidRPr="00F563CD" w:rsidRDefault="00864F83" w:rsidP="00047EF8">
      <w:pPr>
        <w:spacing w:after="160" w:line="240" w:lineRule="auto"/>
        <w:jc w:val="both"/>
        <w:rPr>
          <w:rFonts w:asciiTheme="minorHAnsi" w:eastAsiaTheme="minorHAnsi" w:hAnsiTheme="minorHAnsi" w:cs="Arial"/>
          <w:sz w:val="20"/>
          <w:szCs w:val="20"/>
        </w:rPr>
      </w:pPr>
      <w:r w:rsidRPr="00F563CD">
        <w:rPr>
          <w:rFonts w:asciiTheme="minorHAnsi" w:eastAsiaTheme="minorHAnsi" w:hAnsiTheme="minorHAnsi" w:cs="Arial"/>
          <w:sz w:val="20"/>
          <w:szCs w:val="20"/>
        </w:rPr>
        <w:t>Vlada Crne Gore usvojila je 15. jula 2021. godine novi Akcioni plan za sprovođenje Strategije manjinske politike 2019-2023, za 2021-2022. godinu. Akcioni plan sadrži strateške ciljeve, definisane konkretne aktivnosti, indikatore rezultata, nadležne institucije, predviđene rokove za realizaciju aktivnosti, kao i finansijsku strukturu za realizaciju strateškog dokumenta i Akcionog plana.</w:t>
      </w:r>
    </w:p>
    <w:p w14:paraId="24E186EC" w14:textId="77777777" w:rsidR="00047EF8" w:rsidRPr="00F563CD" w:rsidRDefault="00864F83" w:rsidP="00047EF8">
      <w:pPr>
        <w:spacing w:after="160" w:line="240" w:lineRule="auto"/>
        <w:jc w:val="both"/>
        <w:rPr>
          <w:rFonts w:asciiTheme="minorHAnsi" w:eastAsiaTheme="minorHAnsi" w:hAnsiTheme="minorHAnsi" w:cs="Arial"/>
          <w:sz w:val="20"/>
          <w:szCs w:val="20"/>
        </w:rPr>
      </w:pPr>
      <w:r w:rsidRPr="00F563CD">
        <w:rPr>
          <w:rFonts w:asciiTheme="minorHAnsi" w:eastAsiaTheme="minorHAnsi" w:hAnsiTheme="minorHAnsi" w:cs="Arial"/>
          <w:sz w:val="20"/>
          <w:szCs w:val="20"/>
        </w:rPr>
        <w:t>Realizacijom ove Strategije biće moguće nastaviti sa afirmacijom multikulturalnog bogatstva Crne Gore i integraciju manjina u crnogorsko društvo, uz očuvanje i promociju njihovog identiteta, gdje je identifikovano pet ključnih oblasti djelovanja: obrazovanje, zapošljavanje, kultura i identitet, političko učešće i posebne mjere.</w:t>
      </w:r>
    </w:p>
    <w:p w14:paraId="0D508973" w14:textId="1629729B" w:rsidR="00047EF8" w:rsidRPr="00FE2154" w:rsidRDefault="00864F83" w:rsidP="00FE2154">
      <w:pPr>
        <w:spacing w:line="240" w:lineRule="auto"/>
        <w:jc w:val="both"/>
        <w:rPr>
          <w:rFonts w:asciiTheme="minorHAnsi" w:hAnsiTheme="minorHAnsi" w:cs="Arial"/>
          <w:sz w:val="20"/>
          <w:szCs w:val="20"/>
        </w:rPr>
      </w:pPr>
      <w:r w:rsidRPr="00F563CD">
        <w:rPr>
          <w:rFonts w:asciiTheme="minorHAnsi" w:hAnsiTheme="minorHAnsi" w:cs="Arial"/>
          <w:sz w:val="20"/>
          <w:szCs w:val="20"/>
        </w:rPr>
        <w:t>Strategija manjinske politike 2019-2023 prepoznaje značaj ostvarivanja prava na rad i promoviše usklađivanje uslova i početnih pretpostavki u pogledu mogućnosti zapošljavanja pripadnika manjina. U tom smislu, jedan od ciljeva Strategije je sprovođenje afirmativne akcije u cilju promocije zapošljavanja pripadnika manjina.</w:t>
      </w:r>
    </w:p>
    <w:p w14:paraId="65B5A5DD" w14:textId="77777777" w:rsidR="00047EF8" w:rsidRPr="00F563CD" w:rsidRDefault="00864F83" w:rsidP="00047EF8">
      <w:pPr>
        <w:spacing w:before="100" w:beforeAutospacing="1" w:after="100" w:afterAutospacing="1" w:line="240" w:lineRule="auto"/>
        <w:jc w:val="both"/>
        <w:rPr>
          <w:rFonts w:asciiTheme="minorHAnsi" w:hAnsiTheme="minorHAnsi" w:cs="Arial"/>
          <w:sz w:val="20"/>
          <w:szCs w:val="20"/>
          <w:u w:val="single"/>
        </w:rPr>
      </w:pPr>
      <w:r w:rsidRPr="00F563CD">
        <w:rPr>
          <w:rFonts w:asciiTheme="minorHAnsi" w:hAnsiTheme="minorHAnsi" w:cs="Arial"/>
          <w:sz w:val="20"/>
          <w:szCs w:val="20"/>
          <w:u w:val="single"/>
        </w:rPr>
        <w:t>OSOBE SA INVALIDITETOM</w:t>
      </w:r>
    </w:p>
    <w:p w14:paraId="04A90C1F" w14:textId="718AFF0B" w:rsidR="00047EF8" w:rsidRPr="00F563CD" w:rsidRDefault="00864F83" w:rsidP="00047EF8">
      <w:pPr>
        <w:spacing w:before="100" w:beforeAutospacing="1" w:after="100" w:afterAutospacing="1" w:line="240" w:lineRule="auto"/>
        <w:jc w:val="both"/>
        <w:rPr>
          <w:rFonts w:asciiTheme="minorHAnsi" w:hAnsiTheme="minorHAnsi" w:cs="Arial"/>
          <w:sz w:val="20"/>
          <w:szCs w:val="20"/>
        </w:rPr>
      </w:pPr>
      <w:r w:rsidRPr="00F563CD">
        <w:rPr>
          <w:rFonts w:asciiTheme="minorHAnsi" w:hAnsiTheme="minorHAnsi" w:cs="Arial"/>
          <w:sz w:val="20"/>
          <w:szCs w:val="20"/>
        </w:rPr>
        <w:t xml:space="preserve">Vlada Crne Gore je u </w:t>
      </w:r>
      <w:r w:rsidRPr="002C4A5D">
        <w:rPr>
          <w:rFonts w:asciiTheme="minorHAnsi" w:hAnsiTheme="minorHAnsi" w:cs="Arial"/>
          <w:sz w:val="20"/>
          <w:szCs w:val="20"/>
        </w:rPr>
        <w:t>decembru 2016. godine usvojila Strategiju zaštite osoba sa invaliditetom od diskriminacije i promociju</w:t>
      </w:r>
      <w:r w:rsidR="00D46B1E" w:rsidRPr="002C4A5D">
        <w:rPr>
          <w:rFonts w:asciiTheme="minorHAnsi" w:hAnsiTheme="minorHAnsi" w:cs="Arial"/>
          <w:sz w:val="20"/>
          <w:szCs w:val="20"/>
        </w:rPr>
        <w:t xml:space="preserve"> jednakosti za period 2017-2021</w:t>
      </w:r>
      <w:r w:rsidRPr="002C4A5D">
        <w:rPr>
          <w:rFonts w:asciiTheme="minorHAnsi" w:hAnsiTheme="minorHAnsi" w:cs="Arial"/>
          <w:sz w:val="20"/>
          <w:szCs w:val="20"/>
        </w:rPr>
        <w:t xml:space="preserve">. U toku je priprema </w:t>
      </w:r>
      <w:r w:rsidR="006712E0" w:rsidRPr="002C4A5D">
        <w:rPr>
          <w:rFonts w:asciiTheme="minorHAnsi" w:hAnsiTheme="minorHAnsi" w:cs="Arial"/>
          <w:sz w:val="20"/>
          <w:szCs w:val="20"/>
        </w:rPr>
        <w:t>nove Strategije za period 2022-2027</w:t>
      </w:r>
      <w:r w:rsidR="002C4A5D" w:rsidRPr="002C4A5D">
        <w:rPr>
          <w:rFonts w:asciiTheme="minorHAnsi" w:hAnsiTheme="minorHAnsi" w:cs="Arial"/>
          <w:sz w:val="20"/>
          <w:szCs w:val="20"/>
        </w:rPr>
        <w:t>, dok je Akcioni plan za sprovođenje Strategije manjinske politike</w:t>
      </w:r>
      <w:r w:rsidRPr="002C4A5D">
        <w:rPr>
          <w:rFonts w:asciiTheme="minorHAnsi" w:hAnsiTheme="minorHAnsi" w:cs="Arial"/>
          <w:sz w:val="20"/>
          <w:szCs w:val="20"/>
        </w:rPr>
        <w:t xml:space="preserve"> </w:t>
      </w:r>
      <w:r w:rsidR="002C4A5D" w:rsidRPr="002C4A5D">
        <w:rPr>
          <w:rFonts w:asciiTheme="minorHAnsi" w:hAnsiTheme="minorHAnsi" w:cs="Arial"/>
          <w:sz w:val="20"/>
          <w:szCs w:val="20"/>
        </w:rPr>
        <w:t xml:space="preserve">2019-2023 </w:t>
      </w:r>
      <w:r w:rsidRPr="002C4A5D">
        <w:rPr>
          <w:rFonts w:asciiTheme="minorHAnsi" w:hAnsiTheme="minorHAnsi" w:cs="Arial"/>
          <w:sz w:val="20"/>
          <w:szCs w:val="20"/>
        </w:rPr>
        <w:t xml:space="preserve">za </w:t>
      </w:r>
      <w:r w:rsidR="002C4A5D" w:rsidRPr="002C4A5D">
        <w:rPr>
          <w:rFonts w:asciiTheme="minorHAnsi" w:hAnsiTheme="minorHAnsi" w:cs="Arial"/>
          <w:sz w:val="20"/>
          <w:szCs w:val="20"/>
        </w:rPr>
        <w:t xml:space="preserve">period </w:t>
      </w:r>
      <w:r w:rsidRPr="002C4A5D">
        <w:rPr>
          <w:rFonts w:asciiTheme="minorHAnsi" w:hAnsiTheme="minorHAnsi" w:cs="Arial"/>
          <w:sz w:val="20"/>
          <w:szCs w:val="20"/>
        </w:rPr>
        <w:t>2021</w:t>
      </w:r>
      <w:r w:rsidR="002C4A5D" w:rsidRPr="002C4A5D">
        <w:rPr>
          <w:rFonts w:asciiTheme="minorHAnsi" w:hAnsiTheme="minorHAnsi" w:cs="Arial"/>
          <w:sz w:val="20"/>
          <w:szCs w:val="20"/>
        </w:rPr>
        <w:t>-2022. godina usvojen</w:t>
      </w:r>
      <w:r w:rsidR="002C4A5D">
        <w:rPr>
          <w:rFonts w:asciiTheme="minorHAnsi" w:hAnsiTheme="minorHAnsi" w:cs="Arial"/>
          <w:sz w:val="20"/>
          <w:szCs w:val="20"/>
        </w:rPr>
        <w:t xml:space="preserve"> u julu 2021. godine.</w:t>
      </w:r>
    </w:p>
    <w:p w14:paraId="6442A5E6" w14:textId="77777777" w:rsidR="00047EF8" w:rsidRPr="00F563CD" w:rsidRDefault="00864F83" w:rsidP="00047EF8">
      <w:pPr>
        <w:spacing w:before="100" w:beforeAutospacing="1" w:after="100" w:afterAutospacing="1" w:line="240" w:lineRule="auto"/>
        <w:jc w:val="both"/>
        <w:rPr>
          <w:rFonts w:asciiTheme="minorHAnsi" w:hAnsiTheme="minorHAnsi" w:cs="Arial"/>
          <w:sz w:val="20"/>
          <w:szCs w:val="20"/>
        </w:rPr>
      </w:pPr>
      <w:r w:rsidRPr="00F563CD">
        <w:rPr>
          <w:rFonts w:asciiTheme="minorHAnsi" w:hAnsiTheme="minorHAnsi" w:cs="Arial"/>
          <w:sz w:val="20"/>
          <w:szCs w:val="20"/>
        </w:rPr>
        <w:t>U okviru Programa rada za 2021. godinu Ministarstva pravde, ljudskih i manjinskih prava planirano je sprovođenje istraživanja o diskriminaciji osoba sa invaliditetom, koje će biti polazna osnova za uspostavljanje nove Strategije zaštite osoba sa invaliditetom od diskriminacije i promociju jednakosti u narednih pet godina.</w:t>
      </w:r>
    </w:p>
    <w:p w14:paraId="6BE361F0" w14:textId="18B13257" w:rsidR="00047EF8" w:rsidRPr="00F563CD" w:rsidRDefault="008C3F18" w:rsidP="00047EF8">
      <w:pPr>
        <w:spacing w:before="100" w:beforeAutospacing="1" w:after="100" w:afterAutospacing="1" w:line="240" w:lineRule="auto"/>
        <w:jc w:val="both"/>
        <w:rPr>
          <w:rFonts w:asciiTheme="minorHAnsi" w:hAnsiTheme="minorHAnsi" w:cs="Arial"/>
          <w:sz w:val="20"/>
          <w:szCs w:val="20"/>
        </w:rPr>
      </w:pPr>
      <w:r w:rsidRPr="008C3F18">
        <w:rPr>
          <w:rFonts w:asciiTheme="minorHAnsi" w:hAnsiTheme="minorHAnsi" w:cs="Arial"/>
          <w:sz w:val="20"/>
          <w:szCs w:val="20"/>
        </w:rPr>
        <w:lastRenderedPageBreak/>
        <w:t>Ministarstvo</w:t>
      </w:r>
      <w:r w:rsidR="00864F83" w:rsidRPr="008C3F18">
        <w:rPr>
          <w:rFonts w:asciiTheme="minorHAnsi" w:hAnsiTheme="minorHAnsi" w:cs="Arial"/>
          <w:sz w:val="20"/>
          <w:szCs w:val="20"/>
        </w:rPr>
        <w:t xml:space="preserve"> pravde, ljudskih i manjinskih pr</w:t>
      </w:r>
      <w:r w:rsidRPr="008C3F18">
        <w:rPr>
          <w:rFonts w:asciiTheme="minorHAnsi" w:hAnsiTheme="minorHAnsi" w:cs="Arial"/>
          <w:sz w:val="20"/>
          <w:szCs w:val="20"/>
        </w:rPr>
        <w:t>ava planira</w:t>
      </w:r>
      <w:r w:rsidR="00864F83" w:rsidRPr="008C3F18">
        <w:rPr>
          <w:rFonts w:asciiTheme="minorHAnsi" w:hAnsiTheme="minorHAnsi" w:cs="Arial"/>
          <w:sz w:val="20"/>
          <w:szCs w:val="20"/>
        </w:rPr>
        <w:t xml:space="preserve"> angažovanje stručnjaka iz oblasti strateškog planiranja, koji će</w:t>
      </w:r>
      <w:r>
        <w:rPr>
          <w:rFonts w:asciiTheme="minorHAnsi" w:hAnsiTheme="minorHAnsi" w:cs="Arial"/>
          <w:sz w:val="20"/>
          <w:szCs w:val="20"/>
        </w:rPr>
        <w:t>,</w:t>
      </w:r>
      <w:r w:rsidR="00864F83" w:rsidRPr="008C3F18">
        <w:rPr>
          <w:rFonts w:asciiTheme="minorHAnsi" w:hAnsiTheme="minorHAnsi" w:cs="Arial"/>
          <w:sz w:val="20"/>
          <w:szCs w:val="20"/>
        </w:rPr>
        <w:t xml:space="preserve"> zajedno sa radnom grupom pripremiti završni izvještaj o sprovođenju Strategije 2017-2021, te pripremiti novi strateški dokument sa AP za naredni petogodišnji period.</w:t>
      </w:r>
    </w:p>
    <w:p w14:paraId="0D3117EC" w14:textId="77777777" w:rsidR="00047EF8" w:rsidRPr="00F563CD" w:rsidRDefault="00864F83" w:rsidP="00047EF8">
      <w:pPr>
        <w:spacing w:before="100" w:beforeAutospacing="1" w:after="100" w:afterAutospacing="1" w:line="240" w:lineRule="auto"/>
        <w:jc w:val="both"/>
        <w:rPr>
          <w:rFonts w:asciiTheme="minorHAnsi" w:hAnsiTheme="minorHAnsi" w:cs="Arial"/>
          <w:sz w:val="20"/>
          <w:szCs w:val="20"/>
        </w:rPr>
      </w:pPr>
      <w:r w:rsidRPr="00F563CD">
        <w:rPr>
          <w:rFonts w:asciiTheme="minorHAnsi" w:hAnsiTheme="minorHAnsi" w:cs="Arial"/>
          <w:sz w:val="20"/>
          <w:szCs w:val="20"/>
        </w:rPr>
        <w:t>Veoma mali broj pokrenutih postupaka za zaštitu od diskriminacije osoba sa invaliditetom ide u prilog činjenici da nivo znanja i informisanosti osoba sa invaliditetom o mehanizmima zaštite od diskriminacije nije na adekvatnom nivou. Istraživanje javnog mnjenja pokazuje da su osobe sa invaliditetom najdiskriminisanija grupa, iako je stepen socijalne distance u odnosu na osobe sa invaliditetom manji u odnosu na prethodni period. Veoma mali broj postupaka za zaštitu od diskriminacije u inspekcijskim organima pokazuje da je veoma mali broj radnji po službenoj dužnosti. Pandemija COVID 19 posebno je pogodila osobe sa invaliditetom.</w:t>
      </w:r>
    </w:p>
    <w:p w14:paraId="2F6F6338" w14:textId="77777777" w:rsidR="00047EF8" w:rsidRPr="00F563CD" w:rsidRDefault="00864F83" w:rsidP="00047EF8">
      <w:pPr>
        <w:spacing w:before="100" w:beforeAutospacing="1" w:after="100" w:afterAutospacing="1" w:line="240" w:lineRule="auto"/>
        <w:jc w:val="both"/>
        <w:rPr>
          <w:rFonts w:asciiTheme="minorHAnsi" w:hAnsiTheme="minorHAnsi" w:cs="Arial"/>
          <w:sz w:val="20"/>
          <w:szCs w:val="20"/>
        </w:rPr>
      </w:pPr>
      <w:r w:rsidRPr="00F563CD">
        <w:rPr>
          <w:rFonts w:asciiTheme="minorHAnsi" w:hAnsiTheme="minorHAnsi" w:cs="Arial"/>
          <w:sz w:val="20"/>
          <w:szCs w:val="20"/>
        </w:rPr>
        <w:t>Strategija zaštite osoba sa invaliditetom od diskriminacije i promociju jednakosti za period 2017-2021, sa Akcionim planom, Analiza usaglašenosti crnogorskog zakonodavstva sa Zakonom o zabrani diskriminacije osoba sa invaliditetom sa Konvencijom UN, Konvencija UN o pravima osoba sa invaliditetom, Zaključna zapažanja Komiteta UN za prava osoba sa invaliditetom, Zakon o zabrani diskriminacije, Zakon o zabrani diskriminacije osoba sa invaliditetom, Zakon o zaštitniku ljudskih prava i sloboda.</w:t>
      </w:r>
    </w:p>
    <w:p w14:paraId="5F3E34CE" w14:textId="77777777" w:rsidR="00047EF8" w:rsidRPr="00F563CD" w:rsidRDefault="00864F83" w:rsidP="00047EF8">
      <w:pPr>
        <w:spacing w:before="100" w:beforeAutospacing="1" w:after="100" w:afterAutospacing="1" w:line="240" w:lineRule="auto"/>
        <w:jc w:val="both"/>
        <w:rPr>
          <w:rFonts w:asciiTheme="minorHAnsi" w:hAnsiTheme="minorHAnsi" w:cs="Arial"/>
          <w:sz w:val="20"/>
          <w:szCs w:val="20"/>
        </w:rPr>
      </w:pPr>
      <w:r w:rsidRPr="00F563CD">
        <w:rPr>
          <w:rFonts w:asciiTheme="minorHAnsi" w:hAnsiTheme="minorHAnsi" w:cs="Arial"/>
          <w:sz w:val="20"/>
          <w:szCs w:val="20"/>
        </w:rPr>
        <w:t>U toku je izrada Strategije zaštite i ravnopravnosti osoba sa invaliditetom 2022-2027 i potrebno je obezbijediti prevod nacrta Strategije.</w:t>
      </w:r>
    </w:p>
    <w:p w14:paraId="707CBE64" w14:textId="77777777" w:rsidR="00047EF8" w:rsidRPr="00F563CD" w:rsidRDefault="00864F83" w:rsidP="00047EF8">
      <w:pPr>
        <w:spacing w:before="100" w:beforeAutospacing="1" w:after="100" w:afterAutospacing="1" w:line="240" w:lineRule="auto"/>
        <w:jc w:val="both"/>
        <w:rPr>
          <w:rFonts w:asciiTheme="minorHAnsi" w:hAnsiTheme="minorHAnsi" w:cs="Arial"/>
          <w:sz w:val="20"/>
          <w:szCs w:val="20"/>
        </w:rPr>
      </w:pPr>
      <w:r w:rsidRPr="00F563CD">
        <w:rPr>
          <w:rFonts w:asciiTheme="minorHAnsi" w:hAnsiTheme="minorHAnsi" w:cs="Arial"/>
          <w:sz w:val="20"/>
          <w:szCs w:val="20"/>
        </w:rPr>
        <w:t>Takođe, nedavno je odlučeno da će tehničke i administrativne poslove za potrebe rada Savjeta za prava osoba sa invaliditetom obavljati Ministarstvo pravde, ljudskih i manjinskih prava.</w:t>
      </w:r>
    </w:p>
    <w:p w14:paraId="7CA0F052" w14:textId="77777777" w:rsidR="00047EF8" w:rsidRPr="00F563CD" w:rsidRDefault="00864F83" w:rsidP="00047EF8">
      <w:pPr>
        <w:spacing w:before="100" w:beforeAutospacing="1" w:after="100" w:afterAutospacing="1" w:line="240" w:lineRule="auto"/>
        <w:jc w:val="both"/>
        <w:rPr>
          <w:rFonts w:asciiTheme="minorHAnsi" w:hAnsiTheme="minorHAnsi" w:cs="Arial"/>
          <w:sz w:val="20"/>
          <w:szCs w:val="20"/>
        </w:rPr>
      </w:pPr>
      <w:r w:rsidRPr="00F563CD">
        <w:rPr>
          <w:rFonts w:asciiTheme="minorHAnsi" w:hAnsiTheme="minorHAnsi" w:cs="Arial"/>
          <w:sz w:val="20"/>
          <w:szCs w:val="20"/>
        </w:rPr>
        <w:t>Važno je napomenuti da je Akcioni plan za sprovođenje Strategije zaštite osoba sa invaliditetom od diskriminacije i promocije jednakosti za period 2017-2021, za 2021. godinu sa Izveštajem o realizaciji Akcionog plana za 2019. i 2020. usvojen u julu ove godine.</w:t>
      </w:r>
    </w:p>
    <w:p w14:paraId="45306C81" w14:textId="77777777" w:rsidR="00047EF8" w:rsidRPr="00F563CD" w:rsidRDefault="00864F83" w:rsidP="00047EF8">
      <w:pPr>
        <w:spacing w:before="100" w:beforeAutospacing="1" w:after="100" w:afterAutospacing="1" w:line="240" w:lineRule="auto"/>
        <w:jc w:val="both"/>
        <w:rPr>
          <w:rFonts w:asciiTheme="minorHAnsi" w:hAnsiTheme="minorHAnsi" w:cs="Arial"/>
          <w:sz w:val="20"/>
          <w:szCs w:val="20"/>
        </w:rPr>
      </w:pPr>
      <w:r w:rsidRPr="00F563CD">
        <w:rPr>
          <w:rFonts w:asciiTheme="minorHAnsi" w:hAnsiTheme="minorHAnsi" w:cs="Arial"/>
          <w:sz w:val="20"/>
          <w:szCs w:val="20"/>
        </w:rPr>
        <w:t>Zaštitnik ljudskih prava i sloboda očekuje da će Akcioni plan za sprovođenje preporuka Komiteta UN o pravima osoba sa invaliditetom biti usvojen u najkraćem mogućem roku. Ovim akcionim planom uspostaviće se nadležnost nacionalnog mehanizma institucije Ombudsmana za praćenje primjene Konvencije UN o pravima osoba sa invaliditetom.</w:t>
      </w:r>
    </w:p>
    <w:p w14:paraId="6DBF6E4C" w14:textId="77777777" w:rsidR="00047EF8" w:rsidRPr="00F563CD" w:rsidRDefault="00864F83" w:rsidP="00047EF8">
      <w:pPr>
        <w:spacing w:before="100" w:beforeAutospacing="1" w:after="100" w:afterAutospacing="1" w:line="240" w:lineRule="auto"/>
        <w:rPr>
          <w:rFonts w:asciiTheme="minorHAnsi" w:hAnsiTheme="minorHAnsi" w:cs="Arial"/>
          <w:sz w:val="20"/>
          <w:szCs w:val="20"/>
          <w:u w:val="single"/>
        </w:rPr>
      </w:pPr>
      <w:r w:rsidRPr="00F563CD">
        <w:rPr>
          <w:rFonts w:asciiTheme="minorHAnsi" w:hAnsiTheme="minorHAnsi" w:cs="Arial"/>
          <w:sz w:val="20"/>
          <w:szCs w:val="20"/>
          <w:u w:val="single"/>
        </w:rPr>
        <w:t>LGBTI</w:t>
      </w:r>
    </w:p>
    <w:p w14:paraId="63F746DA" w14:textId="77777777" w:rsidR="00047EF8" w:rsidRPr="00F563CD" w:rsidRDefault="00864F83" w:rsidP="00047EF8">
      <w:pPr>
        <w:spacing w:line="240" w:lineRule="auto"/>
        <w:jc w:val="both"/>
        <w:rPr>
          <w:rFonts w:asciiTheme="minorHAnsi" w:hAnsiTheme="minorHAnsi" w:cs="Arial"/>
          <w:sz w:val="20"/>
          <w:szCs w:val="20"/>
        </w:rPr>
      </w:pPr>
      <w:r w:rsidRPr="00F563CD">
        <w:rPr>
          <w:rFonts w:asciiTheme="minorHAnsi" w:hAnsiTheme="minorHAnsi" w:cs="Arial"/>
          <w:sz w:val="20"/>
          <w:szCs w:val="20"/>
        </w:rPr>
        <w:t>Pravni osnov za promociju, jačanje i unapređenje zaštite osnovnih ljudskih prava i sloboda sadržanih u Ustavu Crne Gore dalje je razrađen kroz posebne zakone: Krivični zakonik Crne Gore, Zakon o zabrani diskriminacije, Zakon o zaštitniku ljudskih prava i sloboda Crne Gore, kao i Zakon o životnom partnerstvu lica istog pola.</w:t>
      </w:r>
    </w:p>
    <w:p w14:paraId="2066131B" w14:textId="77777777" w:rsidR="00047EF8" w:rsidRPr="00F563CD" w:rsidRDefault="00864F83" w:rsidP="00047EF8">
      <w:pPr>
        <w:spacing w:line="240" w:lineRule="auto"/>
        <w:jc w:val="both"/>
        <w:rPr>
          <w:rFonts w:asciiTheme="minorHAnsi" w:hAnsiTheme="minorHAnsi" w:cs="Arial"/>
          <w:sz w:val="20"/>
          <w:szCs w:val="20"/>
        </w:rPr>
      </w:pPr>
      <w:r w:rsidRPr="00F563CD">
        <w:rPr>
          <w:rFonts w:asciiTheme="minorHAnsi" w:hAnsiTheme="minorHAnsi" w:cs="Arial"/>
          <w:sz w:val="20"/>
          <w:szCs w:val="20"/>
        </w:rPr>
        <w:t>Krivičnopravna zaštita od značaja za seksualnu orijentaciju predviđena je Krivičnim zakonikom Crne Gore u članovima 433 i 42a. Krivičnim zakonikom Crne Gore predviđene su posebne okolnosti za odmjeravanje kazne za krivično djelo počinjeno iz zločina mržnje po osnovu seksualne orjentacije ili rodnog identiteta. Ako je krivično djelo počinjeno iz mržnje po osnovu seksualne orjentacije ili rodnog identiteta drugog lica, sud će ovu okolnost ocijeniti kao otežavajuću.</w:t>
      </w:r>
    </w:p>
    <w:p w14:paraId="06F7BA98" w14:textId="77777777" w:rsidR="00047EF8" w:rsidRPr="00F563CD" w:rsidRDefault="00864F83" w:rsidP="00047EF8">
      <w:pPr>
        <w:spacing w:line="240" w:lineRule="auto"/>
        <w:jc w:val="both"/>
        <w:rPr>
          <w:rFonts w:asciiTheme="minorHAnsi" w:hAnsiTheme="minorHAnsi" w:cs="Arial"/>
          <w:sz w:val="20"/>
          <w:szCs w:val="20"/>
        </w:rPr>
      </w:pPr>
      <w:r w:rsidRPr="00F563CD">
        <w:rPr>
          <w:rFonts w:asciiTheme="minorHAnsi" w:hAnsiTheme="minorHAnsi" w:cs="Arial"/>
          <w:sz w:val="20"/>
          <w:szCs w:val="20"/>
        </w:rPr>
        <w:t>Zaštitu od diskriminacije na osnovu seksualne orjentacije obezbjeđuje i Opšti zakon o zabrani diskriminacije. Član 2. ovog zakona zabranjuje posrednu i neposrednu diskriminaciju po bilo kom osnovu, uključujući seksualnu orjentaciju i rodni identitet. Nadalje, ovaj Zakon u posebnom članu (član 19) tretira diskriminaciju na osnovu seksualne orjentacije i rodnog identiteta. Nadalje, ovaj zakon zabranjuje govor mržnje zasnovan na ličnim karakteristikama svakog pojedinca (član 9a).</w:t>
      </w:r>
    </w:p>
    <w:p w14:paraId="68BE0D24" w14:textId="77777777" w:rsidR="00047EF8" w:rsidRPr="00F563CD" w:rsidRDefault="00864F83" w:rsidP="00047EF8">
      <w:pPr>
        <w:spacing w:line="240" w:lineRule="auto"/>
        <w:jc w:val="both"/>
        <w:rPr>
          <w:rFonts w:asciiTheme="minorHAnsi" w:hAnsiTheme="minorHAnsi" w:cs="Arial"/>
          <w:sz w:val="20"/>
          <w:szCs w:val="20"/>
        </w:rPr>
      </w:pPr>
      <w:r w:rsidRPr="00F563CD">
        <w:rPr>
          <w:rFonts w:asciiTheme="minorHAnsi" w:hAnsiTheme="minorHAnsi" w:cs="Arial"/>
          <w:sz w:val="20"/>
          <w:szCs w:val="20"/>
        </w:rPr>
        <w:t>Zakonom o Zaštitniku ljudskih prava uređuje se nadležnost, ovlašćenja i način rada i postupanje Zaštitnika ljudskih prava i sloboda Crne Gore (u daljem tekstu: Zaštitnik) u pogledu zaštite ljudskih prava i sloboda zajemčenih Ustavom, zakonom, potvrđenim međunarodnim ugovorima o ljudskim pravima i opšteprihvaćenim pravilima međunarodnog prava, kao i druga pitanja od značaja za rad Zaštitnika. Zaštitnik će samostalno, na načelima pravde i pravičnosti, preduzimati mjere za zaštitu ljudskih prava i sloboda, kada su povrijeđena aktom, radnjom ili nepostupanjem državnih organa, organa državne uprave, organa lokalne samouprave, javne službe i drugih nosioca javnih ovlašćenja (u daljem tekstu: organi), kao i mjere za sprečavanje torture i drugih oblika nečovječnog ili ponižavajućeg postupanja ili kažnjavanja i mjere zaštite od diskriminacije.</w:t>
      </w:r>
    </w:p>
    <w:p w14:paraId="5E0B198F" w14:textId="77777777" w:rsidR="00047EF8" w:rsidRPr="00F563CD" w:rsidRDefault="00864F83" w:rsidP="00047EF8">
      <w:pPr>
        <w:spacing w:line="240" w:lineRule="auto"/>
        <w:jc w:val="both"/>
        <w:rPr>
          <w:rFonts w:asciiTheme="minorHAnsi" w:hAnsiTheme="minorHAnsi" w:cs="Arial"/>
          <w:sz w:val="20"/>
          <w:szCs w:val="20"/>
        </w:rPr>
      </w:pPr>
      <w:r w:rsidRPr="00F563CD">
        <w:rPr>
          <w:rFonts w:asciiTheme="minorHAnsi" w:hAnsiTheme="minorHAnsi" w:cs="Arial"/>
          <w:sz w:val="20"/>
          <w:szCs w:val="20"/>
        </w:rPr>
        <w:t xml:space="preserve">Zakon o životnom partnerstvu lica istog pola zasniva se na najrasprostranjenijem modelu organizacije istopolnog životnog partnerstva. Ovaj zakon uređuje međusobno izdržavanje partnera, kao jednu od najvažnijih posljedica partnerstva. Dodatno, Zakonom su detaljno uređeni imovinski odnosi partnera i njihov poreski status u pogledu beneficija. Takođe, partneri su izjednačeni u pogledu prava i obaveza u sistemu zdravstvenog osiguranja i zdravstvene zaštite sa pravima ostalih osiguranika, kao i u pogledu prava iz socijalne i dječije zaštite i drugih prava, ali i obaveza iz zajedničkog života. </w:t>
      </w:r>
    </w:p>
    <w:p w14:paraId="6AE069F9" w14:textId="77777777" w:rsidR="00047EF8" w:rsidRPr="00F563CD" w:rsidRDefault="00864F83" w:rsidP="00047EF8">
      <w:pPr>
        <w:spacing w:line="240" w:lineRule="auto"/>
        <w:jc w:val="both"/>
        <w:rPr>
          <w:rFonts w:asciiTheme="minorHAnsi" w:hAnsiTheme="minorHAnsi" w:cs="Arial"/>
          <w:sz w:val="20"/>
          <w:szCs w:val="20"/>
        </w:rPr>
      </w:pPr>
      <w:r w:rsidRPr="00F563CD">
        <w:rPr>
          <w:rFonts w:asciiTheme="minorHAnsi" w:hAnsiTheme="minorHAnsi" w:cs="Arial"/>
          <w:sz w:val="20"/>
          <w:szCs w:val="20"/>
        </w:rPr>
        <w:lastRenderedPageBreak/>
        <w:t>Pored unapređenja pravnog okvira u ovoj oblasti, politika Vlade Crne Gore, realizovana je i kroz sprovođenje strateškog okvira, tj. kroz strateški dokument koji je usvojen 2013. godine, tj. kroz širok spektar specifičnih aktivnosti nadležnih državnih organa, definisanih godišnjim akcionim planovima. Nakon uspješnog sprovođenja LGBTI strategije za period 2013-2018, u toku je realizacija Strategije za unapređenje kvaliteta života LGBTI osoba u Crnoj Gori za period 2019-2023.</w:t>
      </w:r>
    </w:p>
    <w:p w14:paraId="3E4E6C4B" w14:textId="77777777" w:rsidR="00047EF8" w:rsidRPr="00F563CD" w:rsidRDefault="00864F83" w:rsidP="00047EF8">
      <w:pPr>
        <w:spacing w:line="240" w:lineRule="auto"/>
        <w:jc w:val="both"/>
        <w:rPr>
          <w:rFonts w:asciiTheme="minorHAnsi" w:hAnsiTheme="minorHAnsi" w:cs="Arial"/>
          <w:sz w:val="20"/>
          <w:szCs w:val="20"/>
        </w:rPr>
      </w:pPr>
      <w:r w:rsidRPr="00F563CD">
        <w:rPr>
          <w:rFonts w:asciiTheme="minorHAnsi" w:hAnsiTheme="minorHAnsi" w:cs="Arial"/>
          <w:sz w:val="20"/>
          <w:szCs w:val="20"/>
        </w:rPr>
        <w:t>Strategija je zasnovana na rezultatima istraživanja o diskriminaciji LGBTI osoba u Crnoj Gori, evaluaciji prethodne Strategije uz podršku Savjeta Evrope, izvještajima i preporukama brojnih međunarodnih tijela koja sugerišu poboljšanje politika zaštite LGBTI osoba, posebno u pogledu sprovođenja zakona o pravima i slobodama, kao i sa aspekta njihovog boljeg uključivanja u različite sfere društvenog života.</w:t>
      </w:r>
    </w:p>
    <w:p w14:paraId="619D5661" w14:textId="77777777" w:rsidR="00047EF8" w:rsidRPr="00F563CD" w:rsidRDefault="00864F83" w:rsidP="00047EF8">
      <w:pPr>
        <w:pStyle w:val="Heading2"/>
        <w:numPr>
          <w:ilvl w:val="0"/>
          <w:numId w:val="24"/>
        </w:numPr>
        <w:rPr>
          <w:rFonts w:asciiTheme="minorHAnsi" w:hAnsiTheme="minorHAnsi" w:cs="Arial"/>
          <w:smallCaps/>
          <w:color w:val="auto"/>
          <w:sz w:val="24"/>
          <w:szCs w:val="24"/>
        </w:rPr>
      </w:pPr>
      <w:bookmarkStart w:id="7" w:name="_Toc91500240"/>
      <w:r w:rsidRPr="00F563CD">
        <w:rPr>
          <w:rFonts w:asciiTheme="minorHAnsi" w:hAnsiTheme="minorHAnsi" w:cs="Arial"/>
          <w:smallCaps/>
          <w:color w:val="auto"/>
          <w:sz w:val="24"/>
          <w:szCs w:val="24"/>
        </w:rPr>
        <w:t>Povezanost strategija zemlje korisnice sa politikom proširenja</w:t>
      </w:r>
      <w:bookmarkEnd w:id="7"/>
      <w:r w:rsidRPr="00F563CD">
        <w:rPr>
          <w:rFonts w:asciiTheme="minorHAnsi" w:hAnsiTheme="minorHAnsi" w:cs="Arial"/>
          <w:smallCaps/>
          <w:color w:val="auto"/>
          <w:sz w:val="24"/>
          <w:szCs w:val="24"/>
        </w:rPr>
        <w:t xml:space="preserve"> </w:t>
      </w:r>
    </w:p>
    <w:p w14:paraId="6C07BEF9" w14:textId="77777777" w:rsidR="00047EF8" w:rsidRPr="00F563CD" w:rsidRDefault="00047EF8" w:rsidP="00047EF8">
      <w:pPr>
        <w:spacing w:after="0" w:line="240" w:lineRule="auto"/>
        <w:rPr>
          <w:rFonts w:asciiTheme="minorHAnsi" w:hAnsiTheme="minorHAnsi" w:cs="Arial"/>
          <w:sz w:val="20"/>
          <w:szCs w:val="20"/>
        </w:rPr>
      </w:pPr>
    </w:p>
    <w:p w14:paraId="00363A57"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b/>
          <w:sz w:val="20"/>
          <w:szCs w:val="20"/>
        </w:rPr>
        <w:t xml:space="preserve">Saopštenje o politici proširenja EU za 2020. godinu </w:t>
      </w:r>
      <w:r w:rsidRPr="00F563CD">
        <w:rPr>
          <w:rFonts w:asciiTheme="minorHAnsi" w:hAnsiTheme="minorHAnsi"/>
          <w:sz w:val="20"/>
          <w:szCs w:val="20"/>
        </w:rPr>
        <w:t>prepoznaje da je politička posvećenost crnogorskih vlasti strateškom cilju evropske integracije navedena kao ključni prioritet i ogleda se u relevantnim političkim odlukama. Navodi se da je osiguran ukupni balans između napretka u poglavljima o vladavini prava, s jedne strane, kao i napretka u pristupnim pregovorima po poglavljima, s druge strane. Poseban fokus treba biti na ispunjavanju privremenih mjerila vladavine prava postavljenih u poglavljima 23 i 24. Izazovi ostaju, posebno u pogledu nezavisnosti, profesionalizma, efikasnosti i odgovornosti pravosuđa. Nadalje, napominje se da bi se daljom implementacijom IKT strategije za pravosuđe unaprijedio ograničen napredak u primjeni pravne tekovine EU i evropskih standarda u oblasti pravosuđa. U vezi sa organizovanim kriminalom, govori se o daljem poboljšanju unutrašnje organizacije i koordinacije agencija za provođenje zakona, što se ogleda u sve većem broju istraga, hapšenja i zaplijena. Takođe, ističe se napredak u borbi protiv trgovine ljudima, terorizma i prevencije/suprostavljanja nasilnom ekstremizmu.</w:t>
      </w:r>
    </w:p>
    <w:p w14:paraId="3B68D407"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b/>
          <w:sz w:val="20"/>
          <w:szCs w:val="20"/>
        </w:rPr>
        <w:t xml:space="preserve">Unapređenje procesa pristupanja - Kredibilna perspektiva EU za Zapadni Balkan 2020 </w:t>
      </w:r>
      <w:r w:rsidRPr="00F563CD">
        <w:rPr>
          <w:rFonts w:asciiTheme="minorHAnsi" w:hAnsiTheme="minorHAnsi"/>
          <w:sz w:val="20"/>
          <w:szCs w:val="20"/>
        </w:rPr>
        <w:t>ističe da je osnovni cilj angažmana Evropske unije na Zapadnom Balkanu da ih pripremi da ispune sve zahtjeve članstva. Stoga, lideri Zapadnog Balkana moraju vjerodostojnije ispuniti svoju posvećenost sprovođenju potrebnih temeljnih reformi, bilo da se radi o vladavini prava, borbi protiv korupcije, ekonomiji ili osiguravanju pravilnog funkcionisanja demokratskih institucija i javne uprave, te usklađivanju vanjske politike. Ističe se da će dalje jačanje mjera za vladavinu prava i izgradnju institucija biti uslov za dublju sektorsku integraciju i napredak u cjelini.</w:t>
      </w:r>
    </w:p>
    <w:p w14:paraId="3F9AE1C4" w14:textId="69E1E269"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b/>
          <w:sz w:val="20"/>
          <w:szCs w:val="20"/>
        </w:rPr>
        <w:t xml:space="preserve">Saopštenje Evropske komisije iz 2018. „Kredibilna perspektiva proširenja i pojačan angažman EU na Zapadnom </w:t>
      </w:r>
      <w:proofErr w:type="gramStart"/>
      <w:r w:rsidR="0059255F" w:rsidRPr="00F563CD">
        <w:rPr>
          <w:rFonts w:asciiTheme="minorHAnsi" w:hAnsiTheme="minorHAnsi"/>
          <w:b/>
          <w:sz w:val="20"/>
          <w:szCs w:val="20"/>
        </w:rPr>
        <w:t>Balkanu“</w:t>
      </w:r>
      <w:proofErr w:type="gramEnd"/>
      <w:r w:rsidR="0059255F" w:rsidRPr="00F563CD">
        <w:rPr>
          <w:rFonts w:asciiTheme="minorHAnsi" w:hAnsiTheme="minorHAnsi"/>
          <w:b/>
          <w:sz w:val="20"/>
          <w:szCs w:val="20"/>
        </w:rPr>
        <w:t>naglašava</w:t>
      </w:r>
      <w:r w:rsidRPr="00F563CD">
        <w:rPr>
          <w:rFonts w:asciiTheme="minorHAnsi" w:hAnsiTheme="minorHAnsi"/>
          <w:sz w:val="20"/>
          <w:szCs w:val="20"/>
        </w:rPr>
        <w:t xml:space="preserve"> da pregovarački okviri za Crnu Goru treba da stave poseban naglasak na dalju potrebu za reformama vladavine prava, a posebno na konkretne rezultate u reformi pravosuđa i borbi protiv korupcije i organizovanog kriminala, te stoga, treba da se mjeri efektivnošću pravde koju je sistem u stanju da pruži građanima i privredi.</w:t>
      </w:r>
    </w:p>
    <w:p w14:paraId="33D40088"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b/>
          <w:sz w:val="20"/>
          <w:szCs w:val="20"/>
        </w:rPr>
        <w:t xml:space="preserve">Prioritetna agenda Sofijske deklaracije, usvojena na Samitu EU-Zapadni Balkan 17. maja 2018, </w:t>
      </w:r>
      <w:r w:rsidRPr="00F563CD">
        <w:rPr>
          <w:rFonts w:asciiTheme="minorHAnsi" w:hAnsiTheme="minorHAnsi"/>
          <w:sz w:val="20"/>
          <w:szCs w:val="20"/>
        </w:rPr>
        <w:t>navodi „Jačanje podrške vladavini prava“ kroz jačanje podrške reformi pravosuđa i naporima u borbi protiv korupcije i organizovanog kriminala, uključujući izgradnju kapaciteta za prevenciju korupcije, proširenje savjetodavnih misija za vladavinu prava uz povećanu podršku od država članica i iz EU, poboljšanje praćenja reformi kroz sistematičnije misije radi stručnih pregleda za svaki predmet pojedinačno, uvođenje praćenja suđenja u oblasti teške korupcije i organizovanog kriminala, rad ka boljem mjerenju rezultata u reformi pravosuđa.</w:t>
      </w:r>
    </w:p>
    <w:p w14:paraId="6725438F"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b/>
          <w:sz w:val="20"/>
          <w:szCs w:val="20"/>
        </w:rPr>
        <w:t>Savjet za stabilizaciju i pridruživanje EU i Crne Gore</w:t>
      </w:r>
      <w:r w:rsidRPr="00F563CD">
        <w:rPr>
          <w:rFonts w:asciiTheme="minorHAnsi" w:hAnsiTheme="minorHAnsi"/>
          <w:sz w:val="20"/>
          <w:szCs w:val="20"/>
        </w:rPr>
        <w:t xml:space="preserve"> održao je jedanaesti sastanak u decembru 2020. Savjet je ohrabrio Crnu Goru da nastavi rad na ispunjavanju svih mjerila i da nastavi da se fokusira na osnove procesa pristupanja: vladavinu prava, ekonomsko upravljanje i reformu javne uprave. On je ohrabrio Crnu Goru da nastavi sa istinskim uključivanjem civilnog društva i drugih zainteresovanih strana u pripreme za pristupanje EU i u proces kreiranja politike uopšte. Savjet je konstatovao rezultate koje je Crna Gora već postigla na reformi svog pravnog i institucionalnog okvira i uspostavljanju početnih rezultata u većini oblasti u poglavljima 23 i 24. Istaknuto je da je opšti prioritet Crne Gore u pristupnim pregovorima ispunjavanje privremenih mjerila postavljenih u poglavljima 23 i 24. Stoga je ohrabrilo Crnu Goru da nastavi sa intenziviranjem svojih napora, posebno rješavanjem preostalih nedostataka u određenim ključnim oblastima, kao što su borba protiv korupcije i trgovine ljudima. Naglašeno je da su konkretni rezultati u oblasti vladavine prava sada ključni.</w:t>
      </w:r>
    </w:p>
    <w:p w14:paraId="1B9DC335"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b/>
          <w:sz w:val="20"/>
          <w:szCs w:val="20"/>
        </w:rPr>
        <w:t>Programom pristupanja Crne Gore</w:t>
      </w:r>
      <w:r w:rsidRPr="00F563CD">
        <w:rPr>
          <w:rFonts w:asciiTheme="minorHAnsi" w:hAnsiTheme="minorHAnsi"/>
          <w:sz w:val="20"/>
          <w:szCs w:val="20"/>
        </w:rPr>
        <w:t xml:space="preserve"> (2021-2023) predviđeno je donošenje Strategije o migraciji i reintegraciji povratnika u Crnu Goru 2021-2025 za II kvartal 2021, Strategije za sprečavanje i borbu protiv terorizma, pranja novca i finansiranja terorizma za III kvartal 2021. godine.</w:t>
      </w:r>
    </w:p>
    <w:p w14:paraId="0E567E35" w14:textId="77777777" w:rsidR="00047EF8" w:rsidRPr="00F563CD" w:rsidRDefault="00864F83"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Sve gore navedene strategije su konsultovane sa EK.</w:t>
      </w:r>
    </w:p>
    <w:p w14:paraId="27346257" w14:textId="77777777" w:rsidR="00047EF8" w:rsidRPr="00F563CD" w:rsidRDefault="00864F83" w:rsidP="00047EF8">
      <w:pPr>
        <w:pStyle w:val="Heading2"/>
        <w:numPr>
          <w:ilvl w:val="0"/>
          <w:numId w:val="24"/>
        </w:numPr>
        <w:rPr>
          <w:rFonts w:asciiTheme="minorHAnsi" w:hAnsiTheme="minorHAnsi" w:cs="Arial"/>
          <w:smallCaps/>
          <w:color w:val="auto"/>
          <w:sz w:val="24"/>
          <w:szCs w:val="24"/>
        </w:rPr>
      </w:pPr>
      <w:bookmarkStart w:id="8" w:name="_Toc91500241"/>
      <w:r w:rsidRPr="00F563CD">
        <w:rPr>
          <w:rFonts w:asciiTheme="minorHAnsi" w:hAnsiTheme="minorHAnsi" w:cs="Arial"/>
          <w:smallCaps/>
          <w:color w:val="auto"/>
          <w:sz w:val="24"/>
          <w:szCs w:val="24"/>
        </w:rPr>
        <w:t>Sektorska analiza</w:t>
      </w:r>
      <w:bookmarkEnd w:id="8"/>
    </w:p>
    <w:p w14:paraId="1FAD6818" w14:textId="77777777" w:rsidR="00047EF8" w:rsidRPr="00F563CD" w:rsidRDefault="00047EF8" w:rsidP="00047EF8">
      <w:pPr>
        <w:spacing w:after="0"/>
        <w:rPr>
          <w:rFonts w:asciiTheme="minorHAnsi" w:hAnsiTheme="minorHAnsi"/>
        </w:rPr>
      </w:pPr>
    </w:p>
    <w:p w14:paraId="5A7F14F1" w14:textId="77777777" w:rsidR="00047EF8" w:rsidRPr="00F563CD" w:rsidRDefault="00864F83" w:rsidP="00047EF8">
      <w:pPr>
        <w:spacing w:line="240" w:lineRule="auto"/>
        <w:jc w:val="both"/>
        <w:rPr>
          <w:rFonts w:asciiTheme="minorHAnsi" w:hAnsiTheme="minorHAnsi"/>
          <w:sz w:val="20"/>
          <w:szCs w:val="20"/>
          <w:lang w:val="fr-BE"/>
        </w:rPr>
      </w:pPr>
      <w:r w:rsidRPr="00F563CD">
        <w:rPr>
          <w:rFonts w:asciiTheme="minorHAnsi" w:hAnsiTheme="minorHAnsi"/>
          <w:sz w:val="20"/>
          <w:szCs w:val="20"/>
        </w:rPr>
        <w:lastRenderedPageBreak/>
        <w:t>Sistem strateškog planiranja u Crnoj Gori zasnovan je na Zakonu o državnoj upravi (</w:t>
      </w:r>
      <w:proofErr w:type="gramStart"/>
      <w:r w:rsidRPr="00F563CD">
        <w:rPr>
          <w:rFonts w:asciiTheme="minorHAnsi" w:hAnsiTheme="minorHAnsi"/>
          <w:sz w:val="20"/>
          <w:szCs w:val="20"/>
        </w:rPr>
        <w:t>Sl.list</w:t>
      </w:r>
      <w:proofErr w:type="gramEnd"/>
      <w:r w:rsidRPr="00F563CD">
        <w:rPr>
          <w:rFonts w:asciiTheme="minorHAnsi" w:hAnsiTheme="minorHAnsi"/>
          <w:sz w:val="20"/>
          <w:szCs w:val="20"/>
        </w:rPr>
        <w:t xml:space="preserve"> CG, br. 78/18) i pratećoj podzakonskoj Uredbi o načinu i postupku izrade, usklađivanja i praćenja sprovođenja strateških dokumenata ( Sl. list CG, br. 54/18), kojom se utvrđuju minimalni kriterijumi kvaliteta za sve strateške dokumente koje donosi Vlada Crne Gore. Proces izrade strateških dokumenata Ministarstva pravde, ljudskih i manjinskih prava je participativan i uključuje sve relevantne aktere: državne aktere (konsultacije između ministarstava), aktere van državne uprave i, po potrebi, međunarodne aktere. Učešće građana i nevladinih organizacija kao njihovih legitimnih predstavnika u procesu donošenja odluka u postupku izrade strategija regulisano je Uredbom o izboru predstavnika nevladinih organizacija u radna tijela organa državne uprave i sprovođenja javne rasprave u pripremi zakona i strategija (Sl. list CG, br. 41/18). </w:t>
      </w:r>
      <w:r w:rsidRPr="00F563CD">
        <w:rPr>
          <w:rFonts w:asciiTheme="minorHAnsi" w:hAnsiTheme="minorHAnsi"/>
          <w:sz w:val="20"/>
          <w:szCs w:val="20"/>
          <w:lang w:val="fr-BE"/>
        </w:rPr>
        <w:t>Dakle, sve gore navedene strategije su pripremljene u skladu sa ovim propisima.</w:t>
      </w:r>
    </w:p>
    <w:p w14:paraId="5853528B" w14:textId="77777777" w:rsidR="00047EF8" w:rsidRPr="00F563CD" w:rsidRDefault="00864F83"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Jedan od strateških pravaca razvoja crnogorskog pravosuđa u narednom periodu definisan je Strategijom reforme pravosuđa 2019-2022. U okviru strateškog cilja „Jačanje efikasnosti pravosuđa“, jedna od ključnih oblasti reforme je potreba za racionalizacijom mreže sudova i državnih tužilaštava. Konkretne aktivnosti za njeno ispunjenje definisane su Akcionim planom za sprovođenje Strategije reforme pravosuđa 2019-2022. Ministarstvo pravde se Akcionim planom obavezalo da pripremi </w:t>
      </w:r>
      <w:r w:rsidRPr="00F563CD">
        <w:rPr>
          <w:rFonts w:asciiTheme="minorHAnsi" w:hAnsiTheme="minorHAnsi"/>
          <w:b/>
          <w:sz w:val="20"/>
          <w:szCs w:val="20"/>
          <w:lang w:val="fr-BE"/>
        </w:rPr>
        <w:t>Analizu potreba za racionalizacijom pravosudne mreže, sa pregledom postojećeg stanja i preporukama za dalji rad</w:t>
      </w:r>
      <w:r w:rsidRPr="00F563CD">
        <w:rPr>
          <w:rFonts w:asciiTheme="minorHAnsi" w:hAnsiTheme="minorHAnsi"/>
          <w:sz w:val="20"/>
          <w:szCs w:val="20"/>
          <w:lang w:val="fr-BE"/>
        </w:rPr>
        <w:t xml:space="preserve"> do kraja četvrtog kvartala 2020. </w:t>
      </w:r>
      <w:proofErr w:type="gramStart"/>
      <w:r w:rsidRPr="00F563CD">
        <w:rPr>
          <w:rFonts w:asciiTheme="minorHAnsi" w:hAnsiTheme="minorHAnsi"/>
          <w:sz w:val="20"/>
          <w:szCs w:val="20"/>
          <w:lang w:val="fr-BE"/>
        </w:rPr>
        <w:t>godine</w:t>
      </w:r>
      <w:proofErr w:type="gramEnd"/>
      <w:r w:rsidRPr="00F563CD">
        <w:rPr>
          <w:rFonts w:asciiTheme="minorHAnsi" w:hAnsiTheme="minorHAnsi"/>
          <w:sz w:val="20"/>
          <w:szCs w:val="20"/>
          <w:lang w:val="fr-BE"/>
        </w:rPr>
        <w:t>. Analiza je pripremljena u okviru projekta EUROL 2 na osnovu konsultacija sa predstavnicima Ministarstva pravde, sudova, Državnog tužilaštva, Sudskog i Tužilačkog savjeta, kao i Delegacije EU u Crnoj Gori. Ova sveobuhvatna analiza sastoji se od liste preporuka koje daju jasne smjernice i preporuke za dalje korake u racionalizaciji pravosudne mreže ostvarivanjem mjera i aktivnosti predviđenih Strategijom i Akcionim planom.</w:t>
      </w:r>
    </w:p>
    <w:p w14:paraId="0F92750B" w14:textId="77777777" w:rsidR="00047EF8" w:rsidRPr="00F563CD" w:rsidRDefault="00864F83"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U okviru IPA Projekta iz Instrumenta za evropsku integraciju „Analiza pristupa pravdi za građane i kompanije u Crnoj Gori u cilju ostvarenja rezultata“ tim Svjetske banke je pripremio </w:t>
      </w:r>
      <w:r w:rsidRPr="00F563CD">
        <w:rPr>
          <w:rFonts w:asciiTheme="minorHAnsi" w:hAnsiTheme="minorHAnsi"/>
          <w:b/>
          <w:sz w:val="20"/>
          <w:szCs w:val="20"/>
          <w:lang w:val="fr-BE"/>
        </w:rPr>
        <w:t>Pregled sprovođenja pravde u Crnoj Gori usmjerenog na rezultate</w:t>
      </w:r>
      <w:r w:rsidRPr="00F563CD">
        <w:rPr>
          <w:rFonts w:asciiTheme="minorHAnsi" w:hAnsiTheme="minorHAnsi"/>
          <w:sz w:val="20"/>
          <w:szCs w:val="20"/>
          <w:lang w:val="fr-BE"/>
        </w:rPr>
        <w:t xml:space="preserve">, uz podršku predstavnika Ministarstva pravde, Vrhovnog suda, Sudskog savjeta, Vrhovnog državnog tužilaštva, Instituta alternativa i Centra za građansko obrazovanje, kao i tužioca, sudija i advokata. Ovaj funkcionalni pregled predstavlja sveobuhvatnu, rezultatski orijentisanu ocjenu funkcionisanja crnogorskog pravosudnog sistema od 2014. </w:t>
      </w:r>
      <w:proofErr w:type="gramStart"/>
      <w:r w:rsidRPr="00F563CD">
        <w:rPr>
          <w:rFonts w:asciiTheme="minorHAnsi" w:hAnsiTheme="minorHAnsi"/>
          <w:sz w:val="20"/>
          <w:szCs w:val="20"/>
          <w:lang w:val="fr-BE"/>
        </w:rPr>
        <w:t>do</w:t>
      </w:r>
      <w:proofErr w:type="gramEnd"/>
      <w:r w:rsidRPr="00F563CD">
        <w:rPr>
          <w:rFonts w:asciiTheme="minorHAnsi" w:hAnsiTheme="minorHAnsi"/>
          <w:sz w:val="20"/>
          <w:szCs w:val="20"/>
          <w:lang w:val="fr-BE"/>
        </w:rPr>
        <w:t xml:space="preserve"> 2017. </w:t>
      </w:r>
      <w:proofErr w:type="gramStart"/>
      <w:r w:rsidRPr="00F563CD">
        <w:rPr>
          <w:rFonts w:asciiTheme="minorHAnsi" w:hAnsiTheme="minorHAnsi"/>
          <w:sz w:val="20"/>
          <w:szCs w:val="20"/>
          <w:lang w:val="fr-BE"/>
        </w:rPr>
        <w:t>godine</w:t>
      </w:r>
      <w:proofErr w:type="gramEnd"/>
      <w:r w:rsidRPr="00F563CD">
        <w:rPr>
          <w:rFonts w:asciiTheme="minorHAnsi" w:hAnsiTheme="minorHAnsi"/>
          <w:sz w:val="20"/>
          <w:szCs w:val="20"/>
          <w:lang w:val="fr-BE"/>
        </w:rPr>
        <w:t>, kao i usklađenost zemlje sa zahtjevima iz poglavlja 23 (Pravosuđe i ljudska prava). Tačnije, Funkcionalni pregled ima za cilj da pomogne vlastima Crne Gore u izradi Strategije reforme pravosuđa 2019-2022, i pratećeg Akcionog plana. Ovaj izvještaj je strukturiran na sljedeći način: Odjeljak 1 predstavlja ukupne zaključke i prioritetne preporuke iz funkcionalnog pregleda; Odjeljak 2 predstavlja upravljanje sistemom; Odjeljak 3 predstavlja efikasnost i efektivnost pravosudnih službi; Odjeljak 4 predstavlja kvalitet pravosudnih službi; Odjeljak 5 pristup pravosudnim službama; Odjeljak 6 predstavlja upravljanje finansijskim resursima; Odjeljak 7 predstavlja upravljanje ljudskim resursima, odjeljak 8 predstavlja upravljanje IKT, a dio 9 predstavlja upravljanje infrastrukturom.</w:t>
      </w:r>
    </w:p>
    <w:p w14:paraId="00A0D29C" w14:textId="77777777" w:rsidR="00047EF8" w:rsidRPr="00F563CD" w:rsidRDefault="00864F83" w:rsidP="00047EF8">
      <w:pPr>
        <w:spacing w:after="0"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 xml:space="preserve">Budući nacionalni strateški dokument za rodnu ravnopravnost za period 2021-2025. </w:t>
      </w:r>
      <w:proofErr w:type="gramStart"/>
      <w:r w:rsidRPr="00F563CD">
        <w:rPr>
          <w:rFonts w:asciiTheme="minorHAnsi" w:hAnsiTheme="minorHAnsi" w:cs="Arial"/>
          <w:sz w:val="20"/>
          <w:szCs w:val="20"/>
          <w:lang w:val="fr-BE"/>
        </w:rPr>
        <w:t>biće</w:t>
      </w:r>
      <w:proofErr w:type="gramEnd"/>
      <w:r w:rsidRPr="00F563CD">
        <w:rPr>
          <w:rFonts w:asciiTheme="minorHAnsi" w:hAnsiTheme="minorHAnsi" w:cs="Arial"/>
          <w:sz w:val="20"/>
          <w:szCs w:val="20"/>
          <w:lang w:val="fr-BE"/>
        </w:rPr>
        <w:t xml:space="preserve"> usklađen sa politikama EU u ovoj oblasti, kao i ciljevima Agende održivog razvoja do 2030. </w:t>
      </w:r>
      <w:proofErr w:type="gramStart"/>
      <w:r w:rsidRPr="00F563CD">
        <w:rPr>
          <w:rFonts w:asciiTheme="minorHAnsi" w:hAnsiTheme="minorHAnsi" w:cs="Arial"/>
          <w:sz w:val="20"/>
          <w:szCs w:val="20"/>
          <w:lang w:val="fr-BE"/>
        </w:rPr>
        <w:t>godine</w:t>
      </w:r>
      <w:proofErr w:type="gramEnd"/>
      <w:r w:rsidRPr="00F563CD">
        <w:rPr>
          <w:rFonts w:asciiTheme="minorHAnsi" w:hAnsiTheme="minorHAnsi" w:cs="Arial"/>
          <w:sz w:val="20"/>
          <w:szCs w:val="20"/>
          <w:lang w:val="fr-BE"/>
        </w:rPr>
        <w:t xml:space="preserve">. Strategija socijalnog uključivanja Roma i Egipćana u Crnoj Gori 2021- 2025. </w:t>
      </w:r>
      <w:proofErr w:type="gramStart"/>
      <w:r w:rsidRPr="00F563CD">
        <w:rPr>
          <w:rFonts w:asciiTheme="minorHAnsi" w:hAnsiTheme="minorHAnsi" w:cs="Arial"/>
          <w:sz w:val="20"/>
          <w:szCs w:val="20"/>
          <w:lang w:val="fr-BE"/>
        </w:rPr>
        <w:t>je</w:t>
      </w:r>
      <w:proofErr w:type="gramEnd"/>
      <w:r w:rsidRPr="00F563CD">
        <w:rPr>
          <w:rFonts w:asciiTheme="minorHAnsi" w:hAnsiTheme="minorHAnsi" w:cs="Arial"/>
          <w:sz w:val="20"/>
          <w:szCs w:val="20"/>
          <w:lang w:val="fr-BE"/>
        </w:rPr>
        <w:t xml:space="preserve"> usklađena sa strateškim okvirom EU za Rome za ravnopravnost, inkluziju i učešće za period 2020-2030. Pored navedenog, Vlada Crne Gore je u septembru 2016. </w:t>
      </w:r>
      <w:proofErr w:type="gramStart"/>
      <w:r w:rsidRPr="00F563CD">
        <w:rPr>
          <w:rFonts w:asciiTheme="minorHAnsi" w:hAnsiTheme="minorHAnsi" w:cs="Arial"/>
          <w:sz w:val="20"/>
          <w:szCs w:val="20"/>
          <w:lang w:val="fr-BE"/>
        </w:rPr>
        <w:t>godine</w:t>
      </w:r>
      <w:proofErr w:type="gramEnd"/>
      <w:r w:rsidRPr="00F563CD">
        <w:rPr>
          <w:rFonts w:asciiTheme="minorHAnsi" w:hAnsiTheme="minorHAnsi" w:cs="Arial"/>
          <w:sz w:val="20"/>
          <w:szCs w:val="20"/>
          <w:lang w:val="fr-BE"/>
        </w:rPr>
        <w:t xml:space="preserve"> usvojila Analizu usklađenosti crnogorskog zakonodavstva sa Zakonom o zabrani diskriminacije osoba sa invaliditetom i Konvencijom UN, sa preporukama za usklađivanje. Iako se preporuke sporije sprovode, usklađivanje ostalih propisa je i dalje neophodno.</w:t>
      </w:r>
    </w:p>
    <w:p w14:paraId="34BC5336" w14:textId="77777777" w:rsidR="00047EF8" w:rsidRPr="00F563CD" w:rsidRDefault="00047EF8" w:rsidP="00047EF8">
      <w:pPr>
        <w:spacing w:after="0" w:line="240" w:lineRule="auto"/>
        <w:jc w:val="both"/>
        <w:rPr>
          <w:rFonts w:asciiTheme="minorHAnsi" w:hAnsiTheme="minorHAnsi" w:cs="Arial"/>
          <w:sz w:val="20"/>
          <w:szCs w:val="20"/>
          <w:lang w:val="fr-BE"/>
        </w:rPr>
      </w:pPr>
    </w:p>
    <w:p w14:paraId="37D0FC5C" w14:textId="77777777" w:rsidR="00047EF8" w:rsidRPr="00F563CD" w:rsidRDefault="00864F83" w:rsidP="00047EF8">
      <w:pPr>
        <w:spacing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Ministarstvo unutrašnjih poslova koordiniralo je izradu strategija u oblasti borbe protiv organizovanog kriminala/bezbjednosti i migracija i odgovorno je za njihovo sprovođenje. Međutim, ovaj proces nije bilo samostalno vođen od strane Ministarstva, pa je značajan broj institucija i nevladinih organizacija konsultovan tokom procesa izrade.</w:t>
      </w:r>
    </w:p>
    <w:p w14:paraId="676E2E2C" w14:textId="77777777" w:rsidR="00047EF8" w:rsidRPr="00F563CD" w:rsidRDefault="00864F83" w:rsidP="00047EF8">
      <w:pPr>
        <w:spacing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U izradi Nacionalne strategije za suzbijanje nasilnog ekstremizma 2020-2024 učestvovali su Uprava policije, Agencija za nacionalnu bezbjednost, Ministarstvo pravde, ljudskih i manjinskih prava, Ministarstvo odbrane, Ministarstvo vanjskih poslova, Ministarstvo prosvjete, nauke, kulture i sporta, Ministarstvo rada i socijalnog staranja, Ministarstvo javne uprave, digitalnog društva i medija, Ministarstvo zdravlja, Vrhovno tužilaštvo, Vrhovni sud, Uprava policije, Zavod za izvršenje krivičnih sankcija, Agencija za elektronske komunikacije, Policijska akademija, Zajednica opština, Crveni krst i 2 NVO: CDT i Forum MNE.</w:t>
      </w:r>
    </w:p>
    <w:p w14:paraId="08EE40EE" w14:textId="77777777" w:rsidR="00047EF8" w:rsidRPr="00F563CD" w:rsidRDefault="00864F83" w:rsidP="00047EF8">
      <w:pPr>
        <w:spacing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U izradi Strategije za sprečavanje i borbu protiv terorizma, pranja novca i finansiranja terorizma biće uključeni Uprava policije, Ministarstvo finansija i socijalnog staranja, Agencija za nacionalnu bezbednost, Centralna banka, Ministarstvo pravde, ljudskih i manjinskih prava, Ministarstvo odbrane i jedna NVO.</w:t>
      </w:r>
    </w:p>
    <w:p w14:paraId="373D9000" w14:textId="77777777" w:rsidR="00047EF8" w:rsidRPr="00F563CD" w:rsidRDefault="00864F83" w:rsidP="00047EF8">
      <w:pPr>
        <w:pStyle w:val="Heading2"/>
        <w:spacing w:line="240" w:lineRule="auto"/>
        <w:jc w:val="both"/>
        <w:rPr>
          <w:rFonts w:asciiTheme="minorHAnsi" w:hAnsiTheme="minorHAnsi" w:cs="Arial"/>
          <w:b w:val="0"/>
          <w:color w:val="auto"/>
          <w:sz w:val="20"/>
          <w:szCs w:val="20"/>
          <w:lang w:val="fr-BE"/>
        </w:rPr>
      </w:pPr>
      <w:bookmarkStart w:id="9" w:name="_Toc501605521"/>
      <w:bookmarkStart w:id="10" w:name="_Toc91500242"/>
      <w:bookmarkStart w:id="11" w:name="_Toc68092318"/>
      <w:bookmarkStart w:id="12" w:name="_Toc68697803"/>
      <w:bookmarkStart w:id="13" w:name="_Toc68781368"/>
      <w:r w:rsidRPr="00F563CD">
        <w:rPr>
          <w:rFonts w:asciiTheme="minorHAnsi" w:hAnsiTheme="minorHAnsi" w:cs="Arial"/>
          <w:b w:val="0"/>
          <w:color w:val="auto"/>
          <w:sz w:val="20"/>
          <w:szCs w:val="20"/>
          <w:lang w:val="fr-BE"/>
        </w:rPr>
        <w:lastRenderedPageBreak/>
        <w:t xml:space="preserve">U izradi Strategije o migraciji i reintegraciji povratnika u Crnu Goru 2021-2025 godine učestvovali su Uprava policije, Ministarstvo rada i socijalnog staranja, Ministarstvo vanjskih poslova, Ministarstvo prosvjete, nauke, kulture i sporta, Ministarstvo zdravlja, Ministarstvo finansija sa nadležnima tijelima u okviru Ministarstva, Zavoda za zapošljavanje i 4 </w:t>
      </w:r>
      <w:proofErr w:type="gramStart"/>
      <w:r w:rsidRPr="00F563CD">
        <w:rPr>
          <w:rFonts w:asciiTheme="minorHAnsi" w:hAnsiTheme="minorHAnsi" w:cs="Arial"/>
          <w:b w:val="0"/>
          <w:color w:val="auto"/>
          <w:sz w:val="20"/>
          <w:szCs w:val="20"/>
          <w:lang w:val="fr-BE"/>
        </w:rPr>
        <w:t>NVO:</w:t>
      </w:r>
      <w:proofErr w:type="gramEnd"/>
      <w:r w:rsidRPr="00F563CD">
        <w:rPr>
          <w:rFonts w:asciiTheme="minorHAnsi" w:hAnsiTheme="minorHAnsi" w:cs="Arial"/>
          <w:b w:val="0"/>
          <w:color w:val="auto"/>
          <w:sz w:val="20"/>
          <w:szCs w:val="20"/>
          <w:lang w:val="fr-BE"/>
        </w:rPr>
        <w:t xml:space="preserve"> Građanska alijansa, LGBT Forum Progres, Juventas i Mladi Romi.</w:t>
      </w:r>
      <w:bookmarkEnd w:id="9"/>
      <w:bookmarkEnd w:id="10"/>
    </w:p>
    <w:p w14:paraId="4FCA29EA" w14:textId="77777777" w:rsidR="00047EF8" w:rsidRPr="00F563CD" w:rsidRDefault="00864F83" w:rsidP="00047EF8">
      <w:pPr>
        <w:pStyle w:val="Heading2"/>
        <w:numPr>
          <w:ilvl w:val="0"/>
          <w:numId w:val="24"/>
        </w:numPr>
        <w:rPr>
          <w:rFonts w:asciiTheme="minorHAnsi" w:hAnsiTheme="minorHAnsi" w:cs="Arial"/>
          <w:smallCaps/>
          <w:color w:val="auto"/>
          <w:sz w:val="24"/>
          <w:szCs w:val="24"/>
        </w:rPr>
      </w:pPr>
      <w:bookmarkStart w:id="14" w:name="_Toc91500243"/>
      <w:bookmarkEnd w:id="11"/>
      <w:bookmarkEnd w:id="12"/>
      <w:bookmarkEnd w:id="13"/>
      <w:r w:rsidRPr="00F563CD">
        <w:rPr>
          <w:rFonts w:asciiTheme="minorHAnsi" w:hAnsiTheme="minorHAnsi" w:cs="Arial"/>
          <w:smallCaps/>
          <w:color w:val="auto"/>
          <w:sz w:val="24"/>
          <w:szCs w:val="24"/>
        </w:rPr>
        <w:t>povezanost sa regionalnim i globalnim strategijama</w:t>
      </w:r>
      <w:bookmarkEnd w:id="14"/>
    </w:p>
    <w:p w14:paraId="19B6CEA7" w14:textId="77777777" w:rsidR="00047EF8" w:rsidRPr="00F563CD" w:rsidRDefault="00864F83" w:rsidP="00047EF8">
      <w:pPr>
        <w:spacing w:before="60" w:after="60" w:line="240" w:lineRule="auto"/>
        <w:ind w:right="-25"/>
        <w:jc w:val="both"/>
        <w:rPr>
          <w:rStyle w:val="HTMLCite"/>
          <w:rFonts w:asciiTheme="minorHAnsi" w:hAnsiTheme="minorHAnsi" w:cstheme="minorBidi"/>
          <w:i w:val="0"/>
          <w:sz w:val="20"/>
          <w:szCs w:val="20"/>
        </w:rPr>
      </w:pPr>
      <w:r w:rsidRPr="00F563CD">
        <w:rPr>
          <w:rStyle w:val="HTMLCite"/>
          <w:rFonts w:asciiTheme="minorHAnsi" w:hAnsiTheme="minorHAnsi" w:cstheme="minorBidi"/>
          <w:i w:val="0"/>
          <w:sz w:val="20"/>
          <w:szCs w:val="20"/>
        </w:rPr>
        <w:t>Na međunarodnom nivou, Agenda održivog razvoja UN 2030, koja se prvenstveno bavi iskorjenjivanjem siromaštva i pomakom ka održivom inkluzivnom razvoju, Strategija reforme pravosuđa 2019.-2022. u skladu je sa Ciljem 16: Promovisati mirna i inkluzivna društva za održivi razvoj, omogućiti pristup pravdi za sve i izgraditi efikasne, odgovorne i inkluzivne institucije na svim nivoima, kako slijedi:</w:t>
      </w:r>
    </w:p>
    <w:p w14:paraId="15228B93" w14:textId="77777777" w:rsidR="00047EF8" w:rsidRPr="00F563CD" w:rsidRDefault="00864F83" w:rsidP="00047EF8">
      <w:pPr>
        <w:spacing w:before="60" w:after="60" w:line="240" w:lineRule="auto"/>
        <w:ind w:right="-25"/>
        <w:jc w:val="both"/>
        <w:rPr>
          <w:rStyle w:val="HTMLCite"/>
          <w:rFonts w:asciiTheme="minorHAnsi" w:hAnsiTheme="minorHAnsi" w:cstheme="minorBidi"/>
          <w:i w:val="0"/>
          <w:sz w:val="20"/>
          <w:szCs w:val="20"/>
        </w:rPr>
      </w:pPr>
      <w:r w:rsidRPr="00F563CD">
        <w:rPr>
          <w:rStyle w:val="HTMLCite"/>
          <w:rFonts w:asciiTheme="minorHAnsi" w:hAnsiTheme="minorHAnsi" w:cstheme="minorBidi"/>
          <w:i w:val="0"/>
          <w:sz w:val="20"/>
          <w:szCs w:val="20"/>
        </w:rPr>
        <w:t>16.3 Promovisati vladavinu prava na nacionalnom i međunarodnom nivou i osigurati jednak pristup pravdi za sve</w:t>
      </w:r>
    </w:p>
    <w:p w14:paraId="69515500" w14:textId="77777777" w:rsidR="00047EF8" w:rsidRPr="00F563CD" w:rsidRDefault="00864F83" w:rsidP="00047EF8">
      <w:pPr>
        <w:spacing w:before="60" w:after="60" w:line="240" w:lineRule="auto"/>
        <w:ind w:right="-25"/>
        <w:jc w:val="both"/>
        <w:rPr>
          <w:rStyle w:val="HTMLCite"/>
          <w:rFonts w:asciiTheme="minorHAnsi" w:hAnsiTheme="minorHAnsi" w:cstheme="minorBidi"/>
          <w:i w:val="0"/>
          <w:sz w:val="20"/>
          <w:szCs w:val="20"/>
        </w:rPr>
      </w:pPr>
      <w:r w:rsidRPr="00F563CD">
        <w:rPr>
          <w:rStyle w:val="HTMLCite"/>
          <w:rFonts w:asciiTheme="minorHAnsi" w:hAnsiTheme="minorHAnsi" w:cstheme="minorBidi"/>
          <w:i w:val="0"/>
          <w:sz w:val="20"/>
          <w:szCs w:val="20"/>
        </w:rPr>
        <w:t>16.6 Razviti efikasne, odgovorne i transparentne institucije na svim nivoima</w:t>
      </w:r>
    </w:p>
    <w:p w14:paraId="7036CF97" w14:textId="77777777" w:rsidR="00047EF8" w:rsidRPr="00F563CD" w:rsidRDefault="00864F83" w:rsidP="00047EF8">
      <w:pPr>
        <w:spacing w:before="60" w:after="60" w:line="240" w:lineRule="auto"/>
        <w:ind w:right="-25"/>
        <w:jc w:val="both"/>
        <w:rPr>
          <w:rStyle w:val="HTMLCite"/>
          <w:rFonts w:asciiTheme="minorHAnsi" w:hAnsiTheme="minorHAnsi" w:cstheme="minorBidi"/>
          <w:i w:val="0"/>
          <w:sz w:val="20"/>
          <w:szCs w:val="20"/>
        </w:rPr>
      </w:pPr>
      <w:r w:rsidRPr="00F563CD">
        <w:rPr>
          <w:rStyle w:val="HTMLCite"/>
          <w:rFonts w:asciiTheme="minorHAnsi" w:hAnsiTheme="minorHAnsi" w:cstheme="minorBidi"/>
          <w:i w:val="0"/>
          <w:sz w:val="20"/>
          <w:szCs w:val="20"/>
        </w:rPr>
        <w:t>16.7 Osigurati odgovorno, inkluzivno, participativno i reprezentativno donošenje odluka na svim nivoima</w:t>
      </w:r>
    </w:p>
    <w:p w14:paraId="01C6D7F5" w14:textId="77777777" w:rsidR="00047EF8" w:rsidRPr="00F563CD" w:rsidRDefault="00864F83" w:rsidP="00047EF8">
      <w:pPr>
        <w:spacing w:after="0" w:line="240" w:lineRule="auto"/>
        <w:jc w:val="both"/>
        <w:rPr>
          <w:rStyle w:val="HTMLCite"/>
          <w:rFonts w:asciiTheme="minorHAnsi" w:hAnsiTheme="minorHAnsi"/>
          <w:i w:val="0"/>
          <w:sz w:val="20"/>
          <w:szCs w:val="20"/>
        </w:rPr>
      </w:pPr>
      <w:r w:rsidRPr="00F563CD">
        <w:rPr>
          <w:rStyle w:val="HTMLCite"/>
          <w:rFonts w:asciiTheme="minorHAnsi" w:hAnsiTheme="minorHAnsi"/>
          <w:i w:val="0"/>
          <w:sz w:val="20"/>
          <w:szCs w:val="20"/>
        </w:rPr>
        <w:t>Takođe, Program razvoja informaciono-komunikacionih tehnologija u pravosuđu 2021 – 2023. u skladu je sa ciljem 9 – Izgradnja otporne infrastrukture, promovisanje inkluzivne i održive industrijalizacije i podsticanje inovacija prepoznajući potrebu za razvojem informaciono-komunikacionih tehnologija:</w:t>
      </w:r>
    </w:p>
    <w:p w14:paraId="44578E79" w14:textId="77777777" w:rsidR="00047EF8" w:rsidRPr="00F563CD" w:rsidRDefault="00864F83" w:rsidP="00047EF8">
      <w:pPr>
        <w:spacing w:after="0" w:line="240" w:lineRule="auto"/>
        <w:jc w:val="both"/>
        <w:rPr>
          <w:rStyle w:val="HTMLCite"/>
          <w:rFonts w:asciiTheme="minorHAnsi" w:hAnsiTheme="minorHAnsi"/>
          <w:i w:val="0"/>
          <w:sz w:val="20"/>
          <w:szCs w:val="20"/>
        </w:rPr>
      </w:pPr>
      <w:r w:rsidRPr="00F563CD">
        <w:rPr>
          <w:rStyle w:val="HTMLCite"/>
          <w:rFonts w:asciiTheme="minorHAnsi" w:hAnsiTheme="minorHAnsi"/>
          <w:i w:val="0"/>
          <w:sz w:val="20"/>
          <w:szCs w:val="20"/>
        </w:rPr>
        <w:t>Značajno povećati pristup informaciono-komunikacionim tehnologijama i uložiti napore da se osigura univerzalan i pristupačan pristup internetu u najmanje razvijenim zemljama do 2020. godine.</w:t>
      </w:r>
    </w:p>
    <w:p w14:paraId="6E0181D6" w14:textId="77777777" w:rsidR="00047EF8" w:rsidRPr="00F563CD" w:rsidRDefault="00047EF8" w:rsidP="00047EF8">
      <w:pPr>
        <w:spacing w:after="0" w:line="240" w:lineRule="auto"/>
        <w:jc w:val="both"/>
        <w:rPr>
          <w:rFonts w:asciiTheme="minorHAnsi" w:hAnsiTheme="minorHAnsi"/>
          <w:i/>
          <w:iCs/>
          <w:sz w:val="20"/>
          <w:szCs w:val="20"/>
        </w:rPr>
      </w:pPr>
    </w:p>
    <w:p w14:paraId="4ADEE355" w14:textId="77777777" w:rsidR="00047EF8" w:rsidRPr="00F563CD" w:rsidRDefault="00864F83" w:rsidP="00047EF8">
      <w:pPr>
        <w:pStyle w:val="Heading3"/>
        <w:rPr>
          <w:rFonts w:asciiTheme="minorHAnsi" w:hAnsiTheme="minorHAnsi" w:cs="Arial"/>
        </w:rPr>
      </w:pPr>
      <w:bookmarkStart w:id="15" w:name="_Toc91500244"/>
      <w:r w:rsidRPr="00F563CD">
        <w:rPr>
          <w:rFonts w:asciiTheme="minorHAnsi" w:hAnsiTheme="minorHAnsi" w:cs="Arial"/>
          <w:color w:val="auto"/>
          <w:sz w:val="22"/>
          <w:szCs w:val="22"/>
        </w:rPr>
        <w:t>DIO 2 – PRIORITETI, CILJEVI I AKCIJE U OKVIRU IPA III PODRŠKE</w:t>
      </w:r>
      <w:bookmarkEnd w:id="15"/>
    </w:p>
    <w:p w14:paraId="63C3FFA1" w14:textId="77777777" w:rsidR="00047EF8" w:rsidRPr="00F563CD" w:rsidRDefault="00864F83" w:rsidP="00047EF8">
      <w:pPr>
        <w:pStyle w:val="Heading2"/>
        <w:numPr>
          <w:ilvl w:val="0"/>
          <w:numId w:val="25"/>
        </w:numPr>
        <w:rPr>
          <w:rFonts w:asciiTheme="minorHAnsi" w:hAnsiTheme="minorHAnsi" w:cs="Arial"/>
          <w:smallCaps/>
          <w:color w:val="auto"/>
          <w:sz w:val="24"/>
          <w:szCs w:val="24"/>
        </w:rPr>
      </w:pPr>
      <w:bookmarkStart w:id="16" w:name="_Toc91500245"/>
      <w:r w:rsidRPr="00F563CD">
        <w:rPr>
          <w:rFonts w:asciiTheme="minorHAnsi" w:hAnsiTheme="minorHAnsi" w:cs="Arial"/>
          <w:smallCaps/>
          <w:color w:val="auto"/>
          <w:sz w:val="24"/>
          <w:szCs w:val="24"/>
        </w:rPr>
        <w:t>Proces konsultacija</w:t>
      </w:r>
      <w:bookmarkEnd w:id="16"/>
    </w:p>
    <w:p w14:paraId="7132B5D4" w14:textId="77777777" w:rsidR="00047EF8" w:rsidRPr="00F563CD" w:rsidRDefault="00047EF8" w:rsidP="00047EF8">
      <w:pPr>
        <w:spacing w:after="0"/>
        <w:rPr>
          <w:rFonts w:asciiTheme="minorHAnsi" w:hAnsiTheme="minorHAnsi"/>
        </w:rPr>
      </w:pPr>
    </w:p>
    <w:p w14:paraId="417666E6"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sz w:val="20"/>
          <w:szCs w:val="20"/>
        </w:rPr>
        <w:t>Nakon što su inicijalni podaci dobijeni iz NIPAK kancelarije, započete su široke konsultacije na strateškom i operativnom nivou, kao i svi relevantni opisi projekata u ovim oblastima. U cilju dobijanja svih relevantnih informacija, organizovani su sastanci sa svim zainteresovanim stranama relevantnim za Prozor 1 i izrađeni su početni nacrti akcionih dokumenata.</w:t>
      </w:r>
    </w:p>
    <w:p w14:paraId="76565A25" w14:textId="77777777" w:rsidR="00047EF8" w:rsidRPr="00F563CD" w:rsidRDefault="00864F83" w:rsidP="00047EF8">
      <w:pPr>
        <w:pStyle w:val="Heading2"/>
        <w:numPr>
          <w:ilvl w:val="0"/>
          <w:numId w:val="25"/>
        </w:numPr>
        <w:rPr>
          <w:rFonts w:asciiTheme="minorHAnsi" w:hAnsiTheme="minorHAnsi" w:cs="Arial"/>
          <w:smallCaps/>
          <w:color w:val="auto"/>
          <w:sz w:val="24"/>
          <w:szCs w:val="24"/>
        </w:rPr>
      </w:pPr>
      <w:bookmarkStart w:id="17" w:name="_Toc91500246"/>
      <w:r w:rsidRPr="00F563CD">
        <w:rPr>
          <w:rFonts w:asciiTheme="minorHAnsi" w:hAnsiTheme="minorHAnsi" w:cs="Arial"/>
          <w:smallCaps/>
          <w:color w:val="auto"/>
          <w:sz w:val="24"/>
          <w:szCs w:val="24"/>
        </w:rPr>
        <w:t>Ključni tematski prioriteti</w:t>
      </w:r>
      <w:bookmarkEnd w:id="17"/>
    </w:p>
    <w:p w14:paraId="69CD406A" w14:textId="77777777" w:rsidR="00047EF8" w:rsidRPr="00F563CD" w:rsidRDefault="00047EF8" w:rsidP="00047EF8">
      <w:pPr>
        <w:spacing w:after="0"/>
        <w:rPr>
          <w:rFonts w:asciiTheme="minorHAnsi" w:hAnsiTheme="minorHAnsi"/>
        </w:rPr>
      </w:pPr>
    </w:p>
    <w:p w14:paraId="022D0FD5" w14:textId="77777777" w:rsidR="00047EF8" w:rsidRPr="00F563CD" w:rsidRDefault="00864F83" w:rsidP="00047EF8">
      <w:pPr>
        <w:spacing w:line="240" w:lineRule="auto"/>
        <w:jc w:val="both"/>
        <w:rPr>
          <w:rFonts w:asciiTheme="minorHAnsi" w:hAnsiTheme="minorHAnsi"/>
          <w:b/>
          <w:i/>
          <w:iCs/>
          <w:sz w:val="20"/>
          <w:szCs w:val="20"/>
        </w:rPr>
      </w:pPr>
      <w:r w:rsidRPr="00F563CD">
        <w:rPr>
          <w:rFonts w:asciiTheme="minorHAnsi" w:hAnsiTheme="minorHAnsi"/>
          <w:b/>
          <w:i/>
          <w:iCs/>
          <w:sz w:val="20"/>
          <w:szCs w:val="20"/>
        </w:rPr>
        <w:t>Tematski prioritet 1: Pravosuđe   </w:t>
      </w:r>
    </w:p>
    <w:p w14:paraId="15C51262"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sz w:val="20"/>
          <w:szCs w:val="20"/>
        </w:rPr>
        <w:t>U okviru Tematskog prioriteta 1: Pravosuđe, Ministarstvo pravde, ljudskih i manjinskih prava predlaže dvije akcije za programsku 2021. godinu.</w:t>
      </w:r>
    </w:p>
    <w:p w14:paraId="445EEF54"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sz w:val="20"/>
          <w:szCs w:val="20"/>
        </w:rPr>
        <w:t xml:space="preserve">Akcija „Izgradnja zgrade za potrebe Državnog tužilaštva u </w:t>
      </w:r>
      <w:proofErr w:type="gramStart"/>
      <w:r w:rsidRPr="00F563CD">
        <w:rPr>
          <w:rFonts w:asciiTheme="minorHAnsi" w:hAnsiTheme="minorHAnsi" w:cstheme="minorBidi"/>
          <w:sz w:val="20"/>
          <w:szCs w:val="20"/>
        </w:rPr>
        <w:t>Podgorici“ navedena</w:t>
      </w:r>
      <w:proofErr w:type="gramEnd"/>
      <w:r w:rsidRPr="00F563CD">
        <w:rPr>
          <w:rFonts w:asciiTheme="minorHAnsi" w:hAnsiTheme="minorHAnsi" w:cstheme="minorBidi"/>
          <w:sz w:val="20"/>
          <w:szCs w:val="20"/>
        </w:rPr>
        <w:t xml:space="preserve"> je u Jedinstvenoj listi prioritetnih infrastrukturnih projekata– Sektor društvene djelatnosti, broj 14.</w:t>
      </w:r>
    </w:p>
    <w:p w14:paraId="09103D10"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sz w:val="20"/>
          <w:szCs w:val="20"/>
        </w:rPr>
        <w:t>Ova akcija je u skladu sa ovim Tematskim prioritetom usljed činjenice da je u okviru ovog prioriteta navedeno kako slijedi:</w:t>
      </w:r>
    </w:p>
    <w:p w14:paraId="4F035698" w14:textId="77777777" w:rsidR="00047EF8" w:rsidRPr="00F563CD" w:rsidRDefault="00864F83" w:rsidP="00047EF8">
      <w:pPr>
        <w:spacing w:line="240" w:lineRule="auto"/>
        <w:jc w:val="both"/>
        <w:rPr>
          <w:rFonts w:asciiTheme="minorHAnsi" w:hAnsiTheme="minorHAnsi" w:cstheme="minorBidi"/>
          <w:i/>
          <w:sz w:val="20"/>
          <w:szCs w:val="20"/>
        </w:rPr>
      </w:pPr>
      <w:r w:rsidRPr="00F563CD">
        <w:rPr>
          <w:rFonts w:asciiTheme="minorHAnsi" w:hAnsiTheme="minorHAnsi" w:cstheme="minorBidi"/>
          <w:i/>
          <w:sz w:val="20"/>
          <w:szCs w:val="20"/>
        </w:rPr>
        <w:t xml:space="preserve"> “Sudovi i tužilaštva moraju imati pristojne uslove za rad. Podrška poboljšanju infrastrukture može se ponuditi, ali samo kao podrška sveobuhvatnoj strategiji reformi pravosudnog sistema uz snažnu političku volju, nakon iskazivanja potreba za postizanjem ciljeva reformskog procesa” </w:t>
      </w:r>
    </w:p>
    <w:p w14:paraId="4E1DDF82"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sz w:val="20"/>
          <w:szCs w:val="20"/>
        </w:rPr>
        <w:t>Akcija “IT za pravdu” je takođe u skladu sa ovim prioritetom i to:</w:t>
      </w:r>
    </w:p>
    <w:p w14:paraId="6B145358"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sz w:val="20"/>
          <w:szCs w:val="20"/>
        </w:rPr>
        <w:t>“…</w:t>
      </w:r>
      <w:r w:rsidRPr="00F563CD">
        <w:rPr>
          <w:rFonts w:asciiTheme="minorHAnsi" w:hAnsiTheme="minorHAnsi" w:cstheme="minorBidi"/>
          <w:i/>
          <w:sz w:val="20"/>
          <w:szCs w:val="20"/>
        </w:rPr>
        <w:t>Takođe će osigurati moderan pristup politici ljudskih resursa i uvesti alate za podatke i IKT kao što je digitalizacija sistema upravljanja. Ova podrška je ključna za osiguranje pravičnih i blagovremenih postupaka, poboljšanje efikasnosti pružanja usluga i pravnu predvidljivost za profesionalce i korisnike suda</w:t>
      </w:r>
      <w:r w:rsidRPr="00F563CD">
        <w:rPr>
          <w:rFonts w:asciiTheme="minorHAnsi" w:hAnsiTheme="minorHAnsi" w:cstheme="minorBidi"/>
          <w:sz w:val="20"/>
          <w:szCs w:val="20"/>
        </w:rPr>
        <w:t>.”</w:t>
      </w:r>
    </w:p>
    <w:p w14:paraId="05CE3E00" w14:textId="77777777" w:rsidR="00047EF8" w:rsidRPr="00F563CD" w:rsidRDefault="00864F83" w:rsidP="00047EF8">
      <w:pPr>
        <w:spacing w:line="240" w:lineRule="auto"/>
        <w:jc w:val="both"/>
        <w:rPr>
          <w:rFonts w:asciiTheme="minorHAnsi" w:hAnsiTheme="minorHAnsi" w:cs="Arial"/>
          <w:iCs/>
          <w:sz w:val="20"/>
          <w:szCs w:val="20"/>
        </w:rPr>
      </w:pPr>
      <w:r w:rsidRPr="00F563CD">
        <w:rPr>
          <w:rFonts w:asciiTheme="minorHAnsi" w:hAnsiTheme="minorHAnsi" w:cs="Arial"/>
          <w:iCs/>
          <w:sz w:val="20"/>
          <w:szCs w:val="20"/>
        </w:rPr>
        <w:t>Predložene akcije su u skladu sa sledećim tematskim prioritetima:</w:t>
      </w:r>
    </w:p>
    <w:p w14:paraId="542D302F" w14:textId="77777777" w:rsidR="00047EF8" w:rsidRPr="00F563CD" w:rsidRDefault="00864F83" w:rsidP="00047EF8">
      <w:pPr>
        <w:spacing w:line="240" w:lineRule="auto"/>
        <w:jc w:val="both"/>
        <w:rPr>
          <w:rFonts w:asciiTheme="minorHAnsi" w:hAnsiTheme="minorHAnsi" w:cs="Arial"/>
          <w:iCs/>
          <w:sz w:val="20"/>
          <w:szCs w:val="20"/>
        </w:rPr>
      </w:pPr>
      <w:r w:rsidRPr="00F563CD">
        <w:rPr>
          <w:rFonts w:asciiTheme="minorHAnsi" w:hAnsiTheme="minorHAnsi" w:cs="Arial"/>
          <w:b/>
          <w:i/>
          <w:iCs/>
          <w:sz w:val="20"/>
          <w:szCs w:val="20"/>
        </w:rPr>
        <w:t>Tematski prioritet 3: Borba protiv organizovanog kriminala / bezbjednost</w:t>
      </w:r>
      <w:r w:rsidRPr="00F563CD">
        <w:rPr>
          <w:rFonts w:asciiTheme="minorHAnsi" w:hAnsiTheme="minorHAnsi" w:cs="Arial"/>
          <w:iCs/>
          <w:sz w:val="20"/>
          <w:szCs w:val="20"/>
        </w:rPr>
        <w:t xml:space="preserve"> </w:t>
      </w:r>
    </w:p>
    <w:p w14:paraId="649E5F07" w14:textId="77777777" w:rsidR="00047EF8" w:rsidRPr="00F563CD" w:rsidRDefault="00864F83" w:rsidP="00047EF8">
      <w:pPr>
        <w:spacing w:line="240" w:lineRule="auto"/>
        <w:jc w:val="both"/>
        <w:rPr>
          <w:rFonts w:asciiTheme="minorHAnsi" w:hAnsiTheme="minorHAnsi" w:cs="Arial"/>
          <w:iCs/>
          <w:sz w:val="20"/>
          <w:szCs w:val="20"/>
        </w:rPr>
      </w:pPr>
      <w:r w:rsidRPr="00F563CD">
        <w:rPr>
          <w:rFonts w:asciiTheme="minorHAnsi" w:hAnsiTheme="minorHAnsi" w:cs="Arial"/>
          <w:iCs/>
          <w:sz w:val="20"/>
          <w:szCs w:val="20"/>
        </w:rPr>
        <w:t>Kada je u pitanju TP3, predložena Akcija će doprinijeti specifičnom cilju IPA III u ovoj oblasti, a to je uspostavljanje efikasnih sistema za kreiranje i jačanje postojećih rezultata proaktivne istrage, krivičnog gonjenja i osuda za organizovani kriminal, kao i za suzbijanje radikalizacije i borbu protiv svih oblika nasilnog ekstremizma.</w:t>
      </w:r>
    </w:p>
    <w:p w14:paraId="2AB07539" w14:textId="77777777" w:rsidR="00047EF8" w:rsidRPr="00F563CD" w:rsidRDefault="00864F83" w:rsidP="00047EF8">
      <w:pPr>
        <w:spacing w:line="240" w:lineRule="auto"/>
        <w:jc w:val="both"/>
        <w:rPr>
          <w:rFonts w:asciiTheme="minorHAnsi" w:hAnsiTheme="minorHAnsi" w:cs="Arial"/>
          <w:b/>
          <w:i/>
          <w:iCs/>
          <w:sz w:val="20"/>
          <w:szCs w:val="20"/>
        </w:rPr>
      </w:pPr>
      <w:r w:rsidRPr="00F563CD">
        <w:rPr>
          <w:rFonts w:asciiTheme="minorHAnsi" w:hAnsiTheme="minorHAnsi" w:cs="Arial"/>
          <w:b/>
          <w:i/>
          <w:iCs/>
          <w:sz w:val="20"/>
          <w:szCs w:val="20"/>
        </w:rPr>
        <w:t>Tematski prioritet 4: Migracije i upravljanje granicama</w:t>
      </w:r>
    </w:p>
    <w:p w14:paraId="4E8DD1D7" w14:textId="77777777" w:rsidR="00047EF8" w:rsidRPr="00F563CD" w:rsidRDefault="00864F83" w:rsidP="00047EF8">
      <w:pPr>
        <w:spacing w:line="240" w:lineRule="auto"/>
        <w:jc w:val="both"/>
        <w:rPr>
          <w:rFonts w:asciiTheme="minorHAnsi" w:hAnsiTheme="minorHAnsi" w:cs="Arial"/>
          <w:iCs/>
          <w:sz w:val="20"/>
          <w:szCs w:val="20"/>
        </w:rPr>
      </w:pPr>
      <w:r w:rsidRPr="00F563CD">
        <w:rPr>
          <w:rFonts w:asciiTheme="minorHAnsi" w:hAnsiTheme="minorHAnsi" w:cs="Arial"/>
          <w:iCs/>
          <w:sz w:val="20"/>
          <w:szCs w:val="20"/>
        </w:rPr>
        <w:lastRenderedPageBreak/>
        <w:t>Što se tiče TP4, predložene akcije će doprinijeti daljem jačanju strateške i operativne saradnje u oblasti migracija, duž različitih stubova: nelegalne migracije, upravljanje granicom, međunarodna zaštita i legalne migracije.</w:t>
      </w:r>
    </w:p>
    <w:p w14:paraId="31B7FF8C" w14:textId="77777777" w:rsidR="00047EF8" w:rsidRPr="00F563CD" w:rsidRDefault="00864F83" w:rsidP="00047EF8">
      <w:pPr>
        <w:spacing w:line="240" w:lineRule="auto"/>
        <w:jc w:val="both"/>
        <w:rPr>
          <w:rFonts w:asciiTheme="minorHAnsi" w:hAnsiTheme="minorHAnsi"/>
          <w:b/>
          <w:i/>
          <w:iCs/>
          <w:sz w:val="20"/>
          <w:szCs w:val="20"/>
        </w:rPr>
      </w:pPr>
      <w:r w:rsidRPr="00F563CD">
        <w:rPr>
          <w:rFonts w:asciiTheme="minorHAnsi" w:hAnsiTheme="minorHAnsi"/>
          <w:b/>
          <w:i/>
          <w:iCs/>
          <w:sz w:val="20"/>
          <w:szCs w:val="20"/>
        </w:rPr>
        <w:t>Tematski prioritet 5: Temeljna prava </w:t>
      </w:r>
    </w:p>
    <w:p w14:paraId="7AD35A8C" w14:textId="77777777" w:rsidR="00047EF8" w:rsidRPr="00F563CD" w:rsidRDefault="00864F83" w:rsidP="00047EF8">
      <w:pPr>
        <w:spacing w:line="240" w:lineRule="auto"/>
        <w:jc w:val="both"/>
        <w:rPr>
          <w:rFonts w:asciiTheme="minorHAnsi" w:hAnsiTheme="minorHAnsi"/>
          <w:i/>
          <w:iCs/>
          <w:sz w:val="20"/>
          <w:szCs w:val="20"/>
        </w:rPr>
      </w:pPr>
      <w:r w:rsidRPr="00F563CD">
        <w:rPr>
          <w:rFonts w:asciiTheme="minorHAnsi" w:hAnsiTheme="minorHAnsi"/>
          <w:i/>
          <w:iCs/>
          <w:sz w:val="20"/>
          <w:szCs w:val="20"/>
          <w:u w:val="single"/>
        </w:rPr>
        <w:t>Rodna ravnopravnost</w:t>
      </w:r>
      <w:r w:rsidRPr="00F563CD">
        <w:rPr>
          <w:rFonts w:asciiTheme="minorHAnsi" w:hAnsiTheme="minorHAnsi"/>
          <w:i/>
          <w:iCs/>
          <w:sz w:val="20"/>
          <w:szCs w:val="20"/>
        </w:rPr>
        <w:t>: Orodnjavanje politika, jačanje znanja, promjena stavova i percepcija</w:t>
      </w:r>
    </w:p>
    <w:p w14:paraId="1945B202" w14:textId="77777777" w:rsidR="00047EF8" w:rsidRPr="00F563CD" w:rsidRDefault="00864F83" w:rsidP="00047EF8">
      <w:pPr>
        <w:spacing w:line="240" w:lineRule="auto"/>
        <w:jc w:val="both"/>
        <w:rPr>
          <w:rFonts w:asciiTheme="minorHAnsi" w:hAnsiTheme="minorHAnsi"/>
          <w:i/>
          <w:iCs/>
          <w:sz w:val="20"/>
          <w:szCs w:val="20"/>
        </w:rPr>
      </w:pPr>
      <w:r w:rsidRPr="00F563CD">
        <w:rPr>
          <w:rFonts w:asciiTheme="minorHAnsi" w:hAnsiTheme="minorHAnsi"/>
          <w:i/>
          <w:iCs/>
          <w:sz w:val="20"/>
          <w:szCs w:val="20"/>
          <w:u w:val="single"/>
        </w:rPr>
        <w:t>Integracija Roma</w:t>
      </w:r>
      <w:r w:rsidRPr="00F563CD">
        <w:rPr>
          <w:rFonts w:asciiTheme="minorHAnsi" w:hAnsiTheme="minorHAnsi"/>
          <w:i/>
          <w:iCs/>
          <w:sz w:val="20"/>
          <w:szCs w:val="20"/>
        </w:rPr>
        <w:t>: Obrazovanje, zapošljavanje, stanovanje i anticiganizam.</w:t>
      </w:r>
    </w:p>
    <w:p w14:paraId="21CAC807" w14:textId="77777777" w:rsidR="00047EF8" w:rsidRPr="00F563CD" w:rsidRDefault="00864F83" w:rsidP="00047EF8">
      <w:pPr>
        <w:spacing w:line="240" w:lineRule="auto"/>
        <w:jc w:val="both"/>
        <w:rPr>
          <w:rFonts w:asciiTheme="minorHAnsi" w:hAnsiTheme="minorHAnsi"/>
          <w:i/>
          <w:iCs/>
          <w:sz w:val="20"/>
          <w:szCs w:val="20"/>
        </w:rPr>
      </w:pPr>
      <w:r w:rsidRPr="00F563CD">
        <w:rPr>
          <w:rFonts w:asciiTheme="minorHAnsi" w:hAnsiTheme="minorHAnsi"/>
          <w:i/>
          <w:iCs/>
          <w:sz w:val="20"/>
          <w:szCs w:val="20"/>
          <w:u w:val="single"/>
        </w:rPr>
        <w:t>Prava manjina</w:t>
      </w:r>
      <w:r w:rsidRPr="00F563CD">
        <w:rPr>
          <w:rFonts w:asciiTheme="minorHAnsi" w:hAnsiTheme="minorHAnsi"/>
          <w:i/>
          <w:iCs/>
          <w:sz w:val="20"/>
          <w:szCs w:val="20"/>
        </w:rPr>
        <w:t>: Zaštita prava manjina, obrazovanje i jačanje institucionalnog okvira</w:t>
      </w:r>
    </w:p>
    <w:p w14:paraId="7B686B16" w14:textId="77777777" w:rsidR="00047EF8" w:rsidRPr="00F563CD" w:rsidRDefault="00864F83" w:rsidP="00047EF8">
      <w:pPr>
        <w:spacing w:line="240" w:lineRule="auto"/>
        <w:jc w:val="both"/>
        <w:rPr>
          <w:rFonts w:asciiTheme="minorHAnsi" w:hAnsiTheme="minorHAnsi"/>
          <w:i/>
          <w:iCs/>
          <w:sz w:val="20"/>
          <w:szCs w:val="20"/>
        </w:rPr>
      </w:pPr>
      <w:r w:rsidRPr="00F563CD">
        <w:rPr>
          <w:rFonts w:asciiTheme="minorHAnsi" w:hAnsiTheme="minorHAnsi"/>
          <w:i/>
          <w:iCs/>
          <w:sz w:val="20"/>
          <w:szCs w:val="20"/>
          <w:u w:val="single"/>
        </w:rPr>
        <w:t>Osobe sa invaliditetom</w:t>
      </w:r>
      <w:r w:rsidRPr="00F563CD">
        <w:rPr>
          <w:rFonts w:asciiTheme="minorHAnsi" w:hAnsiTheme="minorHAnsi"/>
          <w:i/>
          <w:iCs/>
          <w:sz w:val="20"/>
          <w:szCs w:val="20"/>
        </w:rPr>
        <w:t>: Smanjenje diskriminacije osoba sa invaliditetom, podizanje nivoa svesti o pravima osoba sa invaliditetom</w:t>
      </w:r>
    </w:p>
    <w:p w14:paraId="6FE1342F" w14:textId="77777777" w:rsidR="00047EF8" w:rsidRPr="00F563CD" w:rsidRDefault="00864F83" w:rsidP="00047EF8">
      <w:pPr>
        <w:spacing w:line="240" w:lineRule="auto"/>
        <w:jc w:val="both"/>
        <w:rPr>
          <w:rFonts w:asciiTheme="minorHAnsi" w:hAnsiTheme="minorHAnsi" w:cs="Arial"/>
          <w:sz w:val="20"/>
          <w:szCs w:val="20"/>
        </w:rPr>
      </w:pPr>
      <w:r w:rsidRPr="00F563CD">
        <w:rPr>
          <w:rFonts w:asciiTheme="minorHAnsi" w:hAnsiTheme="minorHAnsi" w:cs="Arial"/>
          <w:sz w:val="20"/>
          <w:szCs w:val="20"/>
          <w:u w:val="single"/>
        </w:rPr>
        <w:t>LGBTI</w:t>
      </w:r>
      <w:r w:rsidRPr="00F563CD">
        <w:rPr>
          <w:rFonts w:asciiTheme="minorHAnsi" w:hAnsiTheme="minorHAnsi" w:cs="Arial"/>
          <w:sz w:val="20"/>
          <w:szCs w:val="20"/>
        </w:rPr>
        <w:t>: Istraživanja u ovoj oblasti jasno ukazuju da je homofobija/transfobija u Crnoj Gori i dalje na visokom nivou, te da je primarna dimenzija od koje zavisi kvalitet života LGBTI osoba promjena društvene percepcije LGBTI osoba i njihovog prihvatanja od strane društva.</w:t>
      </w:r>
    </w:p>
    <w:p w14:paraId="2D9BDF65" w14:textId="77777777" w:rsidR="00047EF8" w:rsidRPr="00F563CD" w:rsidRDefault="00864F83" w:rsidP="00047EF8">
      <w:pPr>
        <w:spacing w:line="240" w:lineRule="auto"/>
        <w:jc w:val="both"/>
        <w:rPr>
          <w:rFonts w:asciiTheme="minorHAnsi" w:hAnsiTheme="minorHAnsi" w:cs="Arial"/>
          <w:sz w:val="20"/>
          <w:szCs w:val="20"/>
        </w:rPr>
      </w:pPr>
      <w:r w:rsidRPr="00F563CD">
        <w:rPr>
          <w:rFonts w:asciiTheme="minorHAnsi" w:hAnsiTheme="minorHAnsi" w:cs="Arial"/>
          <w:sz w:val="20"/>
          <w:szCs w:val="20"/>
        </w:rPr>
        <w:t>Još jedna važna dimenzija od koje zavisi ukupan kvalitet života LGBTI osoba u Crnoj Gori je bezbjednost i institucionalna zaštita njihovih prava. Najveći izazov i problem u ovom kontekstu predstavlja neadekvatna primjena zakonodavnog okvira za zaštitu od diskriminacije i nasilja nad LGBTI osobama, što se ogleda u nedovoljnoj opravdanosti (kažnjavanje nasilnika), nedovoljnoj obučenosti pravosudnih organa za njegovu primjenu, kao i nedostatak informacija LGBTI osoba o njihovim zakonskim pravima.</w:t>
      </w:r>
    </w:p>
    <w:p w14:paraId="4FD5E3F5" w14:textId="77777777" w:rsidR="00047EF8" w:rsidRPr="00F563CD" w:rsidRDefault="00864F83" w:rsidP="00047EF8">
      <w:pPr>
        <w:spacing w:line="240" w:lineRule="auto"/>
        <w:jc w:val="both"/>
        <w:rPr>
          <w:rFonts w:asciiTheme="minorHAnsi" w:hAnsiTheme="minorHAnsi" w:cs="Arial"/>
          <w:sz w:val="20"/>
          <w:szCs w:val="20"/>
        </w:rPr>
      </w:pPr>
      <w:r w:rsidRPr="00F563CD">
        <w:rPr>
          <w:rFonts w:asciiTheme="minorHAnsi" w:hAnsiTheme="minorHAnsi" w:cs="Arial"/>
          <w:sz w:val="20"/>
          <w:szCs w:val="20"/>
        </w:rPr>
        <w:t>Druga veoma važna dimenzija od koje zavisi ukupan kvalitet života LGBTI osoba u Crnoj Gori je dimenzija koja bi se mogla sumirati kao pristup radu i uslugama u turizmu, uslugama zdravstvene i socijalne zaštite, kao i uslugama podrške.</w:t>
      </w:r>
    </w:p>
    <w:p w14:paraId="5B9705AB" w14:textId="77777777" w:rsidR="00047EF8" w:rsidRPr="00F563CD" w:rsidRDefault="00864F83" w:rsidP="00047EF8">
      <w:pPr>
        <w:pStyle w:val="Heading2"/>
        <w:numPr>
          <w:ilvl w:val="0"/>
          <w:numId w:val="25"/>
        </w:numPr>
        <w:rPr>
          <w:rFonts w:asciiTheme="minorHAnsi" w:hAnsiTheme="minorHAnsi" w:cs="Arial"/>
          <w:smallCaps/>
          <w:color w:val="auto"/>
          <w:sz w:val="24"/>
          <w:szCs w:val="24"/>
        </w:rPr>
      </w:pPr>
      <w:bookmarkStart w:id="18" w:name="_Toc91500247"/>
      <w:r w:rsidRPr="00F563CD">
        <w:rPr>
          <w:rFonts w:asciiTheme="minorHAnsi" w:hAnsiTheme="minorHAnsi" w:cs="Arial"/>
          <w:smallCaps/>
          <w:color w:val="auto"/>
          <w:sz w:val="24"/>
          <w:szCs w:val="24"/>
        </w:rPr>
        <w:t>Lista predloženih akcija IPA III podršku 2021 – 2024</w:t>
      </w:r>
      <w:bookmarkEnd w:id="18"/>
    </w:p>
    <w:p w14:paraId="4BC15EE4" w14:textId="77777777" w:rsidR="00047EF8" w:rsidRPr="00F563CD" w:rsidRDefault="00047EF8" w:rsidP="00047EF8">
      <w:pPr>
        <w:spacing w:after="0" w:line="240" w:lineRule="auto"/>
        <w:jc w:val="both"/>
        <w:rPr>
          <w:rFonts w:asciiTheme="minorHAnsi" w:hAnsiTheme="minorHAnsi" w:cstheme="minorBidi"/>
        </w:rPr>
      </w:pPr>
    </w:p>
    <w:p w14:paraId="54622EA3" w14:textId="1B7AE30D"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sz w:val="20"/>
          <w:szCs w:val="20"/>
        </w:rPr>
        <w:t xml:space="preserve">Prioritetne akcije u okviru </w:t>
      </w:r>
      <w:r w:rsidRPr="00F563CD">
        <w:rPr>
          <w:rFonts w:asciiTheme="minorHAnsi" w:hAnsiTheme="minorHAnsi"/>
          <w:b/>
          <w:sz w:val="20"/>
          <w:szCs w:val="20"/>
        </w:rPr>
        <w:t>Tematskog prioriteta 1</w:t>
      </w:r>
      <w:r w:rsidRPr="00F563CD">
        <w:rPr>
          <w:rFonts w:asciiTheme="minorHAnsi" w:hAnsiTheme="minorHAnsi"/>
          <w:sz w:val="20"/>
          <w:szCs w:val="20"/>
        </w:rPr>
        <w:t xml:space="preserve">: Pravosuđe je komplementarno sa prioritetnim infrastrukturnim projektima </w:t>
      </w:r>
      <w:r w:rsidRPr="00F563CD">
        <w:rPr>
          <w:rFonts w:asciiTheme="minorHAnsi" w:hAnsiTheme="minorHAnsi" w:cstheme="minorBidi"/>
          <w:sz w:val="20"/>
          <w:szCs w:val="20"/>
        </w:rPr>
        <w:t>u Jedinstvenoj listi prioritetnih</w:t>
      </w:r>
      <w:r w:rsidR="0059255F" w:rsidRPr="00F563CD">
        <w:rPr>
          <w:rFonts w:asciiTheme="minorHAnsi" w:hAnsiTheme="minorHAnsi" w:cstheme="minorBidi"/>
          <w:sz w:val="20"/>
          <w:szCs w:val="20"/>
        </w:rPr>
        <w:t xml:space="preserve"> infrastrukturnih projekata 2020</w:t>
      </w:r>
      <w:r w:rsidRPr="00F563CD">
        <w:rPr>
          <w:rFonts w:asciiTheme="minorHAnsi" w:hAnsiTheme="minorHAnsi" w:cstheme="minorBidi"/>
          <w:sz w:val="20"/>
          <w:szCs w:val="20"/>
        </w:rPr>
        <w:t>, koju je usvojila Nacionalna investiciona komisija, identifikujući infrastrukturne projekte zasnovane na nacionalnim strategijama, a</w:t>
      </w:r>
      <w:r w:rsidR="0059255F" w:rsidRPr="00F563CD">
        <w:rPr>
          <w:rFonts w:asciiTheme="minorHAnsi" w:hAnsiTheme="minorHAnsi" w:cstheme="minorBidi"/>
          <w:sz w:val="20"/>
          <w:szCs w:val="20"/>
        </w:rPr>
        <w:t>kcionim planovima</w:t>
      </w:r>
      <w:r w:rsidRPr="00F563CD">
        <w:rPr>
          <w:rFonts w:asciiTheme="minorHAnsi" w:hAnsiTheme="minorHAnsi" w:cstheme="minorBidi"/>
          <w:sz w:val="20"/>
          <w:szCs w:val="20"/>
        </w:rPr>
        <w:t xml:space="preserve"> postojećim bazama podataka. Lista uključuje: </w:t>
      </w:r>
    </w:p>
    <w:p w14:paraId="55A40CF0"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sz w:val="20"/>
          <w:szCs w:val="20"/>
        </w:rPr>
        <w:t>• Izgradnja zatvora u opštini Mojkovac (Sektor društvene djelatnosti, br. 9);</w:t>
      </w:r>
    </w:p>
    <w:p w14:paraId="11913858"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sz w:val="20"/>
          <w:szCs w:val="20"/>
        </w:rPr>
        <w:t xml:space="preserve">• Unapređenje efikasnosti sudova: 1. Rekonstrukcija i adaptacija sudova: Viši sud u Bijelom Polju, Viši sud u Podgorici, Osnovni sud u Nikšiću, sa adaptacijom objekata radi omogućavanja pristupa sudovima za osobe sa invaliditetom, 2. Rekonstrukcija zgrade sudova u cilju povećanja efikasnosti kroz poboljšanje uslova rada i unapređenje energetske efikasnosti za osnovne sudove u Podgorici, Kotoru, Nikšiću, Bijelom Polju i Beranama, 3. Unapređenje efikasnosti kroz implementaciju koncepta </w:t>
      </w:r>
      <w:r w:rsidRPr="00F563CD">
        <w:rPr>
          <w:rFonts w:asciiTheme="minorHAnsi" w:hAnsiTheme="minorHAnsi" w:cstheme="minorBidi"/>
          <w:i/>
          <w:sz w:val="20"/>
          <w:szCs w:val="20"/>
        </w:rPr>
        <w:t>one-stop-shop</w:t>
      </w:r>
      <w:r w:rsidRPr="00F563CD">
        <w:rPr>
          <w:rFonts w:asciiTheme="minorHAnsi" w:hAnsiTheme="minorHAnsi" w:cstheme="minorBidi"/>
          <w:sz w:val="20"/>
          <w:szCs w:val="20"/>
        </w:rPr>
        <w:t xml:space="preserve"> (sve na jednom mjestu) u velikim sudovima (Sektor društvene djelatnosti, br. 10);</w:t>
      </w:r>
    </w:p>
    <w:p w14:paraId="0B2B43B1"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sz w:val="20"/>
          <w:szCs w:val="20"/>
        </w:rPr>
        <w:t>• Unapređenje infrastrukture ZIKS-a (Zavod za izvršenje krivičnih sankcija) u smislu obezbjeđenja i tretmana izgradnjom četiri nova objekta 1. Specijalna zdravstvena ustanova ZIKS 2. Izgradnja prijemne kancelarije ZIKS-a u Podgorici 3. Zatvor otvorenog tipa 4. Multifunkcionalni objekat (Sektor društvene djelatnosti, br. 11);</w:t>
      </w:r>
    </w:p>
    <w:p w14:paraId="15D087DD" w14:textId="77777777" w:rsidR="00047EF8" w:rsidRPr="00F563CD" w:rsidRDefault="00864F83" w:rsidP="00047EF8">
      <w:pPr>
        <w:spacing w:line="240" w:lineRule="auto"/>
        <w:jc w:val="both"/>
        <w:rPr>
          <w:rFonts w:asciiTheme="minorHAnsi" w:hAnsiTheme="minorHAnsi" w:cstheme="minorBidi"/>
          <w:sz w:val="20"/>
          <w:szCs w:val="20"/>
        </w:rPr>
      </w:pPr>
      <w:r w:rsidRPr="00F563CD">
        <w:rPr>
          <w:rFonts w:asciiTheme="minorHAnsi" w:hAnsiTheme="minorHAnsi" w:cstheme="minorBidi"/>
          <w:sz w:val="20"/>
          <w:szCs w:val="20"/>
        </w:rPr>
        <w:t>• Izgradnja integrisanog informacionog sistema pravosuđa (Sektor društvene djelatnosti, br. 12),</w:t>
      </w:r>
    </w:p>
    <w:p w14:paraId="7BF8E35A" w14:textId="77777777" w:rsidR="00047EF8" w:rsidRPr="00F563CD" w:rsidRDefault="00864F83" w:rsidP="00047EF8">
      <w:pPr>
        <w:spacing w:line="240" w:lineRule="auto"/>
        <w:jc w:val="both"/>
        <w:rPr>
          <w:rFonts w:asciiTheme="minorHAnsi" w:hAnsiTheme="minorHAnsi" w:cstheme="minorBidi"/>
          <w:sz w:val="20"/>
          <w:szCs w:val="20"/>
          <w:lang w:val="fr-BE"/>
        </w:rPr>
      </w:pPr>
      <w:r w:rsidRPr="00F563CD">
        <w:rPr>
          <w:rFonts w:asciiTheme="minorHAnsi" w:hAnsiTheme="minorHAnsi" w:cstheme="minorBidi"/>
          <w:sz w:val="20"/>
          <w:szCs w:val="20"/>
          <w:lang w:val="fr-BE"/>
        </w:rPr>
        <w:t>• Izgradnja tri nova objekta za sudove 1. Vrhovni sud Crne Gore 2. Osnovni sud u Podgorici 3. Osnovni sud u Baru (Sektor društvene djelatnosti br. 13),</w:t>
      </w:r>
    </w:p>
    <w:p w14:paraId="1636EB22" w14:textId="77777777" w:rsidR="00047EF8" w:rsidRPr="00F563CD" w:rsidRDefault="00864F83" w:rsidP="00047EF8">
      <w:pPr>
        <w:spacing w:line="240" w:lineRule="auto"/>
        <w:jc w:val="both"/>
        <w:rPr>
          <w:rFonts w:asciiTheme="minorHAnsi" w:hAnsiTheme="minorHAnsi" w:cstheme="minorBidi"/>
          <w:sz w:val="20"/>
          <w:szCs w:val="20"/>
          <w:lang w:val="fr-BE"/>
        </w:rPr>
      </w:pPr>
      <w:r w:rsidRPr="00F563CD">
        <w:rPr>
          <w:rFonts w:asciiTheme="minorHAnsi" w:hAnsiTheme="minorHAnsi" w:cstheme="minorBidi"/>
          <w:sz w:val="20"/>
          <w:szCs w:val="20"/>
          <w:lang w:val="fr-BE"/>
        </w:rPr>
        <w:t>• Izgradnja zgrade Državnog tužilaštva u Podgorici (Sektor društvene djelatnosti br. 14),</w:t>
      </w:r>
    </w:p>
    <w:p w14:paraId="53E73F82" w14:textId="77777777" w:rsidR="00047EF8" w:rsidRPr="00F563CD" w:rsidRDefault="00864F83" w:rsidP="00047EF8">
      <w:pPr>
        <w:spacing w:line="240" w:lineRule="auto"/>
        <w:jc w:val="both"/>
        <w:rPr>
          <w:rFonts w:asciiTheme="minorHAnsi" w:hAnsiTheme="minorHAnsi" w:cstheme="minorBidi"/>
          <w:sz w:val="20"/>
          <w:szCs w:val="20"/>
          <w:lang w:val="fr-BE"/>
        </w:rPr>
      </w:pPr>
      <w:r w:rsidRPr="00F563CD">
        <w:rPr>
          <w:rFonts w:asciiTheme="minorHAnsi" w:hAnsiTheme="minorHAnsi" w:cstheme="minorBidi"/>
          <w:sz w:val="20"/>
          <w:szCs w:val="20"/>
          <w:lang w:val="fr-BE"/>
        </w:rPr>
        <w:t>• Rekonstrukcija zgrada Ministarstva pravde i Ministarstva vanjskih poslova (Sektor društvene djelatnosti, br. 15).</w:t>
      </w:r>
    </w:p>
    <w:p w14:paraId="5D09DB26" w14:textId="7449F810" w:rsidR="00047EF8" w:rsidRPr="00F563CD" w:rsidRDefault="00864F83" w:rsidP="0059255F">
      <w:pPr>
        <w:pStyle w:val="Heading4"/>
        <w:jc w:val="center"/>
        <w:rPr>
          <w:rFonts w:asciiTheme="minorHAnsi" w:hAnsiTheme="minorHAnsi" w:cs="Arial"/>
          <w:i w:val="0"/>
          <w:color w:val="auto"/>
          <w:szCs w:val="22"/>
        </w:rPr>
      </w:pPr>
      <w:r w:rsidRPr="00F563CD">
        <w:rPr>
          <w:rFonts w:asciiTheme="minorHAnsi" w:hAnsiTheme="minorHAnsi" w:cs="Arial"/>
          <w:i w:val="0"/>
          <w:color w:val="auto"/>
          <w:szCs w:val="22"/>
        </w:rPr>
        <w:t xml:space="preserve">PROGRAMSKA GODINA 2021 </w:t>
      </w:r>
    </w:p>
    <w:p w14:paraId="10204900" w14:textId="77777777" w:rsidR="0059255F" w:rsidRPr="00F563CD" w:rsidRDefault="0059255F" w:rsidP="0059255F">
      <w:pPr>
        <w:spacing w:after="0"/>
        <w:rPr>
          <w:rFonts w:asciiTheme="minorHAnsi" w:hAnsiTheme="minorHAnsi"/>
        </w:rPr>
      </w:pPr>
    </w:p>
    <w:p w14:paraId="5E2929B4" w14:textId="6D41CB47" w:rsidR="00047EF8" w:rsidRPr="00F563CD" w:rsidRDefault="00864F83" w:rsidP="00047EF8">
      <w:pPr>
        <w:rPr>
          <w:rFonts w:asciiTheme="minorHAnsi" w:hAnsiTheme="minorHAnsi"/>
          <w:sz w:val="20"/>
          <w:szCs w:val="20"/>
        </w:rPr>
      </w:pPr>
      <w:r w:rsidRPr="00F563CD">
        <w:rPr>
          <w:rFonts w:asciiTheme="minorHAnsi" w:hAnsiTheme="minorHAnsi"/>
          <w:sz w:val="20"/>
          <w:szCs w:val="20"/>
        </w:rPr>
        <w:t>U okviru ove programske godine neće biti podržani projekti.</w:t>
      </w:r>
    </w:p>
    <w:p w14:paraId="6C31C39E" w14:textId="77777777" w:rsidR="00047EF8" w:rsidRPr="00F563CD" w:rsidRDefault="00864F83" w:rsidP="00047EF8">
      <w:pPr>
        <w:pStyle w:val="Heading4"/>
        <w:keepNext w:val="0"/>
        <w:keepLines w:val="0"/>
        <w:widowControl w:val="0"/>
        <w:jc w:val="center"/>
        <w:rPr>
          <w:rFonts w:asciiTheme="minorHAnsi" w:hAnsiTheme="minorHAnsi" w:cs="Arial"/>
          <w:i w:val="0"/>
          <w:color w:val="auto"/>
          <w:szCs w:val="22"/>
        </w:rPr>
      </w:pPr>
      <w:r w:rsidRPr="00F563CD">
        <w:rPr>
          <w:rFonts w:asciiTheme="minorHAnsi" w:hAnsiTheme="minorHAnsi" w:cs="Arial"/>
          <w:i w:val="0"/>
          <w:color w:val="auto"/>
          <w:szCs w:val="22"/>
        </w:rPr>
        <w:t>PROGRAMSKA GODINA 2022</w:t>
      </w:r>
    </w:p>
    <w:p w14:paraId="4C2A6D73" w14:textId="77777777" w:rsidR="00047EF8" w:rsidRPr="00F563CD" w:rsidRDefault="00047EF8" w:rsidP="00047EF8">
      <w:pPr>
        <w:pStyle w:val="paragraph"/>
        <w:spacing w:before="0" w:beforeAutospacing="0" w:after="0" w:afterAutospacing="0"/>
        <w:jc w:val="both"/>
        <w:textAlignment w:val="baseline"/>
        <w:rPr>
          <w:rFonts w:asciiTheme="minorHAnsi" w:hAnsiTheme="minorHAnsi"/>
          <w:sz w:val="22"/>
          <w:szCs w:val="22"/>
          <w:lang w:eastAsia="en-GB"/>
        </w:rPr>
      </w:pPr>
    </w:p>
    <w:p w14:paraId="12B5A1BB" w14:textId="77777777" w:rsidR="00047EF8" w:rsidRPr="00F563CD" w:rsidRDefault="00864F83" w:rsidP="00047EF8">
      <w:pPr>
        <w:spacing w:before="120" w:after="120" w:line="240" w:lineRule="auto"/>
        <w:rPr>
          <w:rFonts w:asciiTheme="minorHAnsi" w:hAnsiTheme="minorHAnsi" w:cstheme="minorHAnsi"/>
          <w:b/>
          <w:bCs/>
          <w:sz w:val="20"/>
          <w:szCs w:val="20"/>
        </w:rPr>
      </w:pPr>
      <w:r w:rsidRPr="00F563CD">
        <w:rPr>
          <w:rFonts w:asciiTheme="minorHAnsi" w:hAnsiTheme="minorHAnsi" w:cstheme="minorHAnsi"/>
          <w:b/>
          <w:color w:val="000000"/>
          <w:sz w:val="20"/>
          <w:szCs w:val="20"/>
          <w:lang w:eastAsia="en-US"/>
        </w:rPr>
        <w:t xml:space="preserve">Izgradnja zgrade za potrebe Državnog tužilaštva u Podgorici </w:t>
      </w:r>
      <w:r w:rsidRPr="00F563CD">
        <w:rPr>
          <w:rFonts w:asciiTheme="minorHAnsi" w:hAnsiTheme="minorHAnsi" w:cstheme="minorHAnsi"/>
          <w:color w:val="000000"/>
          <w:sz w:val="20"/>
          <w:szCs w:val="20"/>
          <w:lang w:eastAsia="en-US"/>
        </w:rPr>
        <w:t>(Tematski prioritet 1.1. – Pravosuđe)</w:t>
      </w:r>
    </w:p>
    <w:p w14:paraId="5D0A4B50" w14:textId="77777777" w:rsidR="00047EF8" w:rsidRPr="00F563CD" w:rsidRDefault="00864F83" w:rsidP="00047EF8">
      <w:pPr>
        <w:spacing w:line="240" w:lineRule="auto"/>
        <w:jc w:val="both"/>
        <w:rPr>
          <w:rFonts w:asciiTheme="minorHAnsi" w:hAnsiTheme="minorHAnsi" w:cstheme="minorHAnsi"/>
          <w:color w:val="000000" w:themeColor="text1"/>
          <w:sz w:val="20"/>
          <w:szCs w:val="20"/>
        </w:rPr>
      </w:pPr>
      <w:r w:rsidRPr="00F563CD">
        <w:rPr>
          <w:rFonts w:asciiTheme="minorHAnsi" w:hAnsiTheme="minorHAnsi" w:cstheme="minorHAnsi"/>
          <w:color w:val="000000" w:themeColor="text1"/>
          <w:sz w:val="20"/>
          <w:szCs w:val="20"/>
        </w:rPr>
        <w:lastRenderedPageBreak/>
        <w:t xml:space="preserve">Od strateškog značaja za Crnu Goru je realizacija akcije „Izgradnja zgrade za potrebe Državnog tužilaštva u </w:t>
      </w:r>
      <w:proofErr w:type="gramStart"/>
      <w:r w:rsidRPr="00F563CD">
        <w:rPr>
          <w:rFonts w:asciiTheme="minorHAnsi" w:hAnsiTheme="minorHAnsi" w:cstheme="minorHAnsi"/>
          <w:color w:val="000000" w:themeColor="text1"/>
          <w:sz w:val="20"/>
          <w:szCs w:val="20"/>
        </w:rPr>
        <w:t>Podgorici“</w:t>
      </w:r>
      <w:proofErr w:type="gramEnd"/>
      <w:r w:rsidRPr="00F563CD">
        <w:rPr>
          <w:rFonts w:asciiTheme="minorHAnsi" w:hAnsiTheme="minorHAnsi" w:cstheme="minorHAnsi"/>
          <w:color w:val="000000" w:themeColor="text1"/>
          <w:sz w:val="20"/>
          <w:szCs w:val="20"/>
        </w:rPr>
        <w:t>, gdje bi se nalazilo nekoliko institucija: Vrhovno državno tužilaštvo Crne Gore, Specijalno državno tužilaštvo Crne Gore, Više državno tužilaštvo u Podgorici, Osnovno državno tužilaštvo u Podgorici i Tužilački savjet – Sekretarijat Crne Gore.</w:t>
      </w:r>
    </w:p>
    <w:p w14:paraId="6EF827BB" w14:textId="77777777" w:rsidR="00047EF8" w:rsidRPr="00F563CD" w:rsidRDefault="00864F83" w:rsidP="00047EF8">
      <w:pPr>
        <w:spacing w:line="240" w:lineRule="auto"/>
        <w:jc w:val="both"/>
        <w:rPr>
          <w:rFonts w:asciiTheme="minorHAnsi" w:hAnsiTheme="minorHAnsi" w:cstheme="minorHAnsi"/>
          <w:color w:val="000000" w:themeColor="text1"/>
          <w:sz w:val="20"/>
          <w:szCs w:val="20"/>
        </w:rPr>
      </w:pPr>
      <w:r w:rsidRPr="00F563CD">
        <w:rPr>
          <w:rFonts w:asciiTheme="minorHAnsi" w:hAnsiTheme="minorHAnsi" w:cstheme="minorHAnsi"/>
          <w:color w:val="000000" w:themeColor="text1"/>
          <w:sz w:val="20"/>
          <w:szCs w:val="20"/>
        </w:rPr>
        <w:t>Izgradnjom nove zgrade za potrebe Državnog tužilaštva i Tužilačkog savjeta, na sveobuhvatan način bi se sprovodile nadležnosti ovih institucija utvrđene Ustavom Crne Gore i zakonom.</w:t>
      </w:r>
    </w:p>
    <w:p w14:paraId="411931CF" w14:textId="77777777" w:rsidR="00047EF8" w:rsidRPr="00F563CD" w:rsidRDefault="00864F83" w:rsidP="00047EF8">
      <w:pPr>
        <w:spacing w:line="240" w:lineRule="auto"/>
        <w:jc w:val="both"/>
        <w:rPr>
          <w:rFonts w:asciiTheme="minorHAnsi" w:hAnsiTheme="minorHAnsi" w:cstheme="minorHAnsi"/>
          <w:color w:val="000000" w:themeColor="text1"/>
          <w:sz w:val="20"/>
          <w:szCs w:val="20"/>
        </w:rPr>
      </w:pPr>
      <w:r w:rsidRPr="00F563CD">
        <w:rPr>
          <w:rFonts w:asciiTheme="minorHAnsi" w:hAnsiTheme="minorHAnsi" w:cstheme="minorHAnsi"/>
          <w:color w:val="000000" w:themeColor="text1"/>
          <w:sz w:val="20"/>
          <w:szCs w:val="20"/>
        </w:rPr>
        <w:t>Obezbeđivanjem adekvatnih prostornih kapaciteta za potrebe ovih institucija stvorili bi se neophodni uslovi za efikasnost njenog rada i racionalizaciju korišćenja novih kapaciteta i resursa. Takođe, ovom akcijom se postiže stvaranje unaprijeđenog infrastrukturnog rješenja i ispunjavanje potrebnih standarda bezbjednosti specifičnih za nadležnosti ovih institucija.</w:t>
      </w:r>
    </w:p>
    <w:p w14:paraId="7E98BC38" w14:textId="77777777" w:rsidR="00047EF8" w:rsidRPr="00F563CD" w:rsidRDefault="00864F83" w:rsidP="00047EF8">
      <w:pPr>
        <w:spacing w:line="240" w:lineRule="auto"/>
        <w:jc w:val="both"/>
        <w:rPr>
          <w:rFonts w:asciiTheme="minorHAnsi" w:hAnsiTheme="minorHAnsi" w:cstheme="minorHAnsi"/>
          <w:color w:val="000000" w:themeColor="text1"/>
          <w:sz w:val="20"/>
          <w:szCs w:val="20"/>
        </w:rPr>
      </w:pPr>
      <w:r w:rsidRPr="00F563CD">
        <w:rPr>
          <w:rFonts w:asciiTheme="minorHAnsi" w:hAnsiTheme="minorHAnsi" w:cstheme="minorHAnsi"/>
          <w:color w:val="000000" w:themeColor="text1"/>
          <w:sz w:val="20"/>
          <w:szCs w:val="20"/>
        </w:rPr>
        <w:t>Srpovođenjem ove akcije olakšaće se i pristup pravdi, s obzirom da bi četiri državna tužilaštva i Tužilački savjet bili u istoj zgradi. Stoga bi se poboljšala komunikacija/saradnja između ovih državnih institucija, kao i saradnja sa drugim državnim institucijama. Osim toga, značajno bi se olakšao pristup pravosudnim službama i saradnja sa građanima, pravnim licima, civilnim sektorom i međunarodnim organizacijama. Takođe, poboljšao bi se adekvatan pristup ovim institucijama za posebne kategorije lica.</w:t>
      </w:r>
    </w:p>
    <w:p w14:paraId="4479B15F" w14:textId="77777777" w:rsidR="00047EF8" w:rsidRPr="00F563CD" w:rsidRDefault="00864F83" w:rsidP="00047EF8">
      <w:pPr>
        <w:spacing w:before="120" w:after="120" w:line="240" w:lineRule="auto"/>
        <w:rPr>
          <w:rFonts w:asciiTheme="minorHAnsi" w:hAnsiTheme="minorHAnsi" w:cstheme="minorHAnsi"/>
          <w:b/>
          <w:color w:val="000000"/>
          <w:sz w:val="20"/>
          <w:szCs w:val="20"/>
          <w:lang w:eastAsia="en-US"/>
        </w:rPr>
      </w:pPr>
      <w:r w:rsidRPr="00F563CD">
        <w:rPr>
          <w:rFonts w:asciiTheme="minorHAnsi" w:hAnsiTheme="minorHAnsi" w:cstheme="minorHAnsi"/>
          <w:b/>
          <w:color w:val="000000"/>
          <w:sz w:val="20"/>
          <w:szCs w:val="20"/>
          <w:lang w:eastAsia="en-US"/>
        </w:rPr>
        <w:t xml:space="preserve">IT za pravosuđe </w:t>
      </w:r>
      <w:r w:rsidRPr="00F563CD">
        <w:rPr>
          <w:rFonts w:asciiTheme="minorHAnsi" w:hAnsiTheme="minorHAnsi" w:cstheme="minorHAnsi"/>
          <w:color w:val="000000"/>
          <w:sz w:val="20"/>
          <w:szCs w:val="20"/>
          <w:lang w:eastAsia="en-US"/>
        </w:rPr>
        <w:t>(Tematski prioritet 1.1. – Pravosuđe)</w:t>
      </w:r>
    </w:p>
    <w:p w14:paraId="0B965B43" w14:textId="77777777" w:rsidR="00047EF8" w:rsidRPr="00F563CD" w:rsidRDefault="00864F83" w:rsidP="00047EF8">
      <w:pPr>
        <w:pStyle w:val="NoSpacing"/>
        <w:jc w:val="both"/>
        <w:rPr>
          <w:rFonts w:asciiTheme="minorHAnsi" w:hAnsiTheme="minorHAnsi"/>
          <w:sz w:val="20"/>
          <w:szCs w:val="20"/>
        </w:rPr>
      </w:pPr>
      <w:r w:rsidRPr="00F563CD">
        <w:rPr>
          <w:rFonts w:asciiTheme="minorHAnsi" w:hAnsiTheme="minorHAnsi"/>
          <w:sz w:val="20"/>
          <w:szCs w:val="20"/>
        </w:rPr>
        <w:t>Razvoj novog pravosudnog informacionog sistema prepoznat je kao jedna od najvažnijih aktivnosti u reformi pravosuđa i ispunjavanje ovih zahtjeva neophodno je na putu Crne Gore ka evropskoj integraciji. Ispunjavanje svih preporuka iz poglavlja 23 je praktično nemoguće bez poboljšanja informacionog sistema i podizanja kvaliteta i tačnosti statističkog izvještavanja. Takođe, globalni trendovi u pravosuđu zahtijevaju sve veću upotrebu informaciono-komunikacionih tehnologija u radu pravosudnih organa, kako bi se značajno povećala efikasnost i transparentnost rada, te pravosuđe učinilo dostupnijim strankama.</w:t>
      </w:r>
    </w:p>
    <w:p w14:paraId="2237D356" w14:textId="77777777" w:rsidR="00047EF8" w:rsidRPr="00F563CD" w:rsidRDefault="00047EF8" w:rsidP="00047EF8">
      <w:pPr>
        <w:pStyle w:val="NoSpacing"/>
        <w:jc w:val="both"/>
        <w:rPr>
          <w:rFonts w:asciiTheme="minorHAnsi" w:hAnsiTheme="minorHAnsi"/>
          <w:sz w:val="20"/>
          <w:szCs w:val="20"/>
        </w:rPr>
      </w:pPr>
    </w:p>
    <w:p w14:paraId="52B35458" w14:textId="77777777" w:rsidR="00047EF8" w:rsidRPr="00F563CD" w:rsidRDefault="00864F83" w:rsidP="00047EF8">
      <w:pPr>
        <w:pStyle w:val="NoSpacing"/>
        <w:jc w:val="both"/>
        <w:rPr>
          <w:rFonts w:asciiTheme="minorHAnsi" w:hAnsiTheme="minorHAnsi"/>
          <w:sz w:val="20"/>
          <w:szCs w:val="20"/>
        </w:rPr>
      </w:pPr>
      <w:r w:rsidRPr="00F563CD">
        <w:rPr>
          <w:rFonts w:asciiTheme="minorHAnsi" w:hAnsiTheme="minorHAnsi"/>
          <w:sz w:val="20"/>
          <w:szCs w:val="20"/>
        </w:rPr>
        <w:t>Stvaranjem jedinstvenog pravosudnog informacionog sistema za Ministarstvo pravde, ljudskih i manjinskih prava, sudove, Državno tužilaštvo i Zavod za izvršenje krivičnih sankcija, ova akcija će obezbijediti punu nezavisnost i funkcionalnost odnosnih segmenata angažovanjem svih neophodnih podsistema za omogućavanje procesa unutar svakog pojedinačnog segmenta. Time će se obezbijediti elektronski pristup podacima i automatizacija poslovnih procesa za svaku pojedinačnu instituciju pravosudnog sistema.</w:t>
      </w:r>
    </w:p>
    <w:p w14:paraId="44B7A676" w14:textId="77777777" w:rsidR="00047EF8" w:rsidRPr="00F563CD" w:rsidRDefault="00047EF8" w:rsidP="00047EF8">
      <w:pPr>
        <w:pStyle w:val="NoSpacing"/>
        <w:jc w:val="both"/>
        <w:rPr>
          <w:rFonts w:asciiTheme="minorHAnsi" w:hAnsiTheme="minorHAnsi"/>
          <w:sz w:val="20"/>
          <w:szCs w:val="20"/>
        </w:rPr>
      </w:pPr>
    </w:p>
    <w:p w14:paraId="5479C552" w14:textId="77777777" w:rsidR="00047EF8" w:rsidRPr="00F563CD" w:rsidRDefault="00864F83" w:rsidP="0059255F">
      <w:pPr>
        <w:pStyle w:val="NoSpacing"/>
        <w:jc w:val="both"/>
        <w:rPr>
          <w:rFonts w:asciiTheme="minorHAnsi" w:hAnsiTheme="minorHAnsi" w:cstheme="minorHAnsi"/>
          <w:sz w:val="20"/>
          <w:szCs w:val="20"/>
        </w:rPr>
      </w:pPr>
      <w:r w:rsidRPr="00F563CD">
        <w:rPr>
          <w:rFonts w:asciiTheme="minorHAnsi" w:hAnsiTheme="minorHAnsi" w:cstheme="minorHAnsi"/>
          <w:sz w:val="20"/>
          <w:szCs w:val="20"/>
        </w:rPr>
        <w:t>Ova akcija će imati za cilj povećanje dostupnosti informacionih usluga, mogućnosti elektronske razmjene i obrade podataka. Vođenje svih oblika pravosudne statistike i arhive omogućava poboljšanje efikasnosti, uštedu vremena, te povećanje transparentnosti i odgovornosti pravosudnih organa, stvarajući tako uslove da građanima pruže usluge koje su im potrebne.</w:t>
      </w:r>
    </w:p>
    <w:p w14:paraId="5E93CD6E" w14:textId="77777777" w:rsidR="00047EF8" w:rsidRPr="00F563CD" w:rsidRDefault="00864F83" w:rsidP="0059255F">
      <w:pPr>
        <w:pStyle w:val="NoSpacing"/>
        <w:jc w:val="both"/>
        <w:rPr>
          <w:rFonts w:asciiTheme="minorHAnsi" w:hAnsiTheme="minorHAnsi" w:cstheme="minorHAnsi"/>
          <w:sz w:val="20"/>
          <w:szCs w:val="20"/>
        </w:rPr>
      </w:pPr>
      <w:r w:rsidRPr="00F563CD">
        <w:rPr>
          <w:rFonts w:asciiTheme="minorHAnsi" w:hAnsiTheme="minorHAnsi" w:cstheme="minorHAnsi"/>
          <w:sz w:val="20"/>
          <w:szCs w:val="20"/>
        </w:rPr>
        <w:t>Sprovođenjem ove akcije biće povećani bezbjednosni standardi u cilju zaštite podataka pravosudnog informacionog sistema uvođenjem i nadogradnjom ISO standarda.</w:t>
      </w:r>
    </w:p>
    <w:p w14:paraId="673CCB5A" w14:textId="77777777" w:rsidR="00047EF8" w:rsidRPr="00F563CD" w:rsidRDefault="00047EF8" w:rsidP="00047EF8">
      <w:pPr>
        <w:pStyle w:val="NoSpacing"/>
        <w:jc w:val="both"/>
        <w:rPr>
          <w:rFonts w:asciiTheme="minorHAnsi" w:hAnsiTheme="minorHAnsi" w:cstheme="minorHAnsi"/>
          <w:sz w:val="20"/>
          <w:szCs w:val="20"/>
        </w:rPr>
      </w:pPr>
    </w:p>
    <w:p w14:paraId="22522618" w14:textId="77777777" w:rsidR="00047EF8" w:rsidRPr="00F563CD" w:rsidRDefault="00864F83" w:rsidP="00047EF8">
      <w:pPr>
        <w:pStyle w:val="Heading4"/>
        <w:jc w:val="center"/>
        <w:rPr>
          <w:rFonts w:asciiTheme="minorHAnsi" w:hAnsiTheme="minorHAnsi" w:cs="Arial"/>
          <w:i w:val="0"/>
          <w:color w:val="auto"/>
          <w:szCs w:val="22"/>
        </w:rPr>
      </w:pPr>
      <w:r w:rsidRPr="00F563CD">
        <w:rPr>
          <w:rFonts w:asciiTheme="minorHAnsi" w:hAnsiTheme="minorHAnsi"/>
        </w:rPr>
        <w:t xml:space="preserve"> </w:t>
      </w:r>
      <w:r w:rsidRPr="00F563CD">
        <w:rPr>
          <w:rFonts w:asciiTheme="minorHAnsi" w:hAnsiTheme="minorHAnsi" w:cs="Arial"/>
          <w:i w:val="0"/>
          <w:color w:val="auto"/>
          <w:szCs w:val="22"/>
        </w:rPr>
        <w:t>PROGRAMSKE GODINE 2023 i 2024</w:t>
      </w:r>
    </w:p>
    <w:p w14:paraId="448C3DDC" w14:textId="77777777" w:rsidR="00047EF8" w:rsidRPr="00F563CD" w:rsidRDefault="00047EF8" w:rsidP="00047EF8">
      <w:pPr>
        <w:spacing w:after="0"/>
        <w:rPr>
          <w:rFonts w:asciiTheme="minorHAnsi" w:hAnsiTheme="minorHAnsi"/>
        </w:rPr>
      </w:pPr>
    </w:p>
    <w:p w14:paraId="532E0447" w14:textId="77777777" w:rsidR="00047EF8" w:rsidRPr="00F563CD" w:rsidRDefault="00864F83" w:rsidP="0059255F">
      <w:pPr>
        <w:pStyle w:val="paragraph"/>
        <w:spacing w:before="0" w:beforeAutospacing="0" w:after="0" w:afterAutospacing="0"/>
        <w:textAlignment w:val="baseline"/>
        <w:rPr>
          <w:rFonts w:asciiTheme="minorHAnsi" w:hAnsiTheme="minorHAnsi" w:cs="Arial"/>
          <w:sz w:val="20"/>
          <w:szCs w:val="20"/>
        </w:rPr>
      </w:pPr>
      <w:r w:rsidRPr="00F563CD">
        <w:rPr>
          <w:rStyle w:val="normaltextrun"/>
          <w:rFonts w:asciiTheme="minorHAnsi" w:hAnsiTheme="minorHAnsi" w:cs="Arial"/>
          <w:b/>
          <w:bCs/>
          <w:sz w:val="20"/>
          <w:szCs w:val="20"/>
        </w:rPr>
        <w:t xml:space="preserve">Unapređenje ljudskih prava manjina i ranjivih grupa </w:t>
      </w:r>
      <w:r w:rsidRPr="00F563CD">
        <w:rPr>
          <w:rStyle w:val="normaltextrun"/>
          <w:rFonts w:asciiTheme="minorHAnsi" w:hAnsiTheme="minorHAnsi" w:cs="Arial"/>
          <w:bCs/>
          <w:sz w:val="20"/>
          <w:szCs w:val="20"/>
        </w:rPr>
        <w:t>(1.5 Temeljna prava)</w:t>
      </w:r>
      <w:r w:rsidRPr="00F563CD">
        <w:rPr>
          <w:rStyle w:val="normaltextrun"/>
          <w:rFonts w:asciiTheme="minorHAnsi" w:hAnsiTheme="minorHAnsi" w:cs="Arial"/>
          <w:b/>
          <w:bCs/>
          <w:sz w:val="20"/>
          <w:szCs w:val="20"/>
        </w:rPr>
        <w:t> </w:t>
      </w:r>
      <w:r w:rsidRPr="00F563CD">
        <w:rPr>
          <w:rStyle w:val="eop"/>
          <w:rFonts w:asciiTheme="minorHAnsi" w:hAnsiTheme="minorHAnsi" w:cs="Arial"/>
          <w:sz w:val="20"/>
          <w:szCs w:val="20"/>
        </w:rPr>
        <w:t> </w:t>
      </w:r>
    </w:p>
    <w:p w14:paraId="2766EC17" w14:textId="77777777" w:rsidR="00047EF8" w:rsidRPr="00F563CD" w:rsidRDefault="00864F83" w:rsidP="0059255F">
      <w:pPr>
        <w:pStyle w:val="paragraph"/>
        <w:spacing w:before="0" w:beforeAutospacing="0" w:after="0" w:afterAutospacing="0"/>
        <w:textAlignment w:val="baseline"/>
        <w:rPr>
          <w:rFonts w:asciiTheme="minorHAnsi" w:hAnsiTheme="minorHAnsi" w:cs="Arial"/>
          <w:sz w:val="20"/>
          <w:szCs w:val="20"/>
        </w:rPr>
      </w:pPr>
      <w:r w:rsidRPr="00F563CD">
        <w:rPr>
          <w:rStyle w:val="normaltextrun"/>
          <w:rFonts w:asciiTheme="minorHAnsi" w:hAnsiTheme="minorHAnsi" w:cs="Arial"/>
          <w:b/>
          <w:bCs/>
          <w:sz w:val="20"/>
          <w:szCs w:val="20"/>
        </w:rPr>
        <w:t xml:space="preserve">Zajedno za inkluziju Roma Egipćana </w:t>
      </w:r>
      <w:r w:rsidRPr="00F563CD">
        <w:rPr>
          <w:rStyle w:val="normaltextrun"/>
          <w:rFonts w:asciiTheme="minorHAnsi" w:hAnsiTheme="minorHAnsi" w:cs="Arial"/>
          <w:bCs/>
          <w:sz w:val="20"/>
          <w:szCs w:val="20"/>
        </w:rPr>
        <w:t>(1.5 Temeljna prava)</w:t>
      </w:r>
      <w:r w:rsidRPr="00F563CD">
        <w:rPr>
          <w:rStyle w:val="eop"/>
          <w:rFonts w:asciiTheme="minorHAnsi" w:hAnsiTheme="minorHAnsi" w:cs="Arial"/>
          <w:sz w:val="20"/>
          <w:szCs w:val="20"/>
        </w:rPr>
        <w:t> </w:t>
      </w:r>
    </w:p>
    <w:p w14:paraId="327BEF18" w14:textId="77777777" w:rsidR="00047EF8" w:rsidRPr="00F563CD" w:rsidRDefault="00864F83" w:rsidP="0059255F">
      <w:pPr>
        <w:pStyle w:val="paragraph"/>
        <w:spacing w:before="0" w:beforeAutospacing="0" w:after="0" w:afterAutospacing="0"/>
        <w:textAlignment w:val="baseline"/>
        <w:rPr>
          <w:rStyle w:val="eop"/>
          <w:rFonts w:asciiTheme="minorHAnsi" w:hAnsiTheme="minorHAnsi" w:cs="Arial"/>
          <w:sz w:val="20"/>
          <w:szCs w:val="20"/>
        </w:rPr>
      </w:pPr>
      <w:r w:rsidRPr="00F563CD">
        <w:rPr>
          <w:rStyle w:val="normaltextrun"/>
          <w:rFonts w:asciiTheme="minorHAnsi" w:hAnsiTheme="minorHAnsi" w:cs="Arial"/>
          <w:b/>
          <w:bCs/>
          <w:sz w:val="20"/>
          <w:szCs w:val="20"/>
        </w:rPr>
        <w:t>Zatvorski sistem </w:t>
      </w:r>
      <w:r w:rsidRPr="00F563CD">
        <w:rPr>
          <w:rStyle w:val="normaltextrun"/>
          <w:rFonts w:asciiTheme="minorHAnsi" w:hAnsiTheme="minorHAnsi" w:cs="Arial"/>
          <w:bCs/>
          <w:sz w:val="20"/>
          <w:szCs w:val="20"/>
        </w:rPr>
        <w:t>(1.5 Temeljna prava)</w:t>
      </w:r>
      <w:r w:rsidRPr="00F563CD">
        <w:rPr>
          <w:rStyle w:val="eop"/>
          <w:rFonts w:asciiTheme="minorHAnsi" w:hAnsiTheme="minorHAnsi" w:cs="Arial"/>
          <w:sz w:val="20"/>
          <w:szCs w:val="20"/>
        </w:rPr>
        <w:t> </w:t>
      </w:r>
    </w:p>
    <w:p w14:paraId="57904329" w14:textId="77777777" w:rsidR="00047EF8" w:rsidRPr="00F563CD" w:rsidRDefault="00864F83" w:rsidP="0059255F">
      <w:pPr>
        <w:pStyle w:val="paragraph"/>
        <w:spacing w:before="0" w:beforeAutospacing="0" w:after="0" w:afterAutospacing="0"/>
        <w:textAlignment w:val="baseline"/>
        <w:rPr>
          <w:rFonts w:asciiTheme="minorHAnsi" w:hAnsiTheme="minorHAnsi" w:cs="Arial"/>
          <w:sz w:val="20"/>
          <w:szCs w:val="20"/>
        </w:rPr>
      </w:pPr>
      <w:r w:rsidRPr="00F563CD">
        <w:rPr>
          <w:rStyle w:val="eop"/>
          <w:rFonts w:asciiTheme="minorHAnsi" w:hAnsiTheme="minorHAnsi" w:cs="Arial"/>
          <w:sz w:val="20"/>
          <w:szCs w:val="20"/>
        </w:rPr>
        <w:t>(</w:t>
      </w:r>
      <w:r w:rsidRPr="00F563CD">
        <w:rPr>
          <w:rStyle w:val="eop"/>
          <w:rFonts w:asciiTheme="minorHAnsi" w:hAnsiTheme="minorHAnsi" w:cs="Arial"/>
          <w:i/>
          <w:sz w:val="20"/>
          <w:szCs w:val="20"/>
        </w:rPr>
        <w:t>VIše detalja o ovim aktivnostima u okviru ovog TP je dato u Prilogu 4)</w:t>
      </w:r>
    </w:p>
    <w:p w14:paraId="546D54C2" w14:textId="77777777" w:rsidR="00047EF8" w:rsidRPr="00F563CD" w:rsidRDefault="00047EF8" w:rsidP="00047EF8">
      <w:pPr>
        <w:spacing w:after="120"/>
        <w:jc w:val="both"/>
        <w:rPr>
          <w:rFonts w:asciiTheme="minorHAnsi" w:hAnsiTheme="minorHAnsi"/>
          <w:i/>
          <w:iCs/>
          <w:sz w:val="20"/>
          <w:szCs w:val="20"/>
        </w:rPr>
      </w:pPr>
    </w:p>
    <w:p w14:paraId="015980A7" w14:textId="77777777" w:rsidR="00047EF8" w:rsidRPr="00F563CD" w:rsidRDefault="00864F83" w:rsidP="00047EF8">
      <w:pPr>
        <w:pStyle w:val="Heading2"/>
        <w:numPr>
          <w:ilvl w:val="0"/>
          <w:numId w:val="25"/>
        </w:numPr>
        <w:spacing w:before="0"/>
        <w:rPr>
          <w:rFonts w:asciiTheme="minorHAnsi" w:hAnsiTheme="minorHAnsi" w:cs="Arial"/>
          <w:smallCaps/>
          <w:color w:val="auto"/>
          <w:sz w:val="24"/>
          <w:szCs w:val="24"/>
        </w:rPr>
      </w:pPr>
      <w:bookmarkStart w:id="19" w:name="_Toc91500248"/>
      <w:r w:rsidRPr="00F563CD">
        <w:rPr>
          <w:rFonts w:asciiTheme="minorHAnsi" w:hAnsiTheme="minorHAnsi" w:cs="Arial"/>
          <w:smallCaps/>
          <w:color w:val="auto"/>
          <w:sz w:val="24"/>
          <w:szCs w:val="24"/>
        </w:rPr>
        <w:t>Indikativni budžet i plan sprovođenja 2021-2024</w:t>
      </w:r>
      <w:bookmarkEnd w:id="19"/>
    </w:p>
    <w:p w14:paraId="61A948E7" w14:textId="77777777" w:rsidR="00047EF8" w:rsidRPr="00F563CD" w:rsidRDefault="00047EF8" w:rsidP="00047EF8">
      <w:pPr>
        <w:spacing w:line="240" w:lineRule="auto"/>
        <w:jc w:val="both"/>
        <w:rPr>
          <w:rFonts w:asciiTheme="minorHAnsi" w:eastAsia="Arial Unicode MS" w:hAnsiTheme="minorHAnsi"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872"/>
        <w:gridCol w:w="4791"/>
      </w:tblGrid>
      <w:tr w:rsidR="00047EF8" w:rsidRPr="00F563CD" w14:paraId="42DCAEDE" w14:textId="77777777" w:rsidTr="00A239C5">
        <w:trPr>
          <w:trHeight w:val="626"/>
        </w:trPr>
        <w:tc>
          <w:tcPr>
            <w:tcW w:w="3510" w:type="dxa"/>
            <w:shd w:val="clear" w:color="auto" w:fill="auto"/>
          </w:tcPr>
          <w:p w14:paraId="365EB5A3" w14:textId="77777777" w:rsidR="00047EF8" w:rsidRPr="00F563CD" w:rsidRDefault="00047EF8" w:rsidP="00A239C5">
            <w:pPr>
              <w:spacing w:before="120" w:after="120" w:line="240" w:lineRule="auto"/>
              <w:jc w:val="center"/>
              <w:rPr>
                <w:rFonts w:asciiTheme="minorHAnsi" w:hAnsiTheme="minorHAnsi" w:cs="Arial"/>
                <w:sz w:val="20"/>
              </w:rPr>
            </w:pPr>
          </w:p>
        </w:tc>
        <w:tc>
          <w:tcPr>
            <w:tcW w:w="1872" w:type="dxa"/>
            <w:shd w:val="clear" w:color="auto" w:fill="auto"/>
          </w:tcPr>
          <w:p w14:paraId="6A6B0CD9" w14:textId="77777777" w:rsidR="00047EF8" w:rsidRPr="00F563CD" w:rsidRDefault="00864F83" w:rsidP="00A239C5">
            <w:pPr>
              <w:spacing w:before="120" w:after="120" w:line="240" w:lineRule="auto"/>
              <w:ind w:left="-105" w:right="-109"/>
              <w:jc w:val="center"/>
              <w:rPr>
                <w:rFonts w:asciiTheme="minorHAnsi" w:hAnsiTheme="minorHAnsi" w:cs="Arial"/>
                <w:b/>
                <w:bCs/>
                <w:sz w:val="20"/>
                <w:szCs w:val="20"/>
              </w:rPr>
            </w:pPr>
            <w:r w:rsidRPr="00F563CD">
              <w:rPr>
                <w:rFonts w:asciiTheme="minorHAnsi" w:hAnsiTheme="minorHAnsi" w:cs="Arial"/>
                <w:b/>
                <w:bCs/>
                <w:sz w:val="20"/>
                <w:szCs w:val="20"/>
              </w:rPr>
              <w:t>Procijenjeni budžet (EUR)</w:t>
            </w:r>
          </w:p>
        </w:tc>
        <w:tc>
          <w:tcPr>
            <w:tcW w:w="4791" w:type="dxa"/>
          </w:tcPr>
          <w:p w14:paraId="27D8CA7C" w14:textId="77777777" w:rsidR="00047EF8" w:rsidRPr="00F563CD" w:rsidRDefault="00864F83" w:rsidP="00A239C5">
            <w:pPr>
              <w:spacing w:before="120" w:after="120" w:line="240" w:lineRule="auto"/>
              <w:jc w:val="center"/>
              <w:rPr>
                <w:rFonts w:asciiTheme="minorHAnsi" w:hAnsiTheme="minorHAnsi" w:cs="Arial"/>
                <w:b/>
                <w:bCs/>
                <w:sz w:val="20"/>
                <w:szCs w:val="20"/>
              </w:rPr>
            </w:pPr>
            <w:r w:rsidRPr="00F563CD">
              <w:rPr>
                <w:rFonts w:asciiTheme="minorHAnsi" w:hAnsiTheme="minorHAnsi" w:cs="Arial"/>
                <w:b/>
                <w:bCs/>
                <w:sz w:val="20"/>
                <w:szCs w:val="20"/>
              </w:rPr>
              <w:t>Plan sprovođenja</w:t>
            </w:r>
          </w:p>
        </w:tc>
      </w:tr>
      <w:tr w:rsidR="00047EF8" w:rsidRPr="00F563CD" w14:paraId="12E95BBF" w14:textId="77777777" w:rsidTr="00A239C5">
        <w:trPr>
          <w:trHeight w:val="284"/>
        </w:trPr>
        <w:tc>
          <w:tcPr>
            <w:tcW w:w="10173" w:type="dxa"/>
            <w:gridSpan w:val="3"/>
            <w:shd w:val="clear" w:color="auto" w:fill="A6A6A6" w:themeFill="background1" w:themeFillShade="A6"/>
            <w:vAlign w:val="center"/>
          </w:tcPr>
          <w:p w14:paraId="272D60DA" w14:textId="77777777" w:rsidR="00047EF8" w:rsidRPr="00F563CD" w:rsidRDefault="00864F83" w:rsidP="00A239C5">
            <w:pPr>
              <w:spacing w:after="0" w:line="240" w:lineRule="auto"/>
              <w:rPr>
                <w:rFonts w:asciiTheme="minorHAnsi" w:hAnsiTheme="minorHAnsi" w:cs="Arial"/>
                <w:b/>
                <w:bCs/>
                <w:sz w:val="20"/>
                <w:szCs w:val="20"/>
              </w:rPr>
            </w:pPr>
            <w:r w:rsidRPr="00F563CD">
              <w:rPr>
                <w:rFonts w:asciiTheme="minorHAnsi" w:hAnsiTheme="minorHAnsi" w:cs="Arial"/>
                <w:b/>
                <w:bCs/>
                <w:sz w:val="20"/>
                <w:szCs w:val="20"/>
              </w:rPr>
              <w:t>Tematski prioritet – Pravosuđe</w:t>
            </w:r>
          </w:p>
        </w:tc>
      </w:tr>
      <w:tr w:rsidR="00047EF8" w:rsidRPr="00F563CD" w14:paraId="23483B80" w14:textId="77777777" w:rsidTr="00A239C5">
        <w:trPr>
          <w:trHeight w:val="284"/>
        </w:trPr>
        <w:tc>
          <w:tcPr>
            <w:tcW w:w="10173" w:type="dxa"/>
            <w:gridSpan w:val="3"/>
            <w:shd w:val="clear" w:color="auto" w:fill="D9D9D9" w:themeFill="background1" w:themeFillShade="D9"/>
            <w:vAlign w:val="center"/>
          </w:tcPr>
          <w:p w14:paraId="1D716BFB" w14:textId="77777777" w:rsidR="00047EF8" w:rsidRPr="00F563CD" w:rsidRDefault="00864F83" w:rsidP="00A239C5">
            <w:pPr>
              <w:spacing w:after="0" w:line="240" w:lineRule="auto"/>
              <w:jc w:val="center"/>
              <w:rPr>
                <w:rFonts w:asciiTheme="minorHAnsi" w:hAnsiTheme="minorHAnsi" w:cs="Arial"/>
                <w:b/>
                <w:bCs/>
                <w:sz w:val="20"/>
                <w:szCs w:val="20"/>
              </w:rPr>
            </w:pPr>
            <w:r w:rsidRPr="00F563CD">
              <w:rPr>
                <w:rFonts w:asciiTheme="minorHAnsi" w:hAnsiTheme="minorHAnsi" w:cs="Arial"/>
                <w:b/>
                <w:bCs/>
                <w:sz w:val="20"/>
                <w:szCs w:val="20"/>
              </w:rPr>
              <w:t>2022</w:t>
            </w:r>
          </w:p>
        </w:tc>
      </w:tr>
      <w:tr w:rsidR="00047EF8" w:rsidRPr="008C3F18" w14:paraId="072B7BAF" w14:textId="77777777" w:rsidTr="00A239C5">
        <w:trPr>
          <w:trHeight w:hRule="exact" w:val="1796"/>
        </w:trPr>
        <w:tc>
          <w:tcPr>
            <w:tcW w:w="3510" w:type="dxa"/>
            <w:shd w:val="clear" w:color="auto" w:fill="auto"/>
          </w:tcPr>
          <w:p w14:paraId="251F63A3" w14:textId="77777777" w:rsidR="00047EF8" w:rsidRPr="00F563CD" w:rsidRDefault="00864F83" w:rsidP="00A239C5">
            <w:pPr>
              <w:spacing w:before="120" w:after="120" w:line="240" w:lineRule="auto"/>
              <w:rPr>
                <w:rFonts w:asciiTheme="minorHAnsi" w:hAnsiTheme="minorHAnsi" w:cs="Arial"/>
                <w:i/>
                <w:iCs/>
                <w:sz w:val="20"/>
                <w:szCs w:val="20"/>
              </w:rPr>
            </w:pPr>
            <w:r w:rsidRPr="00F563CD">
              <w:rPr>
                <w:rFonts w:asciiTheme="minorHAnsi" w:hAnsiTheme="minorHAnsi" w:cs="Arial"/>
                <w:sz w:val="20"/>
                <w:szCs w:val="20"/>
              </w:rPr>
              <w:lastRenderedPageBreak/>
              <w:t xml:space="preserve">Akcioni dokument br. 1– </w:t>
            </w:r>
            <w:r w:rsidRPr="00F563CD">
              <w:rPr>
                <w:rFonts w:asciiTheme="minorHAnsi" w:hAnsiTheme="minorHAnsi" w:cstheme="minorHAnsi"/>
                <w:sz w:val="20"/>
                <w:szCs w:val="20"/>
              </w:rPr>
              <w:t xml:space="preserve">Izgradnja objekta za potrebe Državnog tužilastva u Podgorici </w:t>
            </w:r>
          </w:p>
          <w:p w14:paraId="403E184A" w14:textId="77777777" w:rsidR="00047EF8" w:rsidRPr="00F563CD" w:rsidRDefault="00047EF8" w:rsidP="00A239C5">
            <w:pPr>
              <w:spacing w:before="120" w:after="120" w:line="240" w:lineRule="auto"/>
              <w:rPr>
                <w:rFonts w:asciiTheme="minorHAnsi" w:hAnsiTheme="minorHAnsi" w:cs="Arial"/>
                <w:sz w:val="20"/>
                <w:szCs w:val="20"/>
              </w:rPr>
            </w:pPr>
          </w:p>
        </w:tc>
        <w:tc>
          <w:tcPr>
            <w:tcW w:w="1872" w:type="dxa"/>
            <w:shd w:val="clear" w:color="auto" w:fill="auto"/>
          </w:tcPr>
          <w:p w14:paraId="2936B1F1" w14:textId="77777777" w:rsidR="00047EF8" w:rsidRPr="00F563CD" w:rsidRDefault="00864F83" w:rsidP="00A239C5">
            <w:pPr>
              <w:spacing w:before="120" w:after="120" w:line="240" w:lineRule="auto"/>
              <w:jc w:val="right"/>
              <w:rPr>
                <w:rFonts w:asciiTheme="minorHAnsi" w:hAnsiTheme="minorHAnsi" w:cstheme="minorHAnsi"/>
                <w:sz w:val="20"/>
                <w:szCs w:val="20"/>
              </w:rPr>
            </w:pPr>
            <w:r w:rsidRPr="00F563CD">
              <w:rPr>
                <w:rFonts w:asciiTheme="minorHAnsi" w:hAnsiTheme="minorHAnsi" w:cstheme="minorHAnsi"/>
                <w:sz w:val="20"/>
                <w:szCs w:val="20"/>
              </w:rPr>
              <w:t xml:space="preserve">8.240.000 </w:t>
            </w:r>
          </w:p>
        </w:tc>
        <w:tc>
          <w:tcPr>
            <w:tcW w:w="4791" w:type="dxa"/>
          </w:tcPr>
          <w:p w14:paraId="325522F9" w14:textId="77777777" w:rsidR="00047EF8" w:rsidRPr="00F563CD" w:rsidRDefault="00D630E7" w:rsidP="00D630E7">
            <w:pPr>
              <w:spacing w:before="120" w:after="120" w:line="240" w:lineRule="auto"/>
              <w:rPr>
                <w:rFonts w:asciiTheme="minorHAnsi" w:hAnsiTheme="minorHAnsi" w:cs="Arial"/>
                <w:i/>
                <w:iCs/>
                <w:sz w:val="20"/>
                <w:szCs w:val="20"/>
                <w:lang w:val="fr-BE"/>
              </w:rPr>
            </w:pPr>
            <w:r w:rsidRPr="00F563CD">
              <w:rPr>
                <w:rFonts w:asciiTheme="minorHAnsi" w:hAnsiTheme="minorHAnsi" w:cs="Arial"/>
                <w:sz w:val="20"/>
                <w:szCs w:val="20"/>
                <w:lang w:val="fr-BE" w:eastAsia="en-US"/>
              </w:rPr>
              <w:t>Akcioni dokument</w:t>
            </w:r>
            <w:r w:rsidR="00864F83" w:rsidRPr="00F563CD">
              <w:rPr>
                <w:rFonts w:asciiTheme="minorHAnsi" w:hAnsiTheme="minorHAnsi" w:cs="Arial"/>
                <w:sz w:val="20"/>
                <w:szCs w:val="20"/>
                <w:lang w:val="fr-BE" w:eastAsia="en-US"/>
              </w:rPr>
              <w:t xml:space="preserve"> je</w:t>
            </w:r>
            <w:r w:rsidRPr="00F563CD">
              <w:rPr>
                <w:rFonts w:asciiTheme="minorHAnsi" w:hAnsiTheme="minorHAnsi" w:cs="Arial"/>
                <w:sz w:val="20"/>
                <w:szCs w:val="20"/>
                <w:lang w:val="fr-BE" w:eastAsia="en-US"/>
              </w:rPr>
              <w:t xml:space="preserve"> predat u novembru </w:t>
            </w:r>
            <w:r w:rsidR="00864F83" w:rsidRPr="00F563CD">
              <w:rPr>
                <w:rFonts w:asciiTheme="minorHAnsi" w:hAnsiTheme="minorHAnsi" w:cs="Arial"/>
                <w:sz w:val="20"/>
                <w:szCs w:val="20"/>
                <w:lang w:val="fr-BE" w:eastAsia="en-US"/>
              </w:rPr>
              <w:t>2021</w:t>
            </w:r>
            <w:r w:rsidRPr="00F563CD">
              <w:rPr>
                <w:rFonts w:asciiTheme="minorHAnsi" w:hAnsiTheme="minorHAnsi" w:cs="Arial"/>
                <w:sz w:val="20"/>
                <w:szCs w:val="20"/>
                <w:lang w:val="fr-BE" w:eastAsia="en-US"/>
              </w:rPr>
              <w:t>.</w:t>
            </w:r>
          </w:p>
        </w:tc>
      </w:tr>
      <w:tr w:rsidR="00047EF8" w:rsidRPr="008C3F18" w14:paraId="27853120" w14:textId="77777777" w:rsidTr="00A239C5">
        <w:trPr>
          <w:trHeight w:val="321"/>
        </w:trPr>
        <w:tc>
          <w:tcPr>
            <w:tcW w:w="3510" w:type="dxa"/>
            <w:shd w:val="clear" w:color="auto" w:fill="auto"/>
          </w:tcPr>
          <w:p w14:paraId="2A349828" w14:textId="77777777" w:rsidR="00047EF8" w:rsidRPr="00F563CD" w:rsidRDefault="00864F83" w:rsidP="00A239C5">
            <w:pPr>
              <w:spacing w:before="120" w:after="120" w:line="240" w:lineRule="auto"/>
              <w:rPr>
                <w:rFonts w:asciiTheme="minorHAnsi" w:hAnsiTheme="minorHAnsi" w:cstheme="minorHAnsi"/>
                <w:b/>
                <w:sz w:val="20"/>
                <w:szCs w:val="20"/>
                <w:lang w:eastAsia="en-US"/>
              </w:rPr>
            </w:pPr>
            <w:r w:rsidRPr="00F563CD">
              <w:rPr>
                <w:rFonts w:asciiTheme="minorHAnsi" w:hAnsiTheme="minorHAnsi" w:cs="Arial"/>
                <w:sz w:val="20"/>
                <w:szCs w:val="20"/>
              </w:rPr>
              <w:t xml:space="preserve">Akcioni dokument br. 2 – </w:t>
            </w:r>
            <w:r w:rsidRPr="00F563CD">
              <w:rPr>
                <w:rFonts w:asciiTheme="minorHAnsi" w:hAnsiTheme="minorHAnsi" w:cstheme="minorHAnsi"/>
                <w:sz w:val="20"/>
                <w:szCs w:val="20"/>
                <w:lang w:eastAsia="en-US"/>
              </w:rPr>
              <w:t>IT za pravosuđe</w:t>
            </w:r>
          </w:p>
          <w:p w14:paraId="3EBDF71F" w14:textId="77777777" w:rsidR="00047EF8" w:rsidRPr="00F563CD" w:rsidRDefault="00047EF8" w:rsidP="00A239C5">
            <w:pPr>
              <w:spacing w:before="120" w:after="120" w:line="240" w:lineRule="auto"/>
              <w:rPr>
                <w:rFonts w:asciiTheme="minorHAnsi" w:hAnsiTheme="minorHAnsi" w:cs="Arial"/>
                <w:i/>
                <w:iCs/>
                <w:sz w:val="20"/>
                <w:szCs w:val="20"/>
              </w:rPr>
            </w:pPr>
          </w:p>
        </w:tc>
        <w:tc>
          <w:tcPr>
            <w:tcW w:w="1872" w:type="dxa"/>
            <w:shd w:val="clear" w:color="auto" w:fill="auto"/>
          </w:tcPr>
          <w:p w14:paraId="18BE29C5" w14:textId="77777777" w:rsidR="00047EF8" w:rsidRPr="00F563CD" w:rsidRDefault="00864F83" w:rsidP="00A239C5">
            <w:pPr>
              <w:spacing w:before="120" w:after="120" w:line="240" w:lineRule="auto"/>
              <w:jc w:val="right"/>
              <w:rPr>
                <w:rFonts w:asciiTheme="minorHAnsi" w:hAnsiTheme="minorHAnsi" w:cstheme="minorHAnsi"/>
                <w:sz w:val="20"/>
                <w:szCs w:val="20"/>
              </w:rPr>
            </w:pPr>
            <w:r w:rsidRPr="00F563CD">
              <w:rPr>
                <w:rFonts w:asciiTheme="minorHAnsi" w:hAnsiTheme="minorHAnsi" w:cstheme="minorHAnsi"/>
                <w:sz w:val="20"/>
                <w:szCs w:val="20"/>
              </w:rPr>
              <w:t xml:space="preserve">4.010.000 </w:t>
            </w:r>
          </w:p>
        </w:tc>
        <w:tc>
          <w:tcPr>
            <w:tcW w:w="4791" w:type="dxa"/>
          </w:tcPr>
          <w:p w14:paraId="5255254F" w14:textId="77777777" w:rsidR="00047EF8" w:rsidRPr="00F563CD" w:rsidRDefault="00D630E7" w:rsidP="00A239C5">
            <w:pPr>
              <w:spacing w:before="120" w:after="120" w:line="240" w:lineRule="auto"/>
              <w:rPr>
                <w:rFonts w:asciiTheme="minorHAnsi" w:hAnsiTheme="minorHAnsi" w:cs="Arial"/>
                <w:sz w:val="20"/>
                <w:szCs w:val="20"/>
                <w:lang w:val="fr-BE"/>
              </w:rPr>
            </w:pPr>
            <w:r w:rsidRPr="00F563CD">
              <w:rPr>
                <w:rFonts w:asciiTheme="minorHAnsi" w:hAnsiTheme="minorHAnsi" w:cs="Arial"/>
                <w:sz w:val="20"/>
                <w:szCs w:val="20"/>
                <w:lang w:val="fr-BE" w:eastAsia="en-US"/>
              </w:rPr>
              <w:t>Akcioni dokument je predat u novembru 2021.</w:t>
            </w:r>
          </w:p>
        </w:tc>
      </w:tr>
      <w:tr w:rsidR="00047EF8" w:rsidRPr="00F563CD" w14:paraId="3D72331D" w14:textId="77777777" w:rsidTr="00A239C5">
        <w:trPr>
          <w:trHeight w:val="321"/>
        </w:trPr>
        <w:tc>
          <w:tcPr>
            <w:tcW w:w="3510" w:type="dxa"/>
            <w:shd w:val="clear" w:color="auto" w:fill="auto"/>
          </w:tcPr>
          <w:p w14:paraId="3BBA61E8"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Ukupno tematski prioritet 1.1</w:t>
            </w:r>
          </w:p>
        </w:tc>
        <w:tc>
          <w:tcPr>
            <w:tcW w:w="1872" w:type="dxa"/>
            <w:shd w:val="clear" w:color="auto" w:fill="auto"/>
          </w:tcPr>
          <w:p w14:paraId="784ACD7B" w14:textId="77777777" w:rsidR="00047EF8" w:rsidRPr="00F563CD" w:rsidRDefault="00864F83" w:rsidP="00A239C5">
            <w:pPr>
              <w:spacing w:before="120" w:after="120" w:line="240" w:lineRule="auto"/>
              <w:jc w:val="right"/>
              <w:rPr>
                <w:rFonts w:asciiTheme="minorHAnsi" w:hAnsiTheme="minorHAnsi" w:cstheme="minorHAnsi"/>
                <w:sz w:val="20"/>
                <w:szCs w:val="20"/>
              </w:rPr>
            </w:pPr>
            <w:r w:rsidRPr="00F563CD">
              <w:rPr>
                <w:rFonts w:asciiTheme="minorHAnsi" w:hAnsiTheme="minorHAnsi" w:cstheme="minorHAnsi"/>
                <w:sz w:val="20"/>
                <w:szCs w:val="20"/>
              </w:rPr>
              <w:t>12.250.000</w:t>
            </w:r>
          </w:p>
        </w:tc>
        <w:tc>
          <w:tcPr>
            <w:tcW w:w="4791" w:type="dxa"/>
          </w:tcPr>
          <w:p w14:paraId="68B9DD78" w14:textId="77777777" w:rsidR="00047EF8" w:rsidRPr="00F563CD" w:rsidRDefault="00047EF8" w:rsidP="00A239C5">
            <w:pPr>
              <w:spacing w:before="120" w:after="120" w:line="240" w:lineRule="auto"/>
              <w:rPr>
                <w:rFonts w:asciiTheme="minorHAnsi" w:hAnsiTheme="minorHAnsi" w:cs="Arial"/>
                <w:sz w:val="20"/>
                <w:szCs w:val="20"/>
              </w:rPr>
            </w:pPr>
          </w:p>
        </w:tc>
      </w:tr>
      <w:tr w:rsidR="00047EF8" w:rsidRPr="00F563CD" w14:paraId="18A18EDA" w14:textId="77777777" w:rsidTr="00A239C5">
        <w:trPr>
          <w:trHeight w:val="321"/>
        </w:trPr>
        <w:tc>
          <w:tcPr>
            <w:tcW w:w="10173" w:type="dxa"/>
            <w:gridSpan w:val="3"/>
            <w:shd w:val="clear" w:color="auto" w:fill="A6A6A6" w:themeFill="background1" w:themeFillShade="A6"/>
          </w:tcPr>
          <w:p w14:paraId="611FB64D" w14:textId="77777777" w:rsidR="00047EF8" w:rsidRPr="00F563CD" w:rsidRDefault="00864F83" w:rsidP="00A239C5">
            <w:pPr>
              <w:spacing w:after="0" w:line="240" w:lineRule="auto"/>
              <w:rPr>
                <w:rFonts w:asciiTheme="minorHAnsi" w:hAnsiTheme="minorHAnsi" w:cs="Arial"/>
                <w:sz w:val="20"/>
                <w:szCs w:val="20"/>
              </w:rPr>
            </w:pPr>
            <w:r w:rsidRPr="00F563CD">
              <w:rPr>
                <w:rFonts w:asciiTheme="minorHAnsi" w:hAnsiTheme="minorHAnsi" w:cs="Arial"/>
                <w:b/>
                <w:bCs/>
                <w:sz w:val="20"/>
                <w:szCs w:val="20"/>
              </w:rPr>
              <w:t>Tematski prioritet 4 – Migracije i upravljanje granicama</w:t>
            </w:r>
          </w:p>
        </w:tc>
      </w:tr>
      <w:tr w:rsidR="00047EF8" w:rsidRPr="00F563CD" w14:paraId="07175C5E" w14:textId="77777777" w:rsidTr="00A239C5">
        <w:trPr>
          <w:trHeight w:val="321"/>
        </w:trPr>
        <w:tc>
          <w:tcPr>
            <w:tcW w:w="3510" w:type="dxa"/>
            <w:shd w:val="clear" w:color="auto" w:fill="auto"/>
          </w:tcPr>
          <w:p w14:paraId="08F203BC"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Opis projekta Br. 1 – Budžetska podrška za sprovođenje Strategije integrisanog upravljanja granicama sa daljim usklađivanjem sa Schengen standardom</w:t>
            </w:r>
          </w:p>
        </w:tc>
        <w:tc>
          <w:tcPr>
            <w:tcW w:w="1872" w:type="dxa"/>
            <w:shd w:val="clear" w:color="auto" w:fill="auto"/>
          </w:tcPr>
          <w:p w14:paraId="47860229" w14:textId="77777777" w:rsidR="00047EF8" w:rsidRPr="00F563CD" w:rsidRDefault="00864F83" w:rsidP="00A239C5">
            <w:pPr>
              <w:spacing w:before="120" w:after="120" w:line="240" w:lineRule="auto"/>
              <w:jc w:val="right"/>
              <w:rPr>
                <w:rFonts w:asciiTheme="minorHAnsi" w:hAnsiTheme="minorHAnsi" w:cstheme="minorHAnsi"/>
                <w:sz w:val="20"/>
                <w:szCs w:val="20"/>
              </w:rPr>
            </w:pPr>
            <w:r w:rsidRPr="00F563CD">
              <w:rPr>
                <w:rFonts w:asciiTheme="minorHAnsi" w:hAnsiTheme="minorHAnsi" w:cs="Arial"/>
                <w:sz w:val="20"/>
                <w:szCs w:val="20"/>
              </w:rPr>
              <w:t>35.000.000</w:t>
            </w:r>
          </w:p>
        </w:tc>
        <w:tc>
          <w:tcPr>
            <w:tcW w:w="4791" w:type="dxa"/>
          </w:tcPr>
          <w:p w14:paraId="7B0DC7F1" w14:textId="77777777" w:rsidR="00D630E7" w:rsidRPr="00F563CD" w:rsidRDefault="00D630E7" w:rsidP="00A239C5">
            <w:pPr>
              <w:spacing w:before="120" w:after="120" w:line="240" w:lineRule="auto"/>
              <w:rPr>
                <w:rFonts w:asciiTheme="minorHAnsi" w:hAnsiTheme="minorHAnsi" w:cs="Arial"/>
                <w:sz w:val="20"/>
                <w:szCs w:val="20"/>
                <w:lang w:val="fr-BE" w:eastAsia="en-US"/>
              </w:rPr>
            </w:pPr>
            <w:r w:rsidRPr="00F563CD">
              <w:rPr>
                <w:rFonts w:asciiTheme="minorHAnsi" w:hAnsiTheme="minorHAnsi" w:cs="Arial"/>
                <w:sz w:val="20"/>
                <w:szCs w:val="20"/>
                <w:lang w:val="fr-BE" w:eastAsia="en-US"/>
              </w:rPr>
              <w:t>Akcioni dokument je predat u novembru 2021.</w:t>
            </w:r>
          </w:p>
          <w:p w14:paraId="5ABC5BB7"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Budžetska podrška</w:t>
            </w:r>
            <w:r w:rsidRPr="00F563CD">
              <w:rPr>
                <w:rFonts w:asciiTheme="minorHAnsi" w:hAnsiTheme="minorHAnsi" w:cs="Arial"/>
                <w:b/>
                <w:i/>
                <w:sz w:val="20"/>
                <w:szCs w:val="20"/>
              </w:rPr>
              <w:t xml:space="preserve"> </w:t>
            </w:r>
          </w:p>
        </w:tc>
      </w:tr>
      <w:tr w:rsidR="00047EF8" w:rsidRPr="00F563CD" w14:paraId="40040954" w14:textId="77777777" w:rsidTr="00A239C5">
        <w:trPr>
          <w:trHeight w:val="321"/>
        </w:trPr>
        <w:tc>
          <w:tcPr>
            <w:tcW w:w="3510" w:type="dxa"/>
            <w:shd w:val="clear" w:color="auto" w:fill="auto"/>
          </w:tcPr>
          <w:p w14:paraId="263F304E"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Ukupno tematski prioritet 1.4</w:t>
            </w:r>
          </w:p>
        </w:tc>
        <w:tc>
          <w:tcPr>
            <w:tcW w:w="1872" w:type="dxa"/>
            <w:shd w:val="clear" w:color="auto" w:fill="auto"/>
            <w:vAlign w:val="center"/>
          </w:tcPr>
          <w:p w14:paraId="612CF5FA" w14:textId="77777777" w:rsidR="00047EF8" w:rsidRPr="00F563CD" w:rsidRDefault="00864F83" w:rsidP="00A239C5">
            <w:pPr>
              <w:spacing w:before="120" w:after="120" w:line="240" w:lineRule="auto"/>
              <w:jc w:val="right"/>
              <w:rPr>
                <w:rFonts w:asciiTheme="minorHAnsi" w:hAnsiTheme="minorHAnsi" w:cstheme="minorHAnsi"/>
                <w:sz w:val="20"/>
                <w:szCs w:val="20"/>
              </w:rPr>
            </w:pPr>
            <w:r w:rsidRPr="00F563CD">
              <w:rPr>
                <w:rFonts w:asciiTheme="minorHAnsi" w:hAnsiTheme="minorHAnsi" w:cs="Arial"/>
                <w:sz w:val="20"/>
                <w:szCs w:val="20"/>
              </w:rPr>
              <w:t>35.000.000</w:t>
            </w:r>
          </w:p>
        </w:tc>
        <w:tc>
          <w:tcPr>
            <w:tcW w:w="4791" w:type="dxa"/>
            <w:vAlign w:val="center"/>
          </w:tcPr>
          <w:p w14:paraId="14E56944" w14:textId="77777777" w:rsidR="00047EF8" w:rsidRPr="00F563CD" w:rsidRDefault="00047EF8" w:rsidP="00A239C5">
            <w:pPr>
              <w:spacing w:before="120" w:after="120" w:line="240" w:lineRule="auto"/>
              <w:rPr>
                <w:rFonts w:asciiTheme="minorHAnsi" w:hAnsiTheme="minorHAnsi" w:cs="Arial"/>
                <w:sz w:val="20"/>
                <w:szCs w:val="20"/>
              </w:rPr>
            </w:pPr>
          </w:p>
        </w:tc>
      </w:tr>
      <w:tr w:rsidR="00047EF8" w:rsidRPr="00F563CD" w14:paraId="2FA58BC6" w14:textId="77777777" w:rsidTr="00A239C5">
        <w:trPr>
          <w:trHeight w:val="321"/>
        </w:trPr>
        <w:tc>
          <w:tcPr>
            <w:tcW w:w="10173" w:type="dxa"/>
            <w:gridSpan w:val="3"/>
            <w:shd w:val="clear" w:color="auto" w:fill="A6A6A6" w:themeFill="background1" w:themeFillShade="A6"/>
          </w:tcPr>
          <w:p w14:paraId="75E6BB1F" w14:textId="77777777" w:rsidR="00047EF8" w:rsidRPr="00F563CD" w:rsidRDefault="00864F83" w:rsidP="00A239C5">
            <w:pPr>
              <w:spacing w:after="0" w:line="240" w:lineRule="auto"/>
              <w:rPr>
                <w:rFonts w:asciiTheme="minorHAnsi" w:hAnsiTheme="minorHAnsi" w:cs="Arial"/>
                <w:sz w:val="20"/>
                <w:szCs w:val="20"/>
              </w:rPr>
            </w:pPr>
            <w:r w:rsidRPr="00F563CD">
              <w:rPr>
                <w:rFonts w:asciiTheme="minorHAnsi" w:hAnsiTheme="minorHAnsi" w:cs="Arial"/>
                <w:b/>
                <w:bCs/>
                <w:sz w:val="20"/>
                <w:szCs w:val="20"/>
              </w:rPr>
              <w:t>Tematski prioritet 5 – Temeljna prava</w:t>
            </w:r>
          </w:p>
        </w:tc>
      </w:tr>
      <w:tr w:rsidR="00047EF8" w:rsidRPr="00F563CD" w14:paraId="1D55DDDD" w14:textId="77777777" w:rsidTr="00A239C5">
        <w:trPr>
          <w:trHeight w:val="321"/>
        </w:trPr>
        <w:tc>
          <w:tcPr>
            <w:tcW w:w="10173" w:type="dxa"/>
            <w:gridSpan w:val="3"/>
            <w:shd w:val="clear" w:color="auto" w:fill="D9D9D9" w:themeFill="background1" w:themeFillShade="D9"/>
          </w:tcPr>
          <w:p w14:paraId="7CEFF9FA" w14:textId="77777777" w:rsidR="00047EF8" w:rsidRPr="00F563CD" w:rsidRDefault="00864F83" w:rsidP="00A239C5">
            <w:pPr>
              <w:spacing w:after="0" w:line="240" w:lineRule="auto"/>
              <w:jc w:val="center"/>
              <w:rPr>
                <w:rFonts w:asciiTheme="minorHAnsi" w:hAnsiTheme="minorHAnsi" w:cs="Arial"/>
                <w:sz w:val="20"/>
                <w:szCs w:val="20"/>
              </w:rPr>
            </w:pPr>
            <w:r w:rsidRPr="00F563CD">
              <w:rPr>
                <w:rFonts w:asciiTheme="minorHAnsi" w:hAnsiTheme="minorHAnsi" w:cs="Arial"/>
                <w:b/>
                <w:bCs/>
                <w:sz w:val="20"/>
                <w:szCs w:val="20"/>
              </w:rPr>
              <w:t>2023</w:t>
            </w:r>
          </w:p>
        </w:tc>
      </w:tr>
      <w:tr w:rsidR="00047EF8" w:rsidRPr="00F563CD" w14:paraId="310599E3" w14:textId="77777777" w:rsidTr="00A239C5">
        <w:trPr>
          <w:trHeight w:val="321"/>
        </w:trPr>
        <w:tc>
          <w:tcPr>
            <w:tcW w:w="3510" w:type="dxa"/>
            <w:shd w:val="clear" w:color="auto" w:fill="auto"/>
          </w:tcPr>
          <w:p w14:paraId="022D2C73"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Opis projekta Br. 1 –</w:t>
            </w:r>
            <w:r w:rsidRPr="00F563CD">
              <w:rPr>
                <w:rFonts w:asciiTheme="minorHAnsi" w:hAnsiTheme="minorHAnsi" w:cs="Arial"/>
                <w:b/>
                <w:sz w:val="20"/>
                <w:szCs w:val="20"/>
              </w:rPr>
              <w:t xml:space="preserve"> </w:t>
            </w:r>
            <w:r w:rsidRPr="00F563CD">
              <w:rPr>
                <w:rFonts w:asciiTheme="minorHAnsi" w:hAnsiTheme="minorHAnsi" w:cs="Arial"/>
                <w:bCs/>
                <w:sz w:val="20"/>
                <w:szCs w:val="20"/>
              </w:rPr>
              <w:t xml:space="preserve">Jačanje kapaciteta Uprave policije za sprovođenje posebnih istražnih tehnika </w:t>
            </w:r>
          </w:p>
        </w:tc>
        <w:tc>
          <w:tcPr>
            <w:tcW w:w="1872" w:type="dxa"/>
            <w:shd w:val="clear" w:color="auto" w:fill="auto"/>
          </w:tcPr>
          <w:p w14:paraId="1A0EDDFE" w14:textId="77777777" w:rsidR="00047EF8" w:rsidRPr="00F563CD" w:rsidRDefault="00864F83" w:rsidP="00A239C5">
            <w:pPr>
              <w:spacing w:before="120" w:after="120" w:line="240" w:lineRule="auto"/>
              <w:jc w:val="right"/>
              <w:rPr>
                <w:rFonts w:asciiTheme="minorHAnsi" w:hAnsiTheme="minorHAnsi" w:cstheme="minorHAnsi"/>
                <w:sz w:val="20"/>
                <w:szCs w:val="20"/>
              </w:rPr>
            </w:pPr>
            <w:r w:rsidRPr="00F563CD">
              <w:rPr>
                <w:rFonts w:asciiTheme="minorHAnsi" w:hAnsiTheme="minorHAnsi" w:cs="Arial"/>
                <w:sz w:val="20"/>
                <w:szCs w:val="20"/>
              </w:rPr>
              <w:t>15.000.000</w:t>
            </w:r>
          </w:p>
        </w:tc>
        <w:tc>
          <w:tcPr>
            <w:tcW w:w="4791" w:type="dxa"/>
          </w:tcPr>
          <w:p w14:paraId="4767252E"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I kvartal 2022</w:t>
            </w:r>
          </w:p>
          <w:p w14:paraId="5B0A2043"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Ugovor o nabavci; Tehnička podrška/Ugovor o uslugama</w:t>
            </w:r>
          </w:p>
          <w:p w14:paraId="2E84A047" w14:textId="77777777" w:rsidR="00047EF8" w:rsidRPr="00F563CD" w:rsidRDefault="00047EF8" w:rsidP="00A239C5">
            <w:pPr>
              <w:spacing w:before="120" w:after="120" w:line="240" w:lineRule="auto"/>
              <w:rPr>
                <w:rFonts w:asciiTheme="minorHAnsi" w:hAnsiTheme="minorHAnsi" w:cs="Arial"/>
                <w:sz w:val="20"/>
                <w:szCs w:val="20"/>
              </w:rPr>
            </w:pPr>
          </w:p>
        </w:tc>
      </w:tr>
      <w:tr w:rsidR="00047EF8" w:rsidRPr="00F563CD" w14:paraId="522C1D81" w14:textId="77777777" w:rsidTr="00A239C5">
        <w:trPr>
          <w:trHeight w:val="321"/>
        </w:trPr>
        <w:tc>
          <w:tcPr>
            <w:tcW w:w="3510" w:type="dxa"/>
            <w:shd w:val="clear" w:color="auto" w:fill="auto"/>
          </w:tcPr>
          <w:p w14:paraId="3EED67FD" w14:textId="77777777" w:rsidR="00047EF8" w:rsidRPr="00F563CD" w:rsidRDefault="00864F83" w:rsidP="00A239C5">
            <w:pPr>
              <w:spacing w:before="120" w:after="120" w:line="240" w:lineRule="auto"/>
              <w:rPr>
                <w:rFonts w:asciiTheme="minorHAnsi" w:hAnsiTheme="minorHAnsi" w:cs="Arial"/>
                <w:sz w:val="20"/>
                <w:szCs w:val="20"/>
                <w:highlight w:val="yellow"/>
                <w:lang w:val="fr-BE"/>
              </w:rPr>
            </w:pPr>
            <w:r w:rsidRPr="00F563CD">
              <w:rPr>
                <w:rFonts w:asciiTheme="minorHAnsi" w:hAnsiTheme="minorHAnsi" w:cs="Arial"/>
                <w:sz w:val="20"/>
                <w:szCs w:val="20"/>
                <w:lang w:val="fr-BE"/>
              </w:rPr>
              <w:t>Opis projekta Br. 2 – Podrška EU temeljnim pravima</w:t>
            </w:r>
          </w:p>
        </w:tc>
        <w:tc>
          <w:tcPr>
            <w:tcW w:w="1872" w:type="dxa"/>
            <w:shd w:val="clear" w:color="auto" w:fill="auto"/>
          </w:tcPr>
          <w:p w14:paraId="34BB3C89"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4.750.000</w:t>
            </w:r>
          </w:p>
        </w:tc>
        <w:tc>
          <w:tcPr>
            <w:tcW w:w="4791" w:type="dxa"/>
          </w:tcPr>
          <w:p w14:paraId="0E0E35A1" w14:textId="77777777" w:rsidR="00047EF8" w:rsidRPr="00F563CD" w:rsidRDefault="00864F83" w:rsidP="00A239C5">
            <w:pPr>
              <w:spacing w:before="120" w:after="120" w:line="240" w:lineRule="auto"/>
              <w:rPr>
                <w:rFonts w:asciiTheme="minorHAnsi" w:hAnsiTheme="minorHAnsi" w:cs="Arial"/>
                <w:i/>
                <w:sz w:val="20"/>
                <w:szCs w:val="20"/>
              </w:rPr>
            </w:pPr>
            <w:r w:rsidRPr="00F563CD">
              <w:rPr>
                <w:rFonts w:asciiTheme="minorHAnsi" w:hAnsiTheme="minorHAnsi" w:cs="Arial"/>
                <w:i/>
                <w:sz w:val="20"/>
                <w:szCs w:val="20"/>
              </w:rPr>
              <w:t>Više detalja u Prilogu 4</w:t>
            </w:r>
          </w:p>
        </w:tc>
      </w:tr>
      <w:tr w:rsidR="00047EF8" w:rsidRPr="00F563CD" w14:paraId="28C0C0F5" w14:textId="77777777" w:rsidTr="00A239C5">
        <w:trPr>
          <w:trHeight w:val="321"/>
        </w:trPr>
        <w:tc>
          <w:tcPr>
            <w:tcW w:w="3510" w:type="dxa"/>
            <w:shd w:val="clear" w:color="auto" w:fill="auto"/>
          </w:tcPr>
          <w:p w14:paraId="0174CAAA"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Tematski prioritet 1.5</w:t>
            </w:r>
          </w:p>
        </w:tc>
        <w:tc>
          <w:tcPr>
            <w:tcW w:w="1872" w:type="dxa"/>
            <w:shd w:val="clear" w:color="auto" w:fill="auto"/>
          </w:tcPr>
          <w:p w14:paraId="788F8557"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19.750.000</w:t>
            </w:r>
          </w:p>
        </w:tc>
        <w:tc>
          <w:tcPr>
            <w:tcW w:w="4791" w:type="dxa"/>
          </w:tcPr>
          <w:p w14:paraId="34FB538B" w14:textId="77777777" w:rsidR="00047EF8" w:rsidRPr="00F563CD" w:rsidRDefault="00047EF8" w:rsidP="00A239C5">
            <w:pPr>
              <w:spacing w:before="120" w:after="120" w:line="240" w:lineRule="auto"/>
              <w:rPr>
                <w:rFonts w:asciiTheme="minorHAnsi" w:hAnsiTheme="minorHAnsi" w:cs="Arial"/>
                <w:i/>
                <w:sz w:val="20"/>
                <w:szCs w:val="20"/>
              </w:rPr>
            </w:pPr>
          </w:p>
        </w:tc>
      </w:tr>
      <w:tr w:rsidR="00047EF8" w:rsidRPr="00F563CD" w14:paraId="61160923" w14:textId="77777777" w:rsidTr="00A239C5">
        <w:trPr>
          <w:trHeight w:val="321"/>
        </w:trPr>
        <w:tc>
          <w:tcPr>
            <w:tcW w:w="10173" w:type="dxa"/>
            <w:gridSpan w:val="3"/>
            <w:shd w:val="clear" w:color="auto" w:fill="D9D9D9" w:themeFill="background1" w:themeFillShade="D9"/>
          </w:tcPr>
          <w:p w14:paraId="05B73918" w14:textId="77777777" w:rsidR="00047EF8" w:rsidRPr="00F563CD" w:rsidRDefault="00864F83" w:rsidP="00A239C5">
            <w:pPr>
              <w:spacing w:after="0" w:line="240" w:lineRule="auto"/>
              <w:jc w:val="center"/>
              <w:rPr>
                <w:rFonts w:asciiTheme="minorHAnsi" w:hAnsiTheme="minorHAnsi" w:cs="Arial"/>
                <w:sz w:val="20"/>
                <w:szCs w:val="20"/>
              </w:rPr>
            </w:pPr>
            <w:r w:rsidRPr="00F563CD">
              <w:rPr>
                <w:rFonts w:asciiTheme="minorHAnsi" w:hAnsiTheme="minorHAnsi" w:cs="Arial"/>
                <w:b/>
                <w:bCs/>
                <w:sz w:val="20"/>
                <w:szCs w:val="20"/>
              </w:rPr>
              <w:t>2024</w:t>
            </w:r>
          </w:p>
        </w:tc>
      </w:tr>
      <w:tr w:rsidR="00047EF8" w:rsidRPr="00F563CD" w14:paraId="63EF7C60" w14:textId="77777777" w:rsidTr="00A239C5">
        <w:trPr>
          <w:trHeight w:val="321"/>
        </w:trPr>
        <w:tc>
          <w:tcPr>
            <w:tcW w:w="3510" w:type="dxa"/>
            <w:shd w:val="clear" w:color="auto" w:fill="auto"/>
          </w:tcPr>
          <w:p w14:paraId="25695F21"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AD Br. 1   –</w:t>
            </w:r>
            <w:r w:rsidRPr="00F563CD">
              <w:rPr>
                <w:rFonts w:asciiTheme="minorHAnsi" w:hAnsiTheme="minorHAnsi"/>
                <w:b/>
                <w:iCs/>
                <w:sz w:val="20"/>
                <w:szCs w:val="20"/>
              </w:rPr>
              <w:t xml:space="preserve"> </w:t>
            </w:r>
            <w:r w:rsidRPr="00F563CD">
              <w:rPr>
                <w:rFonts w:asciiTheme="minorHAnsi" w:hAnsiTheme="minorHAnsi"/>
                <w:iCs/>
                <w:sz w:val="20"/>
                <w:szCs w:val="20"/>
              </w:rPr>
              <w:t>Proširivanje kapaciteta smještaja  usluga koje se pružaju u centrima za migracije</w:t>
            </w:r>
            <w:r w:rsidRPr="00F563CD">
              <w:rPr>
                <w:rFonts w:asciiTheme="minorHAnsi" w:hAnsiTheme="minorHAnsi"/>
                <w:b/>
                <w:iCs/>
                <w:sz w:val="20"/>
                <w:szCs w:val="20"/>
              </w:rPr>
              <w:t xml:space="preserve"> </w:t>
            </w:r>
          </w:p>
        </w:tc>
        <w:tc>
          <w:tcPr>
            <w:tcW w:w="1872" w:type="dxa"/>
            <w:shd w:val="clear" w:color="auto" w:fill="auto"/>
          </w:tcPr>
          <w:p w14:paraId="56733F8A" w14:textId="77777777" w:rsidR="00047EF8" w:rsidRPr="00F563CD" w:rsidRDefault="00864F83" w:rsidP="00A239C5">
            <w:pPr>
              <w:spacing w:before="120" w:after="120" w:line="240" w:lineRule="auto"/>
              <w:jc w:val="right"/>
              <w:rPr>
                <w:rFonts w:asciiTheme="minorHAnsi" w:hAnsiTheme="minorHAnsi" w:cstheme="minorHAnsi"/>
                <w:sz w:val="20"/>
                <w:szCs w:val="20"/>
              </w:rPr>
            </w:pPr>
            <w:r w:rsidRPr="00F563CD">
              <w:rPr>
                <w:rFonts w:asciiTheme="minorHAnsi" w:hAnsiTheme="minorHAnsi" w:cs="Arial"/>
                <w:sz w:val="20"/>
                <w:szCs w:val="20"/>
              </w:rPr>
              <w:t>1.000.000</w:t>
            </w:r>
          </w:p>
        </w:tc>
        <w:tc>
          <w:tcPr>
            <w:tcW w:w="4791" w:type="dxa"/>
          </w:tcPr>
          <w:p w14:paraId="1E598713"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I kvartal 2023</w:t>
            </w:r>
          </w:p>
          <w:p w14:paraId="6B9F93A1" w14:textId="77777777" w:rsidR="00047EF8" w:rsidRPr="00F563CD" w:rsidRDefault="00047EF8" w:rsidP="00A239C5">
            <w:pPr>
              <w:spacing w:before="120" w:after="120" w:line="240" w:lineRule="auto"/>
              <w:rPr>
                <w:rFonts w:asciiTheme="minorHAnsi" w:hAnsiTheme="minorHAnsi" w:cs="Arial"/>
                <w:sz w:val="20"/>
                <w:szCs w:val="20"/>
              </w:rPr>
            </w:pPr>
          </w:p>
        </w:tc>
      </w:tr>
      <w:tr w:rsidR="00047EF8" w:rsidRPr="00F563CD" w14:paraId="1441043A" w14:textId="77777777" w:rsidTr="00A239C5">
        <w:trPr>
          <w:trHeight w:val="321"/>
        </w:trPr>
        <w:tc>
          <w:tcPr>
            <w:tcW w:w="3510" w:type="dxa"/>
            <w:shd w:val="clear" w:color="auto" w:fill="auto"/>
          </w:tcPr>
          <w:p w14:paraId="7583567F" w14:textId="77777777" w:rsidR="00047EF8" w:rsidRPr="00F563CD" w:rsidRDefault="00864F83" w:rsidP="00A239C5">
            <w:pPr>
              <w:spacing w:before="120" w:after="120" w:line="240" w:lineRule="auto"/>
              <w:ind w:left="720" w:hanging="720"/>
              <w:rPr>
                <w:rFonts w:asciiTheme="minorHAnsi" w:hAnsiTheme="minorHAnsi" w:cs="Arial"/>
                <w:sz w:val="20"/>
                <w:szCs w:val="20"/>
              </w:rPr>
            </w:pPr>
            <w:r w:rsidRPr="00F563CD">
              <w:rPr>
                <w:rFonts w:asciiTheme="minorHAnsi" w:hAnsiTheme="minorHAnsi" w:cs="Arial"/>
                <w:sz w:val="20"/>
                <w:szCs w:val="20"/>
              </w:rPr>
              <w:t>Tematski prioritet 1.5</w:t>
            </w:r>
          </w:p>
        </w:tc>
        <w:tc>
          <w:tcPr>
            <w:tcW w:w="1872" w:type="dxa"/>
            <w:shd w:val="clear" w:color="auto" w:fill="auto"/>
          </w:tcPr>
          <w:p w14:paraId="4A9A4E5B"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1.000.000</w:t>
            </w:r>
          </w:p>
        </w:tc>
        <w:tc>
          <w:tcPr>
            <w:tcW w:w="4791" w:type="dxa"/>
          </w:tcPr>
          <w:p w14:paraId="1CBCDB97" w14:textId="77777777" w:rsidR="00047EF8" w:rsidRPr="00F563CD" w:rsidRDefault="00047EF8" w:rsidP="00A239C5">
            <w:pPr>
              <w:spacing w:before="120" w:after="120" w:line="240" w:lineRule="auto"/>
              <w:rPr>
                <w:rFonts w:asciiTheme="minorHAnsi" w:hAnsiTheme="minorHAnsi" w:cs="Arial"/>
                <w:sz w:val="20"/>
                <w:szCs w:val="20"/>
              </w:rPr>
            </w:pPr>
          </w:p>
        </w:tc>
      </w:tr>
      <w:tr w:rsidR="00047EF8" w:rsidRPr="00F563CD" w14:paraId="2FB66D15" w14:textId="77777777" w:rsidTr="00A239C5">
        <w:trPr>
          <w:trHeight w:val="321"/>
        </w:trPr>
        <w:tc>
          <w:tcPr>
            <w:tcW w:w="3510" w:type="dxa"/>
            <w:shd w:val="clear" w:color="auto" w:fill="A6A6A6" w:themeFill="background1" w:themeFillShade="A6"/>
          </w:tcPr>
          <w:p w14:paraId="1D4BECC7" w14:textId="77777777" w:rsidR="00047EF8" w:rsidRPr="00F563CD" w:rsidRDefault="00864F83" w:rsidP="00A239C5">
            <w:pPr>
              <w:spacing w:before="120" w:after="120" w:line="240" w:lineRule="auto"/>
              <w:rPr>
                <w:rFonts w:asciiTheme="minorHAnsi" w:hAnsiTheme="minorHAnsi" w:cs="Arial"/>
                <w:b/>
                <w:sz w:val="20"/>
                <w:szCs w:val="20"/>
              </w:rPr>
            </w:pPr>
            <w:r w:rsidRPr="00F563CD">
              <w:rPr>
                <w:rFonts w:asciiTheme="minorHAnsi" w:hAnsiTheme="minorHAnsi" w:cs="Arial"/>
                <w:b/>
                <w:sz w:val="20"/>
                <w:szCs w:val="20"/>
              </w:rPr>
              <w:t>Ukupno tematski prioriteti 2021 -2024</w:t>
            </w:r>
          </w:p>
        </w:tc>
        <w:tc>
          <w:tcPr>
            <w:tcW w:w="1872" w:type="dxa"/>
            <w:shd w:val="clear" w:color="auto" w:fill="A6A6A6" w:themeFill="background1" w:themeFillShade="A6"/>
          </w:tcPr>
          <w:p w14:paraId="04C7619E" w14:textId="77777777" w:rsidR="00047EF8" w:rsidRPr="00F563CD" w:rsidRDefault="00864F83" w:rsidP="00A239C5">
            <w:pPr>
              <w:spacing w:before="120" w:after="120" w:line="240" w:lineRule="auto"/>
              <w:jc w:val="right"/>
              <w:rPr>
                <w:rFonts w:asciiTheme="minorHAnsi" w:hAnsiTheme="minorHAnsi" w:cstheme="minorHAnsi"/>
                <w:b/>
                <w:sz w:val="20"/>
                <w:szCs w:val="20"/>
              </w:rPr>
            </w:pPr>
            <w:r w:rsidRPr="00F563CD">
              <w:rPr>
                <w:rFonts w:asciiTheme="minorHAnsi" w:hAnsiTheme="minorHAnsi" w:cstheme="minorHAnsi"/>
                <w:b/>
                <w:sz w:val="20"/>
                <w:szCs w:val="20"/>
              </w:rPr>
              <w:t>68.000.000</w:t>
            </w:r>
          </w:p>
        </w:tc>
        <w:tc>
          <w:tcPr>
            <w:tcW w:w="4791" w:type="dxa"/>
            <w:tcBorders>
              <w:bottom w:val="single" w:sz="4" w:space="0" w:color="auto"/>
            </w:tcBorders>
          </w:tcPr>
          <w:p w14:paraId="6FF89D46" w14:textId="77777777" w:rsidR="00047EF8" w:rsidRPr="00F563CD" w:rsidRDefault="00047EF8" w:rsidP="00A239C5">
            <w:pPr>
              <w:spacing w:before="120" w:after="120" w:line="240" w:lineRule="auto"/>
              <w:rPr>
                <w:rFonts w:asciiTheme="minorHAnsi" w:hAnsiTheme="minorHAnsi" w:cs="Arial"/>
                <w:sz w:val="20"/>
                <w:szCs w:val="20"/>
              </w:rPr>
            </w:pPr>
          </w:p>
        </w:tc>
      </w:tr>
    </w:tbl>
    <w:p w14:paraId="048392C7" w14:textId="77777777" w:rsidR="00047EF8" w:rsidRPr="00F563CD" w:rsidRDefault="00047EF8" w:rsidP="00047EF8">
      <w:pPr>
        <w:spacing w:line="240" w:lineRule="auto"/>
        <w:jc w:val="both"/>
        <w:rPr>
          <w:rFonts w:asciiTheme="minorHAnsi" w:eastAsia="Arial Unicode MS" w:hAnsiTheme="minorHAnsi" w:cs="Arial"/>
        </w:rPr>
      </w:pPr>
    </w:p>
    <w:p w14:paraId="65586B66" w14:textId="5DA9364F" w:rsidR="00047EF8" w:rsidRPr="00F563CD" w:rsidRDefault="00864F83" w:rsidP="00047EF8">
      <w:pPr>
        <w:keepNext/>
        <w:keepLines/>
        <w:pBdr>
          <w:bottom w:val="single" w:sz="12" w:space="1" w:color="auto"/>
        </w:pBdr>
        <w:spacing w:before="480" w:after="0"/>
        <w:jc w:val="both"/>
        <w:outlineLvl w:val="0"/>
        <w:rPr>
          <w:rFonts w:asciiTheme="minorHAnsi" w:hAnsiTheme="minorHAnsi"/>
          <w:i/>
          <w:iCs/>
          <w:sz w:val="20"/>
          <w:szCs w:val="20"/>
        </w:rPr>
      </w:pPr>
      <w:bookmarkStart w:id="20" w:name="_Toc91500249"/>
      <w:r w:rsidRPr="00F563CD">
        <w:rPr>
          <w:rFonts w:asciiTheme="minorHAnsi" w:hAnsiTheme="minorHAnsi" w:cs="Arial"/>
          <w:b/>
          <w:bCs/>
          <w:caps/>
          <w:sz w:val="28"/>
          <w:szCs w:val="28"/>
        </w:rPr>
        <w:lastRenderedPageBreak/>
        <w:t>PROZOR 2 – DOBRO UPRAVLJANJE, USKLAĐIVANJE SA PRAVNOM TEKOVINOM, DOBROSUSJEDSKI ODNOSI I STRATEŠKO KOMUNICIRANJE</w:t>
      </w:r>
      <w:bookmarkEnd w:id="20"/>
      <w:r w:rsidRPr="00F563CD">
        <w:rPr>
          <w:rFonts w:asciiTheme="minorHAnsi" w:hAnsiTheme="minorHAnsi" w:cs="Arial"/>
          <w:b/>
          <w:bCs/>
          <w:caps/>
          <w:sz w:val="28"/>
          <w:szCs w:val="28"/>
        </w:rPr>
        <w:t xml:space="preserve"> </w:t>
      </w:r>
    </w:p>
    <w:p w14:paraId="14A95D53" w14:textId="77777777" w:rsidR="0086044A" w:rsidRPr="00F563CD" w:rsidRDefault="00864F83" w:rsidP="0086044A">
      <w:pPr>
        <w:keepNext/>
        <w:keepLines/>
        <w:spacing w:before="200" w:after="0"/>
        <w:outlineLvl w:val="2"/>
        <w:rPr>
          <w:rFonts w:asciiTheme="minorHAnsi" w:hAnsiTheme="minorHAnsi" w:cs="Arial"/>
          <w:b/>
          <w:bCs/>
          <w:color w:val="2DA2BF"/>
          <w:lang w:val="sr-Latn-ME"/>
        </w:rPr>
      </w:pPr>
      <w:r w:rsidRPr="00F563CD">
        <w:rPr>
          <w:rFonts w:asciiTheme="minorHAnsi" w:hAnsiTheme="minorHAnsi" w:cs="Arial"/>
          <w:b/>
          <w:bCs/>
        </w:rPr>
        <w:t xml:space="preserve"> </w:t>
      </w:r>
      <w:r w:rsidR="0086044A" w:rsidRPr="00F563CD">
        <w:rPr>
          <w:rFonts w:asciiTheme="minorHAnsi" w:hAnsiTheme="minorHAnsi" w:cs="Arial"/>
          <w:b/>
          <w:bCs/>
          <w:lang w:val="sr-Latn-ME"/>
        </w:rPr>
        <w:t xml:space="preserve"> </w:t>
      </w:r>
      <w:bookmarkStart w:id="21" w:name="_Toc91500250"/>
      <w:r w:rsidR="0086044A" w:rsidRPr="00F563CD">
        <w:rPr>
          <w:rFonts w:asciiTheme="minorHAnsi" w:hAnsiTheme="minorHAnsi" w:cs="Arial"/>
          <w:b/>
          <w:bCs/>
          <w:lang w:val="sr-Latn-ME"/>
        </w:rPr>
        <w:t>1 DIO – SEKTORSKI KONTEKST I RELEVANTNOST ZA POLITIKU PROŠIRENJA</w:t>
      </w:r>
      <w:bookmarkEnd w:id="21"/>
    </w:p>
    <w:p w14:paraId="406DFF49" w14:textId="77777777" w:rsidR="0086044A" w:rsidRPr="00F563CD" w:rsidRDefault="0086044A" w:rsidP="0086044A">
      <w:pPr>
        <w:keepNext/>
        <w:keepLines/>
        <w:numPr>
          <w:ilvl w:val="0"/>
          <w:numId w:val="26"/>
        </w:numPr>
        <w:spacing w:before="200" w:after="0"/>
        <w:outlineLvl w:val="1"/>
        <w:rPr>
          <w:rFonts w:asciiTheme="minorHAnsi" w:hAnsiTheme="minorHAnsi" w:cs="Arial"/>
          <w:b/>
          <w:bCs/>
          <w:smallCaps/>
          <w:sz w:val="24"/>
          <w:szCs w:val="24"/>
          <w:lang w:val="sr-Latn-ME"/>
        </w:rPr>
      </w:pPr>
      <w:bookmarkStart w:id="22" w:name="_Toc91500251"/>
      <w:r w:rsidRPr="00F563CD">
        <w:rPr>
          <w:rFonts w:asciiTheme="minorHAnsi" w:hAnsiTheme="minorHAnsi" w:cs="Arial"/>
          <w:b/>
          <w:bCs/>
          <w:smallCaps/>
          <w:sz w:val="24"/>
          <w:szCs w:val="24"/>
          <w:lang w:val="sr-Latn-ME"/>
        </w:rPr>
        <w:t>Proces konsultacija</w:t>
      </w:r>
      <w:bookmarkEnd w:id="22"/>
    </w:p>
    <w:p w14:paraId="56E76DF5" w14:textId="77777777" w:rsidR="0086044A" w:rsidRPr="00F563CD" w:rsidRDefault="0086044A" w:rsidP="0086044A">
      <w:pPr>
        <w:spacing w:before="60" w:after="60" w:line="240" w:lineRule="auto"/>
        <w:ind w:right="190"/>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Kada je riječ o ranim fazama strateškog planiranja za prve programske godine po ovom Prozoru, prvi nacrt Opisa projekta je dostavljen Evropskoj komisiji u skladu sa datim rokom (jun 2020.).</w:t>
      </w:r>
      <w:r w:rsidRPr="008C3F18">
        <w:rPr>
          <w:rFonts w:asciiTheme="minorHAnsi" w:hAnsiTheme="minorHAnsi"/>
          <w:lang w:val="sr-Latn-ME"/>
        </w:rPr>
        <w:t xml:space="preserve"> </w:t>
      </w:r>
      <w:r w:rsidRPr="00F563CD">
        <w:rPr>
          <w:rFonts w:asciiTheme="minorHAnsi" w:hAnsiTheme="minorHAnsi" w:cstheme="minorBidi"/>
          <w:sz w:val="20"/>
          <w:szCs w:val="20"/>
          <w:lang w:val="sr-Latn-ME"/>
        </w:rPr>
        <w:t>Ocjena Generalnog direktorata Evropske komisije za susjedstvo i politiku proširenja (DG NEAR) je pružila dodatne smjernice i sugestije o odabranim aktivnostima za 2021. i 2022. godinu. U januaru 2021, kancelarija NIPAK-a je inicirala proces konsultacija uz podjelu svih relevantnih informacija, uspostavljanjem prioriteta relevantnih dokumenata i pružanjem inicijalnih smjernica o Strateškom Odgovoru i akcionim dokumentima kao glavnim inputima koje treba razvijati u postavljenom roku. Priprema akcionih dokumenata (AD) za programe IPA 2021 i IPA 2022 se odvijala paralelno sa procesom pripreme Strateškog odgovora. Kada je riječ o širem procesu konsultacija u skladu sa principima partnerstva i transparentnošću tokom procesa programiranja, planirano je da se otvori proces javnih konsultacija o Strateškom odgovoru kada dokument dostigne dovoljnu zrelost, ili nakon najmanje jednog ciklusa iteracije komentara sa nadležnim službama EK.</w:t>
      </w:r>
    </w:p>
    <w:p w14:paraId="07723310" w14:textId="77777777" w:rsidR="0086044A" w:rsidRPr="00F563CD" w:rsidRDefault="0086044A" w:rsidP="0086044A">
      <w:pPr>
        <w:spacing w:before="60" w:after="60" w:line="240" w:lineRule="auto"/>
        <w:ind w:right="190"/>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S obzirom da su identifikovana dva glavna reformska sektora u okviru Prozora 2, Tematski prioritet (TP) 1 – Reforma javne uprave (PAR) i Reforma politike upravljanja javnim finansijama (PFM), održane su i konsultacije sa dva novoosnovana ministarstva: Ministarstvom javne uprave, digitalnog društva i medija i Ministarstvom finansija i socijalnog staranja. Osnovana je radna grupa za PAR kako bi se, između ostalog, obezbijedili inputi za Strateški odgovor. Članovi radne grupe su iz oba ministarstva, ali i iz Generalnog sekretarijata Vlade (SGG), Uprave za kadrove (HRMA), Zajednice opština (UoM), jedinica lokalne samouprave (LSG), Ministarstva finansija i socijalnog staranja, Ministarstva unutrašnjih poslova, Uprava prihoda i carina, Kancelarija za evropske integracije, Skup</w:t>
      </w:r>
      <w:r w:rsidRPr="00F563CD">
        <w:rPr>
          <w:rFonts w:asciiTheme="minorHAnsi" w:hAnsiTheme="minorHAnsi" w:cstheme="minorBidi"/>
          <w:sz w:val="20"/>
          <w:szCs w:val="20"/>
          <w:lang w:val="bs-Latn-BA"/>
        </w:rPr>
        <w:t>štine Crne Gore, Centralne banke Crne Gore, MONSTATa</w:t>
      </w:r>
      <w:r w:rsidRPr="00F563CD">
        <w:rPr>
          <w:rFonts w:asciiTheme="minorHAnsi" w:hAnsiTheme="minorHAnsi" w:cstheme="minorBidi"/>
          <w:sz w:val="20"/>
          <w:szCs w:val="20"/>
          <w:lang w:val="sr-Latn-ME"/>
        </w:rPr>
        <w:t xml:space="preserve"> i organizacija civilnog društva (NGOs). Od jula 2020. do marta 2021. godine održavani se sastanci sa svim zainteresovanih strana i konkretni tematski sastanci pod-timova, za prvu verziju Strateškog odgovora, dok je nakon povratnih komentara iz Evropske komiisije, interni dijalog intenziviran, u periodu između septembra (kada je i zvanično uspostavljena radna grupa) i novembra 2021. godine. Proces pripreme/konsultacija je obuhvatao i situacionu analizu zasnovanu na činjenicama,  inpute svih relevantnih specijalista i institucija, izradu Koncepta pregleda svih relevantnih dokumenata za PAR sektor (izveštaji, analize, ocjene itd.) – ukupno je konsultovano 16 dokumenata.   Posebno, uvrštene su lekcije naučene u prethodnom periodu. Koordinacija i saradnja u okviru dva glavna ministarstva je održavana na nedeljnom nivou, što je rezultiralo razvojem inputa za sva relevantna poglavlja. SIGMA i UN su obezbijedili dodatne inpute koji su usklađeni sa relevantnim poglavljima dokumenta. Tok izrade Strateškoga odgovor IPA III se odvijao između između januara i novembra 2021.</w:t>
      </w:r>
    </w:p>
    <w:p w14:paraId="431DA53C" w14:textId="77777777" w:rsidR="0086044A" w:rsidRPr="00F563CD" w:rsidRDefault="0086044A" w:rsidP="0086044A">
      <w:pPr>
        <w:spacing w:before="60" w:after="60" w:line="240" w:lineRule="auto"/>
        <w:ind w:right="190"/>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Dobro koordinisani proces pripreme i konsultacija je rezultirao u stvaranju ubjedljivog, usklađenog i na prioritetima zasnovanog političkog okvira za oblast reformi i PAR i PFM, relevantanim za Prozor 2. Na osnovu iskustva iz prethodnog IPA perioda, podrška u okviru IPA III biće usmjerena na glavne izazove identifikovane u prethodnom 4-godišnjem ciklusu i sprovedenu sektorsku (empirijsku) analizu zasnovanu na činjenicama.</w:t>
      </w:r>
    </w:p>
    <w:p w14:paraId="6358C004" w14:textId="77777777" w:rsidR="0086044A" w:rsidRPr="00F563CD" w:rsidRDefault="0086044A" w:rsidP="0086044A">
      <w:pPr>
        <w:spacing w:line="240" w:lineRule="auto"/>
        <w:jc w:val="both"/>
        <w:rPr>
          <w:rFonts w:asciiTheme="minorHAnsi" w:hAnsiTheme="minorHAnsi" w:cstheme="minorBidi"/>
          <w:i/>
          <w:sz w:val="20"/>
          <w:szCs w:val="20"/>
          <w:lang w:val="sr-Latn-ME"/>
        </w:rPr>
      </w:pPr>
    </w:p>
    <w:p w14:paraId="5ECB55C2" w14:textId="77777777" w:rsidR="0086044A" w:rsidRPr="00F563CD" w:rsidRDefault="0086044A" w:rsidP="0086044A">
      <w:pPr>
        <w:keepNext/>
        <w:keepLines/>
        <w:numPr>
          <w:ilvl w:val="0"/>
          <w:numId w:val="26"/>
        </w:numPr>
        <w:spacing w:before="200" w:after="0"/>
        <w:outlineLvl w:val="1"/>
        <w:rPr>
          <w:rFonts w:asciiTheme="minorHAnsi" w:hAnsiTheme="minorHAnsi" w:cs="Arial"/>
          <w:b/>
          <w:bCs/>
          <w:smallCaps/>
          <w:sz w:val="24"/>
          <w:szCs w:val="24"/>
          <w:lang w:val="sr-Latn-ME"/>
        </w:rPr>
      </w:pPr>
      <w:bookmarkStart w:id="23" w:name="_Toc91500252"/>
      <w:r w:rsidRPr="00F563CD">
        <w:rPr>
          <w:rFonts w:asciiTheme="minorHAnsi" w:hAnsiTheme="minorHAnsi" w:cs="Arial"/>
          <w:b/>
          <w:bCs/>
          <w:smallCaps/>
          <w:sz w:val="24"/>
          <w:szCs w:val="24"/>
          <w:lang w:val="sr-Latn-ME"/>
        </w:rPr>
        <w:t>USKLAĐENOST STRATEGIJA ZEMLJE KORISNICE SA IPA III PROGRAMSKIM OKVIROM</w:t>
      </w:r>
      <w:bookmarkEnd w:id="23"/>
    </w:p>
    <w:p w14:paraId="39A5DA6E" w14:textId="77777777" w:rsidR="0086044A" w:rsidRPr="00F563CD" w:rsidRDefault="0086044A" w:rsidP="0086044A">
      <w:pPr>
        <w:spacing w:before="240" w:after="120" w:line="240" w:lineRule="auto"/>
        <w:ind w:right="547"/>
        <w:jc w:val="both"/>
        <w:rPr>
          <w:rFonts w:asciiTheme="minorHAnsi" w:eastAsia="Calibri" w:hAnsiTheme="minorHAnsi" w:cstheme="minorHAnsi"/>
          <w:b/>
          <w:i/>
          <w:iCs/>
          <w:sz w:val="20"/>
          <w:szCs w:val="20"/>
          <w:lang w:val="sr-Latn-ME"/>
        </w:rPr>
      </w:pPr>
      <w:r w:rsidRPr="00F563CD">
        <w:rPr>
          <w:rFonts w:asciiTheme="minorHAnsi" w:eastAsia="Calibri" w:hAnsiTheme="minorHAnsi" w:cstheme="minorHAnsi"/>
          <w:b/>
          <w:i/>
          <w:iCs/>
          <w:sz w:val="20"/>
          <w:szCs w:val="20"/>
          <w:lang w:val="sr-Latn-ME"/>
        </w:rPr>
        <w:t xml:space="preserve">Tematski prioritet 1: Dobro upravljanje </w:t>
      </w:r>
    </w:p>
    <w:p w14:paraId="2AB97778"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Snažne demokratske institucije koje djeluju u okviru visoko funkcionalne, depolitizovane i transparentne javne uprave, kao i sprovođenje principa menadžerske odgovornosti, direktno podupiru proces demokratskih i ekonomskih reformi. Kapacitet državne uprave, kako na centralnom, tako i na lokalnom nivou, da obezbijedi jedinstvenu primjenu pravnog i strateškog okvira, standarde dobrog upravljanja i kvalitetno upravljanje ljudskim resursima direktno utiče na reformski proces i sprovođenje politika, pružanje javnih usluga i na kraju na kvalitet života građana.</w:t>
      </w:r>
    </w:p>
    <w:p w14:paraId="2828F157" w14:textId="77777777" w:rsidR="0086044A" w:rsidRPr="00F563CD" w:rsidRDefault="0086044A" w:rsidP="0086044A">
      <w:pPr>
        <w:spacing w:before="60" w:after="60" w:line="240" w:lineRule="auto"/>
        <w:ind w:right="547"/>
        <w:jc w:val="both"/>
        <w:rPr>
          <w:rFonts w:asciiTheme="minorHAnsi" w:eastAsia="Calibri" w:hAnsiTheme="minorHAnsi" w:cstheme="minorHAnsi"/>
          <w:iCs/>
          <w:sz w:val="20"/>
          <w:szCs w:val="20"/>
          <w:lang w:val="sr-Latn-ME"/>
        </w:rPr>
      </w:pPr>
      <w:r w:rsidRPr="00F563CD">
        <w:rPr>
          <w:rFonts w:asciiTheme="minorHAnsi" w:eastAsia="Calibri" w:hAnsiTheme="minorHAnsi" w:cstheme="minorHAnsi"/>
          <w:iCs/>
          <w:sz w:val="20"/>
          <w:szCs w:val="20"/>
          <w:lang w:val="sr-Latn-ME"/>
        </w:rPr>
        <w:t>PAR je uz vladavinu prava i ekonomsko upravljanje, stavljena na prvo mjesto liste prioriteta, u skladu sa pristupom Evropske komisije politici proširenja "</w:t>
      </w:r>
      <w:r w:rsidRPr="00F563CD">
        <w:rPr>
          <w:rFonts w:asciiTheme="minorHAnsi" w:eastAsia="Calibri" w:hAnsiTheme="minorHAnsi" w:cstheme="minorHAnsi"/>
          <w:b/>
          <w:iCs/>
          <w:sz w:val="20"/>
          <w:szCs w:val="20"/>
          <w:lang w:val="sr-Latn-ME"/>
        </w:rPr>
        <w:t>Prvo temeljni principi</w:t>
      </w:r>
      <w:r w:rsidRPr="00F563CD">
        <w:rPr>
          <w:rFonts w:asciiTheme="minorHAnsi" w:eastAsia="Calibri" w:hAnsiTheme="minorHAnsi" w:cstheme="minorHAnsi"/>
          <w:iCs/>
          <w:sz w:val="20"/>
          <w:szCs w:val="20"/>
          <w:lang w:val="sr-Latn-ME"/>
        </w:rPr>
        <w:t xml:space="preserve">”. Slično tome, Programski okvir IPA III ponovo afirmiše PAR kao jedan od tri osnovna stuba procesa proširenja i ugaoni kamen efikasne implementacije politika i pravne tekovine EU. </w:t>
      </w:r>
    </w:p>
    <w:p w14:paraId="45BF59AB" w14:textId="77777777" w:rsidR="0086044A" w:rsidRPr="00F563CD" w:rsidRDefault="0086044A" w:rsidP="0086044A">
      <w:pPr>
        <w:spacing w:before="60" w:after="60" w:line="240" w:lineRule="auto"/>
        <w:ind w:right="547"/>
        <w:jc w:val="both"/>
        <w:rPr>
          <w:rFonts w:asciiTheme="minorHAnsi" w:eastAsia="Calibri" w:hAnsiTheme="minorHAnsi" w:cstheme="minorHAnsi"/>
          <w:iCs/>
          <w:sz w:val="20"/>
          <w:szCs w:val="20"/>
          <w:lang w:val="sr-Latn-ME"/>
        </w:rPr>
      </w:pPr>
      <w:r w:rsidRPr="00F563CD">
        <w:rPr>
          <w:rFonts w:asciiTheme="minorHAnsi" w:eastAsia="Calibri" w:hAnsiTheme="minorHAnsi" w:cstheme="minorHAnsi"/>
          <w:iCs/>
          <w:sz w:val="20"/>
          <w:szCs w:val="20"/>
          <w:lang w:val="sr-Latn-ME"/>
        </w:rPr>
        <w:t xml:space="preserve">Aneks 2 donosi Detaljnu tabelu sa </w:t>
      </w:r>
      <w:r w:rsidRPr="00F563CD">
        <w:rPr>
          <w:rFonts w:asciiTheme="minorHAnsi" w:eastAsia="Calibri" w:hAnsiTheme="minorHAnsi" w:cstheme="minorHAnsi"/>
          <w:b/>
          <w:iCs/>
          <w:sz w:val="20"/>
          <w:szCs w:val="20"/>
          <w:lang w:val="sr-Latn-ME"/>
        </w:rPr>
        <w:t>relevantnim presjekom i sektorskim Strategijama sa Akcionim planom</w:t>
      </w:r>
      <w:r w:rsidRPr="00F563CD">
        <w:rPr>
          <w:rFonts w:asciiTheme="minorHAnsi" w:eastAsia="Calibri" w:hAnsiTheme="minorHAnsi" w:cstheme="minorHAnsi"/>
          <w:iCs/>
          <w:sz w:val="20"/>
          <w:szCs w:val="20"/>
          <w:lang w:val="sr-Latn-ME"/>
        </w:rPr>
        <w:t>. Tabela takođe sadrži referentnu Web lokaciju za pristup svim dokumentima.</w:t>
      </w:r>
    </w:p>
    <w:p w14:paraId="58DFBE66"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U svrhu realizacije ciljeva, koje su postavili </w:t>
      </w:r>
      <w:r w:rsidRPr="00F563CD">
        <w:rPr>
          <w:rFonts w:asciiTheme="minorHAnsi" w:hAnsiTheme="minorHAnsi" w:cstheme="minorHAnsi"/>
          <w:b/>
          <w:sz w:val="20"/>
          <w:szCs w:val="20"/>
          <w:lang w:val="sr-Latn-ME"/>
        </w:rPr>
        <w:t>Pravci razvoja Crne Gore 2018. – 2021.</w:t>
      </w:r>
      <w:r w:rsidRPr="00F563CD">
        <w:rPr>
          <w:rFonts w:asciiTheme="minorHAnsi" w:hAnsiTheme="minorHAnsi" w:cstheme="minorHAnsi"/>
          <w:sz w:val="20"/>
          <w:szCs w:val="20"/>
          <w:lang w:val="sr-Latn-ME"/>
        </w:rPr>
        <w:t xml:space="preserve">, a uzimajući u obzir potrebu usklađivanja sa standardima i zahtjevima EU, u okviru Razvojnih pravaca "pametnog rasta", "održivog rasta" i "inkluzivnog rasta", identifikovana su polja politike, utvrđeni su prioriteti i predložene investicione/razvojne mjere. Dokumentom se postavlja širi pregled dinamičnog ekonomskog rasta i razvoja. S tim u vezi, koncept ekonomske politike Crne Gore </w:t>
      </w:r>
      <w:r w:rsidRPr="00F563CD">
        <w:rPr>
          <w:rFonts w:asciiTheme="minorHAnsi" w:hAnsiTheme="minorHAnsi" w:cstheme="minorHAnsi"/>
          <w:sz w:val="20"/>
          <w:szCs w:val="20"/>
          <w:lang w:val="sr-Latn-ME"/>
        </w:rPr>
        <w:lastRenderedPageBreak/>
        <w:t>podrazumijeva sprovođenje mjera vezanih za jačanje makroekonomske stabilnosti zemlje, posebno konsolidaciju javnih finansija i povećanje stabilnosti finansijskog sektora, kao i realizaciju mjera vezanih za prioritetne sektorske politike i infrastrukturne projekte. Strateški cilj, pojedinačni ciljevi i pravci razvoja, utvrđeni su u prethodnom periodu sa Strategijom Evropa 2020. Jedan od ključnih prioriteta u okviru "pametnog rasta" su informacione i komunikacione tehnologije. Zakonodavni okvir za sprovođenje aktivnosti elektronskih komunikacija usklađen je u velikoj mjeri sa pravnom tekovinom EU i sprovodi se u kontinuitetu.</w:t>
      </w:r>
    </w:p>
    <w:p w14:paraId="1A98419F"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b/>
          <w:sz w:val="20"/>
          <w:szCs w:val="20"/>
          <w:lang w:val="sr-Latn-ME"/>
        </w:rPr>
        <w:t>Nacionalna strategija održivog razvoja do 2030. godine</w:t>
      </w:r>
      <w:r w:rsidRPr="00F563CD">
        <w:rPr>
          <w:rFonts w:asciiTheme="minorHAnsi" w:hAnsiTheme="minorHAnsi" w:cstheme="minorHAnsi"/>
          <w:sz w:val="20"/>
          <w:szCs w:val="20"/>
          <w:lang w:val="sr-Latn-ME"/>
        </w:rPr>
        <w:t xml:space="preserve"> ima za cilj postizanje održivog upravljanja sa četiri grupe nacionalnih resursa - ljudskog kapitala, društvenog kapitala i vrijednosti, prirodnog i ekonomskog kapitala, kao i dobrog upravljanja i realističnog finansiranja održivog razvoja Crne Gore u periodu do 2030. godine. Između ostalih, NSSD se fokusira na: osnivanje savjeta za održivi razvoj na lokalnim nivoima, posebno za usklađivanje opštinskih planova strateškog razvoja, jačanje administrativnih kapaciteta na svim nivoima i uvođenje programskog budžetiranja koje prepoznaje programe i projekte održivog razvoja. Nadalje, kontinuirana održivost i jačanje predvidljivih javnih finansija i kredibilnog srednjoročnog planiranja su prepoznati kao jedne od glavnih potreba za poboljšanje kreditnog rejtinga zemlje i povećanje njene globalne konkurentnosti, da bi se stvaranjem sistema tako povećala efikasnost i transparentnost javne potrošnje, unaprijedilo planiranje politika i praćenje njihove implementacije te ojačali mehanizmi finansiranja razvojnih projekata. Takođe, ova strategija predviđa značaj smanjenja udjela neformalne ekonomije, deficita u javnim finansijama i postizanja izbalansiranog budžeta, kao i potrebu racionalnog upravljanja zaduženošću.</w:t>
      </w:r>
    </w:p>
    <w:p w14:paraId="5E1A402F"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Uspostavljanjem prioriteta za usklađivanje u različitim pregovaračkim poglavljima, </w:t>
      </w:r>
      <w:r w:rsidRPr="00F563CD">
        <w:rPr>
          <w:rFonts w:asciiTheme="minorHAnsi" w:hAnsiTheme="minorHAnsi" w:cstheme="minorHAnsi"/>
          <w:b/>
          <w:sz w:val="20"/>
          <w:szCs w:val="20"/>
          <w:lang w:val="sr-Latn-ME"/>
        </w:rPr>
        <w:t>Program pristupanja Crne Gore (2021-2023)</w:t>
      </w:r>
      <w:r w:rsidRPr="00F563CD">
        <w:rPr>
          <w:rFonts w:asciiTheme="minorHAnsi" w:hAnsiTheme="minorHAnsi" w:cstheme="minorHAnsi"/>
          <w:sz w:val="20"/>
          <w:szCs w:val="20"/>
          <w:lang w:val="sr-Latn-ME"/>
        </w:rPr>
        <w:t xml:space="preserve"> je identifikovao ključne prioritete za proces pridruživanja u smislu doprinosa održivom razvoju i unapređenju konkurentnosti u Crnoj Gori stvaranjem transparentnije, efikasnije i na pružanje usluga orijentisane javne uprave kroz mehanizam Sektorske podrške budžetu (SBS). Specifični ciljevi podrške budžetu PAR SBS</w:t>
      </w:r>
      <w:r w:rsidRPr="00F563CD">
        <w:rPr>
          <w:rFonts w:asciiTheme="minorHAnsi" w:hAnsiTheme="minorHAnsi" w:cstheme="minorHAnsi"/>
          <w:b/>
          <w:sz w:val="20"/>
          <w:szCs w:val="20"/>
          <w:lang w:val="sr-Latn-ME"/>
        </w:rPr>
        <w:t xml:space="preserve"> </w:t>
      </w:r>
      <w:r w:rsidRPr="00F563CD">
        <w:rPr>
          <w:rFonts w:asciiTheme="minorHAnsi" w:hAnsiTheme="minorHAnsi" w:cstheme="minorHAnsi"/>
          <w:sz w:val="20"/>
          <w:szCs w:val="20"/>
          <w:lang w:val="sr-Latn-ME"/>
        </w:rPr>
        <w:t xml:space="preserve"> su bili optimizacija broja zaposlenih u javnoj upravi, unaprijeđenje upravljanja ljudskim resursima, unaprijeđenje kvaliteta i dostupnosti pruženih javnih usluga, unapređenje transparentnosti javnih službi. Program je identifikovao prioritete za PFM sektor, posebno kroz Akciju 1 – Podrška Poreskoj upravi (Poglavlje 16),  Akciju 2 – Podrška upravljanja javnim finansijama ( Poglavlja 5, 8, 17, 32 and 33), Akcija 3 – Podrška Upravi carina ( Poglavlja 1, 7, 16, 24, 29, 30, 32 and 33), Akcija 4 – Implementacija elektronskog sistema javnih nabavki (Poglavlje 5). To doprinosi obezbjeđenju političkog dijaloga o reformama,   ponovnom pregledu ukupnog procesa pridruživanja i određuje planiranje za naredni period, uključujući otvaranje i zatvaranje poglavlja i moguće korektivne mjere.</w:t>
      </w:r>
    </w:p>
    <w:p w14:paraId="301D3998"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PAR ima za cilj razvoj organizacionih i profesionalnih kapaciteta i ljudskih resursa,  te zakonodavnog okvira koji obezbeđuju povjerenje građana u njenu javnu upravu, kroz unapređenje transparentnosti, sprovođenje mjera za snažnije i inovativne  javne institucije.</w:t>
      </w:r>
    </w:p>
    <w:p w14:paraId="6C3752FC"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Misija PAR uključuje dinamičnu javnu administraciju, optimizovane javne usluge i snažne medijske slobode koje ispunjavaju proces integracije u Evropsku uniju. Opšti cilj </w:t>
      </w:r>
      <w:r w:rsidRPr="00F563CD">
        <w:rPr>
          <w:rFonts w:asciiTheme="minorHAnsi" w:hAnsiTheme="minorHAnsi" w:cstheme="minorHAnsi"/>
          <w:b/>
          <w:sz w:val="20"/>
          <w:szCs w:val="20"/>
          <w:lang w:val="sr-Latn-ME"/>
        </w:rPr>
        <w:t>Strategije reforme javne uprave u Crnoj Gori 2016 – 2020</w:t>
      </w:r>
      <w:r w:rsidRPr="00F563CD">
        <w:rPr>
          <w:rFonts w:asciiTheme="minorHAnsi" w:hAnsiTheme="minorHAnsi" w:cstheme="minorHAnsi"/>
          <w:sz w:val="20"/>
          <w:szCs w:val="20"/>
          <w:lang w:val="sr-Latn-ME"/>
        </w:rPr>
        <w:t xml:space="preserve"> je stvaranje efikasne i javne uprave orijentisane na pružanje usluga, koju karakteriše rast povjerenja građana i samih njenih performansi i učinaka. Fokusirajući se na profesionalizaciju zaposlenih na svim nivoima, razvoj ljudskih resursa, optimizaciju broja zaposlenih i usmjeravanje radnih procesa u administraciji ka isporuci e-Usluga na najvišem mogućem nivou, Strategija PAR je usklađena sa IPA III Programskim Okvirom koji je prepoznao PAR kao osnovu politike proširenja. Cilj Prozora 2 – tretirati cjelokupnu javnu upravu, posebno reformu administracije, uključujući digitalnu transformaciju i specifičan cilj TP 1 - modernizovati javnu administraciju na svim nivoima vlasti, su usklađene sa strateškim i operativnim ciljevima Strategije PAR. Isto tako,</w:t>
      </w:r>
      <w:r w:rsidRPr="00F563CD">
        <w:rPr>
          <w:rFonts w:asciiTheme="minorHAnsi" w:hAnsiTheme="minorHAnsi" w:cstheme="minorHAnsi"/>
          <w:b/>
          <w:sz w:val="20"/>
          <w:szCs w:val="20"/>
          <w:lang w:val="sr-Latn-ME"/>
        </w:rPr>
        <w:t xml:space="preserve"> Strategija reforme javne uprave 2022 – 2026</w:t>
      </w:r>
      <w:r w:rsidRPr="00F563CD">
        <w:rPr>
          <w:rFonts w:asciiTheme="minorHAnsi" w:hAnsiTheme="minorHAnsi" w:cstheme="minorHAnsi"/>
          <w:sz w:val="20"/>
          <w:szCs w:val="20"/>
          <w:lang w:val="sr-Latn-ME"/>
        </w:rPr>
        <w:t xml:space="preserve">, koja je trenutno u fazi izrade, promoviše standarde dobrog upravljanja usklađene sa vrijednostima EU, usmjeravajući dalju modernizaciju javne uprave i na centralnom i na lokalnom nivou. Izrađena Strategija PAR-a je utemeljena na lekcijama naučenim iz prethodnog 4-godišnjeg strateškog perioda, SIGMA principima javne uprave, rezultatima prethodnih akcija PAR SBS i sveobuhvatno razvijenoj situacionoj analizi u oblasti PAR.  Direktno povezana sa specifičnim prioritetima IPA III programskog okvira TP 1 za Prozor 2, strategija je fokusirana na poboljšanje uspostavljene organizacije , digitalizaciju javnih usluga, unaprijeđivanje sistema upravljanja ljudskim resursima, povećanje transparentnosti rada javnih institucija i bolju koordinaciju javnih politika. Planiranje politike je racionalizovano i kreiranje politike zasnovane na empirijskim činjenicama je jedan od osnovnih principa u izradi ovog dokumenta. Pored toga, tokom gore navedenog procesa se obavlja procjena uticaja.  </w:t>
      </w:r>
      <w:r w:rsidRPr="00F563CD">
        <w:rPr>
          <w:rFonts w:asciiTheme="minorHAnsi" w:hAnsiTheme="minorHAnsi" w:cstheme="minorHAnsi"/>
          <w:b/>
          <w:sz w:val="20"/>
          <w:szCs w:val="20"/>
          <w:lang w:val="sr-Latn-ME"/>
        </w:rPr>
        <w:t>Sistem lokalne samouprave (LSG)</w:t>
      </w:r>
      <w:r w:rsidRPr="00F563CD">
        <w:rPr>
          <w:rFonts w:asciiTheme="minorHAnsi" w:hAnsiTheme="minorHAnsi" w:cstheme="minorHAnsi"/>
          <w:sz w:val="20"/>
          <w:szCs w:val="20"/>
          <w:lang w:val="sr-Latn-ME"/>
        </w:rPr>
        <w:t xml:space="preserve"> je sada integrisan u sve strateške sekcije koje su veoma važne u kontekstu proširenja, jer su jedinice LSG najbliže građanima i igraju ključnu ulogu u pružanju javnih usluga kao i u izgradnji povjerenja građana u javne institucije. Sa svim strateškim prioritetima, fokus će takođe biti na poboljšanju upravljanja, transparentnosti i odgovornosti na lokalnom nivou u skladu sa Evropskom poveljom o lokalnoj samoupravi, povećanju kapaciteta za razvoj inkluzivne i na činjenicama zasnovane politike, upravljanju ljudskim resursima koje je zasnovano na zaslugama, razvoju interoperabilnih, pouzdanih i inkluzivnih digitalnih javnih usluga i podršku procesima decentralizacije.</w:t>
      </w:r>
    </w:p>
    <w:p w14:paraId="2177746D"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Strateški pristup digitalizaciji predviđa dostizanje EU standarda uspostavljenih u </w:t>
      </w:r>
      <w:r w:rsidRPr="00F563CD">
        <w:rPr>
          <w:rFonts w:asciiTheme="minorHAnsi" w:hAnsiTheme="minorHAnsi" w:cstheme="minorHAnsi"/>
          <w:b/>
          <w:sz w:val="20"/>
          <w:szCs w:val="20"/>
          <w:lang w:val="sr-Latn-ME"/>
        </w:rPr>
        <w:t>Digitalnoj agendi 2020.</w:t>
      </w:r>
      <w:r w:rsidRPr="00F563CD">
        <w:rPr>
          <w:rFonts w:asciiTheme="minorHAnsi" w:hAnsiTheme="minorHAnsi" w:cstheme="minorHAnsi"/>
          <w:sz w:val="20"/>
          <w:szCs w:val="20"/>
          <w:lang w:val="sr-Latn-ME"/>
        </w:rPr>
        <w:t xml:space="preserve"> i </w:t>
      </w:r>
      <w:r w:rsidRPr="00F563CD">
        <w:rPr>
          <w:rFonts w:asciiTheme="minorHAnsi" w:hAnsiTheme="minorHAnsi" w:cstheme="minorHAnsi"/>
          <w:b/>
          <w:sz w:val="20"/>
          <w:szCs w:val="20"/>
          <w:lang w:val="sr-Latn-ME"/>
        </w:rPr>
        <w:t>Strategiji jedinstvenog digitalnog tržišta</w:t>
      </w:r>
      <w:r w:rsidRPr="00F563CD">
        <w:rPr>
          <w:rFonts w:asciiTheme="minorHAnsi" w:hAnsiTheme="minorHAnsi" w:cstheme="minorHAnsi"/>
          <w:sz w:val="20"/>
          <w:szCs w:val="20"/>
          <w:lang w:val="sr-Latn-ME"/>
        </w:rPr>
        <w:t xml:space="preserve">. Ključni koraci za postizanje standarda EU u ovoj oblasti su definisani i usklađeni sa ciljevima Prozora 2, fokusirajući se na: širokopojasnu infrastrukturu, sajber bezbjednost, ljudski kapital, digitalno poslovanje, e-obrazovanje, e-zdravstvo, e-inkluziju, e-vladu i istraživanje, inovacije i razvoj. Ti prioriteti se rješavaju i kroz </w:t>
      </w:r>
      <w:r w:rsidRPr="00F563CD">
        <w:rPr>
          <w:rFonts w:asciiTheme="minorHAnsi" w:hAnsiTheme="minorHAnsi" w:cstheme="minorHAnsi"/>
          <w:sz w:val="20"/>
          <w:szCs w:val="20"/>
          <w:lang w:val="sr-Latn-ME"/>
        </w:rPr>
        <w:lastRenderedPageBreak/>
        <w:t>evropski i kroz nacionalni kontekst, instrumente strateškog razvoja i indikatore koji će poslužiti kao mjerila razvoja informacionog društva u Crnoj Gori.</w:t>
      </w:r>
    </w:p>
    <w:p w14:paraId="7EBA3C35"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Opšti ciljevi Strategije </w:t>
      </w:r>
      <w:r w:rsidRPr="00F563CD">
        <w:rPr>
          <w:rFonts w:asciiTheme="minorHAnsi" w:hAnsiTheme="minorHAnsi" w:cstheme="minorHAnsi"/>
          <w:b/>
          <w:sz w:val="20"/>
          <w:szCs w:val="20"/>
          <w:lang w:val="sr-Latn-ME"/>
        </w:rPr>
        <w:t>digitalne transformacije 2022 – 2026 godine</w:t>
      </w:r>
      <w:r w:rsidRPr="00F563CD">
        <w:rPr>
          <w:rFonts w:asciiTheme="minorHAnsi" w:hAnsiTheme="minorHAnsi" w:cstheme="minorHAnsi"/>
          <w:sz w:val="20"/>
          <w:szCs w:val="20"/>
          <w:lang w:val="sr-Latn-ME"/>
        </w:rPr>
        <w:t xml:space="preserve"> su povećanje kapaciteta i vještina za digitalnu transformaciju Crne Gore i povećana digitalna svijest crnogorskog društva te povećana konkurentnost digitalnog informaciono komunikacionog sektora. Digitalna transformacija na svim nivoima vlasti je identifikovana kao jedan od prioriteta po Prozoru 2 i kao strateški pokretač  procesa u okviru Prozora 2, TP 1.  Ustanovljena radna grupa fokusira svoj rad na sveobuhvatni razvoj svih strateških poglavlja, istovremeno definišući slijedeće prioritete - ukupnu analizu stanja IT sektora kako u javnom tako i u poslovnom sektoru i stepen njegovog rasta i razvoja, ICT digitalnu ekonomiju i njen doprinos razvoju privrede, unapređenje komponenti ljudskih resursa u IT sektoru, dalju digitalizaciju javne uprave</w:t>
      </w:r>
      <w:r w:rsidRPr="00F563CD">
        <w:rPr>
          <w:rFonts w:asciiTheme="minorHAnsi" w:hAnsiTheme="minorHAnsi" w:cstheme="minorHAnsi"/>
          <w:sz w:val="20"/>
          <w:szCs w:val="20"/>
          <w:vertAlign w:val="superscript"/>
          <w:lang w:val="sr-Latn-ME"/>
        </w:rPr>
        <w:footnoteReference w:id="1"/>
      </w:r>
      <w:r w:rsidRPr="00F563CD">
        <w:rPr>
          <w:rFonts w:asciiTheme="minorHAnsi" w:hAnsiTheme="minorHAnsi" w:cstheme="minorHAnsi"/>
          <w:sz w:val="20"/>
          <w:szCs w:val="20"/>
          <w:lang w:val="sr-Latn-ME"/>
        </w:rPr>
        <w:t xml:space="preserve"> i modernizaciju infrastrukture sa fokusom na inovativna tehnološka rješenja i sisteme. Jednako važan fokus Strategije je razvoj pravnog okvira i harmonizacija sa propisima EU u oblasti digitalizacije, usklađeni sa specifičnim ciljevima Prozora 2.</w:t>
      </w:r>
    </w:p>
    <w:p w14:paraId="49A4A973"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U cilju daljeg unaprijeđenja koncepta sajber bezbednosti Crne Gore kompatibilnog sa konceptima najrazvijenijih zemalja članica EU i NATO-a, usvojena je i implementirana </w:t>
      </w:r>
      <w:r w:rsidRPr="00F563CD">
        <w:rPr>
          <w:rFonts w:asciiTheme="minorHAnsi" w:hAnsiTheme="minorHAnsi" w:cstheme="minorHAnsi"/>
          <w:b/>
          <w:sz w:val="20"/>
          <w:szCs w:val="20"/>
          <w:lang w:val="sr-Latn-ME"/>
        </w:rPr>
        <w:t>Strategija informacione bezbjednosti Crne Gore 2018-2021</w:t>
      </w:r>
      <w:r w:rsidRPr="00F563CD">
        <w:rPr>
          <w:rFonts w:asciiTheme="minorHAnsi" w:hAnsiTheme="minorHAnsi" w:cstheme="minorHAnsi"/>
          <w:sz w:val="20"/>
          <w:szCs w:val="20"/>
          <w:lang w:val="sr-Latn-ME"/>
        </w:rPr>
        <w:t xml:space="preserve">. Posebna pažnja posvećena je standardizaciji koncepata, metoda, politika i procedura u skladu sa prihvaćenim evropskim i međunarodnim standardima. Strategija se bavi ciljevima identifikovanim u okviru IPA III programskog okvira, Prozor 2 - digitalnom transformacijom vlade u podršci međusektorskoj, prekograničnoj saradnji i saradnji među administracijama, u cilju obezbjeđivanja interoperabilnosti, povjerenja i otvorenosti, kao i identifikovanim prioritetima u okviru TP 1. Priprema </w:t>
      </w:r>
      <w:r w:rsidRPr="00F563CD">
        <w:rPr>
          <w:rFonts w:asciiTheme="minorHAnsi" w:hAnsiTheme="minorHAnsi" w:cstheme="minorHAnsi"/>
          <w:b/>
          <w:sz w:val="20"/>
          <w:szCs w:val="20"/>
          <w:lang w:val="sr-Latn-ME"/>
        </w:rPr>
        <w:t>Strategije za informacionu bezbjednost Crne Gore 2022-2026 godine</w:t>
      </w:r>
      <w:r w:rsidRPr="00F563CD">
        <w:rPr>
          <w:rFonts w:asciiTheme="minorHAnsi" w:hAnsiTheme="minorHAnsi" w:cstheme="minorHAnsi"/>
          <w:sz w:val="20"/>
          <w:szCs w:val="20"/>
          <w:lang w:val="sr-Latn-ME"/>
        </w:rPr>
        <w:t xml:space="preserve"> je u toku. U okviru ove Strategije biće definisani strateški ciljevi čije će sprovođenje omogućiti dalje unaprijeđenje sajber bezbednosti na svim nivoima u Crnoj Gori, jačanje institucionalnih kapaciteta za reagovanje na sajber prijetnje i napade, implementaciju standarda i smjernica Evropske unije i NATO-a u ovoj oblasti, kao i adekvatnu zaštitu kritične informacione infrastrukture i usluga na kojima su zasnovani zdravstveni, ekonomski i društveni procesi u zemlji.</w:t>
      </w:r>
    </w:p>
    <w:p w14:paraId="4D0585B5"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Ministarstvo javne uprave, digitalnog društva i medija sprovodi proces kreiranja </w:t>
      </w:r>
      <w:r w:rsidRPr="00F563CD">
        <w:rPr>
          <w:rFonts w:asciiTheme="minorHAnsi" w:hAnsiTheme="minorHAnsi" w:cstheme="minorHAnsi"/>
          <w:b/>
          <w:sz w:val="20"/>
          <w:szCs w:val="20"/>
          <w:lang w:val="sr-Latn-ME"/>
        </w:rPr>
        <w:t>Program  digitalnih nomada u Crnoj Gori 2025</w:t>
      </w:r>
      <w:r w:rsidRPr="00F563CD">
        <w:rPr>
          <w:rFonts w:asciiTheme="minorHAnsi" w:hAnsiTheme="minorHAnsi" w:cstheme="minorHAnsi"/>
          <w:sz w:val="20"/>
          <w:szCs w:val="20"/>
          <w:lang w:val="sr-Latn-ME"/>
        </w:rPr>
        <w:t>, sa ciljem uspostavljanja pogodnog institucionalnog i normativnog okruženja za funkcionisanje ove ciljne grupe.</w:t>
      </w:r>
    </w:p>
    <w:p w14:paraId="67E73DEE"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Proces pripreme Strategije </w:t>
      </w:r>
      <w:r w:rsidRPr="00F563CD">
        <w:rPr>
          <w:rFonts w:asciiTheme="minorHAnsi" w:hAnsiTheme="minorHAnsi" w:cstheme="minorHAnsi"/>
          <w:b/>
          <w:sz w:val="20"/>
          <w:szCs w:val="20"/>
          <w:lang w:val="sr-Latn-ME"/>
        </w:rPr>
        <w:t xml:space="preserve">saradnje između organa državne uprave i nevladinih organizacija 2022-2024 godine </w:t>
      </w:r>
      <w:r w:rsidRPr="00F563CD">
        <w:rPr>
          <w:rFonts w:asciiTheme="minorHAnsi" w:hAnsiTheme="minorHAnsi" w:cstheme="minorHAnsi"/>
          <w:sz w:val="20"/>
          <w:szCs w:val="20"/>
          <w:lang w:val="sr-Latn-ME"/>
        </w:rPr>
        <w:t>je u toku, a njen glavni cilj je da obezbijedi dugoročno, pouzdano i kvalitetno partnerstvo između države i nevladinih organizacija sa ciljem pružanja građanima kvalitetnih javnih politika i unaprijeđenih usluga.</w:t>
      </w:r>
    </w:p>
    <w:p w14:paraId="2D3FB0C0"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Usredsređujući se na pet ključnih obaveza - unaprijeđene javne usluge, učešće javnosti, poboljšanje javnog integriteta, efikasnije upravljanje resursima i pristup informacijama, </w:t>
      </w:r>
      <w:r w:rsidRPr="00F563CD">
        <w:rPr>
          <w:rFonts w:asciiTheme="minorHAnsi" w:hAnsiTheme="minorHAnsi" w:cstheme="minorHAnsi"/>
          <w:b/>
          <w:sz w:val="20"/>
          <w:szCs w:val="20"/>
          <w:lang w:val="sr-Latn-ME"/>
        </w:rPr>
        <w:t>Nacionalni akcioni plan za sprovođenje Inicijative za partnerstvo otvorene vlade 2018-2020</w:t>
      </w:r>
      <w:r w:rsidRPr="00F563CD">
        <w:rPr>
          <w:rFonts w:asciiTheme="minorHAnsi" w:hAnsiTheme="minorHAnsi" w:cstheme="minorHAnsi"/>
          <w:sz w:val="20"/>
          <w:szCs w:val="20"/>
          <w:lang w:val="sr-Latn-ME"/>
        </w:rPr>
        <w:t xml:space="preserve"> u potpunosti je usklađen sa ukupnim ciljem Prozora 2 - promovisanjem dobrog upravljanja, povećanjem usklađivanja sa pravilima, standardima i praksom Unije. U skladu sa novom organizacijom javne administracije,  ponovo će se kreirati Forum više zainteresovanih strana, a  u toku je novi ciklus konsultacija sa ciljem pripreme novog Nacionalnog akcionog plana za implementaciju OGP u Crnoj Gori.</w:t>
      </w:r>
    </w:p>
    <w:p w14:paraId="7F6C6EB1"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Sveukupni cilj programa reforme </w:t>
      </w:r>
      <w:r w:rsidRPr="00F563CD">
        <w:rPr>
          <w:rFonts w:asciiTheme="minorHAnsi" w:hAnsiTheme="minorHAnsi" w:cstheme="minorHAnsi"/>
          <w:b/>
          <w:sz w:val="20"/>
          <w:szCs w:val="20"/>
          <w:lang w:val="sr-Latn-ME"/>
        </w:rPr>
        <w:t>PFM 2016 -2020</w:t>
      </w:r>
      <w:r w:rsidRPr="00F563CD">
        <w:rPr>
          <w:rFonts w:asciiTheme="minorHAnsi" w:hAnsiTheme="minorHAnsi" w:cstheme="minorHAnsi"/>
          <w:sz w:val="20"/>
          <w:szCs w:val="20"/>
          <w:lang w:val="sr-Latn-ME"/>
        </w:rPr>
        <w:t xml:space="preserve"> je bio dvostruk. Jedan je da Crna Gora bude sposobna da identifikuje, spriječi i upravlja fiskalnim rizicima, prekomjernim fiskalnim deficitima i štetnim makroekonomskim disbalansom. S druge strane, ova reforma je obezbijedila da javna potrošnja bude strukturirana na način koji maksimalno povećava uticaj razvoja na nacionalnu ekonomiju i obezbjeđuje bolji kvalitet života građana. Od ključnog je značaja pomenuti činjenicu da određene aktivnosti iz Programa reforme javnog finansijskog menadžmenta 2016-2020. nisu finalizovane do kraja 2020. godine, kao što je bilo predviđeno Programom i Akcionim planom, stoga je usvojen nacrt </w:t>
      </w:r>
      <w:r w:rsidRPr="00F563CD">
        <w:rPr>
          <w:rFonts w:asciiTheme="minorHAnsi" w:hAnsiTheme="minorHAnsi" w:cstheme="minorHAnsi"/>
          <w:b/>
          <w:sz w:val="20"/>
          <w:szCs w:val="20"/>
          <w:lang w:val="sr-Latn-ME"/>
        </w:rPr>
        <w:t xml:space="preserve">jednogodišnjeg Plana tranzicione akcije za 2021. </w:t>
      </w:r>
      <w:r w:rsidRPr="00F563CD">
        <w:rPr>
          <w:rFonts w:asciiTheme="minorHAnsi" w:hAnsiTheme="minorHAnsi" w:cstheme="minorHAnsi"/>
          <w:sz w:val="20"/>
          <w:szCs w:val="20"/>
          <w:lang w:val="sr-Latn-ME"/>
        </w:rPr>
        <w:t xml:space="preserve">Naime, Plan tranzicione akcije za 2021. godinu obuhvata nove definisane rokove potrebne za završetak predviđenih aktivnosti, kao i preostali iznos sredstava potrebnih za njihovo sprovođenje. Navedeno je istovremeno harmonizovano sa ključnim prioritetom TP 1  Prozora 2 – "da podrže korisnike IPA III da sprovedu i nadograde svoje reformske strategije kako bi osigurali fiskalnu održivost i djelotvorno upravljanje javnim finansijama kao što je primjenjivo u EU". Sa novim organizacionim ustrojstvom državne administracije, koordinator reforme PFM-a u Crnoj Gori je Ministarstvo finansija i socijalnog staranja koje je iniciralo aktivnosti usmjerene na pripremu novog Programa reformi PFM. Sada u fazi razvoja, </w:t>
      </w:r>
      <w:r w:rsidRPr="00F563CD">
        <w:rPr>
          <w:rFonts w:asciiTheme="minorHAnsi" w:hAnsiTheme="minorHAnsi" w:cstheme="minorHAnsi"/>
          <w:b/>
          <w:sz w:val="20"/>
          <w:szCs w:val="20"/>
          <w:lang w:val="sr-Latn-ME"/>
        </w:rPr>
        <w:t>Program reformi PFM 2022. – 2026</w:t>
      </w:r>
      <w:r w:rsidRPr="00F563CD">
        <w:rPr>
          <w:rFonts w:asciiTheme="minorHAnsi" w:hAnsiTheme="minorHAnsi" w:cstheme="minorHAnsi"/>
          <w:sz w:val="20"/>
          <w:szCs w:val="20"/>
          <w:lang w:val="sr-Latn-ME"/>
        </w:rPr>
        <w:t>, u skladu sa posvećenošću Vlade procesu integracije u EU, slijedi obaveze koje proističu iz pregovaračkog procesa. U tom kontekstu, reforma je usklađena sa ukupnim ciljem IPA III Prozora 2 i specifičnim ciljevima i TP 1 – Dobro upravljanje i TP 2 – Administrativni kapaciteti i usklađivanje sa pravnom tekovinom EU. Strategija o reformi PFM 2022 – 2026 će se graditi na rezultatima postignutim prethodnom strategijom, sa ciljem: održivog fiskalnog okvira, planiranja, izvršenja i budžetiranja javnih rashoda; upravljanje državnom imovinom i imovinskim katastrom; poboljšanje modela makroekonomskih projekcija i statističke analize; unaprijeđenje politike javnih nabavki i upravljanje javnim investicijama; povećanje transparentnosti budžeta, fiskalnog izvještavanja i računovodstva; unaprijeđenje sistema javne unutrašnje finansijske kontrole, eksterne revizije i zaštite finansijskog interesa EU.</w:t>
      </w:r>
    </w:p>
    <w:p w14:paraId="7DDF7E4C"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Dalje jačanje kapaciteta Uprave prihoda i carina Crne Gore je predviđeno </w:t>
      </w:r>
      <w:r w:rsidRPr="00F563CD">
        <w:rPr>
          <w:rFonts w:asciiTheme="minorHAnsi" w:hAnsiTheme="minorHAnsi" w:cstheme="minorHAnsi"/>
          <w:b/>
          <w:sz w:val="20"/>
          <w:szCs w:val="20"/>
          <w:lang w:val="sr-Latn-ME"/>
        </w:rPr>
        <w:t>Strategijom trgovinskih olakšica Crne Gore 2018 - 2022</w:t>
      </w:r>
      <w:r w:rsidRPr="00F563CD">
        <w:rPr>
          <w:rFonts w:asciiTheme="minorHAnsi" w:hAnsiTheme="minorHAnsi" w:cstheme="minorHAnsi"/>
          <w:sz w:val="20"/>
          <w:szCs w:val="20"/>
          <w:lang w:val="sr-Latn-ME"/>
        </w:rPr>
        <w:t xml:space="preserve"> i </w:t>
      </w:r>
      <w:r w:rsidRPr="00F563CD">
        <w:rPr>
          <w:rFonts w:asciiTheme="minorHAnsi" w:hAnsiTheme="minorHAnsi" w:cstheme="minorHAnsi"/>
          <w:b/>
          <w:sz w:val="20"/>
          <w:szCs w:val="20"/>
          <w:lang w:val="sr-Latn-ME"/>
        </w:rPr>
        <w:t>Poslovnom strategijom Uprave carina Crne Gore 2019. – 2021.</w:t>
      </w:r>
      <w:r w:rsidRPr="00F563CD">
        <w:rPr>
          <w:rFonts w:asciiTheme="minorHAnsi" w:hAnsiTheme="minorHAnsi" w:cstheme="minorHAnsi"/>
          <w:sz w:val="20"/>
          <w:szCs w:val="20"/>
          <w:lang w:val="sr-Latn-ME"/>
        </w:rPr>
        <w:t xml:space="preserve"> kao i </w:t>
      </w:r>
      <w:r w:rsidRPr="00F563CD">
        <w:rPr>
          <w:rFonts w:asciiTheme="minorHAnsi" w:hAnsiTheme="minorHAnsi" w:cstheme="minorHAnsi"/>
          <w:b/>
          <w:sz w:val="20"/>
          <w:szCs w:val="20"/>
          <w:lang w:val="sr-Latn-ME"/>
        </w:rPr>
        <w:t>Poslovnom strategijom Uprave prihoda 2019-2022</w:t>
      </w:r>
      <w:r w:rsidRPr="00F563CD">
        <w:rPr>
          <w:rFonts w:asciiTheme="minorHAnsi" w:hAnsiTheme="minorHAnsi" w:cstheme="minorHAnsi"/>
          <w:sz w:val="20"/>
          <w:szCs w:val="20"/>
          <w:lang w:val="sr-Latn-ME"/>
        </w:rPr>
        <w:t xml:space="preserve">. Ove strategije imaju za cilj da doprinesu sveukupnom jačanju javnog upravljanja, uključujući digitalnu </w:t>
      </w:r>
      <w:r w:rsidRPr="00F563CD">
        <w:rPr>
          <w:rFonts w:asciiTheme="minorHAnsi" w:hAnsiTheme="minorHAnsi" w:cstheme="minorHAnsi"/>
          <w:sz w:val="20"/>
          <w:szCs w:val="20"/>
          <w:lang w:val="sr-Latn-ME"/>
        </w:rPr>
        <w:lastRenderedPageBreak/>
        <w:t>transformaciju i upravljanje javnim finansijama, što je u skladu sa ukupnim ciljem Prozora 2. Aktivnosti Uprave prihoda i carina Crne Gore su usredsređene na razvoj, modernizaciju, održavanje i korišćenje elektronskih sistema, što će olakšati procese i smanjiti rizike u međunarodnim trgovinskim tokovima. - Sprovođenje akcija doprineće daljoj digitalizaciji carinskih i poreskih procedura što će voditi ispunjenju završnih mjerila za Poglavlje 16 Oporezivanje i Poglavlje 29 Carinska unija.</w:t>
      </w:r>
    </w:p>
    <w:p w14:paraId="01FD2F83"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Kao kandidat za pristupanje EU, koji napreduje u pregovorima, Vlada Crne Gore usvojila je </w:t>
      </w:r>
      <w:r w:rsidRPr="00F563CD">
        <w:rPr>
          <w:rFonts w:asciiTheme="minorHAnsi" w:hAnsiTheme="minorHAnsi" w:cstheme="minorHAnsi"/>
          <w:b/>
          <w:sz w:val="20"/>
          <w:szCs w:val="20"/>
          <w:lang w:val="sr-Latn-ME"/>
        </w:rPr>
        <w:t>Strategiju za unapređenje politike javnih nabavki i javno-privatnog partnerstva 2021 – 2025 godine sa Akcionim planom</w:t>
      </w:r>
      <w:r w:rsidRPr="00F563CD">
        <w:rPr>
          <w:rFonts w:asciiTheme="minorHAnsi" w:hAnsiTheme="minorHAnsi" w:cstheme="minorHAnsi"/>
          <w:sz w:val="20"/>
          <w:szCs w:val="20"/>
          <w:lang w:val="sr-Latn-ME"/>
        </w:rPr>
        <w:t xml:space="preserve"> za period 2021-2022, da bi osigurala odvijanje nabavki uz minimalne administrativne napore uz istovremeno obezbeđivanje najbolje vrijednosti za novac i adekvatne performanse nabavljene robe,  usluga i radova i obezbjeđujući transparentnosti i integriteta procesa, direktno smanjenjila mogućnosti za koruptivne aktivnosti, što je u skladu sa ukupnim ciljem Prozora 2, TP1. Iz politike EU, pristupni pregovori Poglavlja 5 - Javne nabavke su u potpunosti povezani sa reformom javne uprave, posebno sa oblašću borbe protiv korupcije.  Ciljevi strategije javnih nabavki (PP) su podizanje svijesti ugovarača kao i drugih zainteresovanih strana o značaju sistema javnih nabavki i metoda njegovog funkcionisanja, unapređenju administrativnih kapaciteta i uspostavljanju efikasnih mehanizama za koordinaciju i konsultacije, profesionalizaciji ugovaračkih subjekata, sprovođenju okvirnih sporazuma te o savremenim tehnikama nabavke, jačanju Komisije za kontrolu postupka (SC) u okviru sistema javnih nabavki i jačanja institucionalnih i operativnih kapaciteta ključnih zainteresovanih strana u cilju efikasne podrške implementaciji pravnog okvira Koncesije/JPP.</w:t>
      </w:r>
    </w:p>
    <w:p w14:paraId="6914587A"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b/>
          <w:sz w:val="20"/>
          <w:szCs w:val="20"/>
          <w:lang w:val="sr-Latn-ME"/>
        </w:rPr>
        <w:t>Strategija razvoja zvanične statistike za period 2019-2023 godine</w:t>
      </w:r>
      <w:r w:rsidRPr="00F563CD">
        <w:rPr>
          <w:rFonts w:asciiTheme="minorHAnsi" w:hAnsiTheme="minorHAnsi" w:cstheme="minorHAnsi"/>
          <w:sz w:val="20"/>
          <w:szCs w:val="20"/>
          <w:lang w:val="sr-Latn-ME"/>
        </w:rPr>
        <w:t xml:space="preserve">  utvrđuje razvojne pravce i ciljeve zvanične statistike Crne Gore.</w:t>
      </w:r>
      <w:r w:rsidRPr="00F563CD">
        <w:rPr>
          <w:rFonts w:asciiTheme="minorHAnsi" w:hAnsiTheme="minorHAnsi"/>
          <w:lang w:val="sr-Latn-ME"/>
        </w:rPr>
        <w:t xml:space="preserve">  </w:t>
      </w:r>
      <w:r w:rsidRPr="00F563CD">
        <w:rPr>
          <w:rFonts w:asciiTheme="minorHAnsi" w:hAnsiTheme="minorHAnsi" w:cstheme="minorHAnsi"/>
          <w:sz w:val="20"/>
          <w:szCs w:val="20"/>
          <w:lang w:val="sr-Latn-ME"/>
        </w:rPr>
        <w:t>Strategija definiše dugoročne ciljeve razvoja statističkog sistema Crne Gore - pružanje svim korisnicima kvantitativnih i reprezenztativnih informacija o ekonomskim, demografskim, društvenim uslovima kao i uslovima životne sredine u Crnoj Gori, a u skladu sa međunarodno definisanom metodologijom i najvišim profesionalnim standardima.</w:t>
      </w:r>
      <w:r w:rsidRPr="00F563CD">
        <w:rPr>
          <w:rFonts w:asciiTheme="minorHAnsi" w:hAnsiTheme="minorHAnsi"/>
          <w:lang w:val="sr-Latn-ME"/>
        </w:rPr>
        <w:t xml:space="preserve">  </w:t>
      </w:r>
      <w:r w:rsidRPr="00F563CD">
        <w:rPr>
          <w:rFonts w:asciiTheme="minorHAnsi" w:hAnsiTheme="minorHAnsi" w:cstheme="minorHAnsi"/>
          <w:sz w:val="20"/>
          <w:szCs w:val="20"/>
          <w:lang w:val="sr-Latn-ME"/>
        </w:rPr>
        <w:t>Sveukupni cilj statističkog sistema Crne Gore</w:t>
      </w:r>
      <w:r w:rsidRPr="00F563CD">
        <w:rPr>
          <w:rFonts w:asciiTheme="minorHAnsi" w:hAnsiTheme="minorHAnsi" w:cstheme="minorHAnsi"/>
          <w:sz w:val="20"/>
          <w:szCs w:val="20"/>
          <w:vertAlign w:val="superscript"/>
          <w:lang w:val="sr-Latn-ME"/>
        </w:rPr>
        <w:footnoteReference w:id="2"/>
      </w:r>
      <w:r w:rsidRPr="00F563CD">
        <w:rPr>
          <w:rFonts w:asciiTheme="minorHAnsi" w:hAnsiTheme="minorHAnsi" w:cstheme="minorHAnsi"/>
          <w:sz w:val="20"/>
          <w:szCs w:val="20"/>
          <w:lang w:val="sr-Latn-ME"/>
        </w:rPr>
        <w:t xml:space="preserve"> je izrada koherentnih, relevantnih i objektivnih rezultata zvanične statistike, koji su zasnovani na međunarodnim konceptima, metodologijama i strogom režimu zaštite podataka, u cilju olakšavanja planiranja i donošenja odluka Vlade Crne Gore i zajednica, kao i obezbjeđivanja proizvodnje i  diseminacije zvanične statistike u skladu sa naučnim principima,  profesionalnom etikom i međunarodnim standardima. Opšti strateški cilj je usklađen sa ukupnim ciljem Prozora 2 i specifičnim ciljevima Tematskog prioriteta 1 – Dobro upravljanje. Kao odgovor na pandemiju COVID 19, Zavod za statistiku je pripremio dokument: </w:t>
      </w:r>
      <w:r w:rsidRPr="00F563CD">
        <w:rPr>
          <w:rFonts w:asciiTheme="minorHAnsi" w:hAnsiTheme="minorHAnsi" w:cstheme="minorHAnsi"/>
          <w:b/>
          <w:sz w:val="20"/>
          <w:szCs w:val="20"/>
          <w:lang w:val="sr-Latn-ME"/>
        </w:rPr>
        <w:t>Prioritetni ciljevi razvoja MONSTAT-a 2020-2021. (ODGOVOR NA PANDEMIJU COVID-19)</w:t>
      </w:r>
      <w:r w:rsidRPr="00F563CD">
        <w:rPr>
          <w:rFonts w:asciiTheme="minorHAnsi" w:hAnsiTheme="minorHAnsi"/>
          <w:lang w:val="sr-Latn-ME"/>
        </w:rPr>
        <w:t xml:space="preserve"> </w:t>
      </w:r>
      <w:r w:rsidRPr="00F563CD">
        <w:rPr>
          <w:rFonts w:asciiTheme="minorHAnsi" w:hAnsiTheme="minorHAnsi" w:cstheme="minorHAnsi"/>
          <w:sz w:val="20"/>
          <w:szCs w:val="20"/>
          <w:lang w:val="sr-Latn-ME"/>
        </w:rPr>
        <w:t>u kojoj je istakao ključne prioritete u narednom periodu, kao što je transformacija sistema prikupljanja IT podataka zbog nemogućnosti pristupa jedinicama za izvještavanje (preduzećima i domaćinstvima).</w:t>
      </w:r>
    </w:p>
    <w:p w14:paraId="4C9340C0" w14:textId="77777777" w:rsidR="0086044A" w:rsidRPr="00F563CD" w:rsidRDefault="0086044A" w:rsidP="0086044A">
      <w:pPr>
        <w:spacing w:before="60" w:after="240" w:line="240" w:lineRule="auto"/>
        <w:ind w:right="187"/>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U skladu sa novim pristupom Evropske unije ekonomskom dijalogu sa zemljama kandidatima i potencijalnim zemljama kandidatima za članstvo u Uniji, Crna Gora je šestu godinu zaredom pripremila </w:t>
      </w:r>
      <w:r w:rsidRPr="00F563CD">
        <w:rPr>
          <w:rFonts w:asciiTheme="minorHAnsi" w:hAnsiTheme="minorHAnsi" w:cstheme="minorHAnsi"/>
          <w:b/>
          <w:sz w:val="20"/>
          <w:szCs w:val="20"/>
          <w:lang w:val="sr-Latn-ME"/>
        </w:rPr>
        <w:t xml:space="preserve">Program ekonomskih reformi 2021 – 2023. </w:t>
      </w:r>
      <w:r w:rsidRPr="00F563CD">
        <w:rPr>
          <w:rFonts w:asciiTheme="minorHAnsi" w:hAnsiTheme="minorHAnsi" w:cstheme="minorHAnsi"/>
          <w:sz w:val="20"/>
          <w:szCs w:val="20"/>
          <w:lang w:val="sr-Latn-ME"/>
        </w:rPr>
        <w:t>(ERP).</w:t>
      </w:r>
      <w:r w:rsidRPr="00F563CD">
        <w:rPr>
          <w:rFonts w:asciiTheme="minorHAnsi" w:hAnsiTheme="minorHAnsi" w:cstheme="minorHAnsi"/>
          <w:b/>
          <w:sz w:val="20"/>
          <w:szCs w:val="20"/>
          <w:lang w:val="sr-Latn-ME"/>
        </w:rPr>
        <w:t xml:space="preserve"> </w:t>
      </w:r>
      <w:r w:rsidRPr="00F563CD">
        <w:rPr>
          <w:rFonts w:asciiTheme="minorHAnsi" w:hAnsiTheme="minorHAnsi" w:cstheme="minorHAnsi"/>
          <w:sz w:val="20"/>
          <w:szCs w:val="20"/>
          <w:lang w:val="sr-Latn-ME"/>
        </w:rPr>
        <w:t>U centru pažnje dokumenta je jačanje rasta realnog sektora, uz istovremeno održavanje fiskalne discipline i sprovođenje adekvatnih reformi koje doprinose ukupnoj konkurentnosti zemlje. Glavni strateški razvojni cilj Crne Gore, definisan u Programu ekonomskih reformi, je održiv i inkluzivan ekonomski rast koji će doprinijeti smanjenju jaza u razvoju zemlje u odnosu na prosjek EU i povećanju kvaliteta života svih njenih građana. Ciljevi ERP programa su usklađeni sa EK kroz širok proces konsultacija, a ovdje su posebno Prozorom 2 definisani prioriteti za TP 1 koji podržavaju stalno unapređenje ERP procesa.</w:t>
      </w:r>
    </w:p>
    <w:p w14:paraId="4827DCF7" w14:textId="77777777" w:rsidR="0086044A" w:rsidRPr="00F563CD" w:rsidRDefault="0086044A" w:rsidP="0086044A">
      <w:pPr>
        <w:spacing w:before="60" w:after="240" w:line="240" w:lineRule="auto"/>
        <w:ind w:right="187"/>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Razvoj i unapređenje zdravstvenog informacionog sistema, kroz primjenu informaciono-komunikacionih tehnologija i e-zdravlja su ključni preduslovi za reagovanje na izazove zdravstvenog sistema i potrebe i očekivanja građana od samog sistema. </w:t>
      </w:r>
      <w:r w:rsidRPr="00F563CD">
        <w:rPr>
          <w:rFonts w:asciiTheme="minorHAnsi" w:hAnsiTheme="minorHAnsi" w:cstheme="minorHAnsi"/>
          <w:b/>
          <w:sz w:val="20"/>
          <w:szCs w:val="20"/>
          <w:lang w:val="sr-Latn-ME"/>
        </w:rPr>
        <w:t>Strategija integrisanog zdravstvenog informacionog sistema i e-zdravlja</w:t>
      </w:r>
      <w:r w:rsidRPr="00F563CD">
        <w:rPr>
          <w:rFonts w:asciiTheme="minorHAnsi" w:hAnsiTheme="minorHAnsi" w:cstheme="minorHAnsi"/>
          <w:sz w:val="20"/>
          <w:szCs w:val="20"/>
          <w:lang w:val="sr-Latn-ME"/>
        </w:rPr>
        <w:t xml:space="preserve"> prepoznaje razvoj i korišćenje savremenih informaciono-komunikacionih tehnologija u zdravstvenoj zaštiti. Jačanje digitalizacije u zdravstvu, korišćenje e-usluga, uvođenje strukturisane elektronske zdravstvene knjižice, postizanje interoperabilnosti između informacionih sistema u zdravstvu, uvođenje novih tehnologija, telemedicina i mobilno zdravstvo, povezivanje svih nivoa zdravstvene zaštite u cilju dobijanja adekvatnih informacija za kreiranje zdravstvenih politika. </w:t>
      </w:r>
      <w:r w:rsidRPr="00F563CD">
        <w:rPr>
          <w:rFonts w:asciiTheme="minorHAnsi" w:hAnsiTheme="minorHAnsi" w:cstheme="minorHAnsi"/>
          <w:b/>
          <w:sz w:val="20"/>
          <w:szCs w:val="20"/>
          <w:lang w:val="sr-Latn-ME"/>
        </w:rPr>
        <w:t>Program ekonomskih reformi Crne Gore (ERP)</w:t>
      </w:r>
      <w:r w:rsidRPr="00F563CD">
        <w:rPr>
          <w:rFonts w:asciiTheme="minorHAnsi" w:hAnsiTheme="minorHAnsi" w:cstheme="minorHAnsi"/>
          <w:sz w:val="20"/>
          <w:szCs w:val="20"/>
          <w:lang w:val="sr-Latn-ME"/>
        </w:rPr>
        <w:t xml:space="preserve"> posebno predviđa korišćenje telemedicinskih usluga u Crnoj Gori kroz uspostavljanje informacionog sistema za telemedicinu i razvoj mobilnog zdravstva.  Uvođenje digitalnih tehnologija je baza za razvoj specijalnih usluga za pružanje daljinskih usluga korišćenjem telemedicine.</w:t>
      </w:r>
    </w:p>
    <w:p w14:paraId="3C54DA0E" w14:textId="77777777" w:rsidR="0086044A" w:rsidRPr="00F563CD" w:rsidRDefault="0086044A" w:rsidP="0086044A">
      <w:pPr>
        <w:spacing w:before="60" w:after="240" w:line="240" w:lineRule="auto"/>
        <w:ind w:right="187"/>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Ovu strategiju će naslijediti </w:t>
      </w:r>
      <w:r w:rsidRPr="00F563CD">
        <w:rPr>
          <w:rFonts w:asciiTheme="minorHAnsi" w:hAnsiTheme="minorHAnsi" w:cstheme="minorHAnsi"/>
          <w:b/>
          <w:sz w:val="20"/>
          <w:szCs w:val="20"/>
          <w:lang w:val="sr-Latn-ME"/>
        </w:rPr>
        <w:t xml:space="preserve">Nacionalna strategija digitalnog zdravlja u Crnoj Gori za period 2023-2026 </w:t>
      </w:r>
      <w:r w:rsidRPr="00F563CD">
        <w:rPr>
          <w:rFonts w:asciiTheme="minorHAnsi" w:hAnsiTheme="minorHAnsi" w:cstheme="minorHAnsi"/>
          <w:sz w:val="20"/>
          <w:szCs w:val="20"/>
          <w:lang w:val="sr-Latn-ME"/>
        </w:rPr>
        <w:t>sa Akcionim planom za period 2023 -2024  predviđena Srednjoročnim planom rada Vlade za period 2021-2024. godine a koji će detaljnije opisati i otvoriti mogućnosti za korišćenje savremenih informacionih i komunikacionih rješenja u zdravstvenoj zaštiti.</w:t>
      </w:r>
    </w:p>
    <w:p w14:paraId="1E3E1B43" w14:textId="77777777" w:rsidR="0086044A" w:rsidRPr="00F563CD" w:rsidRDefault="0086044A" w:rsidP="0086044A">
      <w:pPr>
        <w:spacing w:before="60" w:after="240" w:line="240" w:lineRule="auto"/>
        <w:ind w:right="187"/>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Ministarstvo zdravlja je u procesu harmonizacije pravne tekovine EU sa nacionalnim zakonodavstvom, posebno kroz Poglavlje 28 - Zdravstvena zaštita i zaštita potrošača. U Programu ekonomskih reformi (ERP) Ministarstvo zdravlja je </w:t>
      </w:r>
      <w:r w:rsidRPr="00F563CD">
        <w:rPr>
          <w:rFonts w:asciiTheme="minorHAnsi" w:hAnsiTheme="minorHAnsi" w:cstheme="minorHAnsi"/>
          <w:sz w:val="20"/>
          <w:szCs w:val="20"/>
          <w:lang w:val="sr-Latn-ME"/>
        </w:rPr>
        <w:lastRenderedPageBreak/>
        <w:t xml:space="preserve">prepoznalo korišćenje telemedicinskih usluga u Crnoj Gori kroz uspostavljanje informacionog sistema za telemedicinu i razvoj mobilnog zdravlja. Ministarstvo zdravlja je </w:t>
      </w:r>
      <w:r w:rsidRPr="00F563CD">
        <w:rPr>
          <w:rFonts w:asciiTheme="minorHAnsi" w:hAnsiTheme="minorHAnsi" w:cstheme="minorHAnsi"/>
          <w:b/>
          <w:sz w:val="20"/>
          <w:szCs w:val="20"/>
          <w:lang w:val="sr-Latn-ME"/>
        </w:rPr>
        <w:t>Zakonom o zdravstvenoj zaštiti,</w:t>
      </w:r>
      <w:r w:rsidRPr="00F563CD">
        <w:rPr>
          <w:rFonts w:asciiTheme="minorHAnsi" w:hAnsiTheme="minorHAnsi" w:cstheme="minorHAnsi"/>
          <w:sz w:val="20"/>
          <w:szCs w:val="20"/>
          <w:lang w:val="sr-Latn-ME"/>
        </w:rPr>
        <w:t xml:space="preserve"> član 30a, uspostavilo pravnih osnov za korišćenje telemedicinskih usluga, a planirano je usvajanje posebnog pravilnika kojim će se prepoznati upotreba ove tehnologije. Takođe, pomenuta strategija je prepoznala upotrebu naprednih usluga e-zdravlja, uvođenje strukturisanog elektronskog zdravstvenog dosijea kao i telemedicine.</w:t>
      </w:r>
    </w:p>
    <w:p w14:paraId="4FA89A74" w14:textId="77777777" w:rsidR="0086044A" w:rsidRPr="00F563CD" w:rsidRDefault="0086044A" w:rsidP="0086044A">
      <w:pPr>
        <w:spacing w:after="60" w:line="240" w:lineRule="auto"/>
        <w:jc w:val="both"/>
        <w:rPr>
          <w:rFonts w:asciiTheme="minorHAnsi" w:eastAsia="Calibri" w:hAnsiTheme="minorHAnsi" w:cs="Calibri"/>
          <w:b/>
          <w:i/>
          <w:iCs/>
          <w:sz w:val="20"/>
          <w:szCs w:val="20"/>
          <w:lang w:val="sr-Latn-ME"/>
        </w:rPr>
      </w:pPr>
      <w:r w:rsidRPr="00F563CD">
        <w:rPr>
          <w:rFonts w:asciiTheme="minorHAnsi" w:eastAsia="Calibri" w:hAnsiTheme="minorHAnsi" w:cs="Calibri"/>
          <w:b/>
          <w:i/>
          <w:iCs/>
          <w:sz w:val="20"/>
          <w:szCs w:val="20"/>
          <w:lang w:val="sr-Latn-ME"/>
        </w:rPr>
        <w:t xml:space="preserve">Tematski prioritet 2: Administrativni kapaciteti i usklađivanje sa pravnom tekovinom EU   </w:t>
      </w:r>
    </w:p>
    <w:p w14:paraId="123A2810"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b/>
          <w:sz w:val="20"/>
          <w:szCs w:val="20"/>
          <w:lang w:val="sr-Latn-ME"/>
        </w:rPr>
        <w:t>Program pristupanja Crne Gore EU 2021. – 2023.</w:t>
      </w:r>
      <w:r w:rsidRPr="00F563CD">
        <w:rPr>
          <w:rFonts w:asciiTheme="minorHAnsi" w:hAnsiTheme="minorHAnsi" w:cstheme="minorHAnsi"/>
          <w:sz w:val="20"/>
          <w:szCs w:val="20"/>
          <w:lang w:val="sr-Latn-ME"/>
        </w:rPr>
        <w:t xml:space="preserve"> identifikuje ključne prioritete za proces pristupanja i daje pregled napretka ostvarenog kroz sva 33 poglavlja, uključujući strateški, zakonodavni i administrativni okvir. Posebno se misli na potrebe izgradnje administrativnih kapaciteta i angažovanja zaposlenih za poslove od značaja za proces evropskih integracija Crne Gore, prije svega preraspodjelom rada, mobilnošću unutar javne uprave, kao i kroz potrebu novog zapošljavanja.</w:t>
      </w:r>
    </w:p>
    <w:p w14:paraId="5C1FB212"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Za veći broj pregovaračkih poglavlja Crna Gora je dobila završna mjerila koja se, između ostalog, odnose i na jačanje administrativnih kapaciteta koji će osigurati odgovarajuću implementaciju usklađenog zakonodavstva.</w:t>
      </w:r>
    </w:p>
    <w:p w14:paraId="46FF4896" w14:textId="77777777" w:rsidR="0086044A" w:rsidRPr="00F563CD" w:rsidRDefault="0086044A" w:rsidP="0086044A">
      <w:pPr>
        <w:spacing w:before="60" w:after="60" w:line="240" w:lineRule="auto"/>
        <w:ind w:right="190"/>
        <w:jc w:val="both"/>
        <w:rPr>
          <w:rFonts w:asciiTheme="minorHAnsi" w:hAnsiTheme="minorHAnsi" w:cstheme="minorHAnsi"/>
          <w:sz w:val="20"/>
          <w:szCs w:val="20"/>
          <w:lang w:val="sr-Latn-ME"/>
        </w:rPr>
      </w:pPr>
    </w:p>
    <w:p w14:paraId="4A90797C" w14:textId="77777777" w:rsidR="0086044A" w:rsidRPr="00F563CD" w:rsidRDefault="0086044A" w:rsidP="0086044A">
      <w:pPr>
        <w:spacing w:after="60" w:line="240" w:lineRule="auto"/>
        <w:jc w:val="both"/>
        <w:rPr>
          <w:rFonts w:asciiTheme="minorHAnsi" w:eastAsia="Calibri" w:hAnsiTheme="minorHAnsi" w:cs="Calibri"/>
          <w:b/>
          <w:i/>
          <w:iCs/>
          <w:sz w:val="20"/>
          <w:szCs w:val="20"/>
          <w:lang w:val="sr-Latn-ME"/>
        </w:rPr>
      </w:pPr>
      <w:r w:rsidRPr="00F563CD">
        <w:rPr>
          <w:rFonts w:asciiTheme="minorHAnsi" w:eastAsia="Calibri" w:hAnsiTheme="minorHAnsi" w:cs="Calibri"/>
          <w:b/>
          <w:i/>
          <w:iCs/>
          <w:sz w:val="20"/>
          <w:szCs w:val="20"/>
          <w:lang w:val="sr-Latn-ME"/>
        </w:rPr>
        <w:t>Tematski prioritet 3: Dobrosusjedski odnosi i pomirenje:</w:t>
      </w:r>
    </w:p>
    <w:p w14:paraId="23915F78" w14:textId="77777777" w:rsidR="0086044A" w:rsidRPr="00F563CD" w:rsidRDefault="0086044A" w:rsidP="0086044A">
      <w:pPr>
        <w:spacing w:after="60" w:line="240" w:lineRule="auto"/>
        <w:jc w:val="both"/>
        <w:rPr>
          <w:rFonts w:asciiTheme="minorHAnsi" w:eastAsia="Calibri" w:hAnsiTheme="minorHAnsi" w:cs="Calibri"/>
          <w:b/>
          <w:iCs/>
          <w:sz w:val="20"/>
          <w:szCs w:val="20"/>
          <w:lang w:val="sr-Latn-ME"/>
        </w:rPr>
      </w:pPr>
      <w:r w:rsidRPr="00F563CD">
        <w:rPr>
          <w:rFonts w:asciiTheme="minorHAnsi" w:eastAsia="Calibri" w:hAnsiTheme="minorHAnsi" w:cs="Calibri"/>
          <w:iCs/>
          <w:sz w:val="20"/>
          <w:szCs w:val="20"/>
          <w:lang w:val="sr-Latn-ME"/>
        </w:rPr>
        <w:t xml:space="preserve">Od svog osnivanja 2015. godine, Specijalno državno tužilaštvo Crne Gore kontinuirano sarađuje sa Tužilaštvom Međunarodnog rezidualnog mehanizma za krivične sudove (nekadašnje Tužilaštvo Međunarodnog krivičnog suda za bivšu Jugoslaviju), u skladu sa: </w:t>
      </w:r>
      <w:r w:rsidRPr="00F563CD">
        <w:rPr>
          <w:rFonts w:asciiTheme="minorHAnsi" w:eastAsia="Calibri" w:hAnsiTheme="minorHAnsi" w:cs="Calibri"/>
          <w:b/>
          <w:iCs/>
          <w:sz w:val="20"/>
          <w:szCs w:val="20"/>
          <w:lang w:val="sr-Latn-ME"/>
        </w:rPr>
        <w:t>Memorandumom o razumijevanju o pristupu dokumentima putem elektronskog sistema objelodanjivanja između Vrhovnog državnog tužilaštva Crne Gore i  Tužilaštva Međunarodnog krivičnog suda za bivšu Jugoslaviju</w:t>
      </w:r>
      <w:r w:rsidRPr="00F563CD">
        <w:rPr>
          <w:rFonts w:asciiTheme="minorHAnsi" w:eastAsia="Calibri" w:hAnsiTheme="minorHAnsi" w:cs="Calibri"/>
          <w:iCs/>
          <w:sz w:val="20"/>
          <w:szCs w:val="20"/>
          <w:lang w:val="sr-Latn-ME"/>
        </w:rPr>
        <w:t xml:space="preserve"> i </w:t>
      </w:r>
      <w:r w:rsidRPr="00F563CD">
        <w:rPr>
          <w:rFonts w:asciiTheme="minorHAnsi" w:eastAsia="Calibri" w:hAnsiTheme="minorHAnsi" w:cs="Calibri"/>
          <w:b/>
          <w:iCs/>
          <w:sz w:val="20"/>
          <w:szCs w:val="20"/>
          <w:lang w:val="sr-Latn-ME"/>
        </w:rPr>
        <w:t xml:space="preserve">Strategijom istrage ratnih zločina </w:t>
      </w:r>
      <w:r w:rsidRPr="00F563CD">
        <w:rPr>
          <w:rFonts w:asciiTheme="minorHAnsi" w:eastAsia="Calibri" w:hAnsiTheme="minorHAnsi" w:cs="Calibri"/>
          <w:iCs/>
          <w:sz w:val="20"/>
          <w:szCs w:val="20"/>
          <w:lang w:val="sr-Latn-ME"/>
        </w:rPr>
        <w:t>koju je 2015. godine usvojilo Vrhovno državno tužilaštvo</w:t>
      </w:r>
      <w:r w:rsidRPr="00F563CD">
        <w:rPr>
          <w:rFonts w:asciiTheme="minorHAnsi" w:eastAsia="Calibri" w:hAnsiTheme="minorHAnsi" w:cs="Calibri"/>
          <w:b/>
          <w:iCs/>
          <w:sz w:val="20"/>
          <w:szCs w:val="20"/>
          <w:lang w:val="sr-Latn-ME"/>
        </w:rPr>
        <w:t>.</w:t>
      </w:r>
    </w:p>
    <w:p w14:paraId="1B0834C5" w14:textId="77777777" w:rsidR="0086044A" w:rsidRPr="00F563CD" w:rsidRDefault="0086044A" w:rsidP="0086044A">
      <w:pPr>
        <w:spacing w:after="60" w:line="240" w:lineRule="auto"/>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Ovaj period karakteriše intenzivna saradnja u razmjeni podataka i dokaza sa Tužilaštvom Međunarodnog krivičnog suda / Rezidualnog mehanizma, uz Memorandum o razumijevanju zaključenim 2019. godine između Vrhovnog državnog tužilaštva Crne Gore i Rezidualnog mehanizma koji postavlja smjernice za dalju saradnju.</w:t>
      </w:r>
    </w:p>
    <w:p w14:paraId="24DD298F" w14:textId="77777777" w:rsidR="0086044A" w:rsidRPr="00F563CD" w:rsidRDefault="0086044A" w:rsidP="0086044A">
      <w:pPr>
        <w:spacing w:after="60" w:line="240" w:lineRule="auto"/>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Kao rezultat ove saradnje, u novembru 2020. godine, Specijalno državno tužilaštvo preuzelo je od Kancelarije tužilaštva  Rezidualnog mehanizama dokumentaciju-podatke i dokaze prikupljene pretragom baze podataka Rezidualnog mehanizma radi utvrđivanja učešća crnogorskih državljana u ratnim zločinima počinjenim tokom 1990. godine u regionu. Pomenuti krivični postupak je u fazi istrage.</w:t>
      </w:r>
    </w:p>
    <w:p w14:paraId="53900B12" w14:textId="77777777" w:rsidR="0086044A" w:rsidRPr="00F563CD" w:rsidRDefault="0086044A" w:rsidP="0086044A">
      <w:pPr>
        <w:spacing w:after="60" w:line="240" w:lineRule="auto"/>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 xml:space="preserve">Imajući u vidu složenost pomenutog pitanja, a u skladu sa članom 30 </w:t>
      </w:r>
      <w:r w:rsidRPr="00F563CD">
        <w:rPr>
          <w:rFonts w:asciiTheme="minorHAnsi" w:eastAsia="Calibri" w:hAnsiTheme="minorHAnsi" w:cs="Calibri"/>
          <w:b/>
          <w:iCs/>
          <w:sz w:val="20"/>
          <w:szCs w:val="20"/>
          <w:lang w:val="sr-Latn-ME"/>
        </w:rPr>
        <w:t>Zakona o specijalnom državnom tužilaštvu</w:t>
      </w:r>
      <w:r w:rsidRPr="00F563CD">
        <w:rPr>
          <w:rFonts w:asciiTheme="minorHAnsi" w:eastAsia="Calibri" w:hAnsiTheme="minorHAnsi" w:cs="Calibri"/>
          <w:iCs/>
          <w:sz w:val="20"/>
          <w:szCs w:val="20"/>
          <w:lang w:val="sr-Latn-ME"/>
        </w:rPr>
        <w:t>, formiran je poseban istražni tim u Specijalnom državnom tužilaštvu koji čine specijalni tužilac, službenici Specijalnog državnog tužilaštva i ovlašćeni policijski službenici Specijalne policijskog odjeljenja. Izazov u procesuiranju ove vrste kriminala, pored protoka vremena od rata, je i činjenica da su oštećene strane, svjedoci i materijalni dokazi uglavnom van Crne Gore, što će zahtijevati da se određeni dokazi pribave van granica Crne Gore, pri čemu Specijalno državno tužilaštvo ima izuzetno uspješnu saradnju sa tužilaštvima za ratne zločine zemalja regiona sa kojima je Crna Gora zaključila bilateralne sporazume u vezi sa krivičnim gonjenjem počinilaca ove vrste zločina.</w:t>
      </w:r>
    </w:p>
    <w:p w14:paraId="58058D40" w14:textId="77777777" w:rsidR="0086044A" w:rsidRPr="00F563CD" w:rsidRDefault="0086044A" w:rsidP="0086044A">
      <w:pPr>
        <w:spacing w:after="60" w:line="240" w:lineRule="auto"/>
        <w:jc w:val="both"/>
        <w:rPr>
          <w:rFonts w:asciiTheme="minorHAnsi" w:eastAsia="Calibri" w:hAnsiTheme="minorHAnsi" w:cs="Calibri"/>
          <w:i/>
          <w:iCs/>
          <w:sz w:val="20"/>
          <w:szCs w:val="20"/>
          <w:lang w:val="sr-Latn-ME"/>
        </w:rPr>
      </w:pPr>
    </w:p>
    <w:p w14:paraId="6808B6AD" w14:textId="77777777" w:rsidR="0086044A" w:rsidRPr="00F563CD" w:rsidRDefault="0086044A" w:rsidP="0086044A">
      <w:pPr>
        <w:spacing w:after="60" w:line="240" w:lineRule="auto"/>
        <w:jc w:val="both"/>
        <w:rPr>
          <w:rFonts w:asciiTheme="minorHAnsi" w:hAnsiTheme="minorHAnsi"/>
          <w:b/>
          <w:lang w:val="sr-Latn-ME"/>
        </w:rPr>
      </w:pPr>
      <w:r w:rsidRPr="00F563CD">
        <w:rPr>
          <w:rFonts w:asciiTheme="minorHAnsi" w:eastAsia="Calibri" w:hAnsiTheme="minorHAnsi" w:cs="Calibri"/>
          <w:b/>
          <w:i/>
          <w:iCs/>
          <w:sz w:val="20"/>
          <w:szCs w:val="20"/>
          <w:lang w:val="sr-Latn-ME"/>
        </w:rPr>
        <w:t xml:space="preserve">Tematski prioritet 4: Strateška komunikacija, monitoring, evaluacija i komunikacione aktivnosti </w:t>
      </w:r>
    </w:p>
    <w:p w14:paraId="3154F04D"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b/>
          <w:sz w:val="20"/>
          <w:szCs w:val="20"/>
          <w:lang w:val="sr-Latn-ME"/>
        </w:rPr>
        <w:t>Strategija informisanja javnosti o pristupanju Crne Gore Evropskoj uniji 2019-2022 godine</w:t>
      </w:r>
      <w:r w:rsidRPr="00F563CD">
        <w:rPr>
          <w:rFonts w:asciiTheme="minorHAnsi" w:hAnsiTheme="minorHAnsi" w:cstheme="minorBidi"/>
          <w:sz w:val="20"/>
          <w:szCs w:val="20"/>
          <w:lang w:val="sr-Latn-ME"/>
        </w:rPr>
        <w:t xml:space="preserve"> je usmjerena na predstavljanje principa vođenja aktivnosti u vezi sa komuniciranjem procesa pristupanja Crne Gore EU, kao i na njegovo praćenje, procjenu i ukupnu koordinaciju sa različitim zainteresovanim stranama. Strategija je u potpunosti usklađena sa sveobuhvatnom komunikacionom strategijom Vlade Crne Gore i u potpunosti je harmonizovana sa njenim glavnim prioritetima a to su: Pravedna i bezbjedna država; Razvoj, zapošljavanje i viši životni standard; Država- servis građana i Crna Gora u svijetu</w:t>
      </w:r>
      <w:r w:rsidRPr="00F563CD">
        <w:rPr>
          <w:rFonts w:asciiTheme="minorHAnsi" w:hAnsiTheme="minorHAnsi" w:cstheme="minorBidi"/>
          <w:sz w:val="20"/>
          <w:szCs w:val="20"/>
          <w:vertAlign w:val="superscript"/>
          <w:lang w:val="sr-Latn-ME"/>
        </w:rPr>
        <w:footnoteReference w:id="3"/>
      </w:r>
      <w:r w:rsidRPr="00F563CD">
        <w:rPr>
          <w:rFonts w:asciiTheme="minorHAnsi" w:hAnsiTheme="minorHAnsi" w:cstheme="minorBidi"/>
          <w:sz w:val="20"/>
          <w:szCs w:val="20"/>
          <w:lang w:val="sr-Latn-ME"/>
        </w:rPr>
        <w:t>.</w:t>
      </w:r>
    </w:p>
    <w:p w14:paraId="22939191"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Integracija u EU je najvažniji spoljnopolitički prioritet Crne Gore, ali i najsveobuhvatniji i najsloženiji reformski proces u istoriji zemlje. To je proces koji prožima sve aspekte života, od bezbjednosti, zaštite ljudskih prava do kvaliteta života i ekonomskog standarda. Zato je neophodno da svaki građanin bude detaljno informisan o procesu integracije, da zna razloge zbog kojih Crna Gora želi da postane članica Evropske unije i da ima jasnu sliku o prednostima i obavezama koje će biti rezultat članstva. Samo dobro obavješteni građanin može da donosi optimalne odluke o tome šta želi za sebe i svoju zemlju.</w:t>
      </w:r>
    </w:p>
    <w:p w14:paraId="1244281E"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Imajući u vidu da je informisanje građana o EU integracijama veoma složen i sveobuhvatan proces koji je neodvojiv od procesa pregovora i pristupanja EU, Vlada Crne Gore je na svojoj sjednici održanoj 27. decembra 2018. godine usvojila dokument pod nazivom Strategija javnog informisanja o pristupanju Crne Gore EU 2019 -2022, uz obavezu da ga detaljno obrazloži godišnjim akcionim planovima.</w:t>
      </w:r>
    </w:p>
    <w:p w14:paraId="5BC3C277"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lastRenderedPageBreak/>
        <w:t>Strategija je usredsređena na komunikaciju sa domaćom i stranom javnošću na slijedećim nivoima:</w:t>
      </w:r>
    </w:p>
    <w:p w14:paraId="00083895"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1) Interna javnost (zaposleni u javnoj upravi, lokalnim samoupravama)</w:t>
      </w:r>
    </w:p>
    <w:p w14:paraId="566F6E70"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2) Eksterna javnost:</w:t>
      </w:r>
    </w:p>
    <w:p w14:paraId="0BECB561"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 domaća javnost (opšta populacija i segmentirano u pristalice integracije, protivnike, neodlučne i mlade ljude)</w:t>
      </w:r>
    </w:p>
    <w:p w14:paraId="12F70090"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 međunarodna javnost (strani mediji, diplomate)</w:t>
      </w:r>
    </w:p>
    <w:p w14:paraId="28DD623D"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3) Multiplikatori i partneri</w:t>
      </w:r>
    </w:p>
    <w:p w14:paraId="500E9467"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Opšti cilj Strategije je unaprijeđenje svijesti građana o procesu evropskih integracija i pružanje podrške procesu pristupanja Crne Gore EU. U skladu sa tim, a u vezi sa identifikovanom situacijom i sa četiri ključne javnosti, definisani su slijedeći strateški ciljevi:</w:t>
      </w:r>
    </w:p>
    <w:p w14:paraId="5A600FE1"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1) Prema unutrašnjoj javnosti: Unaprijediti funkcionisanje sistema u kome će biti obezbijeđena stručna, efikasna i koordinisana komunikacija procesa evropskih integracija na nivou državne i lokalne administracije</w:t>
      </w:r>
    </w:p>
    <w:p w14:paraId="324E0A20"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2) Prema spoljnoj domaćoj javnosti: Pružite jasne, sveobuhvatne i pravovremene informacije o prednostima i obavezama koje proističu iz članstva kroz razumljive, atraktivne i prilagođene poruke</w:t>
      </w:r>
    </w:p>
    <w:p w14:paraId="76E729DD"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3) Prema spoljnoj međunarodnoj javnosti: Unaprijediti vidljivost procesa pristupanja Crne Gore Evropskoj uniji na međunarodnom nivou informisanjem međunarodne javnosti o aktivnostima, reformama i uspjesima tog procesa.</w:t>
      </w:r>
    </w:p>
    <w:p w14:paraId="1D3E04FD"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4) Ka multiplikatorima i partnerima: Postići višestruki efekat i maksimalizovati domet komunikacije kreiranjem pažljivo po mjeri osmišljenih poruka, alata i kanala komunikacije za sve multiplikatore i partnere u tom procesu.</w:t>
      </w:r>
    </w:p>
    <w:p w14:paraId="6F522191"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Strategija je razrađena kroz godišnje akcione planove koji se pripremaju i sprovode u partnerstvu između Vlade, Parlamenta, lokalnih samouprava, akademske i poslovne zajednice i nevladinih organizacija, što potvrđuje posvećenost i značaj svih segmenata društva u komunikaciji evropskih integracija.</w:t>
      </w:r>
    </w:p>
    <w:p w14:paraId="3CDEB8B4"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U Crnoj Gori postoji visok nivo podrške od skoro 2/3 i politički konsenzus u pogledu članstva u Evropskoj uniji. Prema poslednjem istraživanju javnog mnjenja iz juna 2021. godine, građani su zadržali visok nivo podrške članstvu Crne Gore u Evropskoj uniji. 71,9 odsto građana Crne Gore ima pozitivan stav prema Evropskoj uniji, a 73,8 odsto podržava članstvo svoje zemlje u Evropskoj uniji.</w:t>
      </w:r>
    </w:p>
    <w:p w14:paraId="4760A323"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Da bi se održao stabilan trend podrške, neophodno je nastaviti sprovođenje komunikacionih aktivnosti i ojačati saradnju sa svim akterima u zemlji i inostranstvu, sprovođenjem komunikacionih projekata usmjerenih na informisanje javnosti i promovisanje procesa evropskih integracija.</w:t>
      </w:r>
    </w:p>
    <w:p w14:paraId="615F5612"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S tim u vezi, u narednom periodu biće izrađen novi strateški dokument za period poslije 2022. godine, koji će postaviti okvir i definisati smjernice za komuniciranje procesa pristupanja u periodu od 2022. do pristupanja Crne Gore EU.</w:t>
      </w:r>
    </w:p>
    <w:p w14:paraId="2175E102" w14:textId="77777777" w:rsidR="0086044A" w:rsidRPr="00F563CD" w:rsidRDefault="0086044A" w:rsidP="0086044A">
      <w:pPr>
        <w:spacing w:line="240" w:lineRule="auto"/>
        <w:jc w:val="both"/>
        <w:rPr>
          <w:rFonts w:asciiTheme="minorHAnsi" w:hAnsiTheme="minorHAnsi" w:cstheme="minorBidi"/>
          <w:sz w:val="20"/>
          <w:szCs w:val="20"/>
          <w:lang w:val="sr-Latn-ME"/>
        </w:rPr>
      </w:pPr>
      <w:r w:rsidRPr="00F563CD">
        <w:rPr>
          <w:rFonts w:asciiTheme="minorHAnsi" w:hAnsiTheme="minorHAnsi" w:cstheme="minorBidi"/>
          <w:sz w:val="20"/>
          <w:szCs w:val="20"/>
          <w:lang w:val="sr-Latn-ME"/>
        </w:rPr>
        <w:t>Nova strategija će biti prilagođena trenutnoj fazi procesa pridruživanja i savremenim kanalima komunikacije, što će doprinijeti boljem informisanju građana o evropskim integracijama Crne Gore.</w:t>
      </w:r>
    </w:p>
    <w:p w14:paraId="4245D5DB" w14:textId="77777777" w:rsidR="0086044A" w:rsidRPr="00F563CD" w:rsidRDefault="0086044A" w:rsidP="0086044A">
      <w:pPr>
        <w:rPr>
          <w:rFonts w:asciiTheme="minorHAnsi" w:hAnsiTheme="minorHAnsi" w:cstheme="minorBidi"/>
          <w:b/>
          <w:sz w:val="20"/>
          <w:szCs w:val="20"/>
          <w:lang w:val="sr-Latn-ME"/>
        </w:rPr>
      </w:pPr>
      <w:r w:rsidRPr="00F563CD">
        <w:rPr>
          <w:rFonts w:asciiTheme="minorHAnsi" w:hAnsiTheme="minorHAnsi" w:cstheme="minorBidi"/>
          <w:sz w:val="20"/>
          <w:szCs w:val="20"/>
          <w:lang w:val="sr-Latn-ME"/>
        </w:rPr>
        <w:t>Zato je neophodno pružiti podršku za realizaciju projekata i aktivnosti koje će podržati sprovođenje Strategije, koja će obuhvatiti aktivnosti Vlade, ali i Parlamenta, lokalnih samouprava, poslovne i akademske zajednice i civilnog društva.</w:t>
      </w:r>
      <w:r w:rsidRPr="00F563CD">
        <w:rPr>
          <w:rFonts w:asciiTheme="minorHAnsi" w:hAnsiTheme="minorHAnsi"/>
          <w:lang w:val="sr-Latn-ME"/>
        </w:rPr>
        <w:t xml:space="preserve"> </w:t>
      </w:r>
      <w:r w:rsidRPr="00F563CD">
        <w:rPr>
          <w:rFonts w:asciiTheme="minorHAnsi" w:hAnsiTheme="minorHAnsi" w:cstheme="minorBidi"/>
          <w:sz w:val="20"/>
          <w:szCs w:val="20"/>
          <w:lang w:val="sr-Latn-ME"/>
        </w:rPr>
        <w:t>U tom smislu, a u skladu sa rezultatima istraživanja javnog mnjenja, biće osmišljene tematske kampanje i javni događaji za različite ciljne grupe, osnažena saradnja sa medijima i upravljanje društvenim mrežama, a kapaciteti u ovoj oblasti unaprijeđeni. Takođe, u narednom periodu biće intenzivirane aktivnosti i kampanje usmjerene ka inostranoj javnosti.</w:t>
      </w:r>
    </w:p>
    <w:p w14:paraId="0C29FB05" w14:textId="77777777" w:rsidR="0086044A" w:rsidRPr="00F563CD" w:rsidRDefault="0086044A" w:rsidP="0086044A">
      <w:pPr>
        <w:keepNext/>
        <w:keepLines/>
        <w:numPr>
          <w:ilvl w:val="0"/>
          <w:numId w:val="26"/>
        </w:numPr>
        <w:spacing w:before="200" w:after="0"/>
        <w:outlineLvl w:val="1"/>
        <w:rPr>
          <w:rFonts w:asciiTheme="minorHAnsi" w:hAnsiTheme="minorHAnsi" w:cs="Arial"/>
          <w:b/>
          <w:bCs/>
          <w:smallCaps/>
          <w:sz w:val="24"/>
          <w:szCs w:val="24"/>
          <w:lang w:val="sr-Latn-ME"/>
        </w:rPr>
      </w:pPr>
      <w:bookmarkStart w:id="24" w:name="_Toc91500253"/>
      <w:r w:rsidRPr="00F563CD">
        <w:rPr>
          <w:rFonts w:asciiTheme="minorHAnsi" w:hAnsiTheme="minorHAnsi" w:cs="Arial"/>
          <w:b/>
          <w:bCs/>
          <w:smallCaps/>
          <w:sz w:val="24"/>
          <w:szCs w:val="24"/>
          <w:lang w:val="sr-Latn-ME"/>
        </w:rPr>
        <w:t>POVEZANOST  STRATEGIJA ZEMLJE KORISNICE SA POLITIKOM PROŠIRENJA  EU</w:t>
      </w:r>
      <w:bookmarkEnd w:id="24"/>
      <w:r w:rsidRPr="00F563CD">
        <w:rPr>
          <w:rFonts w:asciiTheme="minorHAnsi" w:hAnsiTheme="minorHAnsi" w:cs="Arial"/>
          <w:b/>
          <w:bCs/>
          <w:smallCaps/>
          <w:sz w:val="24"/>
          <w:szCs w:val="24"/>
          <w:lang w:val="sr-Latn-ME"/>
        </w:rPr>
        <w:t xml:space="preserve"> </w:t>
      </w:r>
    </w:p>
    <w:p w14:paraId="418F94BB" w14:textId="77777777" w:rsidR="0086044A" w:rsidRPr="00F563CD" w:rsidRDefault="0086044A" w:rsidP="0086044A">
      <w:pPr>
        <w:spacing w:before="60" w:after="60" w:line="240" w:lineRule="auto"/>
        <w:ind w:right="550"/>
        <w:jc w:val="both"/>
        <w:rPr>
          <w:rFonts w:asciiTheme="minorHAnsi" w:eastAsia="Calibri" w:hAnsiTheme="minorHAnsi" w:cs="Calibri"/>
          <w:iCs/>
          <w:sz w:val="20"/>
          <w:szCs w:val="20"/>
          <w:lang w:val="sr-Latn-ME"/>
        </w:rPr>
      </w:pPr>
      <w:r w:rsidRPr="00F563CD">
        <w:rPr>
          <w:rFonts w:asciiTheme="minorHAnsi" w:eastAsia="Calibri" w:hAnsiTheme="minorHAnsi" w:cs="Calibri"/>
          <w:b/>
          <w:iCs/>
          <w:sz w:val="20"/>
          <w:szCs w:val="20"/>
          <w:lang w:val="sr-Latn-ME"/>
        </w:rPr>
        <w:t>Ekonomski i investicioni plan EU za Zapadni Balkan</w:t>
      </w:r>
      <w:r w:rsidRPr="00F563CD">
        <w:rPr>
          <w:rFonts w:asciiTheme="minorHAnsi" w:eastAsia="Calibri" w:hAnsiTheme="minorHAnsi" w:cs="Calibri"/>
          <w:iCs/>
          <w:sz w:val="20"/>
          <w:szCs w:val="20"/>
          <w:vertAlign w:val="superscript"/>
          <w:lang w:val="sr-Latn-ME"/>
        </w:rPr>
        <w:footnoteReference w:id="4"/>
      </w:r>
      <w:r w:rsidRPr="00F563CD">
        <w:rPr>
          <w:rFonts w:asciiTheme="minorHAnsi" w:eastAsia="Calibri" w:hAnsiTheme="minorHAnsi" w:cs="Calibri"/>
          <w:iCs/>
          <w:sz w:val="20"/>
          <w:szCs w:val="20"/>
          <w:lang w:val="sr-Latn-ME"/>
        </w:rPr>
        <w:t xml:space="preserve"> sa ciljem da podrži dugoročni oporavak potpomognut zelenom i digitalnom tranzicijom imaće finalno pozitivan uticaj na ekonomski rast, reforme pristupanja EU i približavanje Zapadnog Balkana jedinstvenom tržištu EU. Usklađene predložene programske akcije i nacionalni stratešk okvir (posebno program PAR i PFM program i Program ekonomskih reformi, ali i Strategija o trgovinskim olakšicama i </w:t>
      </w:r>
      <w:r w:rsidRPr="00F563CD">
        <w:rPr>
          <w:rFonts w:asciiTheme="minorHAnsi" w:eastAsia="Calibri" w:hAnsiTheme="minorHAnsi" w:cs="Calibri"/>
          <w:iCs/>
          <w:sz w:val="20"/>
          <w:szCs w:val="20"/>
          <w:lang w:val="sr-Latn-ME"/>
        </w:rPr>
        <w:lastRenderedPageBreak/>
        <w:t>Strategija javnih nabavki) sa Ekonomskim i investicionim planom, naglašava značaj jačanja ekonomskog približavanja Zapadnog Balkana EU podsticanjem digitalizacije vlada, javnih službi i preduzeća.</w:t>
      </w:r>
    </w:p>
    <w:p w14:paraId="3C49A054" w14:textId="77777777" w:rsidR="0086044A" w:rsidRPr="00F563CD" w:rsidRDefault="0086044A" w:rsidP="0086044A">
      <w:pPr>
        <w:spacing w:before="60" w:after="60" w:line="240" w:lineRule="auto"/>
        <w:ind w:right="550"/>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 xml:space="preserve">Ekonomski i investicioni plan za Zapadni Balkan je blisko povezan sa </w:t>
      </w:r>
      <w:r w:rsidRPr="00F563CD">
        <w:rPr>
          <w:rFonts w:asciiTheme="minorHAnsi" w:eastAsia="Calibri" w:hAnsiTheme="minorHAnsi" w:cs="Calibri"/>
          <w:b/>
          <w:iCs/>
          <w:sz w:val="20"/>
          <w:szCs w:val="20"/>
          <w:lang w:val="sr-Latn-ME"/>
        </w:rPr>
        <w:t>Digitalnom agendom za Evropu</w:t>
      </w:r>
      <w:r w:rsidRPr="00F563CD">
        <w:rPr>
          <w:rFonts w:asciiTheme="minorHAnsi" w:eastAsia="Calibri" w:hAnsiTheme="minorHAnsi" w:cs="Calibri"/>
          <w:iCs/>
          <w:sz w:val="20"/>
          <w:szCs w:val="20"/>
          <w:vertAlign w:val="superscript"/>
          <w:lang w:val="sr-Latn-ME"/>
        </w:rPr>
        <w:footnoteReference w:id="5"/>
      </w:r>
      <w:r w:rsidRPr="00F563CD">
        <w:rPr>
          <w:rFonts w:asciiTheme="minorHAnsi" w:eastAsia="Calibri" w:hAnsiTheme="minorHAnsi" w:cs="Calibri"/>
          <w:iCs/>
          <w:sz w:val="20"/>
          <w:szCs w:val="20"/>
          <w:lang w:val="sr-Latn-ME"/>
        </w:rPr>
        <w:t xml:space="preserve"> i </w:t>
      </w:r>
      <w:r w:rsidRPr="00F563CD">
        <w:rPr>
          <w:rFonts w:asciiTheme="minorHAnsi" w:eastAsia="Calibri" w:hAnsiTheme="minorHAnsi" w:cs="Calibri"/>
          <w:b/>
          <w:iCs/>
          <w:sz w:val="20"/>
          <w:szCs w:val="20"/>
          <w:lang w:val="sr-Latn-ME"/>
        </w:rPr>
        <w:t>Strategijom digitalnog jedinstvenog tržišta za Evropu</w:t>
      </w:r>
      <w:r w:rsidRPr="00F563CD">
        <w:rPr>
          <w:rFonts w:asciiTheme="minorHAnsi" w:eastAsia="Calibri" w:hAnsiTheme="minorHAnsi" w:cs="Calibri"/>
          <w:iCs/>
          <w:sz w:val="20"/>
          <w:szCs w:val="20"/>
          <w:vertAlign w:val="superscript"/>
          <w:lang w:val="sr-Latn-ME"/>
        </w:rPr>
        <w:footnoteReference w:id="6"/>
      </w:r>
      <w:r w:rsidRPr="00F563CD">
        <w:rPr>
          <w:rFonts w:asciiTheme="minorHAnsi" w:eastAsia="Calibri" w:hAnsiTheme="minorHAnsi" w:cs="Calibri"/>
          <w:iCs/>
          <w:sz w:val="20"/>
          <w:szCs w:val="20"/>
          <w:lang w:val="sr-Latn-ME"/>
        </w:rPr>
        <w:t xml:space="preserve"> - čiji su standardi integrisani u crnogorsku Strategiju razvoja informacionog društva 2020. Slično tome, novi PAR Strateški dokument 2022-2026 identifikuje digitalnu transformaciju vlade kao jedan od glavnih prioriteta Vlade u nadolazećem periodu.</w:t>
      </w:r>
    </w:p>
    <w:p w14:paraId="6F987A8C" w14:textId="77777777" w:rsidR="0086044A" w:rsidRPr="00F563CD" w:rsidRDefault="0086044A" w:rsidP="0086044A">
      <w:pPr>
        <w:spacing w:before="60" w:after="60" w:line="240" w:lineRule="auto"/>
        <w:ind w:right="550"/>
        <w:jc w:val="both"/>
        <w:rPr>
          <w:rFonts w:asciiTheme="minorHAnsi" w:eastAsia="Calibri" w:hAnsiTheme="minorHAnsi" w:cs="Calibri"/>
          <w:iCs/>
          <w:sz w:val="20"/>
          <w:szCs w:val="20"/>
          <w:lang w:val="sr-Latn-ME"/>
        </w:rPr>
      </w:pPr>
      <w:r w:rsidRPr="00F563CD">
        <w:rPr>
          <w:rFonts w:asciiTheme="minorHAnsi" w:eastAsia="Calibri" w:hAnsiTheme="minorHAnsi" w:cs="Calibri"/>
          <w:b/>
          <w:iCs/>
          <w:sz w:val="20"/>
          <w:szCs w:val="20"/>
          <w:lang w:val="sr-Latn-ME"/>
        </w:rPr>
        <w:t>Strategija Zapadnog Balkana</w:t>
      </w:r>
      <w:r w:rsidRPr="00F563CD">
        <w:rPr>
          <w:rFonts w:asciiTheme="minorHAnsi" w:eastAsia="Calibri" w:hAnsiTheme="minorHAnsi" w:cs="Calibri"/>
          <w:iCs/>
          <w:sz w:val="20"/>
          <w:szCs w:val="20"/>
          <w:vertAlign w:val="superscript"/>
          <w:lang w:val="sr-Latn-ME"/>
        </w:rPr>
        <w:footnoteReference w:id="7"/>
      </w:r>
      <w:r w:rsidRPr="00F563CD">
        <w:rPr>
          <w:rFonts w:asciiTheme="minorHAnsi" w:eastAsia="Calibri" w:hAnsiTheme="minorHAnsi" w:cs="Calibri"/>
          <w:iCs/>
          <w:sz w:val="20"/>
          <w:szCs w:val="20"/>
          <w:lang w:val="sr-Latn-ME"/>
        </w:rPr>
        <w:t xml:space="preserve"> postavlja prioritete i specifične izazove za Zapadni Balkan na njegovom putu pridruživanja EU. Predložene akcije IPA III, usklađene sa nacionalnim strateškim i pravnim okvirom, su usredsređene na dobro upravljanje i dobro funkcionisanje javne administracije, te su prepoznate kao fundamentalno značajne za uspješne političke i ekonomske reforme i za implementaciju pravila i standarda EU u Strategiji ZB.</w:t>
      </w:r>
      <w:r w:rsidRPr="00F563CD">
        <w:rPr>
          <w:rFonts w:asciiTheme="minorHAnsi" w:hAnsiTheme="minorHAnsi"/>
          <w:lang w:val="sr-Latn-ME"/>
        </w:rPr>
        <w:t xml:space="preserve"> </w:t>
      </w:r>
      <w:r w:rsidRPr="00F563CD">
        <w:rPr>
          <w:rFonts w:asciiTheme="minorHAnsi" w:eastAsia="Calibri" w:hAnsiTheme="minorHAnsi" w:cs="Calibri"/>
          <w:iCs/>
          <w:sz w:val="20"/>
          <w:szCs w:val="20"/>
          <w:lang w:val="sr-Latn-ME"/>
        </w:rPr>
        <w:t>Štaviše, reforma bi takođe trebalo, kako je navedeno u Strategiji ZB, da uključi poboljšanje kvaliteta i odgovornosti administracije, povećanje profesionalizma, depolitizaciju i transparentnost  takođe prilikom zapošljavanja i otpuštanja, transparentnije upravljanje javnim finansijama i bolje usluge za građane. To su takođe ključni prioriteti Strategije PAR 2022-2026 sa ukupnim ciljem modernizacije javne administracije na svim nivoima. Stoga je reforma javne uprave jedna od ključnih odrednica pri procjeni kapaciteta zemalja ZB za sprovođenje neophodnih reformi.</w:t>
      </w:r>
    </w:p>
    <w:p w14:paraId="47A24A5D" w14:textId="77777777" w:rsidR="0086044A" w:rsidRPr="00F563CD" w:rsidRDefault="0086044A" w:rsidP="0086044A">
      <w:pPr>
        <w:spacing w:before="60" w:after="60" w:line="240" w:lineRule="auto"/>
        <w:ind w:right="550"/>
        <w:jc w:val="both"/>
        <w:rPr>
          <w:rFonts w:asciiTheme="minorHAnsi" w:eastAsia="Calibri" w:hAnsiTheme="minorHAnsi" w:cs="Calibri"/>
          <w:b/>
          <w:iCs/>
          <w:sz w:val="20"/>
          <w:szCs w:val="20"/>
          <w:lang w:val="sr-Latn-ME"/>
        </w:rPr>
      </w:pPr>
      <w:r w:rsidRPr="00F563CD">
        <w:rPr>
          <w:rFonts w:asciiTheme="minorHAnsi" w:eastAsia="Calibri" w:hAnsiTheme="minorHAnsi" w:cs="Calibri"/>
          <w:iCs/>
          <w:sz w:val="20"/>
          <w:szCs w:val="20"/>
          <w:lang w:val="sr-Latn-ME"/>
        </w:rPr>
        <w:t xml:space="preserve">Dobro upravljanje je jedna od tri osnove </w:t>
      </w:r>
      <w:r w:rsidRPr="00F563CD">
        <w:rPr>
          <w:rFonts w:asciiTheme="minorHAnsi" w:eastAsia="Calibri" w:hAnsiTheme="minorHAnsi" w:cs="Calibri"/>
          <w:b/>
          <w:iCs/>
          <w:sz w:val="20"/>
          <w:szCs w:val="20"/>
          <w:lang w:val="sr-Latn-ME"/>
        </w:rPr>
        <w:t>Strategije proširenja</w:t>
      </w:r>
      <w:r w:rsidRPr="00F563CD">
        <w:rPr>
          <w:rFonts w:asciiTheme="minorHAnsi" w:eastAsia="Calibri" w:hAnsiTheme="minorHAnsi" w:cs="Calibri"/>
          <w:iCs/>
          <w:sz w:val="20"/>
          <w:szCs w:val="20"/>
          <w:vertAlign w:val="superscript"/>
          <w:lang w:val="sr-Latn-ME"/>
        </w:rPr>
        <w:footnoteReference w:id="8"/>
      </w:r>
      <w:r w:rsidRPr="00F563CD">
        <w:rPr>
          <w:rFonts w:asciiTheme="minorHAnsi" w:eastAsia="Calibri" w:hAnsiTheme="minorHAnsi" w:cs="Calibri"/>
          <w:iCs/>
          <w:sz w:val="20"/>
          <w:szCs w:val="20"/>
          <w:lang w:val="sr-Latn-ME"/>
        </w:rPr>
        <w:t xml:space="preserve">, pored vladavine zakona i ekonomskih reformi. Potreba za daljim unapređivanjem upravljanja javnim finansijama (PFM) je uspostavljena kao sastavna komponenta postojećih, kao i budućih strateških dokumenata reforme javne administracije (PAR) u Crnoj Gori. Postoji proceduralna i suštinska međusobna povezanost ova  dva dokumenta. Implementacija reforme PFM-a je od ključnog značaja za dalji razvoj svih sektora ekonomije i bolji kvalitet života građana. Programom reformi PFM-a se određuju ključni reformski planovi Crne Gore u toj oblasti usmjereni na povećanje odgovornosti i obezbjeđivanje snažnog finansijskog upravljanja i dobrog upravljanja unapređivanjem ekonomije, efikasnosti i efektivnosti/djelotvornosti u upravljanju javnim resursima. Pored toga, Program će obezbediti bolju koordinaciju i međustitucionalnu saradnju za planiranje, implementaciju i praćenje politika vezanih za makro fiskalnu stabilnost, izdvajanje i korišćenje javnih resursa i transparentnost PFM sistema. Program reforme PFM je relevantan za koordinaciju nacionalnih napora za početna ili završna mjerila u brojnim pregovaračkim poglavljima, posebno </w:t>
      </w:r>
      <w:r w:rsidRPr="00F563CD">
        <w:rPr>
          <w:rFonts w:asciiTheme="minorHAnsi" w:eastAsia="Calibri" w:hAnsiTheme="minorHAnsi" w:cs="Calibri"/>
          <w:b/>
          <w:iCs/>
          <w:sz w:val="20"/>
          <w:szCs w:val="20"/>
          <w:lang w:val="sr-Latn-ME"/>
        </w:rPr>
        <w:t>Poglavlje 5 - Javne nabavke, Poglavlje 16 – Oporezivanje, Poglavlje 17 - Ekonomska i monetarna politika, Poglavlje 29- Carinska unija i Poglavlje 32 - Finansijska kontrola.</w:t>
      </w:r>
    </w:p>
    <w:p w14:paraId="380BB537" w14:textId="77777777" w:rsidR="0086044A" w:rsidRPr="00F563CD" w:rsidRDefault="0086044A" w:rsidP="0086044A">
      <w:pPr>
        <w:spacing w:before="60" w:after="60" w:line="240" w:lineRule="auto"/>
        <w:ind w:right="550"/>
        <w:jc w:val="both"/>
        <w:rPr>
          <w:rFonts w:asciiTheme="minorHAnsi" w:eastAsia="Calibri" w:hAnsiTheme="minorHAnsi" w:cs="Calibri"/>
          <w:iCs/>
          <w:sz w:val="20"/>
          <w:szCs w:val="20"/>
          <w:lang w:val="sr-Latn-ME"/>
        </w:rPr>
      </w:pPr>
      <w:r w:rsidRPr="00F563CD">
        <w:rPr>
          <w:rFonts w:asciiTheme="minorHAnsi" w:eastAsia="Calibri" w:hAnsiTheme="minorHAnsi" w:cs="Calibri"/>
          <w:b/>
          <w:iCs/>
          <w:sz w:val="20"/>
          <w:szCs w:val="20"/>
          <w:lang w:val="sr-Latn-ME"/>
        </w:rPr>
        <w:t>Godišnji izveštaj EU o Crnoj Gori</w:t>
      </w:r>
      <w:r w:rsidRPr="00F563CD">
        <w:rPr>
          <w:rFonts w:asciiTheme="minorHAnsi" w:eastAsia="Calibri" w:hAnsiTheme="minorHAnsi" w:cs="Calibri"/>
          <w:iCs/>
          <w:sz w:val="20"/>
          <w:szCs w:val="20"/>
          <w:vertAlign w:val="superscript"/>
          <w:lang w:val="sr-Latn-ME"/>
        </w:rPr>
        <w:footnoteReference w:id="9"/>
      </w:r>
      <w:r w:rsidRPr="00F563CD">
        <w:rPr>
          <w:rFonts w:asciiTheme="minorHAnsi" w:eastAsia="Calibri" w:hAnsiTheme="minorHAnsi" w:cs="Calibri"/>
          <w:iCs/>
          <w:sz w:val="20"/>
          <w:szCs w:val="20"/>
          <w:lang w:val="sr-Latn-ME"/>
        </w:rPr>
        <w:t xml:space="preserve"> takođe bilježi napredak u PAR. Kako je navedeno u izvještaju EK za 2021. godinu, Crna Gora je umjereno spremna za reformu javne administracije. Ukupno gledano, u izvještajnom  periodu je ostvaren ograničeni napredak. Promjena vlade i parlamentarne većine ozbiljno je uticala na državnu upravu: izmjenama i dopunama Zakona o državnim službenicima i namještenicima sniženi su uslovi za kompetentnost, nezavisnost i regrutovanje državnih službenika zasnovanih na zaslugama. Pored toga, nedavne reorganizacije javne administracije dovele su do znatnih promjena zaposlenih, uključujući one na visokim nivoima, ugrožavajući sposobnost Crne Gore da zadrži zaposlene sa iskustvom u pitanjima vezanim za proces pridruživanja EU u mnogim sektorima. Potrebna je snažna politička volja da se efikasno depolitizuje javna služba, optimizuje  državna administracija i implementira sistem upravljačke odgovornosti. Pomenuti prioriteti su usklađeni sa predloženim akcijama kao dio IPA III prioriteta u okviru Prozora 2.</w:t>
      </w:r>
    </w:p>
    <w:p w14:paraId="3433DA3F" w14:textId="77777777" w:rsidR="0086044A" w:rsidRPr="00F563CD" w:rsidRDefault="0086044A" w:rsidP="0086044A">
      <w:pPr>
        <w:spacing w:before="60" w:after="60" w:line="240" w:lineRule="auto"/>
        <w:ind w:right="550"/>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 xml:space="preserve">Implementacija obaveza koje proizilaze iz </w:t>
      </w:r>
      <w:r w:rsidRPr="00F563CD">
        <w:rPr>
          <w:rFonts w:asciiTheme="minorHAnsi" w:eastAsia="Calibri" w:hAnsiTheme="minorHAnsi" w:cs="Calibri"/>
          <w:b/>
          <w:iCs/>
          <w:sz w:val="20"/>
          <w:szCs w:val="20"/>
          <w:lang w:val="sr-Latn-ME"/>
        </w:rPr>
        <w:t>Sporazuma o stabilizaciji i pridruživanju sa Crnom Gorom</w:t>
      </w:r>
      <w:r w:rsidRPr="00F563CD">
        <w:rPr>
          <w:rFonts w:asciiTheme="minorHAnsi" w:eastAsia="Calibri" w:hAnsiTheme="minorHAnsi" w:cs="Calibri"/>
          <w:iCs/>
          <w:sz w:val="20"/>
          <w:szCs w:val="20"/>
          <w:vertAlign w:val="superscript"/>
          <w:lang w:val="sr-Latn-ME"/>
        </w:rPr>
        <w:footnoteReference w:id="10"/>
      </w:r>
      <w:r w:rsidRPr="00F563CD">
        <w:rPr>
          <w:rFonts w:asciiTheme="minorHAnsi" w:eastAsia="Calibri" w:hAnsiTheme="minorHAnsi" w:cs="Calibri"/>
          <w:iCs/>
          <w:sz w:val="20"/>
          <w:szCs w:val="20"/>
          <w:lang w:val="sr-Latn-ME"/>
        </w:rPr>
        <w:t xml:space="preserve"> i drugi sektorski sporazumi predstavlja podršku pripremama za ispunjavanje uslova vezanih za članstvo u EU. Iako ostvarivanje ovih ciljeva predstavlja izazov za Vladu Crne Gore (GoM), Ministarstvo državne uprave, digitalnog društva i medija prepoznalo te ciljeve u svojim strateškim papirima i akcionim planovima, posebno se fokusirajući na principe dobrog upravljanja.</w:t>
      </w:r>
    </w:p>
    <w:p w14:paraId="44485F81" w14:textId="77777777" w:rsidR="0086044A" w:rsidRPr="00F563CD" w:rsidRDefault="0086044A" w:rsidP="0086044A">
      <w:pPr>
        <w:spacing w:before="60" w:after="60" w:line="240" w:lineRule="auto"/>
        <w:ind w:right="550"/>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 xml:space="preserve">U cilju daljeg doprinosa ostvarivanju ciljeva identifikovanih u strateškim dokumentima te dokumentima EU o proširenju, 2014. godine formirana je </w:t>
      </w:r>
      <w:r w:rsidRPr="00F563CD">
        <w:rPr>
          <w:rFonts w:asciiTheme="minorHAnsi" w:eastAsia="Calibri" w:hAnsiTheme="minorHAnsi" w:cs="Calibri"/>
          <w:b/>
          <w:iCs/>
          <w:sz w:val="20"/>
          <w:szCs w:val="20"/>
          <w:lang w:val="sr-Latn-ME"/>
        </w:rPr>
        <w:t>Specijalna grupa za PAR</w:t>
      </w:r>
      <w:r w:rsidRPr="00F563CD">
        <w:rPr>
          <w:rFonts w:asciiTheme="minorHAnsi" w:eastAsia="Calibri" w:hAnsiTheme="minorHAnsi" w:cs="Calibri"/>
          <w:iCs/>
          <w:sz w:val="20"/>
          <w:szCs w:val="20"/>
          <w:vertAlign w:val="superscript"/>
          <w:lang w:val="sr-Latn-ME"/>
        </w:rPr>
        <w:footnoteReference w:id="11"/>
      </w:r>
      <w:r w:rsidRPr="00F563CD">
        <w:rPr>
          <w:rFonts w:asciiTheme="minorHAnsi" w:eastAsia="Calibri" w:hAnsiTheme="minorHAnsi" w:cs="Calibri"/>
          <w:iCs/>
          <w:sz w:val="20"/>
          <w:szCs w:val="20"/>
          <w:lang w:val="sr-Latn-ME"/>
        </w:rPr>
        <w:t xml:space="preserve">, kao forum za formalni politički dijalog između GoM-a i Evropske komisije, koji se koristi za praćenje kretanja zemlje u ovom sektoru. Nalazi i zajednički zaključci sa sastanaka su inputi za razvoj strateških okvira u oblasti PAR i PFM, kao i u predloženim akcijama za IPA III programsku pripremu u okviru Prozora 2. Pored toga, očekuje se da će fokusiraniji </w:t>
      </w:r>
      <w:r w:rsidRPr="00F563CD">
        <w:rPr>
          <w:rFonts w:asciiTheme="minorHAnsi" w:eastAsia="Calibri" w:hAnsiTheme="minorHAnsi" w:cs="Calibri"/>
          <w:b/>
          <w:iCs/>
          <w:sz w:val="20"/>
          <w:szCs w:val="20"/>
          <w:lang w:val="sr-Latn-ME"/>
        </w:rPr>
        <w:t>politički dijalog o PFM</w:t>
      </w:r>
      <w:r w:rsidRPr="00F563CD">
        <w:rPr>
          <w:rFonts w:asciiTheme="minorHAnsi" w:eastAsia="Calibri" w:hAnsiTheme="minorHAnsi" w:cs="Calibri"/>
          <w:iCs/>
          <w:sz w:val="20"/>
          <w:szCs w:val="20"/>
          <w:lang w:val="sr-Latn-ME"/>
        </w:rPr>
        <w:t xml:space="preserve"> pružiti informacije i o prioritetima vlade u oblastima PFM i osmišljavanju budućih reformskih projekata PFM u saradnji sa Evropskom komisijom i njenim preporukama.</w:t>
      </w:r>
      <w:r w:rsidRPr="00F563CD">
        <w:rPr>
          <w:rFonts w:asciiTheme="minorHAnsi" w:hAnsiTheme="minorHAnsi"/>
          <w:lang w:val="sr-Latn-ME"/>
        </w:rPr>
        <w:t xml:space="preserve"> </w:t>
      </w:r>
      <w:r w:rsidRPr="00F563CD">
        <w:rPr>
          <w:rFonts w:asciiTheme="minorHAnsi" w:eastAsia="Calibri" w:hAnsiTheme="minorHAnsi" w:cs="Calibri"/>
          <w:iCs/>
          <w:sz w:val="20"/>
          <w:szCs w:val="20"/>
          <w:lang w:val="sr-Latn-ME"/>
        </w:rPr>
        <w:t xml:space="preserve">S obzirom da je reforma PFM uključena kao kriterijum prihvatljivosti za SBS, EU kroz </w:t>
      </w:r>
      <w:r w:rsidRPr="00F563CD">
        <w:rPr>
          <w:rFonts w:asciiTheme="minorHAnsi" w:eastAsia="Calibri" w:hAnsiTheme="minorHAnsi" w:cs="Calibri"/>
          <w:iCs/>
          <w:sz w:val="20"/>
          <w:szCs w:val="20"/>
          <w:lang w:val="sr-Latn-ME"/>
        </w:rPr>
        <w:lastRenderedPageBreak/>
        <w:t>politički dijalog o PFM detaljnije analizira napredak unutar svake oblasti. Nadalje, izrađeni "Indikatori pasoša", usvojeni u junu 2018. godine, značajno su doprinijeli pouzdanosti i transparentnosti izvještaja.</w:t>
      </w:r>
    </w:p>
    <w:p w14:paraId="2784AFAE" w14:textId="77777777" w:rsidR="0086044A" w:rsidRPr="00F563CD" w:rsidRDefault="0086044A" w:rsidP="0086044A">
      <w:pPr>
        <w:spacing w:before="60" w:after="60" w:line="240" w:lineRule="auto"/>
        <w:ind w:right="550"/>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 xml:space="preserve">Zakonodavstvo EU koje reguliše oblast elektronskih komunikacija i usluga informacionog društva određeno je u okviru </w:t>
      </w:r>
      <w:r w:rsidRPr="00F563CD">
        <w:rPr>
          <w:rFonts w:asciiTheme="minorHAnsi" w:eastAsia="Calibri" w:hAnsiTheme="minorHAnsi" w:cs="Calibri"/>
          <w:b/>
          <w:iCs/>
          <w:sz w:val="20"/>
          <w:szCs w:val="20"/>
          <w:lang w:val="sr-Latn-ME"/>
        </w:rPr>
        <w:t>Poglavlja 10</w:t>
      </w:r>
      <w:r w:rsidRPr="00F563CD">
        <w:rPr>
          <w:rFonts w:asciiTheme="minorHAnsi" w:eastAsia="Calibri" w:hAnsiTheme="minorHAnsi" w:cs="Calibri"/>
          <w:iCs/>
          <w:sz w:val="20"/>
          <w:szCs w:val="20"/>
          <w:lang w:val="sr-Latn-ME"/>
        </w:rPr>
        <w:t xml:space="preserve"> – Informaciono društvo i mediji. Kako je navedeno u </w:t>
      </w:r>
      <w:r w:rsidRPr="00F563CD">
        <w:rPr>
          <w:rFonts w:asciiTheme="minorHAnsi" w:eastAsia="Calibri" w:hAnsiTheme="minorHAnsi" w:cs="Calibri"/>
          <w:b/>
          <w:iCs/>
          <w:sz w:val="20"/>
          <w:szCs w:val="20"/>
          <w:lang w:val="sr-Latn-ME"/>
        </w:rPr>
        <w:t>Programu pristupanja Crne Gore EU</w:t>
      </w:r>
      <w:r w:rsidRPr="00F563CD">
        <w:rPr>
          <w:rFonts w:asciiTheme="minorHAnsi" w:eastAsia="Calibri" w:hAnsiTheme="minorHAnsi" w:cs="Calibri"/>
          <w:iCs/>
          <w:sz w:val="20"/>
          <w:szCs w:val="20"/>
          <w:lang w:val="sr-Latn-ME"/>
        </w:rPr>
        <w:t xml:space="preserve"> (PPCG) </w:t>
      </w:r>
      <w:r w:rsidRPr="00F563CD">
        <w:rPr>
          <w:rFonts w:asciiTheme="minorHAnsi" w:eastAsia="Calibri" w:hAnsiTheme="minorHAnsi" w:cs="Calibri"/>
          <w:b/>
          <w:iCs/>
          <w:sz w:val="20"/>
          <w:szCs w:val="20"/>
          <w:lang w:val="sr-Latn-ME"/>
        </w:rPr>
        <w:t>2018 – 2020</w:t>
      </w:r>
      <w:r w:rsidRPr="00F563CD">
        <w:rPr>
          <w:rFonts w:asciiTheme="minorHAnsi" w:eastAsia="Calibri" w:hAnsiTheme="minorHAnsi" w:cs="Calibri"/>
          <w:iCs/>
          <w:sz w:val="20"/>
          <w:szCs w:val="20"/>
          <w:lang w:val="sr-Latn-ME"/>
        </w:rPr>
        <w:t>, ključna pitanja iz oblasti usluga informacionog društva su: e-vlada, informaciona bezbjednost, e-zdravstvo, e-potpis, javni sektor. Informaciono društvo i digitalne usluge odnose se na cjelokupan javni sektor; tako je Poglavlje 10 stoga integralno povezano sa reformom javne administracije. Prepoznajući prioritete EU, MJUDDM se bavio svim gore pomenutim prioritetima i konkretno u STRATEGIJI PAR 2016-2020 i nastaviće da radi na ovim suštinskim pitanjima, takođe u slijedećem PAR Strateškom dokumentu 2021-2025 kao ključnim prioritetima u procesu proširenja.</w:t>
      </w:r>
    </w:p>
    <w:p w14:paraId="28547B8E" w14:textId="77777777" w:rsidR="0086044A" w:rsidRPr="00F563CD" w:rsidRDefault="0086044A" w:rsidP="0086044A">
      <w:pPr>
        <w:spacing w:before="60" w:after="60" w:line="240" w:lineRule="auto"/>
        <w:ind w:right="547"/>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 xml:space="preserve">Harmonizacija nacionalnog sistema javnih nabavki jedan je od najvažnijih instrumenata za postojanje unutrašnjeg tržišta i uklanjanje barijera slobodnoj trgovini unutar EU. </w:t>
      </w:r>
      <w:r w:rsidRPr="00F563CD">
        <w:rPr>
          <w:rFonts w:asciiTheme="minorHAnsi" w:eastAsia="Calibri" w:hAnsiTheme="minorHAnsi" w:cs="Calibri"/>
          <w:b/>
          <w:iCs/>
          <w:sz w:val="20"/>
          <w:szCs w:val="20"/>
          <w:lang w:val="sr-Latn-ME"/>
        </w:rPr>
        <w:t xml:space="preserve">Poglavlje 5 – Javne nabavke </w:t>
      </w:r>
      <w:r w:rsidRPr="00F563CD">
        <w:rPr>
          <w:rFonts w:asciiTheme="minorHAnsi" w:eastAsia="Calibri" w:hAnsiTheme="minorHAnsi" w:cs="Calibri"/>
          <w:iCs/>
          <w:sz w:val="20"/>
          <w:szCs w:val="20"/>
          <w:lang w:val="sr-Latn-ME"/>
        </w:rPr>
        <w:t xml:space="preserve"> </w:t>
      </w:r>
      <w:r w:rsidRPr="00F563CD">
        <w:rPr>
          <w:rFonts w:asciiTheme="minorHAnsi" w:eastAsia="Calibri" w:hAnsiTheme="minorHAnsi" w:cs="Calibri"/>
          <w:b/>
          <w:iCs/>
          <w:sz w:val="20"/>
          <w:szCs w:val="20"/>
          <w:lang w:val="sr-Latn-ME"/>
        </w:rPr>
        <w:t xml:space="preserve">završna mjerila </w:t>
      </w:r>
      <w:r w:rsidRPr="00F563CD">
        <w:rPr>
          <w:rFonts w:asciiTheme="minorHAnsi" w:eastAsia="Calibri" w:hAnsiTheme="minorHAnsi" w:cs="Calibri"/>
          <w:iCs/>
          <w:sz w:val="20"/>
          <w:szCs w:val="20"/>
          <w:lang w:val="sr-Latn-ME"/>
        </w:rPr>
        <w:t>su</w:t>
      </w:r>
      <w:r w:rsidRPr="00F563CD">
        <w:rPr>
          <w:rFonts w:asciiTheme="minorHAnsi" w:eastAsia="Calibri" w:hAnsiTheme="minorHAnsi" w:cs="Calibri"/>
          <w:b/>
          <w:iCs/>
          <w:sz w:val="20"/>
          <w:szCs w:val="20"/>
          <w:lang w:val="sr-Latn-ME"/>
        </w:rPr>
        <w:t xml:space="preserve"> </w:t>
      </w:r>
      <w:r w:rsidRPr="00F563CD">
        <w:rPr>
          <w:rFonts w:asciiTheme="minorHAnsi" w:eastAsia="Calibri" w:hAnsiTheme="minorHAnsi" w:cs="Calibri"/>
          <w:iCs/>
          <w:sz w:val="20"/>
          <w:szCs w:val="20"/>
          <w:lang w:val="sr-Latn-ME"/>
        </w:rPr>
        <w:t>uvrštene u nacionalnu PP Strategiju, a ona uključuje Direktivu EU o javnim nabavkama koja predviđa intenzivnije korišćenje javnih nabavki kao instrumenta za promovisanje održivog razvoja. Glavni cilj nacionalne strateške postavke je postizanje potpunog usklađivanja sa pravnom tekovinom i navođenje načina kojima će Crna Gora obezbijediti snažne kapacitete implementacije na svim nivoima u oblasti javnih nabavki.</w:t>
      </w:r>
    </w:p>
    <w:p w14:paraId="4C14CC27" w14:textId="77777777" w:rsidR="0086044A" w:rsidRPr="00F563CD" w:rsidRDefault="0086044A" w:rsidP="0086044A">
      <w:pPr>
        <w:spacing w:before="60" w:after="60" w:line="240" w:lineRule="auto"/>
        <w:ind w:right="547"/>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 xml:space="preserve">Oblast zvanične statistike zastupljena je u pregovaračkom procesu kao zasebno pregovaračko </w:t>
      </w:r>
      <w:r w:rsidRPr="00F563CD">
        <w:rPr>
          <w:rFonts w:asciiTheme="minorHAnsi" w:eastAsia="Calibri" w:hAnsiTheme="minorHAnsi" w:cs="Calibri"/>
          <w:b/>
          <w:iCs/>
          <w:sz w:val="20"/>
          <w:szCs w:val="20"/>
          <w:lang w:val="sr-Latn-ME"/>
        </w:rPr>
        <w:t>Poglavlje 18 - Statistika</w:t>
      </w:r>
      <w:r w:rsidRPr="00F563CD">
        <w:rPr>
          <w:rFonts w:asciiTheme="minorHAnsi" w:eastAsia="Calibri" w:hAnsiTheme="minorHAnsi" w:cs="Calibri"/>
          <w:iCs/>
          <w:sz w:val="20"/>
          <w:szCs w:val="20"/>
          <w:lang w:val="sr-Latn-ME"/>
        </w:rPr>
        <w:t>, ali je takođe od velikog značaja za napredak u drugim poglavljima pravne tekovine EU, imajući u vidu vezu sa mnogim oblastima u pregovorima. Napredak u svim oblastima javnih politika mjeriće se na osnovu podataka dobijenih zvaničnom statistikom, a Strategija razvoja zvanične statistike 2019– 2023. bavi se zadacima i aktivnostima koje će doprinijeti ispunjavanju završnih mjerila za  Poglavlje 18.  Pregovori u okviru ovog poglavlja uključuju usklađivanje crnogorskih pravnih propisa sa pravnom tekovinom EU, bolji kvalitet, dostupnost i kredibilitet statističkih podataka kao osnovu za kreiranje javnih politika, što će stvoriti bolje uslove za dinamičniji društveni i ekonomski razvoj Crne Gore.</w:t>
      </w:r>
    </w:p>
    <w:p w14:paraId="54E8DEA4" w14:textId="77777777" w:rsidR="0086044A" w:rsidRPr="00F563CD" w:rsidRDefault="0086044A" w:rsidP="0086044A">
      <w:pPr>
        <w:spacing w:before="60" w:after="120" w:line="240" w:lineRule="auto"/>
        <w:ind w:right="547"/>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 xml:space="preserve">Počevši od reformskih prioriteta definisanih u ključnim nacionalnim razvojnim dokumentima, Zakona o budžetu za 2020. godinu, prepreke konkurentnosti i ekonomskom rastu Crne Gore u srednjoročnom periodu identifikovane su u Poglavlju 5 </w:t>
      </w:r>
      <w:r w:rsidRPr="00F563CD">
        <w:rPr>
          <w:rFonts w:asciiTheme="minorHAnsi" w:eastAsia="Calibri" w:hAnsiTheme="minorHAnsi" w:cs="Calibri"/>
          <w:b/>
          <w:iCs/>
          <w:sz w:val="20"/>
          <w:szCs w:val="20"/>
          <w:lang w:val="sr-Latn-ME"/>
        </w:rPr>
        <w:t>Programa ekonomskih reformi</w:t>
      </w:r>
      <w:r w:rsidRPr="00F563CD">
        <w:rPr>
          <w:rFonts w:asciiTheme="minorHAnsi" w:eastAsia="Calibri" w:hAnsiTheme="minorHAnsi" w:cs="Calibri"/>
          <w:iCs/>
          <w:sz w:val="20"/>
          <w:szCs w:val="20"/>
          <w:lang w:val="sr-Latn-ME"/>
        </w:rPr>
        <w:t xml:space="preserve"> (ERP). U tom kontekstu, adekvatan niz reformskih mjera čini zasebno poglavlje Programa i osmišljen je na takav način da stvori prostor za prevazilaženje prepreka kojima se država suočava, kao i da djeluje preventivno protiv njihovog pojavljivanja i na srednji i na duži rok, istovremeno rješavajući smjernice Evropske komisije. Agenda strukturnih reformi sadrži niz od 18 specifičnih i adekvatno postavljenih prioritetnih strukturnih reformi u osam oblasti: energetici i transportu; poljoprivredi, industriji i uslugama; poslovnom okruženju i smanjenju neformalne ekonomije;</w:t>
      </w:r>
      <w:r w:rsidRPr="00F563CD">
        <w:rPr>
          <w:rFonts w:asciiTheme="minorHAnsi" w:hAnsiTheme="minorHAnsi"/>
          <w:lang w:val="sr-Latn-ME"/>
        </w:rPr>
        <w:t xml:space="preserve"> </w:t>
      </w:r>
      <w:r w:rsidRPr="00F563CD">
        <w:rPr>
          <w:rFonts w:asciiTheme="minorHAnsi" w:eastAsia="Calibri" w:hAnsiTheme="minorHAnsi" w:cs="Calibri"/>
          <w:iCs/>
          <w:sz w:val="20"/>
          <w:szCs w:val="20"/>
          <w:lang w:val="sr-Latn-ME"/>
        </w:rPr>
        <w:t>istraživanju, razvoju i inovacijama, kao i digitalnoj ekonomiji; reformama vezanim za trgovinu; obrazovanju i vještinama; zapošljavanju i tržište rada; i socijalnoj zaštitu i inkluziji.</w:t>
      </w:r>
    </w:p>
    <w:p w14:paraId="04B217B1" w14:textId="77777777" w:rsidR="0086044A" w:rsidRPr="00F563CD" w:rsidRDefault="0086044A" w:rsidP="0086044A">
      <w:pPr>
        <w:spacing w:after="0"/>
        <w:rPr>
          <w:rFonts w:asciiTheme="minorHAnsi" w:hAnsiTheme="minorHAnsi" w:cs="Arial"/>
          <w:sz w:val="20"/>
          <w:szCs w:val="20"/>
          <w:lang w:val="sr-Latn-ME"/>
        </w:rPr>
      </w:pPr>
      <w:r w:rsidRPr="00F563CD">
        <w:rPr>
          <w:rFonts w:asciiTheme="minorHAnsi" w:hAnsiTheme="minorHAnsi" w:cs="Arial"/>
          <w:sz w:val="20"/>
          <w:szCs w:val="20"/>
          <w:lang w:val="sr-Latn-ME"/>
        </w:rPr>
        <w:t>Dodatne relevantne strategije navedene su u fusnoti.</w:t>
      </w:r>
      <w:r w:rsidRPr="00F563CD">
        <w:rPr>
          <w:rFonts w:asciiTheme="minorHAnsi" w:hAnsiTheme="minorHAnsi" w:cs="Arial"/>
          <w:sz w:val="20"/>
          <w:szCs w:val="20"/>
          <w:vertAlign w:val="superscript"/>
          <w:lang w:val="sr-Latn-ME"/>
        </w:rPr>
        <w:footnoteReference w:id="12"/>
      </w:r>
    </w:p>
    <w:p w14:paraId="3F439A2C" w14:textId="77777777" w:rsidR="0086044A" w:rsidRPr="00F563CD" w:rsidRDefault="0086044A" w:rsidP="0086044A">
      <w:pPr>
        <w:keepNext/>
        <w:keepLines/>
        <w:numPr>
          <w:ilvl w:val="0"/>
          <w:numId w:val="26"/>
        </w:numPr>
        <w:spacing w:before="200" w:after="0"/>
        <w:outlineLvl w:val="1"/>
        <w:rPr>
          <w:rFonts w:asciiTheme="minorHAnsi" w:hAnsiTheme="minorHAnsi" w:cs="Arial"/>
          <w:b/>
          <w:bCs/>
          <w:smallCaps/>
          <w:sz w:val="24"/>
          <w:szCs w:val="24"/>
          <w:lang w:val="sr-Latn-ME"/>
        </w:rPr>
      </w:pPr>
      <w:bookmarkStart w:id="25" w:name="_Toc91500254"/>
      <w:r w:rsidRPr="00F563CD">
        <w:rPr>
          <w:rFonts w:asciiTheme="minorHAnsi" w:hAnsiTheme="minorHAnsi" w:cs="Arial"/>
          <w:b/>
          <w:bCs/>
          <w:smallCaps/>
          <w:sz w:val="24"/>
          <w:szCs w:val="24"/>
          <w:lang w:val="sr-Latn-ME"/>
        </w:rPr>
        <w:lastRenderedPageBreak/>
        <w:t>Sektorska analiza</w:t>
      </w:r>
      <w:bookmarkEnd w:id="25"/>
    </w:p>
    <w:p w14:paraId="1F7E5EA8" w14:textId="77777777" w:rsidR="0086044A" w:rsidRPr="00F563CD" w:rsidRDefault="0086044A" w:rsidP="0086044A">
      <w:pPr>
        <w:spacing w:before="60" w:after="60" w:line="240" w:lineRule="auto"/>
        <w:jc w:val="both"/>
        <w:rPr>
          <w:rFonts w:asciiTheme="minorHAnsi" w:hAnsiTheme="minorHAnsi"/>
          <w:sz w:val="20"/>
          <w:szCs w:val="20"/>
          <w:shd w:val="clear" w:color="auto" w:fill="FFFFFF"/>
          <w:lang w:val="sr-Latn-ME"/>
        </w:rPr>
      </w:pPr>
      <w:r w:rsidRPr="00F563CD">
        <w:rPr>
          <w:rFonts w:asciiTheme="minorHAnsi" w:hAnsiTheme="minorHAnsi"/>
          <w:sz w:val="20"/>
          <w:szCs w:val="20"/>
          <w:shd w:val="clear" w:color="auto" w:fill="FFFFFF"/>
          <w:lang w:val="sr-Latn-ME"/>
        </w:rPr>
        <w:t xml:space="preserve">Relevantni strateški okvir za oblasti PAR i PFM čine brojni programi, strategije i akcioni planovi koji su međusobno usklađeni, a razvijani su u skladu sa nacionalnom Metodologijom razvoja politike, razvoja i praćenja primjene strateških dokumenata. Postojeći složeni </w:t>
      </w:r>
      <w:r w:rsidRPr="00F563CD">
        <w:rPr>
          <w:rFonts w:asciiTheme="minorHAnsi" w:hAnsiTheme="minorHAnsi"/>
          <w:b/>
          <w:sz w:val="20"/>
          <w:szCs w:val="20"/>
          <w:shd w:val="clear" w:color="auto" w:fill="FFFFFF"/>
          <w:lang w:val="sr-Latn-ME"/>
        </w:rPr>
        <w:t>strateški i pravni okvir</w:t>
      </w:r>
      <w:r w:rsidRPr="00F563CD">
        <w:rPr>
          <w:rFonts w:asciiTheme="minorHAnsi" w:hAnsiTheme="minorHAnsi"/>
          <w:sz w:val="20"/>
          <w:szCs w:val="20"/>
          <w:shd w:val="clear" w:color="auto" w:fill="FFFFFF"/>
          <w:lang w:val="sr-Latn-ME"/>
        </w:rPr>
        <w:t xml:space="preserve"> ima nekoliko ukrštenih i srodnih pitanja, što </w:t>
      </w:r>
      <w:r w:rsidRPr="00F563CD">
        <w:rPr>
          <w:rFonts w:asciiTheme="minorHAnsi" w:hAnsiTheme="minorHAnsi"/>
          <w:b/>
          <w:sz w:val="20"/>
          <w:szCs w:val="20"/>
          <w:shd w:val="clear" w:color="auto" w:fill="FFFFFF"/>
          <w:lang w:val="sr-Latn-ME"/>
        </w:rPr>
        <w:t>koordinaciju sektora</w:t>
      </w:r>
      <w:r w:rsidRPr="00F563CD">
        <w:rPr>
          <w:rFonts w:asciiTheme="minorHAnsi" w:hAnsiTheme="minorHAnsi"/>
          <w:sz w:val="20"/>
          <w:szCs w:val="20"/>
          <w:shd w:val="clear" w:color="auto" w:fill="FFFFFF"/>
          <w:lang w:val="sr-Latn-ME"/>
        </w:rPr>
        <w:t xml:space="preserve"> čini suštinski značajnom u cilju smislenog i kvalitetnog pristupa fazama pripreme, implementacije, praćenja i izvještavanja o svim relevantnim dokumenatima. U 2020. godini okončane su najrelevantnije strategije u sektoru PAR, PFM i javne nabavke i otuda su odgovorna ministarstva stavila glavni fokus na razvoj novih strateških nacrta.  Pored toga, izbijanje epidemijE COVID-19 je uticalo  na proces razvoja strategije usporavanjem planiranih aktivnosti i početni vremenski rokovi su odloženi. Fokus na relevantne strateške nacrte je intenziviran  u drugoj polovini 2020. godine, a nadležna Radna grupa je dobila dodatnu podršku za proces razvoja strategije, koji je sada zasnovan na situacionoj analizi koja je obezbijedila osnov za donošenje politike zasnovane na činjenicama u skladu sa postojećom nacionalnom Metodologijom.</w:t>
      </w:r>
    </w:p>
    <w:p w14:paraId="4E02103F" w14:textId="77777777" w:rsidR="0086044A" w:rsidRPr="00F563CD" w:rsidRDefault="0086044A" w:rsidP="0086044A">
      <w:pPr>
        <w:spacing w:before="60" w:after="60" w:line="240" w:lineRule="auto"/>
        <w:jc w:val="both"/>
        <w:rPr>
          <w:rFonts w:asciiTheme="minorHAnsi" w:hAnsiTheme="minorHAnsi"/>
          <w:sz w:val="20"/>
          <w:szCs w:val="20"/>
          <w:shd w:val="clear" w:color="auto" w:fill="FFFFFF"/>
          <w:lang w:val="sr-Latn-ME"/>
        </w:rPr>
      </w:pPr>
      <w:r w:rsidRPr="00F563CD">
        <w:rPr>
          <w:rFonts w:asciiTheme="minorHAnsi" w:hAnsiTheme="minorHAnsi"/>
          <w:sz w:val="20"/>
          <w:szCs w:val="20"/>
          <w:shd w:val="clear" w:color="auto" w:fill="FFFFFF"/>
          <w:lang w:val="sr-Latn-ME"/>
        </w:rPr>
        <w:t xml:space="preserve">Uslijed parlamentarnih izbora 2020. godine, </w:t>
      </w:r>
      <w:r w:rsidRPr="00F563CD">
        <w:rPr>
          <w:rFonts w:asciiTheme="minorHAnsi" w:hAnsiTheme="minorHAnsi"/>
          <w:b/>
          <w:sz w:val="20"/>
          <w:szCs w:val="20"/>
          <w:shd w:val="clear" w:color="auto" w:fill="FFFFFF"/>
          <w:lang w:val="sr-Latn-ME"/>
        </w:rPr>
        <w:t>organizaciona postavka</w:t>
      </w:r>
      <w:r w:rsidRPr="00F563CD">
        <w:rPr>
          <w:rFonts w:asciiTheme="minorHAnsi" w:hAnsiTheme="minorHAnsi"/>
          <w:sz w:val="20"/>
          <w:szCs w:val="20"/>
          <w:shd w:val="clear" w:color="auto" w:fill="FFFFFF"/>
          <w:lang w:val="sr-Latn-ME"/>
        </w:rPr>
        <w:t>, struktura i odgovornosti javne uprave su doživjeli suštinske promjene. U decembru 2020. godine, osnovano je  novo Ministarstvo državne uprave, digitalnog društva i medija, uz usvajanje novog Akta o državnoj upravi</w:t>
      </w:r>
      <w:r w:rsidRPr="00F563CD">
        <w:rPr>
          <w:rFonts w:asciiTheme="minorHAnsi" w:hAnsiTheme="minorHAnsi"/>
          <w:sz w:val="20"/>
          <w:szCs w:val="20"/>
          <w:shd w:val="clear" w:color="auto" w:fill="FFFFFF"/>
          <w:vertAlign w:val="superscript"/>
          <w:lang w:val="sr-Latn-ME"/>
        </w:rPr>
        <w:footnoteReference w:id="13"/>
      </w:r>
      <w:r w:rsidRPr="00F563CD">
        <w:rPr>
          <w:rFonts w:asciiTheme="minorHAnsi" w:hAnsiTheme="minorHAnsi"/>
          <w:sz w:val="20"/>
          <w:szCs w:val="20"/>
          <w:shd w:val="clear" w:color="auto" w:fill="FFFFFF"/>
          <w:lang w:val="sr-Latn-ME"/>
        </w:rPr>
        <w:t xml:space="preserve"> a osnovano je i Ministarstvo finansija i socijalne zaštite</w:t>
      </w:r>
      <w:r w:rsidRPr="00F563CD">
        <w:rPr>
          <w:rFonts w:asciiTheme="minorHAnsi" w:hAnsiTheme="minorHAnsi"/>
          <w:sz w:val="20"/>
          <w:szCs w:val="20"/>
          <w:shd w:val="clear" w:color="auto" w:fill="FFFFFF"/>
          <w:vertAlign w:val="superscript"/>
          <w:lang w:val="sr-Latn-ME"/>
        </w:rPr>
        <w:footnoteReference w:id="14"/>
      </w:r>
      <w:r w:rsidRPr="00F563CD">
        <w:rPr>
          <w:rFonts w:asciiTheme="minorHAnsi" w:hAnsiTheme="minorHAnsi"/>
          <w:sz w:val="20"/>
          <w:szCs w:val="20"/>
          <w:shd w:val="clear" w:color="auto" w:fill="FFFFFF"/>
          <w:lang w:val="sr-Latn-ME"/>
        </w:rPr>
        <w:t>.</w:t>
      </w:r>
      <w:r w:rsidRPr="00F563CD">
        <w:rPr>
          <w:rFonts w:asciiTheme="minorHAnsi" w:hAnsiTheme="minorHAnsi"/>
          <w:lang w:val="sr-Latn-ME"/>
        </w:rPr>
        <w:t xml:space="preserve"> </w:t>
      </w:r>
      <w:r w:rsidRPr="00F563CD">
        <w:rPr>
          <w:rFonts w:asciiTheme="minorHAnsi" w:hAnsiTheme="minorHAnsi"/>
          <w:sz w:val="20"/>
          <w:szCs w:val="20"/>
          <w:shd w:val="clear" w:color="auto" w:fill="FFFFFF"/>
          <w:lang w:val="sr-Latn-ME"/>
        </w:rPr>
        <w:t>MJUDDM je vodeća institucija za reformu javne uprave, a isto tako i MFSS za reformu upravljanja javnim finansijama</w:t>
      </w:r>
    </w:p>
    <w:p w14:paraId="40362A16" w14:textId="77777777" w:rsidR="0086044A" w:rsidRPr="00F563CD" w:rsidRDefault="0086044A" w:rsidP="0086044A">
      <w:pPr>
        <w:spacing w:before="60" w:after="60" w:line="240" w:lineRule="auto"/>
        <w:jc w:val="both"/>
        <w:rPr>
          <w:rFonts w:asciiTheme="minorHAnsi" w:hAnsiTheme="minorHAnsi"/>
          <w:sz w:val="20"/>
          <w:szCs w:val="20"/>
          <w:shd w:val="clear" w:color="auto" w:fill="FFFFFF"/>
          <w:lang w:val="sr-Latn-ME"/>
        </w:rPr>
      </w:pPr>
      <w:r w:rsidRPr="00F563CD">
        <w:rPr>
          <w:rFonts w:asciiTheme="minorHAnsi" w:hAnsiTheme="minorHAnsi"/>
          <w:b/>
          <w:sz w:val="20"/>
          <w:szCs w:val="20"/>
          <w:shd w:val="clear" w:color="auto" w:fill="FFFFFF"/>
          <w:lang w:val="sr-Latn-ME"/>
        </w:rPr>
        <w:t>Strategija PAR 2022 – 2026</w:t>
      </w:r>
      <w:r w:rsidRPr="00F563CD">
        <w:rPr>
          <w:rFonts w:asciiTheme="minorHAnsi" w:hAnsiTheme="minorHAnsi"/>
          <w:sz w:val="20"/>
          <w:szCs w:val="20"/>
          <w:shd w:val="clear" w:color="auto" w:fill="FFFFFF"/>
          <w:lang w:val="sr-Latn-ME"/>
        </w:rPr>
        <w:t>. je u fazi izrade i razvija se po nacionalnoj Metodologiji. Osnovanu RG čine predstavnici MJUDDM, UZK, GSV, MFSS, Ministarstva unutrašnjih poslova, jedinica LSG, Zajednice opština, Agencije za zaštitu podataka i slobodni pristup informacijama i NGO. Organizovan je proces javnih konsultacija i za strateške i za operativne inpute, a pored toga sprovodi se i anketa o strateškim ciljevima po prioritetu, za inkluzivniji pristup. Osim otvorenog poziva za učešće NGO u izradi strategije, obavljaju se i konkretni intervjui sa odabranim poslovnim udruženjima i kompanijama.</w:t>
      </w:r>
      <w:r w:rsidRPr="00F563CD">
        <w:rPr>
          <w:rFonts w:asciiTheme="minorHAnsi" w:hAnsiTheme="minorHAnsi"/>
          <w:lang w:val="sr-Latn-ME"/>
        </w:rPr>
        <w:t xml:space="preserve"> </w:t>
      </w:r>
      <w:r w:rsidRPr="00F563CD">
        <w:rPr>
          <w:rFonts w:asciiTheme="minorHAnsi" w:hAnsiTheme="minorHAnsi"/>
          <w:sz w:val="20"/>
          <w:szCs w:val="20"/>
          <w:shd w:val="clear" w:color="auto" w:fill="FFFFFF"/>
          <w:lang w:val="sr-Latn-ME"/>
        </w:rPr>
        <w:t>Strategija se priprema kroz konsultativne i participativne procese, uključujući širok spektar zainteresovanih strana (sastanci RG-a, organizovane fokus grupe i intervjue, uključenost SIGMA-e, koordinacija sa GSV-ovom jedinicom za stratešku koordinaciju) i u završnoj fazi će ići na javnu debatu prije usvajanja. Definisani su mehanizmi praćenja i izveštavanja i biće operacionalizovani kroz prateći Akcioni plan 2022 – 2024. U okviru situacione analize podjeljene po identifikovanim strateškim prioritetima (uključujući razvijenu SWOT i analizu zainteresovanih strana), prepoznati su izazovi u oblastima organizacione strukture, upravljanja ljudskim resursima, pružanja usluga, transparentnosti javnih institucija i procesa koordinacije politika. Preostali definisani izazovi u Strategiji PAR 2022. – 2026. objedinjavaju i dalje relevantne ciljeve iz prethodnog četvorogodišnjeg strateškog ciklusa, izazove identifikovane u spoljnim evaluacijama (izvještaj EU o napretku, ocjenjivanje PAR Strategije i programa PAR SBS, SIGMA papiri) i analizu zasnovanu na činjenicama o trenutnoj situaciji u relevantnim sektorima.</w:t>
      </w:r>
    </w:p>
    <w:p w14:paraId="78F968BA" w14:textId="77777777" w:rsidR="0086044A" w:rsidRPr="00F563CD" w:rsidRDefault="0086044A" w:rsidP="0086044A">
      <w:pPr>
        <w:spacing w:before="60" w:after="60" w:line="240" w:lineRule="auto"/>
        <w:jc w:val="both"/>
        <w:rPr>
          <w:rFonts w:asciiTheme="minorHAnsi" w:hAnsiTheme="minorHAnsi"/>
          <w:sz w:val="20"/>
          <w:szCs w:val="20"/>
          <w:shd w:val="clear" w:color="auto" w:fill="FFFFFF"/>
          <w:lang w:val="sr-Latn-ME"/>
        </w:rPr>
      </w:pPr>
      <w:r w:rsidRPr="00F563CD">
        <w:rPr>
          <w:rFonts w:asciiTheme="minorHAnsi" w:hAnsiTheme="minorHAnsi"/>
          <w:sz w:val="20"/>
          <w:szCs w:val="20"/>
          <w:shd w:val="clear" w:color="auto" w:fill="FFFFFF"/>
          <w:lang w:val="sr-Latn-ME"/>
        </w:rPr>
        <w:t>Sistem javne uprave, kako na centralnom, tako i na lokalnom nivou, se bavi potrebama građana i poslovne zajednice i funkcioniše na osnovu organizacione postavke, unutrašnjih i spoljnih procesa, uloga, odnosa, politika i programa/akcija. Javne institucije na svim nivoima igraju fundamentalnu ulogu u postavljanju pravih podsticaja, utiču na socijalno povjerenje i stvaranju prosperiteta zajednice na duge staze. Prepoznate slabosti u funkcionisanju javnih institucija mogu stvoriti znatne poteškoće za funkcionisanje cijelog društva. Trenutna fragmentacija javne uprave, loše planirane politike i nedostatak efikasnog , pravednog donošenja odluka zasnovanih na činjenicama utiču na život građana i poslovnu zajednicu, kao i na stvaranje zdravog i konkurentnog tržišta, investicija na državnom i lokalnom nivou i poželjnih inovacija.</w:t>
      </w:r>
      <w:r w:rsidRPr="00F563CD">
        <w:rPr>
          <w:rFonts w:asciiTheme="minorHAnsi" w:hAnsiTheme="minorHAnsi"/>
          <w:lang w:val="sr-Latn-ME"/>
        </w:rPr>
        <w:t xml:space="preserve"> </w:t>
      </w:r>
      <w:r w:rsidRPr="00F563CD">
        <w:rPr>
          <w:rFonts w:asciiTheme="minorHAnsi" w:hAnsiTheme="minorHAnsi"/>
          <w:sz w:val="20"/>
          <w:szCs w:val="20"/>
          <w:shd w:val="clear" w:color="auto" w:fill="FFFFFF"/>
          <w:lang w:val="sr-Latn-ME"/>
        </w:rPr>
        <w:t>I poslovna zajednica i građani osjećaju efekte neadekvatne koordinacije i lošeg planiranja. Trenutna brzina socijalnih, tehnoloških i ekonomskih promjena zahtjeva da se sve javne administracije prilagode novim realnostima, fokusirajući se više na IT razvoj u svim oblastima. Poteškoće sa kojima se susreću u ukupnom sistemu finansiranja, sredstava i rashoda, nedostatak transparentnih zaduženja i rezultata javnih institucija, a posebno rad državnih službenika, neefikasno pružanje usluga (ograničena dostupnost dobrog kvaliteta e-usluga), odsustvo centralnog sistema praćenja kvaliteta usluga koje pružaju javne institucije rezultiraju niskim povjerenjem građana u rad Vlade i njenu netransparentnu budžetsku potrošnju. Štaviše, nedostatak javno dostupnih informacija na internet stranicama institucija javne uprave i demotivisanost državnih službenika za proaktivno objavljivanje informacija utiče na povećan broj pritužbi u vezi  slobodnog pristupa informacijama. Još jedan izazov identifikovan u javnoj administraciji u gotovo svim institucijama je ograničena dostupnost podataka o ljudskim resurima,  neadekvatne opcije za profesionalni razvoj, što rezultira malim brojem kandidata koji konkurišu za pozicije u javnom sektoru. Nadalje, identifikovan je nedostatak transparentne i proaktivne uloge Savjeta PAR i nedostajuće veze između rada operativnog tima i rada Savjeta PAR, što je rezultiralo identifikovanim osporavanjem izvještavanja o implementaciji strateških rezultata. Svi ovdje definisani još otvoreni izazovi i prateća zabrinutost biće u fokusu predložene Akcije.</w:t>
      </w:r>
    </w:p>
    <w:p w14:paraId="1333A680" w14:textId="77777777" w:rsidR="0086044A" w:rsidRPr="00F563CD" w:rsidRDefault="0086044A" w:rsidP="0086044A">
      <w:pPr>
        <w:spacing w:before="60" w:after="60" w:line="240" w:lineRule="auto"/>
        <w:jc w:val="both"/>
        <w:rPr>
          <w:rFonts w:asciiTheme="minorHAnsi" w:eastAsia="Calibri" w:hAnsiTheme="minorHAnsi" w:cs="Calibri"/>
          <w:iCs/>
          <w:sz w:val="20"/>
          <w:szCs w:val="20"/>
          <w:highlight w:val="yellow"/>
          <w:lang w:val="sr-Latn-ME"/>
        </w:rPr>
      </w:pPr>
      <w:r w:rsidRPr="00F563CD">
        <w:rPr>
          <w:rFonts w:asciiTheme="minorHAnsi" w:eastAsia="Calibri" w:hAnsiTheme="minorHAnsi" w:cs="Calibri"/>
          <w:iCs/>
          <w:sz w:val="20"/>
          <w:szCs w:val="20"/>
          <w:lang w:val="sr-Latn-ME"/>
        </w:rPr>
        <w:t xml:space="preserve">Budžet MJUDDM dio je Zakona o budžetu Crne Gore koji godišnje usvaja Skupština i utvrđuje iznos sredstava za PAR. U Ministarstvu državne uprave, digitalnog društva i medija se primjenjuje Programski budžet koji se sastoji od glavnog programa i 4 potprograma. Javno finansiranje reforme javne administracije sprovodi se u potpunosti sa centralnog nivoa. Razvijeni mehanizmi za finansijsko izveštavanje i reviziju su relativno dobri, ali periodični finansijski izvještaji tek treba da se </w:t>
      </w:r>
      <w:r w:rsidRPr="00F563CD">
        <w:rPr>
          <w:rFonts w:asciiTheme="minorHAnsi" w:eastAsia="Calibri" w:hAnsiTheme="minorHAnsi" w:cs="Calibri"/>
          <w:iCs/>
          <w:sz w:val="20"/>
          <w:szCs w:val="20"/>
          <w:lang w:val="sr-Latn-ME"/>
        </w:rPr>
        <w:lastRenderedPageBreak/>
        <w:t>poboljšaju. Izdvajanje za PAR iz BDP-a iznosi oko 0,07 odsto za 2020. godinu, što predstavlja povećanje u poređenju sa 2019. godinom (0,04 odsto). Predviđeni resursi za PAR su 30,56 odsto ukupnih sredstava ministarstava.</w:t>
      </w:r>
    </w:p>
    <w:p w14:paraId="3F874AF3" w14:textId="77777777" w:rsidR="0086044A" w:rsidRPr="00F563CD" w:rsidRDefault="0086044A" w:rsidP="0086044A">
      <w:pPr>
        <w:spacing w:before="60" w:after="60" w:line="240" w:lineRule="auto"/>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 xml:space="preserve">Na nivou Vlade je uspostavljeno nekoliko mehanizama za </w:t>
      </w:r>
      <w:r w:rsidRPr="00F563CD">
        <w:rPr>
          <w:rFonts w:asciiTheme="minorHAnsi" w:eastAsia="Calibri" w:hAnsiTheme="minorHAnsi" w:cs="Calibri"/>
          <w:b/>
          <w:iCs/>
          <w:sz w:val="20"/>
          <w:szCs w:val="20"/>
          <w:lang w:val="sr-Latn-ME"/>
        </w:rPr>
        <w:t>sveukupnu koordinaciju</w:t>
      </w:r>
      <w:r w:rsidRPr="00F563CD">
        <w:rPr>
          <w:rFonts w:asciiTheme="minorHAnsi" w:eastAsia="Calibri" w:hAnsiTheme="minorHAnsi" w:cs="Calibri"/>
          <w:iCs/>
          <w:sz w:val="20"/>
          <w:szCs w:val="20"/>
          <w:lang w:val="sr-Latn-ME"/>
        </w:rPr>
        <w:t xml:space="preserve"> reforme javne uprave, od kojih je ključni savjet PAR (Premijer je predsednik Savjeta, a članovi su iz MJUDDM, MFSS, Glavni pregovarač, UZK, ZO i NGO). Svrha ovog tijela na visokom nivou je da razradi sve relevantne pravne i strateške dokumente. Formira se operativna grupa na nivou Ministarstva – osnovan je centralni tim za sprovođenje Strategije PAR sa ključnim kontaktnim tačkama iz svih relevantnih institucija. Slijedeći novu organizacionu strukturu, osniva se Direkcija za strateško planiranje u javnoj administraciji, međunarodnu saradnju i IPA projekte čiji je fokus na koordinaciji razvoja politike, strateškom planiranju i praćenju primjene usvojenih strategija. Uspostavljena koordinacija na dva nivoa (strateški i operativni nivoi) potpomaže da koordinacija reformskog procesa bude unifikovana, inteligentna i integrisana. Dodatno, u svakoj prilici se formiraju radne grupe za izradu relevantnih pravnih i strateških dokumenata i one obuhvataju široke konsultacije kako na strateškom, tako i na operativnom nivou, uključujući relevantne aktere iz različitih državnih institucija, javnih institucija na lokalnom nivou, relevantnih udruženja/sindikata, poslovnih zajednica, kao i socijalnih partnera i NGO.  </w:t>
      </w:r>
    </w:p>
    <w:p w14:paraId="44532CEF" w14:textId="77777777" w:rsidR="0086044A" w:rsidRPr="00F563CD" w:rsidRDefault="0086044A" w:rsidP="0086044A">
      <w:pPr>
        <w:spacing w:before="60" w:after="60" w:line="240" w:lineRule="auto"/>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 xml:space="preserve">U sektoru PAR, Jedinica Direkcije za strateško planiranje u javnoj upravi i praćenje primjene strateških dokumenata koja je osnovana u okviru nove strukture MPADSM-a je odgovorna, između ostalog, </w:t>
      </w:r>
      <w:r w:rsidRPr="00F563CD">
        <w:rPr>
          <w:rFonts w:asciiTheme="minorHAnsi" w:eastAsia="Calibri" w:hAnsiTheme="minorHAnsi" w:cs="Calibri"/>
          <w:b/>
          <w:iCs/>
          <w:sz w:val="20"/>
          <w:szCs w:val="20"/>
          <w:lang w:val="sr-Latn-ME"/>
        </w:rPr>
        <w:t>za praćenje i izvještavanje o primjeni STRATEGIJE PAR</w:t>
      </w:r>
      <w:r w:rsidRPr="00F563CD">
        <w:rPr>
          <w:rFonts w:asciiTheme="minorHAnsi" w:eastAsia="Calibri" w:hAnsiTheme="minorHAnsi" w:cs="Calibri"/>
          <w:iCs/>
          <w:sz w:val="20"/>
          <w:szCs w:val="20"/>
          <w:lang w:val="sr-Latn-ME"/>
        </w:rPr>
        <w:t xml:space="preserve">. Dobro definisani </w:t>
      </w:r>
      <w:r w:rsidRPr="00F563CD">
        <w:rPr>
          <w:rFonts w:asciiTheme="minorHAnsi" w:eastAsia="Calibri" w:hAnsiTheme="minorHAnsi" w:cs="Calibri"/>
          <w:b/>
          <w:iCs/>
          <w:sz w:val="20"/>
          <w:szCs w:val="20"/>
          <w:lang w:val="sr-Latn-ME"/>
        </w:rPr>
        <w:t>mehanizmi</w:t>
      </w:r>
      <w:r w:rsidRPr="00F563CD">
        <w:rPr>
          <w:rFonts w:asciiTheme="minorHAnsi" w:eastAsia="Calibri" w:hAnsiTheme="minorHAnsi" w:cs="Calibri"/>
          <w:iCs/>
          <w:sz w:val="20"/>
          <w:szCs w:val="20"/>
          <w:lang w:val="sr-Latn-ME"/>
        </w:rPr>
        <w:t xml:space="preserve"> se koriste za prikupljanje podataka, agregaciju pouzdanih informacionih baza podataka, provjeru nivoa implementacije cilja kroz razvijeni informacioni sistem za planiranje Politika, praćenje i izvještavanje koje još uvjek treba dodatno nadograditi. IT sistem je usklađen i konzistentan sa prikupljanjem podataka za izvještavanju o strategiji PAR. Stalni napori su ulagani u ovom domenu i isti će dodatno napredovati i na nacionalnom i na sektorskom nivou, u smislu izrade, prikupljanja i ponovnog korišćenja podataka.</w:t>
      </w:r>
    </w:p>
    <w:p w14:paraId="45EFB2CD" w14:textId="77777777" w:rsidR="0086044A" w:rsidRPr="00F563CD" w:rsidRDefault="0086044A" w:rsidP="0086044A">
      <w:pPr>
        <w:spacing w:before="60" w:after="60" w:line="240" w:lineRule="auto"/>
        <w:jc w:val="both"/>
        <w:rPr>
          <w:rFonts w:asciiTheme="minorHAnsi" w:eastAsia="Calibri" w:hAnsiTheme="minorHAnsi" w:cs="Calibri"/>
          <w:iCs/>
          <w:sz w:val="20"/>
          <w:szCs w:val="20"/>
          <w:lang w:val="sr-Latn-ME"/>
        </w:rPr>
      </w:pPr>
      <w:r w:rsidRPr="00F563CD">
        <w:rPr>
          <w:rFonts w:asciiTheme="minorHAnsi" w:eastAsia="Calibri" w:hAnsiTheme="minorHAnsi" w:cs="Calibri"/>
          <w:b/>
          <w:iCs/>
          <w:sz w:val="20"/>
          <w:szCs w:val="20"/>
          <w:lang w:val="sr-Latn-ME"/>
        </w:rPr>
        <w:t>Program reforme upravljanja javnim finansijama 2022 – 2026.</w:t>
      </w:r>
      <w:r w:rsidRPr="00F563CD">
        <w:rPr>
          <w:rFonts w:asciiTheme="minorHAnsi" w:eastAsia="Calibri" w:hAnsiTheme="minorHAnsi" w:cs="Calibri"/>
          <w:iCs/>
          <w:sz w:val="20"/>
          <w:szCs w:val="20"/>
          <w:lang w:val="sr-Latn-ME"/>
        </w:rPr>
        <w:t xml:space="preserve"> (u fazi pripreme) će služiti kao krovni dokument za PFM sektor i dodatno olakšati koordinaciju reformskih napora različitih zainteresovanih strana. Od 2017. godine, PFM reformski proces na operativnom nivou ima koordinacionu strukturu koju sačinjava </w:t>
      </w:r>
      <w:r w:rsidRPr="00F563CD">
        <w:rPr>
          <w:rFonts w:asciiTheme="minorHAnsi" w:eastAsia="Calibri" w:hAnsiTheme="minorHAnsi" w:cs="Calibri"/>
          <w:b/>
          <w:iCs/>
          <w:sz w:val="20"/>
          <w:szCs w:val="20"/>
          <w:lang w:val="sr-Latn-ME"/>
        </w:rPr>
        <w:t>Koordinaciona radna grupa</w:t>
      </w:r>
      <w:r w:rsidRPr="00F563CD">
        <w:rPr>
          <w:rFonts w:asciiTheme="minorHAnsi" w:eastAsia="Calibri" w:hAnsiTheme="minorHAnsi" w:cs="Calibri"/>
          <w:iCs/>
          <w:sz w:val="20"/>
          <w:szCs w:val="20"/>
          <w:lang w:val="sr-Latn-ME"/>
        </w:rPr>
        <w:t xml:space="preserve"> (uz učešće donosilaca odluka, kao i </w:t>
      </w:r>
      <w:r w:rsidRPr="00F563CD">
        <w:rPr>
          <w:rFonts w:asciiTheme="minorHAnsi" w:eastAsia="Calibri" w:hAnsiTheme="minorHAnsi" w:cs="Calibri"/>
          <w:b/>
          <w:iCs/>
          <w:sz w:val="20"/>
          <w:szCs w:val="20"/>
          <w:lang w:val="sr-Latn-ME"/>
        </w:rPr>
        <w:t xml:space="preserve">Operativnog tima </w:t>
      </w:r>
      <w:r w:rsidRPr="00F563CD">
        <w:rPr>
          <w:rFonts w:asciiTheme="minorHAnsi" w:eastAsia="Calibri" w:hAnsiTheme="minorHAnsi" w:cs="Calibri"/>
          <w:iCs/>
          <w:sz w:val="20"/>
          <w:szCs w:val="20"/>
          <w:lang w:val="sr-Latn-ME"/>
        </w:rPr>
        <w:t>(OT) na administrativnom nivou).  U svrhu razvoja PFM programa je osnovana RG koju čine GSV, DRI, Uprava za reviziju, Agencija za zaštitu konkurencije, Uprava prihoda i carina , Katastar i Uprava za imovinu, MONSTAT-a, Parlament Crne Gore, MJUDDM, Kancelarija nipaka, kao i učesnici iz NGO- a</w:t>
      </w:r>
      <w:r w:rsidRPr="00F563CD">
        <w:rPr>
          <w:rFonts w:asciiTheme="minorHAnsi" w:eastAsia="Calibri" w:hAnsiTheme="minorHAnsi" w:cs="Calibri"/>
          <w:iCs/>
          <w:sz w:val="20"/>
          <w:szCs w:val="20"/>
          <w:vertAlign w:val="superscript"/>
          <w:lang w:val="sr-Latn-ME"/>
        </w:rPr>
        <w:footnoteReference w:id="15"/>
      </w:r>
      <w:r w:rsidRPr="00F563CD">
        <w:rPr>
          <w:rFonts w:asciiTheme="minorHAnsi" w:eastAsia="Calibri" w:hAnsiTheme="minorHAnsi" w:cs="Calibri"/>
          <w:iCs/>
          <w:sz w:val="20"/>
          <w:szCs w:val="20"/>
          <w:lang w:val="sr-Latn-ME"/>
        </w:rPr>
        <w:t xml:space="preserve">. </w:t>
      </w:r>
      <w:r w:rsidRPr="00F563CD">
        <w:rPr>
          <w:rFonts w:asciiTheme="minorHAnsi" w:eastAsia="Calibri" w:hAnsiTheme="minorHAnsi" w:cs="Calibri"/>
          <w:b/>
          <w:iCs/>
          <w:sz w:val="20"/>
          <w:szCs w:val="20"/>
          <w:lang w:val="sr-Latn-ME"/>
        </w:rPr>
        <w:t>Širok proces konsultacija</w:t>
      </w:r>
      <w:r w:rsidRPr="00F563CD">
        <w:rPr>
          <w:rFonts w:asciiTheme="minorHAnsi" w:eastAsia="Calibri" w:hAnsiTheme="minorHAnsi" w:cs="Calibri"/>
          <w:iCs/>
          <w:sz w:val="20"/>
          <w:szCs w:val="20"/>
          <w:lang w:val="sr-Latn-ME"/>
        </w:rPr>
        <w:t xml:space="preserve"> svih zainteresovanih strana se sastojao od organizovanih intervjua i fokusa grupa, te uključivanje zapažanja od strane NGO- a. Pored toga, u fazi izrade Programa su konsultovana poslovna udruženja. Pripremljen kroz konsultativne i participativne procese. u svojoj finalnoj fazi Program će ići na javnu debatu prije nego što bude usvojen od strane Vlade. Razvijena </w:t>
      </w:r>
      <w:r w:rsidRPr="00F563CD">
        <w:rPr>
          <w:rFonts w:asciiTheme="minorHAnsi" w:eastAsia="Calibri" w:hAnsiTheme="minorHAnsi" w:cs="Calibri"/>
          <w:b/>
          <w:iCs/>
          <w:sz w:val="20"/>
          <w:szCs w:val="20"/>
          <w:lang w:val="sr-Latn-ME"/>
        </w:rPr>
        <w:t>struktura praćenja i izvještavanja</w:t>
      </w:r>
      <w:r w:rsidRPr="00F563CD">
        <w:rPr>
          <w:rFonts w:asciiTheme="minorHAnsi" w:eastAsia="Calibri" w:hAnsiTheme="minorHAnsi" w:cs="Calibri"/>
          <w:iCs/>
          <w:sz w:val="20"/>
          <w:szCs w:val="20"/>
          <w:lang w:val="sr-Latn-ME"/>
        </w:rPr>
        <w:t xml:space="preserve"> je usklađena sa Strategijom PAR i biće operacionalizovana kroz prateći Akcioni plan 2022-2024. Situacionom  analizom, razvijenom u skladu sa nacionalnom Metodologijom, identifikovani su </w:t>
      </w:r>
      <w:r w:rsidRPr="00F563CD">
        <w:rPr>
          <w:rFonts w:asciiTheme="minorHAnsi" w:eastAsia="Calibri" w:hAnsiTheme="minorHAnsi" w:cs="Calibri"/>
          <w:b/>
          <w:iCs/>
          <w:sz w:val="20"/>
          <w:szCs w:val="20"/>
          <w:lang w:val="sr-Latn-ME"/>
        </w:rPr>
        <w:t>izazovi</w:t>
      </w:r>
      <w:r w:rsidRPr="00F563CD">
        <w:rPr>
          <w:rFonts w:asciiTheme="minorHAnsi" w:eastAsia="Calibri" w:hAnsiTheme="minorHAnsi" w:cs="Calibri"/>
          <w:iCs/>
          <w:sz w:val="20"/>
          <w:szCs w:val="20"/>
          <w:lang w:val="sr-Latn-ME"/>
        </w:rPr>
        <w:t xml:space="preserve"> u oblasti održivog fiskalnog okvira, planiranja, izvršenja i budžetiranja javnih rashoda; upravljanje državnom imovinom i imovinskim katastrom; model makroekonomskih projekcija i statističke analize; PP politika i upravljanje javnim investicijama; transparentnost budžeta, fiskalno izvještavanje i računovodstvo; sistem javne unutrašnje finansijske kontrole, eksterne revizije i zaštite finansijskog interesa EU. Identifikovani još otvoreni izazovi u okviru PFM programa 2022 -2026 se zasnivaju  na lekcijama naučenim iz prethodnog Programa, PFM evaluacijom, procjenom PEFA, spoljnim izvještajima (Izvještaj EU o napretku, SIGMA itd.) i analize zasnovane na činjenicama o trenutnoj situaciji u svim uključenim sektorima. Posebno, u sljedećoj fazi razvoja Programa u fokusu WG će biti bolja definisanost mjerljivih pokazatelja, kao i bolja povezanost sa strateškim aktivnostima tako da se njihova realizacija ogleda u postizanju očekivanih rezultata. Takođe će biti riješeno usporavanje zbog COVID krize, bolje usklađivanje formata praćenja i izvještavanja od zainteresovanih strana.</w:t>
      </w:r>
    </w:p>
    <w:p w14:paraId="17AB447B" w14:textId="77777777" w:rsidR="0086044A" w:rsidRPr="00F563CD" w:rsidRDefault="0086044A" w:rsidP="0086044A">
      <w:pPr>
        <w:spacing w:before="60" w:after="60" w:line="240" w:lineRule="auto"/>
        <w:jc w:val="both"/>
        <w:rPr>
          <w:rFonts w:asciiTheme="minorHAnsi" w:eastAsia="Calibri" w:hAnsiTheme="minorHAnsi" w:cs="Calibri"/>
          <w:iCs/>
          <w:sz w:val="20"/>
          <w:szCs w:val="20"/>
          <w:lang w:val="sr-Latn-ME"/>
        </w:rPr>
      </w:pPr>
      <w:r w:rsidRPr="00F563CD">
        <w:rPr>
          <w:rFonts w:asciiTheme="minorHAnsi" w:hAnsiTheme="minorHAnsi" w:cs="Calibri"/>
          <w:bCs/>
          <w:sz w:val="20"/>
          <w:szCs w:val="20"/>
          <w:lang w:val="sr-Latn-ME"/>
        </w:rPr>
        <w:t xml:space="preserve">Budžetska direkcija MJUDDM, koja je zamijenila Direkciju za finansijski sistem i unaprijeđenje poslovnog okruženja, je zadužena za </w:t>
      </w:r>
      <w:r w:rsidRPr="00F563CD">
        <w:rPr>
          <w:rFonts w:asciiTheme="minorHAnsi" w:hAnsiTheme="minorHAnsi" w:cs="Calibri"/>
          <w:b/>
          <w:bCs/>
          <w:sz w:val="20"/>
          <w:szCs w:val="20"/>
          <w:lang w:val="sr-Latn-ME"/>
        </w:rPr>
        <w:t>praćenje</w:t>
      </w:r>
      <w:r w:rsidRPr="00F563CD">
        <w:rPr>
          <w:rFonts w:asciiTheme="minorHAnsi" w:hAnsiTheme="minorHAnsi" w:cs="Calibri"/>
          <w:bCs/>
          <w:sz w:val="20"/>
          <w:szCs w:val="20"/>
          <w:lang w:val="sr-Latn-ME"/>
        </w:rPr>
        <w:t xml:space="preserve"> Programa reformi PFM (od 2019. godine). Mehanizam nadgledanja je usklađen sa strukturom PAR. Godišnji izveštaji o napretku PFM se podnose se Vladi na usvajanje, kao i EU za razmatranje.</w:t>
      </w:r>
    </w:p>
    <w:p w14:paraId="206EECA4" w14:textId="77777777" w:rsidR="0086044A" w:rsidRPr="00F563CD" w:rsidRDefault="0086044A" w:rsidP="0086044A">
      <w:pPr>
        <w:spacing w:before="60" w:after="60" w:line="240" w:lineRule="auto"/>
        <w:jc w:val="both"/>
        <w:rPr>
          <w:rFonts w:asciiTheme="minorHAnsi" w:hAnsiTheme="minorHAnsi" w:cs="Calibri"/>
          <w:sz w:val="20"/>
          <w:szCs w:val="20"/>
          <w:lang w:val="sr-Latn-ME"/>
        </w:rPr>
      </w:pPr>
      <w:r w:rsidRPr="00F563CD">
        <w:rPr>
          <w:rFonts w:asciiTheme="minorHAnsi" w:hAnsiTheme="minorHAnsi" w:cs="Calibri"/>
          <w:b/>
          <w:sz w:val="20"/>
          <w:szCs w:val="20"/>
          <w:lang w:val="sr-Latn-ME"/>
        </w:rPr>
        <w:t xml:space="preserve">Dijalog o politici PFM </w:t>
      </w:r>
      <w:r w:rsidRPr="00F563CD">
        <w:rPr>
          <w:rFonts w:asciiTheme="minorHAnsi" w:hAnsiTheme="minorHAnsi" w:cs="Calibri"/>
          <w:sz w:val="20"/>
          <w:szCs w:val="20"/>
          <w:lang w:val="sr-Latn-ME"/>
        </w:rPr>
        <w:t xml:space="preserve">je organizovan na tri nivoa: političkom, strateškom i tehničkom nivou. Politički dijalog na visokom nivou se takođe odvija u Specijalnoj grupi PAR, uz učešće relevantnih ministarstava i drugih državnih institucija, DEU i DG NEAR. Sastanci strateškog dijaloga se organizuju na ad hoc osnovi, za diskusiju o određenim aspektima reforme PFM. Počevši od 2018. godine, Dijalog o politici PFM i njegov posledični radni sastanak se održava dva puta godišnje i uključuje predstavnike GoM, EU, međunarodnih finansijskih institucija i NGO-a. </w:t>
      </w:r>
    </w:p>
    <w:p w14:paraId="5A790DC4" w14:textId="77777777" w:rsidR="0086044A" w:rsidRPr="00F563CD" w:rsidRDefault="0086044A" w:rsidP="0086044A">
      <w:pPr>
        <w:spacing w:before="60" w:after="60" w:line="240" w:lineRule="auto"/>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 xml:space="preserve">U pripremi </w:t>
      </w:r>
      <w:r w:rsidRPr="00F563CD">
        <w:rPr>
          <w:rFonts w:asciiTheme="minorHAnsi" w:eastAsia="Calibri" w:hAnsiTheme="minorHAnsi" w:cs="Calibri"/>
          <w:b/>
          <w:iCs/>
          <w:sz w:val="20"/>
          <w:szCs w:val="20"/>
          <w:lang w:val="sr-Latn-ME"/>
        </w:rPr>
        <w:t>Strategije razvoja zvanične statistike 2019-2023</w:t>
      </w:r>
      <w:r w:rsidRPr="00F563CD">
        <w:rPr>
          <w:rFonts w:asciiTheme="minorHAnsi" w:eastAsia="Calibri" w:hAnsiTheme="minorHAnsi" w:cs="Calibri"/>
          <w:iCs/>
          <w:sz w:val="20"/>
          <w:szCs w:val="20"/>
          <w:lang w:val="sr-Latn-ME"/>
        </w:rPr>
        <w:t xml:space="preserve"> Zavod za statistiku Crne Gore (MONSTAT) je slijedio nacionalnu Metodologiju za izradu strateških dokumenata, a razvio je  pravce i ciljeve zvanične statistike u zemlji. Budući da je glavni nosilac i diseminator statističkih podataka, kao i koordinator zvaničnog sistema statistike, MONSTAT je vodeća institucija za </w:t>
      </w:r>
      <w:r w:rsidRPr="00F563CD">
        <w:rPr>
          <w:rFonts w:asciiTheme="minorHAnsi" w:eastAsia="Calibri" w:hAnsiTheme="minorHAnsi" w:cs="Calibri"/>
          <w:b/>
          <w:iCs/>
          <w:sz w:val="20"/>
          <w:szCs w:val="20"/>
          <w:lang w:val="sr-Latn-ME"/>
        </w:rPr>
        <w:t>proces pripreme</w:t>
      </w:r>
      <w:r w:rsidRPr="00F563CD">
        <w:rPr>
          <w:rFonts w:asciiTheme="minorHAnsi" w:eastAsia="Calibri" w:hAnsiTheme="minorHAnsi" w:cs="Calibri"/>
          <w:iCs/>
          <w:sz w:val="20"/>
          <w:szCs w:val="20"/>
          <w:lang w:val="sr-Latn-ME"/>
        </w:rPr>
        <w:t xml:space="preserve"> i implementacije Strategije, u saradnji sa drugim proizvođačima zvanične statistike</w:t>
      </w:r>
      <w:r w:rsidRPr="00F563CD">
        <w:rPr>
          <w:rFonts w:asciiTheme="minorHAnsi" w:eastAsia="Calibri" w:hAnsiTheme="minorHAnsi" w:cs="Calibri"/>
          <w:iCs/>
          <w:sz w:val="20"/>
          <w:szCs w:val="20"/>
          <w:vertAlign w:val="superscript"/>
          <w:lang w:val="sr-Latn-ME"/>
        </w:rPr>
        <w:footnoteReference w:id="16"/>
      </w:r>
      <w:r w:rsidRPr="00F563CD">
        <w:rPr>
          <w:rFonts w:asciiTheme="minorHAnsi" w:eastAsia="Calibri" w:hAnsiTheme="minorHAnsi" w:cs="Calibri"/>
          <w:iCs/>
          <w:sz w:val="20"/>
          <w:szCs w:val="20"/>
          <w:lang w:val="sr-Latn-ME"/>
        </w:rPr>
        <w:t xml:space="preserve"> . Strategija usmjerava rad zvaničnog statističkog sistema na ostvarivanje najvažnijih operativnih ciljeva u pomenutom vremenskom periodu, ali istovremeno služi da se proizvođači zvanične statistike predstave korisnicima i javnosti. Strategija </w:t>
      </w:r>
      <w:r w:rsidRPr="00F563CD">
        <w:rPr>
          <w:rFonts w:asciiTheme="minorHAnsi" w:eastAsia="Calibri" w:hAnsiTheme="minorHAnsi" w:cs="Calibri"/>
          <w:iCs/>
          <w:sz w:val="20"/>
          <w:szCs w:val="20"/>
          <w:lang w:val="sr-Latn-ME"/>
        </w:rPr>
        <w:lastRenderedPageBreak/>
        <w:t xml:space="preserve">je identifikovala sedam operativnih ciljeva sa pratećim indikatorima i aktivnostima koje vode ka ostvarenju definisanog cilja. U okviru Strategije prepoznati su relevantni </w:t>
      </w:r>
      <w:r w:rsidRPr="00F563CD">
        <w:rPr>
          <w:rFonts w:asciiTheme="minorHAnsi" w:eastAsia="Calibri" w:hAnsiTheme="minorHAnsi" w:cs="Calibri"/>
          <w:b/>
          <w:iCs/>
          <w:sz w:val="20"/>
          <w:szCs w:val="20"/>
          <w:lang w:val="sr-Latn-ME"/>
        </w:rPr>
        <w:t xml:space="preserve">izazovi </w:t>
      </w:r>
      <w:r w:rsidRPr="00F563CD">
        <w:rPr>
          <w:rFonts w:asciiTheme="minorHAnsi" w:eastAsia="Calibri" w:hAnsiTheme="minorHAnsi" w:cs="Calibri"/>
          <w:iCs/>
          <w:sz w:val="20"/>
          <w:szCs w:val="20"/>
          <w:lang w:val="sr-Latn-ME"/>
        </w:rPr>
        <w:t>– nedostatak ljudskih i finansijskih resursa Zavoda za statistiku (u vezi sa zahtjevima Nacionalne strategije održivog razvoja do 2030.), dalje usklađivanje sa standardima ESA 2010, uključujući statistiku javnih finansija i nedostatak poslovnog prostora (rizici neadekvatnog poslovnog prostora koji utiču na proces dalje statističke proizvodnje). Zbog nedostatka ljudskih, finansijskih i prostornih kapaciteta, rizik od neispunjavanja obaveza povećan je kako u Poglavlju 18 – Statistici, tako i u Poglavlju 17- Ekonomska i monetarna politika, kao i u drugim poglavljima za koja su neophodni zvanični podaci statistike. U okviru svoje dvostruke uloge, MONSTAT je posvećen pružanju zvanične statistike relevantne za vođenje i nadgledanje nacionalne politike, kao i politike definisane na nivou EU.</w:t>
      </w:r>
    </w:p>
    <w:p w14:paraId="71120F43" w14:textId="77777777" w:rsidR="0086044A" w:rsidRPr="00F563CD" w:rsidRDefault="0086044A" w:rsidP="0086044A">
      <w:pPr>
        <w:spacing w:before="60" w:after="60" w:line="240" w:lineRule="auto"/>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Od 2008. godine postoji tekuća podrška od strane IPA višekorisničkih projekata, a od 2015. se realizuje u vidu ugovora o bespovratnim sredstvima.</w:t>
      </w:r>
    </w:p>
    <w:p w14:paraId="5CE06F3B" w14:textId="77777777" w:rsidR="0086044A" w:rsidRPr="00F563CD" w:rsidRDefault="0086044A" w:rsidP="0086044A">
      <w:pPr>
        <w:spacing w:before="60" w:after="60" w:line="240" w:lineRule="auto"/>
        <w:jc w:val="both"/>
        <w:rPr>
          <w:rFonts w:asciiTheme="minorHAnsi" w:hAnsiTheme="minorHAnsi"/>
          <w:sz w:val="20"/>
          <w:szCs w:val="20"/>
          <w:lang w:val="sr-Latn-ME"/>
        </w:rPr>
      </w:pPr>
      <w:r w:rsidRPr="00F563CD">
        <w:rPr>
          <w:rFonts w:asciiTheme="minorHAnsi" w:hAnsiTheme="minorHAnsi"/>
          <w:sz w:val="20"/>
          <w:szCs w:val="20"/>
          <w:lang w:val="sr-Latn-ME"/>
        </w:rPr>
        <w:t xml:space="preserve">MFSS je započeo aktivnosti na izradi </w:t>
      </w:r>
      <w:r w:rsidRPr="00F563CD">
        <w:rPr>
          <w:rFonts w:asciiTheme="minorHAnsi" w:hAnsiTheme="minorHAnsi"/>
          <w:b/>
          <w:sz w:val="20"/>
          <w:szCs w:val="20"/>
          <w:lang w:val="sr-Latn-ME"/>
        </w:rPr>
        <w:t>Strategije za unapređenje politike javnih nabavki i javno-privatnog partnerstva u Crnoj Gori 2021-2025</w:t>
      </w:r>
      <w:r w:rsidRPr="00F563CD">
        <w:rPr>
          <w:rFonts w:asciiTheme="minorHAnsi" w:hAnsiTheme="minorHAnsi"/>
          <w:sz w:val="20"/>
          <w:szCs w:val="20"/>
          <w:lang w:val="sr-Latn-ME"/>
        </w:rPr>
        <w:t xml:space="preserve">. Objavljen je otvoreni poziv za sve zainteresovane strane u cilju prikupljanja predloga i sugestija za unapređenje politike javnih nabavki i JPP u novembru 2019. godine i održana je javna rasprava (uključujući okrugli sto) kako bi se svi relevantni akteri uključili u izradu strategije. Poslije </w:t>
      </w:r>
      <w:r w:rsidRPr="00F563CD">
        <w:rPr>
          <w:rFonts w:asciiTheme="minorHAnsi" w:hAnsiTheme="minorHAnsi"/>
          <w:b/>
          <w:sz w:val="20"/>
          <w:szCs w:val="20"/>
          <w:lang w:val="sr-Latn-ME"/>
        </w:rPr>
        <w:t>širokog i inkluzivnog procesa konsultacija</w:t>
      </w:r>
      <w:r w:rsidRPr="00F563CD">
        <w:rPr>
          <w:rFonts w:asciiTheme="minorHAnsi" w:hAnsiTheme="minorHAnsi"/>
          <w:sz w:val="20"/>
          <w:szCs w:val="20"/>
          <w:lang w:val="sr-Latn-ME"/>
        </w:rPr>
        <w:t xml:space="preserve">, uključujući u nekoliko navrata komunikacije sa ekspertima EK i SIGMA, Ministarstvo je izradilo Nacrt Strategije, koji će biti dostupan za dalje sugestije na javnoj raspravi za unaprijeđenje Nacrta. Direktorat za politike javnih nabavki u  MFSS je koordinator strategije u Crnoj Gori. </w:t>
      </w:r>
      <w:r w:rsidRPr="00F563CD">
        <w:rPr>
          <w:rFonts w:asciiTheme="minorHAnsi" w:hAnsiTheme="minorHAnsi"/>
          <w:b/>
          <w:sz w:val="20"/>
          <w:szCs w:val="20"/>
          <w:lang w:val="sr-Latn-ME"/>
        </w:rPr>
        <w:t>Glavni izazovi</w:t>
      </w:r>
      <w:r w:rsidRPr="00F563CD">
        <w:rPr>
          <w:rFonts w:asciiTheme="minorHAnsi" w:hAnsiTheme="minorHAnsi"/>
          <w:sz w:val="20"/>
          <w:szCs w:val="20"/>
          <w:lang w:val="sr-Latn-ME"/>
        </w:rPr>
        <w:t xml:space="preserve"> u sistemu javnih nabavki uključuju neadekvatnu implementaciju pravnog okvira ili nedovoljno korišćenje zakonski propisanih mehanizama; nedostatak koordinacije između institucija unutar sistema u smislu koherentnosti u primjeni zakonskih odredbi; nedostatak adekvatnih administrativnih kapaciteta; dalje uključivanje MoFSW-a, ugovornih tijela,  poslovnih subjekata i drugih relevantnih učesnika u sistemu e-nabavke. Direkcija za politiku javnih nabavki (u okviru MFSS) je koordinator Strategije za  sistem javnih nabavki u Crnoj Gori.  Direkcija je zadužena i za </w:t>
      </w:r>
      <w:r w:rsidRPr="00F563CD">
        <w:rPr>
          <w:rFonts w:asciiTheme="minorHAnsi" w:hAnsiTheme="minorHAnsi"/>
          <w:b/>
          <w:sz w:val="20"/>
          <w:szCs w:val="20"/>
          <w:lang w:val="sr-Latn-ME"/>
        </w:rPr>
        <w:t>praćenje, sprovođenje i izvještavanje</w:t>
      </w:r>
      <w:r w:rsidRPr="00F563CD">
        <w:rPr>
          <w:rFonts w:asciiTheme="minorHAnsi" w:hAnsiTheme="minorHAnsi"/>
          <w:sz w:val="20"/>
          <w:szCs w:val="20"/>
          <w:lang w:val="sr-Latn-ME"/>
        </w:rPr>
        <w:t xml:space="preserve"> o Strategiji.  Ukupna struktur za javne nabavke, pored Ministarstva, sastoji se od  nekoliko institucija fokusiranih na održavanje efikasnog i pravednog sistema javnih nabavki u Crnoj Gori</w:t>
      </w:r>
      <w:r w:rsidRPr="00F563CD">
        <w:rPr>
          <w:rFonts w:asciiTheme="minorHAnsi" w:hAnsiTheme="minorHAnsi"/>
          <w:sz w:val="20"/>
          <w:szCs w:val="20"/>
          <w:vertAlign w:val="superscript"/>
          <w:lang w:val="sr-Latn-ME"/>
        </w:rPr>
        <w:footnoteReference w:id="17"/>
      </w:r>
      <w:r w:rsidRPr="00F563CD">
        <w:rPr>
          <w:rFonts w:asciiTheme="minorHAnsi" w:hAnsiTheme="minorHAnsi"/>
          <w:sz w:val="20"/>
          <w:szCs w:val="20"/>
          <w:lang w:val="sr-Latn-ME"/>
        </w:rPr>
        <w:t>. Direkcija izvještava Vladu  na polugodišnjem nivou i podnosi sveobuhvatni godišnji statistički izveštaj o sistemu javnih nabavki na usvajanje. Ministarstvo podnosi Statističke izveštaje o sistemu javnih nabavki Evropskoj komisiji po zahtjevu . Glavni cilj nacionalne strategije javnih nabavki je razvoj održivog, efektivnog i efikasnog sistema javnih nabavki i javno-privatnih partnerstava.  Jedan od operativnih ciljeva nove Strategije razvoja sistema javnih nabavki u Crnoj Gori 2021.-2025. odnosi se na podsticanje primjene okvirnih sporazuma, centralizovanih javnih nabavki, zelenih i održivih nabavki, promovisanje učešća malih i srednjih preduzeća u postupcima javnih nabavki, sa posebnim akcentom na povećanje učešća preduzeća na čelu sa ženama u javnim nabavkama i ugovorima o javnim nabavkama. Cilj politike zelenih nabavki je da podstakne ugovorna tijela da primjenjuju koncept troškova životnog ciklusa u javnim nabavkama, kako bi se obezbijedila ekološki prihvatljivija, energetski efikasna roba, u skladu sa aktuelnim trendovima i standardima (zelene nabavke, društveno odgovorne nabavke, inovativne nabavke, elektronske nabavke itd.). U cilju podizanja svijesti i promovisanja zelenih i održivih nabavki, Strategija predviđa obuke za učesnike u postupcima javnih nabavki (rukovodilaca i državnih službenika), kao i proizvodnju i distribuciju specijalizovanih publikacija na ovu temu. U cilju promovisanja i sprovođenja ove politike prepoznata je potreba za definisanjem uloga i odgovornosti unutar vladinih institucija, kao i potreba da Ugovaračka tijela preduzmu odgovarajuće mjere kako bi se osiguralo da će  privredni subjekti , u izvršenju javnih ugovora, poštovati svoje obaveze iz oblasti zaštite životne sredine, socijalnog zakona i zakona o radu.</w:t>
      </w:r>
    </w:p>
    <w:p w14:paraId="291807DF" w14:textId="77777777" w:rsidR="0086044A" w:rsidRPr="00F563CD" w:rsidRDefault="0086044A" w:rsidP="0086044A">
      <w:pPr>
        <w:spacing w:before="60" w:after="60" w:line="240" w:lineRule="auto"/>
        <w:jc w:val="both"/>
        <w:rPr>
          <w:rFonts w:asciiTheme="minorHAnsi" w:eastAsia="Calibri" w:hAnsiTheme="minorHAnsi" w:cs="Calibri"/>
          <w:iCs/>
          <w:sz w:val="20"/>
          <w:szCs w:val="20"/>
          <w:lang w:val="sr-Latn-ME"/>
        </w:rPr>
      </w:pPr>
      <w:r w:rsidRPr="00F563CD">
        <w:rPr>
          <w:rFonts w:asciiTheme="minorHAnsi" w:eastAsia="Calibri" w:hAnsiTheme="minorHAnsi" w:cs="Calibri"/>
          <w:b/>
          <w:iCs/>
          <w:sz w:val="20"/>
          <w:szCs w:val="20"/>
          <w:lang w:val="sr-Latn-ME"/>
        </w:rPr>
        <w:t>Program ekonomskih reformi Crne Gore 2021-2023</w:t>
      </w:r>
      <w:r w:rsidRPr="00F563CD">
        <w:rPr>
          <w:rFonts w:asciiTheme="minorHAnsi" w:eastAsia="Calibri" w:hAnsiTheme="minorHAnsi" w:cs="Calibri"/>
          <w:iCs/>
          <w:sz w:val="20"/>
          <w:szCs w:val="20"/>
          <w:lang w:val="sr-Latn-ME"/>
        </w:rPr>
        <w:t xml:space="preserve"> je srednjoročni strateški dokument koji Crna Gora priprema u okviru ekonomskog dijaloga sa EU. </w:t>
      </w:r>
      <w:r w:rsidRPr="00F563CD">
        <w:rPr>
          <w:rFonts w:asciiTheme="minorHAnsi" w:eastAsia="Calibri" w:hAnsiTheme="minorHAnsi" w:cs="Calibri"/>
          <w:b/>
          <w:iCs/>
          <w:sz w:val="20"/>
          <w:szCs w:val="20"/>
          <w:lang w:val="sr-Latn-ME"/>
        </w:rPr>
        <w:t>Priprema i koordinacija</w:t>
      </w:r>
      <w:r w:rsidRPr="00F563CD">
        <w:rPr>
          <w:rFonts w:asciiTheme="minorHAnsi" w:eastAsia="Calibri" w:hAnsiTheme="minorHAnsi" w:cs="Calibri"/>
          <w:iCs/>
          <w:sz w:val="20"/>
          <w:szCs w:val="20"/>
          <w:lang w:val="sr-Latn-ME"/>
        </w:rPr>
        <w:t xml:space="preserve"> ovog dokumenta je cjelogodišnji proces - u drugoj polovini godine dokument priprema zemlja kandidat, a u narednih šest mjeseci ga analiziraju i procjenjuju EK i Savjet. U fazi izrade, održava se stalna komunikacija sa EK, uključujući organizovanje bilateralnih sastanaka na visokom i tehničkom nivou. Iako je GoM prošla kroz strukturne promjene, fokus je stavljen na pronalaženje najprikladnijeg pristupa izradi ovogodišnjeg Programa, kako se ne bi izazvala bilo kakva odstupanja unutar utvrđene agende.  Vlada je osnovala Radni tim za pripremu ERP </w:t>
      </w:r>
      <w:r w:rsidRPr="00F563CD">
        <w:rPr>
          <w:rFonts w:asciiTheme="minorHAnsi" w:eastAsia="Calibri" w:hAnsiTheme="minorHAnsi" w:cs="Calibri"/>
          <w:b/>
          <w:iCs/>
          <w:sz w:val="20"/>
          <w:szCs w:val="20"/>
          <w:lang w:val="sr-Latn-ME"/>
        </w:rPr>
        <w:t>Javnih konsultacija</w:t>
      </w:r>
      <w:r w:rsidRPr="00F563CD">
        <w:rPr>
          <w:rFonts w:asciiTheme="minorHAnsi" w:eastAsia="Calibri" w:hAnsiTheme="minorHAnsi" w:cs="Calibri"/>
          <w:iCs/>
          <w:sz w:val="20"/>
          <w:szCs w:val="20"/>
          <w:lang w:val="sr-Latn-ME"/>
        </w:rPr>
        <w:t xml:space="preserve"> za 2020. godinu  uz organizaciju pripreme izrade dokumenta, pa je samim tim dokument rezultat širokog javnog dijaloga svih zainteresovanih strana u zemlji, koji istovremeno ukazuje na to da se radi o visokokvalitetnom dokumentu. Nadalje, dokument je bio predmet razmatranja od strane parlamentarnog Odbora za ekonomiju, finansije i budžet. </w:t>
      </w:r>
      <w:r w:rsidRPr="00F563CD">
        <w:rPr>
          <w:rFonts w:asciiTheme="minorHAnsi" w:eastAsia="Calibri" w:hAnsiTheme="minorHAnsi" w:cs="Calibri"/>
          <w:b/>
          <w:iCs/>
          <w:sz w:val="20"/>
          <w:szCs w:val="20"/>
          <w:lang w:val="sr-Latn-ME"/>
        </w:rPr>
        <w:t>Otvoreni izazovi</w:t>
      </w:r>
      <w:r w:rsidRPr="00F563CD">
        <w:rPr>
          <w:rFonts w:asciiTheme="minorHAnsi" w:eastAsia="Calibri" w:hAnsiTheme="minorHAnsi" w:cs="Calibri"/>
          <w:iCs/>
          <w:sz w:val="20"/>
          <w:szCs w:val="20"/>
          <w:lang w:val="sr-Latn-ME"/>
        </w:rPr>
        <w:t xml:space="preserve"> su prepoznati u oblastima Makroekonomskog okvira (bruto domaći proizvod, inflacija, zaposlenost), fiskalni okvir (implementacija budžeta u 2019. godini, srednjoročni budžetski izgledi, nivoi duga i kretanja, fiskalno upravljanje i budžetski okvir), kao i rizici identifikovani u strukturnim reformama za naredni period i njegove budžetske implikacije.</w:t>
      </w:r>
    </w:p>
    <w:p w14:paraId="19F2BCE6" w14:textId="77777777" w:rsidR="0086044A" w:rsidRPr="00F563CD" w:rsidRDefault="0086044A" w:rsidP="0086044A">
      <w:pPr>
        <w:spacing w:line="240" w:lineRule="auto"/>
        <w:jc w:val="both"/>
        <w:rPr>
          <w:rFonts w:asciiTheme="minorHAnsi" w:hAnsiTheme="minorHAnsi" w:cstheme="minorBidi"/>
          <w:b/>
          <w:bCs/>
          <w:iCs/>
          <w:caps/>
          <w:sz w:val="20"/>
          <w:szCs w:val="20"/>
          <w:lang w:val="sr-Latn-ME"/>
        </w:rPr>
      </w:pPr>
      <w:r w:rsidRPr="00F563CD">
        <w:rPr>
          <w:rFonts w:asciiTheme="minorHAnsi" w:hAnsiTheme="minorHAnsi" w:cstheme="minorBidi"/>
          <w:b/>
          <w:iCs/>
          <w:sz w:val="20"/>
          <w:szCs w:val="20"/>
          <w:lang w:val="sr-Latn-ME"/>
        </w:rPr>
        <w:t>Strategiju trgovinskih olakšica Crne Gore 2018 -2022</w:t>
      </w:r>
      <w:r w:rsidRPr="00F563CD">
        <w:rPr>
          <w:rFonts w:asciiTheme="minorHAnsi" w:hAnsiTheme="minorHAnsi" w:cstheme="minorBidi"/>
          <w:iCs/>
          <w:sz w:val="20"/>
          <w:szCs w:val="20"/>
          <w:lang w:val="sr-Latn-ME"/>
        </w:rPr>
        <w:t xml:space="preserve"> je pripremila vladina Radna grupa koju su činili predstavnici Ministarstva finansija i socijalnog staranja, Ministarstva ekonomskog razvoja, Ministarstva poljoprivrede, vodoprirvrede i šumarstva, Uprave carina i prihoda, Uprave za bezbjednosti hrane, veterinarskih i fitosanitarnih vlasti, Granične policije, Privredne komore, uz pruženu tehničku pomoć Međunarodne finansijske korporacije-  Grupa Svjetske banke.  </w:t>
      </w:r>
      <w:r w:rsidRPr="00F563CD">
        <w:rPr>
          <w:rFonts w:asciiTheme="minorHAnsi" w:hAnsiTheme="minorHAnsi"/>
          <w:iCs/>
          <w:sz w:val="20"/>
          <w:szCs w:val="20"/>
          <w:lang w:val="sr-Latn-ME"/>
        </w:rPr>
        <w:t xml:space="preserve">Strategija je zasnovana na odredbama Sporazuma o trgovinskim olakšicama (TFA) STO i CEFTA Dopunskog protokola 5 (AP 5) u vezi sa mjerama nacionalnog karaktera čija implementacija direktno zavisi od relevantnih/nadležnih crnogorskih institucija. Za analizu postojeće situacije i identifikaciju prioritetnih reformskih oblasti korišćene su nacionalne studije u pogledu statusa </w:t>
      </w:r>
      <w:r w:rsidRPr="00F563CD">
        <w:rPr>
          <w:rFonts w:asciiTheme="minorHAnsi" w:hAnsiTheme="minorHAnsi"/>
          <w:iCs/>
          <w:sz w:val="20"/>
          <w:szCs w:val="20"/>
          <w:lang w:val="sr-Latn-ME"/>
        </w:rPr>
        <w:lastRenderedPageBreak/>
        <w:t>trgovinskih olakšica izvršenih u prethodnom periodu, kao i Izvještaja o lakoći poslovanja Grupe Svjetske banke; Akcioni plan uključuje indikatore koji su direktno povezani sa aktivnostima koje treba preduzeti u podršci uspješnoj implementaciji mjera određenih Strategijom i koje su usmjerene na output.</w:t>
      </w:r>
    </w:p>
    <w:p w14:paraId="10457097" w14:textId="77777777" w:rsidR="0086044A" w:rsidRPr="00F563CD" w:rsidRDefault="0086044A" w:rsidP="0086044A">
      <w:pPr>
        <w:keepNext/>
        <w:keepLines/>
        <w:numPr>
          <w:ilvl w:val="0"/>
          <w:numId w:val="26"/>
        </w:numPr>
        <w:spacing w:before="200" w:after="0"/>
        <w:outlineLvl w:val="1"/>
        <w:rPr>
          <w:rFonts w:asciiTheme="minorHAnsi" w:hAnsiTheme="minorHAnsi" w:cs="Arial"/>
          <w:b/>
          <w:bCs/>
          <w:smallCaps/>
          <w:sz w:val="24"/>
          <w:szCs w:val="24"/>
          <w:lang w:val="sr-Latn-ME"/>
        </w:rPr>
      </w:pPr>
      <w:bookmarkStart w:id="26" w:name="_Toc91500255"/>
      <w:r w:rsidRPr="00F563CD">
        <w:rPr>
          <w:rFonts w:asciiTheme="minorHAnsi" w:hAnsiTheme="minorHAnsi" w:cs="Arial"/>
          <w:b/>
          <w:bCs/>
          <w:smallCaps/>
          <w:sz w:val="24"/>
          <w:szCs w:val="24"/>
          <w:lang w:val="sr-Latn-ME"/>
        </w:rPr>
        <w:t>povezanost sektorskih strategija sa regionalnim i globalnim strategijama</w:t>
      </w:r>
      <w:bookmarkEnd w:id="26"/>
      <w:r w:rsidRPr="00F563CD">
        <w:rPr>
          <w:rFonts w:asciiTheme="minorHAnsi" w:hAnsiTheme="minorHAnsi" w:cs="Arial"/>
          <w:b/>
          <w:bCs/>
          <w:smallCaps/>
          <w:sz w:val="24"/>
          <w:szCs w:val="24"/>
          <w:lang w:val="sr-Latn-ME"/>
        </w:rPr>
        <w:t xml:space="preserve"> </w:t>
      </w:r>
    </w:p>
    <w:p w14:paraId="52FD0AB3" w14:textId="77777777" w:rsidR="0086044A" w:rsidRPr="00F563CD" w:rsidRDefault="0086044A" w:rsidP="0086044A">
      <w:pPr>
        <w:spacing w:after="0" w:line="240" w:lineRule="auto"/>
        <w:jc w:val="both"/>
        <w:rPr>
          <w:rFonts w:asciiTheme="minorHAnsi" w:hAnsiTheme="minorHAnsi"/>
          <w:i/>
          <w:iCs/>
          <w:sz w:val="20"/>
          <w:szCs w:val="20"/>
          <w:lang w:val="sr-Latn-ME"/>
        </w:rPr>
      </w:pPr>
    </w:p>
    <w:p w14:paraId="5090578F" w14:textId="77777777" w:rsidR="0086044A" w:rsidRPr="00F563CD" w:rsidRDefault="0086044A" w:rsidP="0086044A">
      <w:pPr>
        <w:shd w:val="clear" w:color="auto" w:fill="FFFFFF"/>
        <w:autoSpaceDE w:val="0"/>
        <w:autoSpaceDN w:val="0"/>
        <w:adjustRightInd w:val="0"/>
        <w:spacing w:before="60" w:after="60" w:line="240" w:lineRule="auto"/>
        <w:jc w:val="both"/>
        <w:rPr>
          <w:rFonts w:asciiTheme="minorHAnsi" w:hAnsiTheme="minorHAnsi" w:cs="Arial"/>
          <w:sz w:val="20"/>
          <w:szCs w:val="20"/>
          <w:lang w:val="sr-Latn-ME" w:eastAsia="sr-Latn-CS"/>
        </w:rPr>
      </w:pPr>
      <w:r w:rsidRPr="00F563CD">
        <w:rPr>
          <w:rFonts w:asciiTheme="minorHAnsi" w:hAnsiTheme="minorHAnsi" w:cs="Arial"/>
          <w:b/>
          <w:sz w:val="20"/>
          <w:szCs w:val="20"/>
          <w:lang w:val="sr-Latn-ME" w:eastAsia="sr-Latn-CS"/>
        </w:rPr>
        <w:t>Strategija jugoistočne Evrope 2020</w:t>
      </w:r>
      <w:r w:rsidRPr="00F563CD">
        <w:rPr>
          <w:rFonts w:asciiTheme="minorHAnsi" w:hAnsiTheme="minorHAnsi" w:cs="Arial"/>
          <w:sz w:val="20"/>
          <w:szCs w:val="20"/>
          <w:lang w:val="sr-Latn-ME" w:eastAsia="sr-Latn-CS"/>
        </w:rPr>
        <w:t xml:space="preserve"> prepoznaje efikasnu i javnu upravu vođenu ICT-om kao ugaoni kamen dobrog upravljanja i neophodan preduslov za jačanje vladavine prava, smanjenje korupcije, stvaranje povoljnog poslovnog okruženja i isporučivanje javnih usluga neophodnih za ekonomski rast.</w:t>
      </w:r>
    </w:p>
    <w:p w14:paraId="4C7BDD51" w14:textId="77777777" w:rsidR="0086044A" w:rsidRPr="00F563CD" w:rsidRDefault="0086044A" w:rsidP="0086044A">
      <w:pPr>
        <w:shd w:val="clear" w:color="auto" w:fill="FFFFFF"/>
        <w:autoSpaceDE w:val="0"/>
        <w:autoSpaceDN w:val="0"/>
        <w:adjustRightInd w:val="0"/>
        <w:spacing w:before="60" w:after="60" w:line="240" w:lineRule="auto"/>
        <w:jc w:val="both"/>
        <w:rPr>
          <w:rFonts w:asciiTheme="minorHAnsi" w:hAnsiTheme="minorHAnsi" w:cs="Arial"/>
          <w:sz w:val="20"/>
          <w:szCs w:val="20"/>
          <w:lang w:val="sr-Latn-ME" w:eastAsia="sr-Latn-CS"/>
        </w:rPr>
      </w:pPr>
      <w:r w:rsidRPr="00F563CD">
        <w:rPr>
          <w:rFonts w:asciiTheme="minorHAnsi" w:hAnsiTheme="minorHAnsi" w:cs="Arial"/>
          <w:b/>
          <w:sz w:val="20"/>
          <w:szCs w:val="20"/>
          <w:lang w:val="sr-Latn-ME" w:eastAsia="sr-Latn-CS"/>
        </w:rPr>
        <w:t>Strategija trgovinskih olakšica Crne Gore 2018.-2022.</w:t>
      </w:r>
      <w:r w:rsidRPr="00F563CD">
        <w:rPr>
          <w:rFonts w:asciiTheme="minorHAnsi" w:hAnsiTheme="minorHAnsi" w:cs="Arial"/>
          <w:sz w:val="20"/>
          <w:szCs w:val="20"/>
          <w:lang w:val="sr-Latn-ME" w:eastAsia="sr-Latn-CS"/>
        </w:rPr>
        <w:t xml:space="preserve">  je zasnovana na odredbama </w:t>
      </w:r>
      <w:r w:rsidRPr="00F563CD">
        <w:rPr>
          <w:rFonts w:asciiTheme="minorHAnsi" w:hAnsiTheme="minorHAnsi" w:cs="Arial"/>
          <w:b/>
          <w:sz w:val="20"/>
          <w:szCs w:val="20"/>
          <w:lang w:val="sr-Latn-ME" w:eastAsia="sr-Latn-CS"/>
        </w:rPr>
        <w:t>Sporazuma o trgovinskim olakšicama (TFA) Svjetske trgovinske organizacije</w:t>
      </w:r>
      <w:r w:rsidRPr="00F563CD">
        <w:rPr>
          <w:rFonts w:asciiTheme="minorHAnsi" w:hAnsiTheme="minorHAnsi" w:cs="Arial"/>
          <w:sz w:val="20"/>
          <w:szCs w:val="20"/>
          <w:lang w:val="sr-Latn-ME" w:eastAsia="sr-Latn-CS"/>
        </w:rPr>
        <w:t xml:space="preserve"> i </w:t>
      </w:r>
      <w:r w:rsidRPr="00F563CD">
        <w:rPr>
          <w:rFonts w:asciiTheme="minorHAnsi" w:hAnsiTheme="minorHAnsi" w:cs="Arial"/>
          <w:b/>
          <w:sz w:val="20"/>
          <w:szCs w:val="20"/>
          <w:lang w:val="sr-Latn-ME" w:eastAsia="sr-Latn-CS"/>
        </w:rPr>
        <w:t>CEFTA Dopunskim protokolom 5</w:t>
      </w:r>
      <w:r w:rsidRPr="00F563CD">
        <w:rPr>
          <w:rFonts w:asciiTheme="minorHAnsi" w:hAnsiTheme="minorHAnsi" w:cs="Arial"/>
          <w:sz w:val="20"/>
          <w:szCs w:val="20"/>
          <w:lang w:val="sr-Latn-ME" w:eastAsia="sr-Latn-CS"/>
        </w:rPr>
        <w:t xml:space="preserve"> u vezi sa mjerama nacionalnog karaktera čije sprovođenje direktno zavisi od relevantnih crnogorskih institucija.</w:t>
      </w:r>
    </w:p>
    <w:p w14:paraId="46E65A7F" w14:textId="77777777" w:rsidR="0086044A" w:rsidRPr="00F563CD" w:rsidRDefault="0086044A" w:rsidP="0086044A">
      <w:pPr>
        <w:shd w:val="clear" w:color="auto" w:fill="FFFFFF"/>
        <w:autoSpaceDE w:val="0"/>
        <w:autoSpaceDN w:val="0"/>
        <w:adjustRightInd w:val="0"/>
        <w:spacing w:before="60" w:after="60" w:line="240" w:lineRule="auto"/>
        <w:jc w:val="both"/>
        <w:rPr>
          <w:rFonts w:asciiTheme="minorHAnsi" w:hAnsiTheme="minorHAnsi" w:cs="Arial"/>
          <w:sz w:val="20"/>
          <w:szCs w:val="20"/>
          <w:lang w:val="sr-Latn-ME" w:eastAsia="sr-Latn-CS"/>
        </w:rPr>
      </w:pPr>
      <w:r w:rsidRPr="00F563CD">
        <w:rPr>
          <w:rFonts w:asciiTheme="minorHAnsi" w:hAnsiTheme="minorHAnsi" w:cs="Arial"/>
          <w:sz w:val="20"/>
          <w:szCs w:val="20"/>
          <w:lang w:val="sr-Latn-ME" w:eastAsia="sr-Latn-CS"/>
        </w:rPr>
        <w:t xml:space="preserve">Stub izgradnje prosperiteta </w:t>
      </w:r>
      <w:r w:rsidRPr="00F563CD">
        <w:rPr>
          <w:rFonts w:asciiTheme="minorHAnsi" w:hAnsiTheme="minorHAnsi" w:cs="Arial"/>
          <w:b/>
          <w:sz w:val="20"/>
          <w:szCs w:val="20"/>
          <w:lang w:val="sr-Latn-ME" w:eastAsia="sr-Latn-CS"/>
        </w:rPr>
        <w:t>Strategije za Dunavski region</w:t>
      </w:r>
      <w:r w:rsidRPr="00F563CD">
        <w:rPr>
          <w:rFonts w:asciiTheme="minorHAnsi" w:hAnsiTheme="minorHAnsi" w:cs="Arial"/>
          <w:sz w:val="20"/>
          <w:szCs w:val="20"/>
          <w:lang w:val="sr-Latn-ME" w:eastAsia="sr-Latn-CS"/>
        </w:rPr>
        <w:t xml:space="preserve"> predviđa razvoj društva znanja društva kroz istraživanje, obrazovanje i informacione tehnologije, podršku konkurentnosti preduzeća, uključujući razvoj klastera i ulaganje u ljude i veštine.  </w:t>
      </w:r>
    </w:p>
    <w:p w14:paraId="0E2A8D76" w14:textId="77777777" w:rsidR="0086044A" w:rsidRPr="00F563CD" w:rsidRDefault="0086044A" w:rsidP="0086044A">
      <w:pPr>
        <w:shd w:val="clear" w:color="auto" w:fill="FFFFFF"/>
        <w:autoSpaceDE w:val="0"/>
        <w:autoSpaceDN w:val="0"/>
        <w:adjustRightInd w:val="0"/>
        <w:spacing w:before="60" w:after="60" w:line="240" w:lineRule="auto"/>
        <w:jc w:val="both"/>
        <w:rPr>
          <w:rFonts w:asciiTheme="minorHAnsi" w:hAnsiTheme="minorHAnsi" w:cstheme="minorHAnsi"/>
          <w:sz w:val="20"/>
          <w:szCs w:val="20"/>
          <w:lang w:val="sr-Latn-ME"/>
        </w:rPr>
      </w:pPr>
      <w:r w:rsidRPr="00F563CD">
        <w:rPr>
          <w:rFonts w:asciiTheme="minorHAnsi" w:hAnsiTheme="minorHAnsi" w:cs="Arial"/>
          <w:sz w:val="20"/>
          <w:szCs w:val="20"/>
          <w:lang w:val="sr-Latn-ME" w:eastAsia="sr-Latn-CS"/>
        </w:rPr>
        <w:t xml:space="preserve">Nacionalni planovi razvoja relevantnih institucija u oblasti finansijskih usluga su povezani sa i doprinijeće ostvarivanju </w:t>
      </w:r>
      <w:r w:rsidRPr="00F563CD">
        <w:rPr>
          <w:rFonts w:asciiTheme="minorHAnsi" w:hAnsiTheme="minorHAnsi" w:cs="Arial"/>
          <w:b/>
          <w:sz w:val="20"/>
          <w:szCs w:val="20"/>
          <w:lang w:val="sr-Latn-ME" w:eastAsia="sr-Latn-CS"/>
        </w:rPr>
        <w:t>Agende 2030 za održivi razvoj</w:t>
      </w:r>
      <w:r w:rsidRPr="00F563CD">
        <w:rPr>
          <w:rFonts w:asciiTheme="minorHAnsi" w:hAnsiTheme="minorHAnsi" w:cs="Arial"/>
          <w:sz w:val="20"/>
          <w:szCs w:val="20"/>
          <w:lang w:val="sr-Latn-ME" w:eastAsia="sr-Latn-CS"/>
        </w:rPr>
        <w:t xml:space="preserve">, kao i Jugoistočne Evrope 2020 koja je fokusirana na ostvarivanje Integrisanog rasta. Napori usmjereni na definisanje i implementaciju nacionalnog programa razvoja finansijskog obrazovanja su u potpunosti u skladu sa Strategijom i smjernicama </w:t>
      </w:r>
      <w:r w:rsidRPr="00F563CD">
        <w:rPr>
          <w:rFonts w:asciiTheme="minorHAnsi" w:hAnsiTheme="minorHAnsi" w:cs="Arial"/>
          <w:b/>
          <w:sz w:val="20"/>
          <w:szCs w:val="20"/>
          <w:lang w:val="sr-Latn-ME" w:eastAsia="sr-Latn-CS"/>
        </w:rPr>
        <w:t>OECD-a</w:t>
      </w:r>
      <w:r w:rsidRPr="00F563CD">
        <w:rPr>
          <w:rFonts w:asciiTheme="minorHAnsi" w:hAnsiTheme="minorHAnsi" w:cs="Arial"/>
          <w:sz w:val="20"/>
          <w:szCs w:val="20"/>
          <w:lang w:val="sr-Latn-ME" w:eastAsia="sr-Latn-CS"/>
        </w:rPr>
        <w:t xml:space="preserve"> u oblasti </w:t>
      </w:r>
      <w:r w:rsidRPr="00F563CD">
        <w:rPr>
          <w:rFonts w:asciiTheme="minorHAnsi" w:hAnsiTheme="minorHAnsi" w:cs="Arial"/>
          <w:b/>
          <w:sz w:val="20"/>
          <w:szCs w:val="20"/>
          <w:lang w:val="sr-Latn-ME" w:eastAsia="sr-Latn-CS"/>
        </w:rPr>
        <w:t>Finansijskog obrazovanja</w:t>
      </w:r>
      <w:r w:rsidRPr="00F563CD">
        <w:rPr>
          <w:rFonts w:asciiTheme="minorHAnsi" w:hAnsiTheme="minorHAnsi" w:cs="Arial"/>
          <w:sz w:val="20"/>
          <w:szCs w:val="20"/>
          <w:lang w:val="sr-Latn-ME" w:eastAsia="sr-Latn-CS"/>
        </w:rPr>
        <w:t>.</w:t>
      </w:r>
    </w:p>
    <w:p w14:paraId="11819ABF" w14:textId="77777777" w:rsidR="0086044A" w:rsidRPr="00F563CD" w:rsidRDefault="0086044A" w:rsidP="0086044A">
      <w:pPr>
        <w:shd w:val="clear" w:color="auto" w:fill="FFFFFF"/>
        <w:autoSpaceDE w:val="0"/>
        <w:autoSpaceDN w:val="0"/>
        <w:adjustRightInd w:val="0"/>
        <w:spacing w:before="60" w:after="60" w:line="240" w:lineRule="auto"/>
        <w:jc w:val="both"/>
        <w:rPr>
          <w:rFonts w:asciiTheme="minorHAnsi" w:hAnsiTheme="minorHAnsi" w:cstheme="minorHAnsi"/>
          <w:sz w:val="20"/>
          <w:szCs w:val="20"/>
          <w:lang w:val="sr-Latn-ME"/>
        </w:rPr>
      </w:pPr>
      <w:r w:rsidRPr="00F563CD">
        <w:rPr>
          <w:rFonts w:asciiTheme="minorHAnsi" w:hAnsiTheme="minorHAnsi" w:cstheme="minorHAnsi"/>
          <w:b/>
          <w:bCs/>
          <w:sz w:val="20"/>
          <w:szCs w:val="20"/>
          <w:lang w:val="sr-Latn-ME"/>
        </w:rPr>
        <w:t>Evropa 2020</w:t>
      </w:r>
      <w:r w:rsidRPr="00F563CD">
        <w:rPr>
          <w:rFonts w:asciiTheme="minorHAnsi" w:hAnsiTheme="minorHAnsi" w:cstheme="minorHAnsi"/>
          <w:sz w:val="20"/>
          <w:szCs w:val="20"/>
          <w:vertAlign w:val="superscript"/>
          <w:lang w:val="sr-Latn-ME"/>
        </w:rPr>
        <w:footnoteReference w:id="18"/>
      </w:r>
      <w:r w:rsidRPr="00F563CD">
        <w:rPr>
          <w:rFonts w:asciiTheme="minorHAnsi" w:hAnsiTheme="minorHAnsi" w:cstheme="minorHAnsi"/>
          <w:bCs/>
          <w:sz w:val="20"/>
          <w:szCs w:val="20"/>
          <w:lang w:val="sr-Latn-ME"/>
        </w:rPr>
        <w:t xml:space="preserve"> je fokusirana na tri prioriteta: Pametan rast - razvoj ekonomije zasnovane na znanju i inovacijama, Održivi rast - promovisanje zelenije i konkurentnije ekonomije koja efikasnije koristi resurse i Inkluzivni rast - podsticanje ekonomije visoke zaposlenosti koja isporučuje socijalnu i teritorijalnu koheziju. Visoko funkcionalna javna administracija je neophodan preduslov za obezbjeđivanje konkurentnosti i rasta. Usredsređujući se na unaprijeđenje javnih usluga, podsticanje digitalne transformacije vlade, jačanje profesionalnih veština, odgovornost i transparentnost u javnoj administraciji, Strategija PAR za 2022-2026. godinu je u skladu sa svim gore navedenim prioritetima. PAR je indirektno povezan sa </w:t>
      </w:r>
      <w:r w:rsidRPr="00F563CD">
        <w:rPr>
          <w:rFonts w:asciiTheme="minorHAnsi" w:hAnsiTheme="minorHAnsi" w:cstheme="minorHAnsi"/>
          <w:b/>
          <w:bCs/>
          <w:sz w:val="20"/>
          <w:szCs w:val="20"/>
          <w:lang w:val="sr-Latn-ME"/>
        </w:rPr>
        <w:t>Agendom UN za održivi razvoj 2030.</w:t>
      </w:r>
      <w:r w:rsidRPr="00F563CD">
        <w:rPr>
          <w:rFonts w:asciiTheme="minorHAnsi" w:hAnsiTheme="minorHAnsi" w:cstheme="minorHAnsi"/>
          <w:bCs/>
          <w:sz w:val="20"/>
          <w:szCs w:val="20"/>
          <w:lang w:val="sr-Latn-ME"/>
        </w:rPr>
        <w:t xml:space="preserve"> Kroz unapređenje transparentnosti, odgovornosti i efikasnosti crnogorske javne uprave u pogledu građana i poslovne subjekte kako na nacionalnom tako i na lokalnom nivou, PAR Strategija doprinosi ostvarivanju ciljeva 8, 11 i 16 od 17 SDG.</w:t>
      </w:r>
    </w:p>
    <w:p w14:paraId="341A51AD" w14:textId="77777777" w:rsidR="0086044A" w:rsidRPr="00F563CD" w:rsidRDefault="0086044A" w:rsidP="0086044A">
      <w:pPr>
        <w:shd w:val="clear" w:color="auto" w:fill="FFFFFF"/>
        <w:autoSpaceDE w:val="0"/>
        <w:autoSpaceDN w:val="0"/>
        <w:adjustRightInd w:val="0"/>
        <w:spacing w:before="60" w:after="60" w:line="240" w:lineRule="auto"/>
        <w:jc w:val="both"/>
        <w:rPr>
          <w:rFonts w:asciiTheme="minorHAnsi" w:hAnsiTheme="minorHAnsi" w:cstheme="minorHAnsi"/>
          <w:sz w:val="20"/>
          <w:szCs w:val="20"/>
          <w:lang w:val="sr-Latn-ME"/>
        </w:rPr>
      </w:pPr>
      <w:r w:rsidRPr="00F563CD">
        <w:rPr>
          <w:rFonts w:asciiTheme="minorHAnsi" w:hAnsiTheme="minorHAnsi" w:cstheme="minorHAnsi"/>
          <w:bCs/>
          <w:sz w:val="20"/>
          <w:szCs w:val="20"/>
          <w:lang w:val="sr-Latn-ME"/>
        </w:rPr>
        <w:t xml:space="preserve">Strategija PAR-a nije direktno usmjerena na specifične akcije </w:t>
      </w:r>
      <w:r w:rsidRPr="00F563CD">
        <w:rPr>
          <w:rFonts w:asciiTheme="minorHAnsi" w:hAnsiTheme="minorHAnsi" w:cstheme="minorHAnsi"/>
          <w:b/>
          <w:bCs/>
          <w:sz w:val="20"/>
          <w:szCs w:val="20"/>
          <w:lang w:val="sr-Latn-ME"/>
        </w:rPr>
        <w:t>jednakih mogućnosti</w:t>
      </w:r>
      <w:r w:rsidRPr="00F563CD">
        <w:rPr>
          <w:rFonts w:asciiTheme="minorHAnsi" w:hAnsiTheme="minorHAnsi" w:cstheme="minorHAnsi"/>
          <w:bCs/>
          <w:sz w:val="20"/>
          <w:szCs w:val="20"/>
          <w:lang w:val="sr-Latn-ME"/>
        </w:rPr>
        <w:t xml:space="preserve">, međutim Vlada Crne Gore je posvećena jednakim mogućnostima, rodnoj ravnopravnosti i nediskriminisanaciji, koje i formalno tretira i garantuje ih Ustav Crne Gore, ratifikovani međunarodni ugovori, kao i nacionalno zakonodavstvo. </w:t>
      </w:r>
      <w:r w:rsidRPr="00F563CD">
        <w:rPr>
          <w:rFonts w:asciiTheme="minorHAnsi" w:hAnsiTheme="minorHAnsi" w:cstheme="minorHAnsi"/>
          <w:b/>
          <w:bCs/>
          <w:sz w:val="20"/>
          <w:szCs w:val="20"/>
          <w:lang w:val="sr-Latn-ME"/>
        </w:rPr>
        <w:t>Zakon o rodnoj ravnopravnosti</w:t>
      </w:r>
      <w:r w:rsidRPr="00F563CD">
        <w:rPr>
          <w:rFonts w:asciiTheme="minorHAnsi" w:hAnsiTheme="minorHAnsi" w:cstheme="minorHAnsi"/>
          <w:bCs/>
          <w:sz w:val="20"/>
          <w:szCs w:val="20"/>
          <w:lang w:val="sr-Latn-ME"/>
        </w:rPr>
        <w:t xml:space="preserve"> propisuje ravnopravno učešće muškaraca i žena u svim sferama javnog i privatnog života kao i obavezu javnih organa da procjene i izvrše evaluaciju uticaja svih odluka i aktivnosti na položaj žena i muškaraca, uključujući i </w:t>
      </w:r>
      <w:r w:rsidRPr="00F563CD">
        <w:rPr>
          <w:rFonts w:asciiTheme="minorHAnsi" w:hAnsiTheme="minorHAnsi" w:cstheme="minorHAnsi"/>
          <w:b/>
          <w:bCs/>
          <w:sz w:val="20"/>
          <w:szCs w:val="20"/>
          <w:lang w:val="sr-Latn-ME"/>
        </w:rPr>
        <w:t>Akcioni plan za rodnu ravnopravnost 2017-2021</w:t>
      </w:r>
      <w:r w:rsidRPr="00F563CD">
        <w:rPr>
          <w:rFonts w:asciiTheme="minorHAnsi" w:hAnsiTheme="minorHAnsi" w:cstheme="minorHAnsi"/>
          <w:bCs/>
          <w:sz w:val="20"/>
          <w:szCs w:val="20"/>
          <w:lang w:val="sr-Latn-ME"/>
        </w:rPr>
        <w:t>.</w:t>
      </w:r>
      <w:r w:rsidRPr="00F563CD">
        <w:rPr>
          <w:rFonts w:asciiTheme="minorHAnsi" w:hAnsiTheme="minorHAnsi" w:cstheme="minorHAnsi"/>
          <w:b/>
          <w:bCs/>
          <w:sz w:val="20"/>
          <w:szCs w:val="20"/>
          <w:lang w:val="sr-Latn-ME"/>
        </w:rPr>
        <w:t xml:space="preserve">  </w:t>
      </w:r>
      <w:r w:rsidRPr="00F563CD">
        <w:rPr>
          <w:rFonts w:asciiTheme="minorHAnsi" w:hAnsiTheme="minorHAnsi" w:cstheme="minorHAnsi"/>
          <w:bCs/>
          <w:sz w:val="20"/>
          <w:szCs w:val="20"/>
          <w:lang w:val="sr-Latn-ME"/>
        </w:rPr>
        <w:t>Tokom faze projektovanja PAR Strategije i PFM programa, konsultovani su svi akteri  nezavisno od pola, porijekla, rase i religije. Jednake mogućnosti će i dalje biti zagarantovane svim učesnicima i ekspertima tokom faze implementacije. Zakon o državnim službenicima i namještenicima takođe tretira usvojene principe rodne ravnopravnosti</w:t>
      </w:r>
      <w:r w:rsidRPr="00F563CD">
        <w:rPr>
          <w:rFonts w:asciiTheme="minorHAnsi" w:hAnsiTheme="minorHAnsi" w:cstheme="minorHAnsi"/>
          <w:sz w:val="20"/>
          <w:szCs w:val="20"/>
          <w:vertAlign w:val="superscript"/>
          <w:lang w:val="sr-Latn-ME"/>
        </w:rPr>
        <w:footnoteReference w:id="19"/>
      </w:r>
      <w:r w:rsidRPr="00F563CD">
        <w:rPr>
          <w:rFonts w:asciiTheme="minorHAnsi" w:hAnsiTheme="minorHAnsi" w:cstheme="minorHAnsi"/>
          <w:bCs/>
          <w:sz w:val="20"/>
          <w:szCs w:val="20"/>
          <w:lang w:val="sr-Latn-ME"/>
        </w:rPr>
        <w:t xml:space="preserve">. </w:t>
      </w:r>
    </w:p>
    <w:p w14:paraId="70BC2DD7" w14:textId="77777777" w:rsidR="0086044A" w:rsidRPr="00F563CD" w:rsidRDefault="0086044A" w:rsidP="0086044A">
      <w:pPr>
        <w:spacing w:before="60" w:after="60" w:line="240" w:lineRule="auto"/>
        <w:ind w:right="-173"/>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Priprema akcija u okviru ovog Sektora sprovedena je uz puno poštovanje </w:t>
      </w:r>
      <w:r w:rsidRPr="00F563CD">
        <w:rPr>
          <w:rFonts w:asciiTheme="minorHAnsi" w:hAnsiTheme="minorHAnsi" w:cstheme="minorHAnsi"/>
          <w:b/>
          <w:sz w:val="20"/>
          <w:szCs w:val="20"/>
          <w:lang w:val="sr-Latn-ME"/>
        </w:rPr>
        <w:t>manjina i ugroženih grupa.</w:t>
      </w:r>
      <w:r w:rsidRPr="00F563CD">
        <w:rPr>
          <w:rFonts w:asciiTheme="minorHAnsi" w:hAnsiTheme="minorHAnsi" w:cstheme="minorHAnsi"/>
          <w:sz w:val="20"/>
          <w:szCs w:val="20"/>
          <w:lang w:val="sr-Latn-ME"/>
        </w:rPr>
        <w:t xml:space="preserve"> Prava manjina i ranjivih grupa će se uzeti u razmatranje a posebna pažnja će biti posvećena njihovoj zastupljenosti u okviru svih akcija navedenih u okviru ovog Sektora. Akcioni plan za sprovođenje </w:t>
      </w:r>
      <w:r w:rsidRPr="00F563CD">
        <w:rPr>
          <w:rFonts w:asciiTheme="minorHAnsi" w:hAnsiTheme="minorHAnsi" w:cstheme="minorHAnsi"/>
          <w:b/>
          <w:sz w:val="20"/>
          <w:szCs w:val="20"/>
          <w:lang w:val="sr-Latn-ME"/>
        </w:rPr>
        <w:t>Strategije zaštite osoba sa invaliditetom od diskriminacije i promovisanje ravnopravnosti za period 2017-2021,</w:t>
      </w:r>
      <w:r w:rsidRPr="00F563CD">
        <w:rPr>
          <w:rFonts w:asciiTheme="minorHAnsi" w:hAnsiTheme="minorHAnsi" w:cstheme="minorHAnsi"/>
          <w:sz w:val="20"/>
          <w:szCs w:val="20"/>
          <w:lang w:val="sr-Latn-ME"/>
        </w:rPr>
        <w:t xml:space="preserve"> a</w:t>
      </w:r>
      <w:r w:rsidRPr="00F563CD">
        <w:rPr>
          <w:rFonts w:asciiTheme="minorHAnsi" w:hAnsiTheme="minorHAnsi" w:cstheme="minorHAnsi"/>
          <w:b/>
          <w:sz w:val="20"/>
          <w:szCs w:val="20"/>
          <w:lang w:val="sr-Latn-ME"/>
        </w:rPr>
        <w:t xml:space="preserve"> </w:t>
      </w:r>
      <w:r w:rsidRPr="00F563CD">
        <w:rPr>
          <w:rFonts w:asciiTheme="minorHAnsi" w:hAnsiTheme="minorHAnsi" w:cstheme="minorHAnsi"/>
          <w:sz w:val="20"/>
          <w:szCs w:val="20"/>
          <w:lang w:val="sr-Latn-ME"/>
        </w:rPr>
        <w:t>za 2021.</w:t>
      </w:r>
      <w:r w:rsidRPr="00F563CD">
        <w:rPr>
          <w:rFonts w:asciiTheme="minorHAnsi" w:hAnsiTheme="minorHAnsi" w:cstheme="minorHAnsi"/>
          <w:b/>
          <w:sz w:val="20"/>
          <w:szCs w:val="20"/>
          <w:lang w:val="sr-Latn-ME"/>
        </w:rPr>
        <w:t xml:space="preserve"> </w:t>
      </w:r>
      <w:r w:rsidRPr="00F563CD">
        <w:rPr>
          <w:rFonts w:asciiTheme="minorHAnsi" w:hAnsiTheme="minorHAnsi" w:cstheme="minorHAnsi"/>
          <w:sz w:val="20"/>
          <w:szCs w:val="20"/>
          <w:lang w:val="sr-Latn-ME"/>
        </w:rPr>
        <w:t xml:space="preserve">godinu, sa Izvještajem o sprovođenju Akcionog plana za 2019. i 2020. je usvojen u julu ove godine. Dok je u toku </w:t>
      </w:r>
      <w:r w:rsidRPr="00F563CD">
        <w:rPr>
          <w:rFonts w:asciiTheme="minorHAnsi" w:hAnsiTheme="minorHAnsi" w:cstheme="minorHAnsi"/>
          <w:b/>
          <w:sz w:val="20"/>
          <w:szCs w:val="20"/>
          <w:lang w:val="sr-Latn-ME"/>
        </w:rPr>
        <w:t>Strategija zaštite i ravnopravnosti osoba sa invaliditetom 2022-2027</w:t>
      </w:r>
      <w:r w:rsidRPr="00F563CD">
        <w:rPr>
          <w:rFonts w:asciiTheme="minorHAnsi" w:hAnsiTheme="minorHAnsi" w:cstheme="minorHAnsi"/>
          <w:sz w:val="20"/>
          <w:szCs w:val="20"/>
          <w:lang w:val="sr-Latn-ME"/>
        </w:rPr>
        <w:t>.</w:t>
      </w:r>
    </w:p>
    <w:p w14:paraId="329DCE97" w14:textId="3A110B09" w:rsidR="0086044A" w:rsidRPr="00FE2154" w:rsidRDefault="0086044A" w:rsidP="00FE2154">
      <w:pPr>
        <w:spacing w:before="60" w:after="60" w:line="240" w:lineRule="auto"/>
        <w:ind w:right="-173"/>
        <w:jc w:val="both"/>
        <w:rPr>
          <w:rFonts w:asciiTheme="minorHAnsi" w:hAnsiTheme="minorHAnsi" w:cstheme="minorHAnsi"/>
          <w:sz w:val="20"/>
          <w:szCs w:val="20"/>
          <w:lang w:val="sr-Latn-ME"/>
        </w:rPr>
      </w:pPr>
      <w:r w:rsidRPr="00F563CD">
        <w:rPr>
          <w:rFonts w:asciiTheme="minorHAnsi" w:hAnsiTheme="minorHAnsi" w:cstheme="minorHAnsi"/>
          <w:sz w:val="20"/>
          <w:szCs w:val="20"/>
          <w:lang w:val="sr-Latn-ME"/>
        </w:rPr>
        <w:t xml:space="preserve">MJUDDM upravlja politikama koje utiču na rad i aktivnosti </w:t>
      </w:r>
      <w:r w:rsidRPr="00F563CD">
        <w:rPr>
          <w:rFonts w:asciiTheme="minorHAnsi" w:hAnsiTheme="minorHAnsi" w:cstheme="minorHAnsi"/>
          <w:b/>
          <w:sz w:val="20"/>
          <w:szCs w:val="20"/>
          <w:lang w:val="sr-Latn-ME"/>
        </w:rPr>
        <w:t>nevladinih organizacija</w:t>
      </w:r>
      <w:r w:rsidRPr="00F563CD">
        <w:rPr>
          <w:rFonts w:asciiTheme="minorHAnsi" w:hAnsiTheme="minorHAnsi" w:cstheme="minorHAnsi"/>
          <w:sz w:val="20"/>
          <w:szCs w:val="20"/>
          <w:lang w:val="sr-Latn-ME"/>
        </w:rPr>
        <w:t xml:space="preserve"> i pažljivo prati njihovo sprovođenje i efekte. Na taj način, Ministarstvo je prepoznato kao centar aktivnosti nevladinih organizacija i ostalih zainteresovanih javnosti za slanje svih inicijativa, predloga, upita vezano za rad i uslove u kojima nevladin sektor posluje u Crnoj Gori. Pored Ministarstva, koje ima ulogu kreiranja politika,  Vlada CG je osnovala Savjet za saradnju između državnih administrativnih tijela i nevladinih organizacija. Rad Savjeta je od vitalnog značaja zbog strukture ovog tijela, s obzirom da predstavlja ključni forum za dijalog između vlade i nevladinih organizacija i mjesto za rešavanje svih otvorenih pitanja. Mandat ovog tijela je istekao, a Ministarstvo će sprovesti proces za osnivanje novog. </w:t>
      </w:r>
      <w:r w:rsidRPr="00F563CD">
        <w:rPr>
          <w:rFonts w:asciiTheme="minorHAnsi" w:hAnsiTheme="minorHAnsi" w:cstheme="minorHAnsi"/>
          <w:b/>
          <w:sz w:val="20"/>
          <w:szCs w:val="20"/>
          <w:lang w:val="sr-Latn-ME"/>
        </w:rPr>
        <w:t xml:space="preserve">Učešće NGO-a u procesima donošenja odluka </w:t>
      </w:r>
      <w:r w:rsidRPr="00F563CD">
        <w:rPr>
          <w:rFonts w:asciiTheme="minorHAnsi" w:hAnsiTheme="minorHAnsi" w:cstheme="minorHAnsi"/>
          <w:sz w:val="20"/>
          <w:szCs w:val="20"/>
          <w:lang w:val="sr-Latn-ME"/>
        </w:rPr>
        <w:t>je regulisano kroz dvije vladine uredbe kojima se uvodi zakonska obaveza da ministarstva uključe nevladine organizacije i druge predstavnike civilnog društva u radne grupe za razvoj politika sa jasnim kriterijumima. Pored toga, konsultacije sa NGO-a su postale zakonska obaveza za većinu procesa javnog donošenja   odluka, uprkos određenim nedostacima u njegovoj implementaciji. Pored toga, prema zaključcima Specijalne grupe za PAR, MJUDDM ima mandat da sprovodi kontrolu kvaliteta javnih konsultacija/debata na državnom nivou.</w:t>
      </w:r>
    </w:p>
    <w:p w14:paraId="6B0B4E4B" w14:textId="77777777" w:rsidR="0086044A" w:rsidRPr="00F563CD" w:rsidRDefault="0086044A" w:rsidP="0086044A">
      <w:pPr>
        <w:keepNext/>
        <w:keepLines/>
        <w:spacing w:before="200" w:after="0"/>
        <w:outlineLvl w:val="2"/>
        <w:rPr>
          <w:rFonts w:asciiTheme="minorHAnsi" w:hAnsiTheme="minorHAnsi" w:cs="Arial"/>
          <w:b/>
          <w:bCs/>
          <w:color w:val="2DA2BF"/>
          <w:sz w:val="20"/>
          <w:szCs w:val="20"/>
          <w:lang w:val="sr-Latn-ME"/>
        </w:rPr>
      </w:pPr>
      <w:bookmarkStart w:id="27" w:name="_Toc91500256"/>
      <w:r w:rsidRPr="00F563CD">
        <w:rPr>
          <w:rFonts w:asciiTheme="minorHAnsi" w:hAnsiTheme="minorHAnsi" w:cs="Arial"/>
          <w:b/>
          <w:bCs/>
          <w:lang w:val="sr-Latn-ME"/>
        </w:rPr>
        <w:lastRenderedPageBreak/>
        <w:t>DIO 2 – PRIORITETI, CILJEVI I AKCIJE U OKVIRU IPA III PODRŠKE</w:t>
      </w:r>
      <w:bookmarkEnd w:id="27"/>
    </w:p>
    <w:p w14:paraId="2BC7927A" w14:textId="77777777" w:rsidR="0086044A" w:rsidRPr="00F563CD" w:rsidRDefault="0086044A" w:rsidP="0086044A">
      <w:pPr>
        <w:keepNext/>
        <w:keepLines/>
        <w:numPr>
          <w:ilvl w:val="0"/>
          <w:numId w:val="27"/>
        </w:numPr>
        <w:spacing w:before="200" w:after="0"/>
        <w:outlineLvl w:val="1"/>
        <w:rPr>
          <w:rFonts w:asciiTheme="minorHAnsi" w:hAnsiTheme="minorHAnsi" w:cs="Arial"/>
          <w:b/>
          <w:bCs/>
          <w:smallCaps/>
          <w:sz w:val="24"/>
          <w:szCs w:val="24"/>
          <w:lang w:val="sr-Latn-ME"/>
        </w:rPr>
      </w:pPr>
      <w:bookmarkStart w:id="28" w:name="_Toc91500257"/>
      <w:r w:rsidRPr="00F563CD">
        <w:rPr>
          <w:rFonts w:asciiTheme="minorHAnsi" w:hAnsiTheme="minorHAnsi" w:cs="Arial"/>
          <w:b/>
          <w:bCs/>
          <w:smallCaps/>
          <w:sz w:val="24"/>
          <w:szCs w:val="24"/>
          <w:lang w:val="sr-Latn-ME"/>
        </w:rPr>
        <w:t>Proces konsultacija</w:t>
      </w:r>
      <w:bookmarkEnd w:id="28"/>
      <w:r w:rsidRPr="00F563CD">
        <w:rPr>
          <w:rFonts w:asciiTheme="minorHAnsi" w:hAnsiTheme="minorHAnsi" w:cs="Arial"/>
          <w:b/>
          <w:bCs/>
          <w:smallCaps/>
          <w:sz w:val="24"/>
          <w:szCs w:val="24"/>
          <w:lang w:val="sr-Latn-ME"/>
        </w:rPr>
        <w:t xml:space="preserve"> </w:t>
      </w:r>
    </w:p>
    <w:p w14:paraId="224B1648" w14:textId="77777777" w:rsidR="0086044A" w:rsidRPr="00F563CD" w:rsidRDefault="0086044A" w:rsidP="0086044A">
      <w:pPr>
        <w:spacing w:before="60" w:after="60" w:line="240" w:lineRule="auto"/>
        <w:jc w:val="both"/>
        <w:rPr>
          <w:rFonts w:asciiTheme="minorHAnsi" w:hAnsiTheme="minorHAnsi" w:cs="Arial"/>
          <w:sz w:val="20"/>
          <w:szCs w:val="20"/>
          <w:lang w:val="sr-Latn-ME"/>
        </w:rPr>
      </w:pPr>
      <w:r w:rsidRPr="00F563CD">
        <w:rPr>
          <w:rFonts w:asciiTheme="minorHAnsi" w:hAnsiTheme="minorHAnsi"/>
          <w:sz w:val="20"/>
          <w:szCs w:val="20"/>
          <w:lang w:val="sr-Latn-ME"/>
        </w:rPr>
        <w:t xml:space="preserve">Nakon što je Kancelarija NIPAKA-a pružila  inicijalni input, pokrenute su široke konsultacije na strateškom i operativnom nivou i distribuirani su svi relevantni Opisi projekata u oblastima PAR i PFM. MJUDDM i MFSS, kao identifikovani akteri za Prozor 2, TP1, inicirali su konsultacije za pripremu Strateškog dokumenta. Prvo su organizovane interne konsultacije u okviru relevantnih ministarstava i odjeljenja za međunarodnu saradnju. Drugo, u saradnji sa kancelarijom NIPAKA-a, dva ministarstva, kao i sve povezane uprave i agencije što čini (ukupno 16 zainteresovanih strana) za Prozor 2, TP1 su identifikovane te su osnovane dvije radne grupe. Radne grupe su međusobno povezane i njihov rad je fokusiran na razvoj Strateškog odgovora (SR), posebno na II dio – definisanje prioriteta i akcija za IPA III programski ciklus. Sprovedene su, između ostalog, široke konsultacije, pojedinačni intervjui i sastanci radne grupe, dijeljenje materijala i informacija kroz fokusirane diskusije, sa ciljem razvoja prioriteta za relevantne programske godine. U skladu sa Vladinim zaključkom iz jula 2021. godine, osnovana je Radna grupa za programiranje IPA III za Prozor II. RG se sastoji od 26 članova institucija pod čijim su pokroviteljstvom politike relevantne za dalji razvoj SR za Prozor II. </w:t>
      </w:r>
      <w:r w:rsidRPr="00F563CD">
        <w:rPr>
          <w:rFonts w:asciiTheme="minorHAnsi" w:hAnsiTheme="minorHAnsi" w:cs="Arial"/>
          <w:sz w:val="20"/>
          <w:szCs w:val="20"/>
          <w:lang w:val="sr-Latn-ME"/>
        </w:rPr>
        <w:t>Koordinator ove RG je Ministarstvo javne uprave, digitalnog društva i medija. Sprovedene su fokusirane konsultacije sa ciljem prikupljanja i analize inputa zainteresovanih strana. Identifikovani prioriteti u narednom dijelu za IPA III podršku su usklađeni sa relevantnim strateškim ciljevima u ukupnim oblastima PAR i PFM. U poslednjoj fazi odobrenja strategija, oba dokumenta će biti predmet javne debate u skladu sa zakonskim propisima, prije njihovog konačnog usvajanja od strane Vlade Crne Gore.</w:t>
      </w:r>
    </w:p>
    <w:p w14:paraId="35A29855" w14:textId="77777777" w:rsidR="0086044A" w:rsidRPr="00F563CD" w:rsidRDefault="0086044A" w:rsidP="0086044A">
      <w:pPr>
        <w:spacing w:line="240" w:lineRule="auto"/>
        <w:jc w:val="both"/>
        <w:rPr>
          <w:rFonts w:asciiTheme="minorHAnsi" w:hAnsiTheme="minorHAnsi" w:cs="Arial"/>
          <w:i/>
          <w:sz w:val="20"/>
          <w:szCs w:val="20"/>
          <w:lang w:val="sr-Latn-ME"/>
        </w:rPr>
      </w:pPr>
    </w:p>
    <w:p w14:paraId="39BAB5FE" w14:textId="77777777" w:rsidR="0086044A" w:rsidRPr="00F563CD" w:rsidRDefault="0086044A" w:rsidP="0086044A">
      <w:pPr>
        <w:keepNext/>
        <w:keepLines/>
        <w:numPr>
          <w:ilvl w:val="0"/>
          <w:numId w:val="27"/>
        </w:numPr>
        <w:spacing w:before="200" w:after="0"/>
        <w:outlineLvl w:val="1"/>
        <w:rPr>
          <w:rFonts w:asciiTheme="minorHAnsi" w:hAnsiTheme="minorHAnsi" w:cs="Arial"/>
          <w:b/>
          <w:bCs/>
          <w:smallCaps/>
          <w:sz w:val="24"/>
          <w:szCs w:val="24"/>
          <w:lang w:val="sr-Latn-ME"/>
        </w:rPr>
      </w:pPr>
      <w:bookmarkStart w:id="29" w:name="_Toc91500258"/>
      <w:r w:rsidRPr="00F563CD">
        <w:rPr>
          <w:rFonts w:asciiTheme="minorHAnsi" w:hAnsiTheme="minorHAnsi" w:cs="Arial"/>
          <w:b/>
          <w:bCs/>
          <w:smallCaps/>
          <w:sz w:val="24"/>
          <w:szCs w:val="24"/>
          <w:lang w:val="sr-Latn-ME"/>
        </w:rPr>
        <w:t>Ključni tematski prioriteti</w:t>
      </w:r>
      <w:bookmarkEnd w:id="29"/>
    </w:p>
    <w:p w14:paraId="4AE4A531" w14:textId="77777777" w:rsidR="0086044A" w:rsidRPr="00F563CD" w:rsidRDefault="0086044A" w:rsidP="0086044A">
      <w:pPr>
        <w:spacing w:line="240" w:lineRule="auto"/>
        <w:jc w:val="both"/>
        <w:rPr>
          <w:rFonts w:asciiTheme="minorHAnsi" w:hAnsiTheme="minorHAnsi" w:cs="Arial"/>
          <w:b/>
          <w:bCs/>
          <w:i/>
          <w:iCs/>
          <w:sz w:val="20"/>
          <w:szCs w:val="20"/>
          <w:lang w:val="sr-Latn-ME"/>
        </w:rPr>
      </w:pPr>
      <w:r w:rsidRPr="00F563CD">
        <w:rPr>
          <w:rFonts w:asciiTheme="minorHAnsi" w:hAnsiTheme="minorHAnsi" w:cs="Arial"/>
          <w:b/>
          <w:bCs/>
          <w:i/>
          <w:iCs/>
          <w:sz w:val="20"/>
          <w:szCs w:val="20"/>
          <w:lang w:val="sr-Latn-ME"/>
        </w:rPr>
        <w:t>Ključni tematski prioriteti odabrani za podršku u periodu 2021.-2024. godine su:</w:t>
      </w:r>
    </w:p>
    <w:p w14:paraId="40A2336D" w14:textId="77777777" w:rsidR="0086044A" w:rsidRPr="00F563CD" w:rsidRDefault="0086044A" w:rsidP="0086044A">
      <w:pPr>
        <w:spacing w:line="240" w:lineRule="auto"/>
        <w:jc w:val="both"/>
        <w:rPr>
          <w:rFonts w:asciiTheme="minorHAnsi" w:hAnsiTheme="minorHAnsi" w:cs="Arial"/>
          <w:b/>
          <w:bCs/>
          <w:i/>
          <w:iCs/>
          <w:sz w:val="20"/>
          <w:szCs w:val="20"/>
          <w:lang w:val="sr-Latn-ME"/>
        </w:rPr>
      </w:pPr>
      <w:r w:rsidRPr="00F563CD">
        <w:rPr>
          <w:rFonts w:asciiTheme="minorHAnsi" w:hAnsiTheme="minorHAnsi" w:cs="Arial"/>
          <w:b/>
          <w:bCs/>
          <w:i/>
          <w:iCs/>
          <w:sz w:val="20"/>
          <w:szCs w:val="20"/>
          <w:lang w:val="sr-Latn-ME"/>
        </w:rPr>
        <w:t xml:space="preserve">Tematski prioritet 1: Dobro upravljanje </w:t>
      </w:r>
    </w:p>
    <w:p w14:paraId="299BA248" w14:textId="77777777" w:rsidR="0086044A" w:rsidRPr="00F563CD" w:rsidRDefault="0086044A" w:rsidP="0086044A">
      <w:pPr>
        <w:spacing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Jedan od specifičnih ciljeva podrške IPA III u oblasti dobrog upravljanja je modernizacija javnih administracija na svim nivoima vlasti, jačanje statističkih sistema i ekonomskog upravljanja i time doprinos održivom rastu i poboljšanju konkurentnosti.</w:t>
      </w:r>
    </w:p>
    <w:p w14:paraId="52AD7B26" w14:textId="77777777" w:rsidR="0086044A" w:rsidRPr="00F563CD" w:rsidRDefault="0086044A" w:rsidP="0086044A">
      <w:pPr>
        <w:spacing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Stoga reforma javne administracije (PAR) predstavlja jednu od osnova politike proširenja i nastaviće da bude  prioritet. Odgovorna, transparentna i visoko funkcionalna javna administracija nije samo demokratsko pravo građana već i garant pružanja kvalitetnih usluga i ključni pokretač ekonomskog rasta i konkurentnosti. Reforma javne administracije je nedjeljivo povezana sa vladavinom zakona, posebno sa sprečavanjem korupcije, jer se njome povećava transparentnost, predvidljivost i odgovornost rada vlade. Ona je takođe ključna u promovisanju rodne ravnopravnosti i osnaživanju žena.  Pored toga, upravljanje javnim finansijama (PFM) predstavlja sastavni dio reforme javne administracije,  a ključni prioritet biće podrška korisnicima IPA III da sprovedu i nadograde svoje reformske strategije kako bi osigurali fiskalnu održivost i čvrsto upravljanje javnim finansijama kao što se primjenjuje u EU. Obzirom na to da su obje strategije, PAR Strategija i PFM program istekli 2020. godine, nove su u razvoju, a predložena akcija u okviru programa IPA 2022. podržaće aktivnosti koje će obje strategije predvidjeti.</w:t>
      </w:r>
    </w:p>
    <w:p w14:paraId="645A3639" w14:textId="77777777" w:rsidR="0086044A" w:rsidRPr="00F563CD" w:rsidRDefault="0086044A" w:rsidP="0086044A">
      <w:pPr>
        <w:spacing w:line="240" w:lineRule="auto"/>
        <w:jc w:val="both"/>
        <w:rPr>
          <w:rFonts w:asciiTheme="minorHAnsi" w:hAnsiTheme="minorHAnsi" w:cs="Arial"/>
          <w:b/>
          <w:bCs/>
          <w:i/>
          <w:iCs/>
          <w:sz w:val="20"/>
          <w:szCs w:val="20"/>
          <w:lang w:val="sr-Latn-ME"/>
        </w:rPr>
      </w:pPr>
      <w:r w:rsidRPr="00F563CD">
        <w:rPr>
          <w:rFonts w:asciiTheme="minorHAnsi" w:hAnsiTheme="minorHAnsi" w:cs="Arial"/>
          <w:b/>
          <w:bCs/>
          <w:i/>
          <w:iCs/>
          <w:sz w:val="20"/>
          <w:szCs w:val="20"/>
          <w:lang w:val="sr-Latn-ME"/>
        </w:rPr>
        <w:t xml:space="preserve">Tematski prioritet 2: Administrativni kapaciteti i usklađivanje sa pravnom tekovinom EU </w:t>
      </w:r>
    </w:p>
    <w:p w14:paraId="73DF053E" w14:textId="77777777" w:rsidR="0086044A" w:rsidRPr="00F563CD" w:rsidRDefault="0086044A" w:rsidP="0086044A">
      <w:pPr>
        <w:spacing w:line="240" w:lineRule="auto"/>
        <w:jc w:val="both"/>
        <w:rPr>
          <w:rFonts w:asciiTheme="minorHAnsi" w:hAnsiTheme="minorHAnsi" w:cs="Arial"/>
          <w:bCs/>
          <w:sz w:val="20"/>
          <w:szCs w:val="20"/>
          <w:lang w:val="sr-Latn-ME" w:eastAsia="sr-Latn-CS"/>
        </w:rPr>
      </w:pPr>
      <w:r w:rsidRPr="00F563CD">
        <w:rPr>
          <w:rFonts w:asciiTheme="minorHAnsi" w:hAnsiTheme="minorHAnsi" w:cs="Arial"/>
          <w:sz w:val="20"/>
          <w:szCs w:val="20"/>
          <w:lang w:val="sr-Latn-ME" w:eastAsia="sr-Latn-CS"/>
        </w:rPr>
        <w:t xml:space="preserve">Predložene Akcije su usmjerene na </w:t>
      </w:r>
      <w:r w:rsidRPr="00F563CD">
        <w:rPr>
          <w:rFonts w:asciiTheme="minorHAnsi" w:hAnsiTheme="minorHAnsi" w:cs="Arial"/>
          <w:b/>
          <w:sz w:val="20"/>
          <w:szCs w:val="20"/>
          <w:lang w:val="sr-Latn-ME" w:eastAsia="sr-Latn-CS"/>
        </w:rPr>
        <w:t>izgradnju kapaciteta u Agenciji za nadzor osiguranja</w:t>
      </w:r>
      <w:r w:rsidRPr="00F563CD">
        <w:rPr>
          <w:rFonts w:asciiTheme="minorHAnsi" w:hAnsiTheme="minorHAnsi" w:cs="Arial"/>
          <w:sz w:val="20"/>
          <w:szCs w:val="20"/>
          <w:lang w:val="sr-Latn-ME" w:eastAsia="sr-Latn-CS"/>
        </w:rPr>
        <w:t xml:space="preserve"> i zasnivaju se na specifičnom cilju obezbjeđivanja adekvatnih administrativnih kapaciteta za sprovođenje i jačanje pravne tekovine  i usklađivanju nadzornih procedura i prakse sa uobičajenom praksom u zemljama članicama EU i smjernicama koje je razvila EIOPA. Cilj je u potpunosti koherentan sa pregovaračkim okvirom Crne Gore i završnim mjerilima Pregovaračkog poglavlja 9 - Finansijske usluge koje se odnose na obezbjeđivanje adekvatnih administrativnih kapaciteta za potpunu implementaciju i sprovođenje pravne tekovine, kao i praksu nadzora u ovoj oblasti (Solventnost Ii okvir).</w:t>
      </w:r>
      <w:r w:rsidRPr="00F563CD">
        <w:rPr>
          <w:rFonts w:asciiTheme="minorHAnsi" w:hAnsiTheme="minorHAnsi"/>
          <w:lang w:val="sr-Latn-ME"/>
        </w:rPr>
        <w:t xml:space="preserve"> </w:t>
      </w:r>
      <w:r w:rsidRPr="00F563CD">
        <w:rPr>
          <w:rFonts w:asciiTheme="minorHAnsi" w:hAnsiTheme="minorHAnsi" w:cs="Arial"/>
          <w:sz w:val="20"/>
          <w:szCs w:val="20"/>
          <w:lang w:val="sr-Latn-ME" w:eastAsia="sr-Latn-CS"/>
        </w:rPr>
        <w:t xml:space="preserve"> Dodatno, on podrazumijeva razvoj IT sistema sa ciljem automatizacije obrade podataka o nadzoru, kao i jačanja kapaciteta za bonitetnu  regulativu ISA u skladu sa uobičajenom praksom u zemljama članicama EU, kroz razvoj sistema ranog upozoravanja za tržište osiguranja.</w:t>
      </w:r>
    </w:p>
    <w:p w14:paraId="4DD901E0" w14:textId="77777777" w:rsidR="0086044A" w:rsidRPr="00F563CD" w:rsidRDefault="0086044A" w:rsidP="0086044A">
      <w:pPr>
        <w:spacing w:line="240" w:lineRule="auto"/>
        <w:jc w:val="both"/>
        <w:rPr>
          <w:rFonts w:asciiTheme="minorHAnsi" w:hAnsiTheme="minorHAnsi" w:cs="Arial"/>
          <w:sz w:val="20"/>
          <w:szCs w:val="20"/>
          <w:lang w:val="sr-Latn-ME" w:eastAsia="sr-Latn-CS"/>
        </w:rPr>
      </w:pPr>
      <w:r w:rsidRPr="00F563CD">
        <w:rPr>
          <w:rFonts w:asciiTheme="minorHAnsi" w:hAnsiTheme="minorHAnsi" w:cs="Arial"/>
          <w:sz w:val="20"/>
          <w:szCs w:val="20"/>
          <w:lang w:val="sr-Latn-ME" w:eastAsia="sr-Latn-CS"/>
        </w:rPr>
        <w:t xml:space="preserve">Predložena Akcija za </w:t>
      </w:r>
      <w:r w:rsidRPr="00F563CD">
        <w:rPr>
          <w:rFonts w:asciiTheme="minorHAnsi" w:hAnsiTheme="minorHAnsi" w:cs="Arial"/>
          <w:b/>
          <w:sz w:val="20"/>
          <w:szCs w:val="20"/>
          <w:lang w:val="sr-Latn-ME" w:eastAsia="sr-Latn-CS"/>
        </w:rPr>
        <w:t>izgradnju kapaciteta u Centralnoj banci Crne Gore</w:t>
      </w:r>
      <w:r w:rsidRPr="00F563CD">
        <w:rPr>
          <w:rFonts w:asciiTheme="minorHAnsi" w:hAnsiTheme="minorHAnsi" w:cs="Arial"/>
          <w:sz w:val="20"/>
          <w:szCs w:val="20"/>
          <w:lang w:val="sr-Latn-ME" w:eastAsia="sr-Latn-CS"/>
        </w:rPr>
        <w:t xml:space="preserve"> za 2023. godinu ima za cilj dalje jačanje institucionalnih i administrativnih kapaciteta i time unaprijeđenje efikasnosti, odgovornosti i bezbjednosti finansijskog sektora u Crnoj Gori. Cilj ove Akcije je direktno povezan sa </w:t>
      </w:r>
      <w:r w:rsidRPr="00F563CD">
        <w:rPr>
          <w:rFonts w:asciiTheme="minorHAnsi" w:hAnsiTheme="minorHAnsi" w:cs="Arial"/>
          <w:bCs/>
          <w:sz w:val="20"/>
          <w:szCs w:val="20"/>
          <w:lang w:val="sr-Latn-ME"/>
        </w:rPr>
        <w:t>završnim mjerilima</w:t>
      </w:r>
      <w:r w:rsidRPr="00F563CD">
        <w:rPr>
          <w:rFonts w:asciiTheme="minorHAnsi" w:hAnsiTheme="minorHAnsi" w:cs="Arial"/>
          <w:sz w:val="20"/>
          <w:szCs w:val="20"/>
          <w:lang w:val="sr-Latn-ME" w:eastAsia="sr-Latn-CS"/>
        </w:rPr>
        <w:t xml:space="preserve"> Pregovaračkog poglavlja 9 - Finansijske usluge koje se odnose na obezbjeđivanje adekvatnih administrativnih kapaciteta za implementaciju i sprovođenje pravne tekovine u ovoj oblasti i održivosti na duži rok.  Pored toga, jedno od završnih mjerila  za zatvaranje Pregovaračkog poglavlja 17 - Ekonomska i monetarna politika, podrazumijeva usklađivanje pravnog okvira Centralne banke kako bi se osigurala potpuna nezavisnost Centralne banke i omogućila potpuna integracija sa ESCB.</w:t>
      </w:r>
    </w:p>
    <w:p w14:paraId="1929CD03" w14:textId="77777777" w:rsidR="0086044A" w:rsidRPr="00F563CD" w:rsidRDefault="0086044A" w:rsidP="0086044A">
      <w:pPr>
        <w:spacing w:line="240" w:lineRule="auto"/>
        <w:jc w:val="both"/>
        <w:rPr>
          <w:rFonts w:asciiTheme="minorHAnsi" w:hAnsiTheme="minorHAnsi" w:cs="Arial"/>
          <w:bCs/>
          <w:sz w:val="20"/>
          <w:szCs w:val="20"/>
          <w:lang w:val="sr-Latn-ME" w:eastAsia="sr-Latn-CS"/>
        </w:rPr>
      </w:pPr>
      <w:r w:rsidRPr="00F563CD">
        <w:rPr>
          <w:rFonts w:asciiTheme="minorHAnsi" w:hAnsiTheme="minorHAnsi" w:cs="Arial"/>
          <w:bCs/>
          <w:sz w:val="20"/>
          <w:szCs w:val="20"/>
          <w:lang w:val="sr-Latn-ME" w:eastAsia="sr-Latn-CS"/>
        </w:rPr>
        <w:t xml:space="preserve">Ciljevi predloženih akcija u potpunosti su u skladu sa specifičnim ciljem Tematskog prioriteta 2, a to je da se politika i zakonodavstvo korisnika usklade sa politikom EU i pravnom tekovinom EU i da se izgrade administrativni kapaciteti za </w:t>
      </w:r>
      <w:r w:rsidRPr="00F563CD">
        <w:rPr>
          <w:rFonts w:asciiTheme="minorHAnsi" w:hAnsiTheme="minorHAnsi" w:cs="Arial"/>
          <w:bCs/>
          <w:sz w:val="20"/>
          <w:szCs w:val="20"/>
          <w:lang w:val="sr-Latn-ME" w:eastAsia="sr-Latn-CS"/>
        </w:rPr>
        <w:lastRenderedPageBreak/>
        <w:t>potpuno i efikasno sprovođenje sektorskih politika i usvojenog zakonodavstva, izgradnjom sposobnosti korisnika da preuzmu obaveze članstva,  kao i napore za digitalizaciju.</w:t>
      </w:r>
    </w:p>
    <w:p w14:paraId="73AAAF5F" w14:textId="77777777" w:rsidR="0086044A" w:rsidRPr="00F563CD" w:rsidRDefault="0086044A" w:rsidP="0086044A">
      <w:pPr>
        <w:spacing w:line="240" w:lineRule="auto"/>
        <w:jc w:val="both"/>
        <w:rPr>
          <w:rFonts w:asciiTheme="minorHAnsi" w:hAnsiTheme="minorHAnsi" w:cs="Arial"/>
          <w:bCs/>
          <w:sz w:val="20"/>
          <w:szCs w:val="20"/>
          <w:lang w:val="sr-Latn-ME" w:eastAsia="sr-Latn-CS"/>
        </w:rPr>
      </w:pPr>
      <w:r w:rsidRPr="00F563CD">
        <w:rPr>
          <w:rFonts w:asciiTheme="minorHAnsi" w:hAnsiTheme="minorHAnsi" w:cs="Arial"/>
          <w:bCs/>
          <w:sz w:val="20"/>
          <w:szCs w:val="20"/>
          <w:lang w:val="sr-Latn-ME" w:eastAsia="sr-Latn-CS"/>
        </w:rPr>
        <w:t>Predložene akcije u oblasti carine i poreza su potpuno u skladu sa ciljevima Tematskog prioriteta 1: Dobro upravljanje i Tematskog prioriteta 2: Administrativni kapaciteti i usklađivanja pravne tekovine EU. Ove akcije će doprinijeti daljem jačanju kapaciteta Uprave prihoda i carina i ispunjavanju obaveza koje proizilaze iz pristupnih pregovora za Poglavlja 29 i 16 Oporezivanje. Imajući u vidu da je primjena elektronskih carinskih i poreskih sistema obavezna i da isti moraju da budu operativni prije dana pristupanja Crne Gore EU,  predviđena je akcija koja ima za cilj implementaciju/nadogradnju TARICG-a na najnoviju verziju EU TARIC-a i srodnih sistema ITMS-a kao i implementaciju AIS i AES sistema, Održavanje i nadogradnju Novog kompjuterizovanog tranzitnog sistema (NCTS Faza 6),</w:t>
      </w:r>
      <w:r w:rsidRPr="00F563CD">
        <w:rPr>
          <w:rFonts w:asciiTheme="minorHAnsi" w:hAnsiTheme="minorHAnsi"/>
          <w:lang w:val="sr-Latn-ME"/>
        </w:rPr>
        <w:t xml:space="preserve"> </w:t>
      </w:r>
      <w:r w:rsidRPr="00F563CD">
        <w:rPr>
          <w:rFonts w:asciiTheme="minorHAnsi" w:hAnsiTheme="minorHAnsi" w:cs="Arial"/>
          <w:bCs/>
          <w:sz w:val="20"/>
          <w:szCs w:val="20"/>
          <w:lang w:val="sr-Latn-ME" w:eastAsia="sr-Latn-CS"/>
        </w:rPr>
        <w:t>uvođenje računovodstvenih procesa i implementacija sistema za vođenje tradicionalnih vlastitih sredstava na A &amp;B računima, implementaciju Sistema za registraciju i identifikacioni broj poslovnih subjekata, implementaciju automatizovanog postupka razmjene informacija o PDV-u i sistema kontrole kretanja akciza ( akcizne robe) u Upravi prihoda i carina , su u skladu sa obavezama iz Poglavlja 29 i Poglavlja 16 i biće planirane i sprovedene u bliskoj saradnji sa  DG TAXUD.</w:t>
      </w:r>
    </w:p>
    <w:p w14:paraId="7616D40F" w14:textId="77777777" w:rsidR="0086044A" w:rsidRPr="00F563CD" w:rsidRDefault="0086044A" w:rsidP="0086044A">
      <w:pPr>
        <w:tabs>
          <w:tab w:val="left" w:pos="2340"/>
        </w:tabs>
        <w:spacing w:before="60" w:after="60" w:line="240" w:lineRule="auto"/>
        <w:jc w:val="both"/>
        <w:rPr>
          <w:rFonts w:asciiTheme="minorHAnsi" w:eastAsia="Calibri" w:hAnsiTheme="minorHAnsi" w:cs="Arial"/>
          <w:iCs/>
          <w:sz w:val="20"/>
          <w:szCs w:val="20"/>
          <w:lang w:val="sr-Latn-ME"/>
        </w:rPr>
      </w:pPr>
      <w:r w:rsidRPr="00F563CD">
        <w:rPr>
          <w:rFonts w:asciiTheme="minorHAnsi" w:eastAsia="Calibri" w:hAnsiTheme="minorHAnsi" w:cs="Arial"/>
          <w:iCs/>
          <w:sz w:val="20"/>
          <w:szCs w:val="20"/>
          <w:lang w:val="sr-Latn-ME"/>
        </w:rPr>
        <w:t xml:space="preserve">Predložene Akcije za IPA III programski period zasnivaju se na razvijenoj sveobuhvatnoj situacionoj analizi, uključujući SWOT i analizu zainteresovanih strana za svaki </w:t>
      </w:r>
      <w:r w:rsidRPr="00F563CD">
        <w:rPr>
          <w:rFonts w:asciiTheme="minorHAnsi" w:eastAsia="Calibri" w:hAnsiTheme="minorHAnsi" w:cs="Arial"/>
          <w:b/>
          <w:iCs/>
          <w:sz w:val="20"/>
          <w:szCs w:val="20"/>
          <w:lang w:val="sr-Latn-ME"/>
        </w:rPr>
        <w:t>strateški sektor PAR</w:t>
      </w:r>
      <w:r w:rsidRPr="00F563CD">
        <w:rPr>
          <w:rFonts w:asciiTheme="minorHAnsi" w:eastAsia="Calibri" w:hAnsiTheme="minorHAnsi" w:cs="Arial"/>
          <w:iCs/>
          <w:sz w:val="20"/>
          <w:szCs w:val="20"/>
          <w:lang w:val="sr-Latn-ME"/>
        </w:rPr>
        <w:t>. Ključni tematski prioriteti su unaprijeđenje javnih organizacionih postavki na svim nivoima, profesionalizacija upravljanja ljudskim resursima na centralnom kao i na lokalnom nivou, unaprijeđenje javnih usluga orijentisanih na građane, povećanje transparentnosti javnih institucija i unaprijeđenje koordinacije politika.  Pored toga, ova Akcija će se, između ostalog, baviti prenosom ovlašćenja, reorganizacijom ka efikasnijim procesima u javnim institucijama, unaprijeđenjem kvaliteta HR podataka, profesionalnim razvojem javnih službenika, depolitizacijom državne službe, dostupnošću pouzdanih e-usluga dobrog kvaliteta, praćenjem zadovoljstva građana javnim službama, proaktivnim objavljivanjem informacija, profesionalizacijom Agencije za zaštitu podataka i slobodni pristup informacijama,  daljom decentralizacijom LSG jedinica, kao i povezivanjem planiranja javne politike i upravljanja budžetskim ciklusom, donošenjem odluka zasnovanih na činjenicama i poboljšanjem institucionalnih mehanizama izvještavanja i praćenja, kao i drugim komplementarnim zadacima.</w:t>
      </w:r>
    </w:p>
    <w:p w14:paraId="64D229B9" w14:textId="77777777" w:rsidR="0086044A" w:rsidRPr="00F563CD" w:rsidRDefault="0086044A" w:rsidP="0086044A">
      <w:pPr>
        <w:spacing w:before="60" w:after="60" w:line="240" w:lineRule="auto"/>
        <w:jc w:val="both"/>
        <w:rPr>
          <w:rFonts w:asciiTheme="minorHAnsi" w:hAnsiTheme="minorHAnsi"/>
          <w:lang w:val="sr-Latn-ME"/>
        </w:rPr>
      </w:pPr>
      <w:r w:rsidRPr="00F563CD">
        <w:rPr>
          <w:rFonts w:asciiTheme="minorHAnsi" w:hAnsiTheme="minorHAnsi" w:cs="Arial"/>
          <w:sz w:val="20"/>
          <w:szCs w:val="20"/>
          <w:lang w:val="sr-Latn-ME"/>
        </w:rPr>
        <w:t xml:space="preserve">Predložena akcija u okviru </w:t>
      </w:r>
      <w:r w:rsidRPr="00F563CD">
        <w:rPr>
          <w:rFonts w:asciiTheme="minorHAnsi" w:hAnsiTheme="minorHAnsi" w:cs="Arial"/>
          <w:b/>
          <w:sz w:val="20"/>
          <w:szCs w:val="20"/>
          <w:lang w:val="sr-Latn-ME"/>
        </w:rPr>
        <w:t>PFM strateškog sektora</w:t>
      </w:r>
      <w:r w:rsidRPr="00F563CD">
        <w:rPr>
          <w:rFonts w:asciiTheme="minorHAnsi" w:hAnsiTheme="minorHAnsi" w:cs="Arial"/>
          <w:sz w:val="20"/>
          <w:szCs w:val="20"/>
          <w:lang w:val="sr-Latn-ME"/>
        </w:rPr>
        <w:t xml:space="preserve"> će se fokusirati na održivi fiskalni okvir, planiranje, izvršenje i budžetiranje javnih rashoda. Tokom IPA III programskog perioda, akcenat će biti stavljen na unaprijeđenje srednjoročnog budžetskog planiranja sa boljom korelacijom između sektorski zasnovanih strategija i srednjoročnog finansijskog planiranja, t.j. strateških ciljeva Vlade i ciljeva budžetskih programa. Unaprijeđenje efikasnog sistema mjerenja performansi budžetskih korisnika iz ugla povećanja efikasnosti javne potrošnje i transparentnosti će biti dio relevantne PFM akcije. Od ključnog je značaja usresređivanje na unaprijeđenje upravljanja prihodima, a biće uloženi dalji napori u smanjenje administrativnih barijera za usklađenost poreza, kontinuirani razvoj administrativnih kapaciteta Uprave prihoda, neophodnih za harmonizaciju sa procesom evropskih integracija i drugim međunarodnim obavezama.</w:t>
      </w:r>
      <w:r w:rsidRPr="00F563CD">
        <w:rPr>
          <w:rFonts w:asciiTheme="minorHAnsi" w:hAnsiTheme="minorHAnsi"/>
          <w:lang w:val="sr-Latn-ME"/>
        </w:rPr>
        <w:t xml:space="preserve"> </w:t>
      </w:r>
      <w:r w:rsidRPr="00F563CD">
        <w:rPr>
          <w:rFonts w:asciiTheme="minorHAnsi" w:hAnsiTheme="minorHAnsi" w:cs="Arial"/>
          <w:sz w:val="20"/>
          <w:szCs w:val="20"/>
          <w:lang w:val="sr-Latn-ME"/>
        </w:rPr>
        <w:t>Među različitim institucijama u PFM sektoru, identifikovani su slijedeći ključni prioriteti u okviru ove Akcije: obezbeđivanje preciznijih ekonomskih prognoza, makroekonomskih trendova i analiza sektorskih reformi, poboljšanje kapitalnog budžetiranja i upravljanja javnim ulaganjima, unapređenje sistema budžetskog računovodstva i finansijskog izveštavanja, izgradnja kapaciteta i unapređenje procedura u oblasti uprave zemljištem,  unapređenje katastarskog informacionog sistema, upravljanje dugom, dinamičan razvoj e-usluga, sprečavanje poreskih gubitaka, nepravilnosti i prevara, smanjenje poreskih malverzacija i utaja što konsekventno doprinos povećanju fiskalnih prihoda, punoj implementaciji Interna finansijska kontrola u javnom sektoru (Public Internal Financial Control – PIFC) u skladu sa nacionalnim zakonodavstvom i najboljom međunarodnom praksom, unaprijeđenju carinske administracije i mehanizma državne pomoći, daljem razvoju metodologije revizije i revizija procesa upravljanja DRI-a.</w:t>
      </w:r>
      <w:r w:rsidRPr="00F563CD">
        <w:rPr>
          <w:rFonts w:asciiTheme="minorHAnsi" w:hAnsiTheme="minorHAnsi"/>
          <w:lang w:val="sr-Latn-ME"/>
        </w:rPr>
        <w:t xml:space="preserve"> </w:t>
      </w:r>
    </w:p>
    <w:p w14:paraId="6D979C29" w14:textId="77777777" w:rsidR="0086044A" w:rsidRPr="00F563CD" w:rsidRDefault="0086044A" w:rsidP="0086044A">
      <w:pPr>
        <w:spacing w:before="60" w:after="60" w:line="240" w:lineRule="auto"/>
        <w:jc w:val="both"/>
        <w:rPr>
          <w:rFonts w:asciiTheme="minorHAnsi" w:hAnsiTheme="minorHAnsi" w:cs="Arial"/>
          <w:b/>
          <w:sz w:val="20"/>
          <w:szCs w:val="20"/>
          <w:lang w:val="sr-Latn-ME"/>
        </w:rPr>
      </w:pPr>
      <w:r w:rsidRPr="00F563CD">
        <w:rPr>
          <w:rFonts w:asciiTheme="minorHAnsi" w:hAnsiTheme="minorHAnsi" w:cs="Arial"/>
          <w:sz w:val="20"/>
          <w:szCs w:val="20"/>
          <w:lang w:val="sr-Latn-ME"/>
        </w:rPr>
        <w:t xml:space="preserve">Dalji razvoj </w:t>
      </w:r>
      <w:r w:rsidRPr="00F563CD">
        <w:rPr>
          <w:rFonts w:asciiTheme="minorHAnsi" w:hAnsiTheme="minorHAnsi" w:cs="Arial"/>
          <w:b/>
          <w:sz w:val="20"/>
          <w:szCs w:val="20"/>
          <w:lang w:val="sr-Latn-ME"/>
        </w:rPr>
        <w:t>sistema javnih nabavki</w:t>
      </w:r>
      <w:r w:rsidRPr="00F563CD">
        <w:rPr>
          <w:rFonts w:asciiTheme="minorHAnsi" w:hAnsiTheme="minorHAnsi" w:cs="Arial"/>
          <w:sz w:val="20"/>
          <w:szCs w:val="20"/>
          <w:lang w:val="sr-Latn-ME"/>
        </w:rPr>
        <w:t xml:space="preserve"> u okviru ove Akcije je fokusiran na postizanje održivosti, jačanje efikasnosti i funkcionalnosti PP sistema. Prioriteti i ciljevi razvoja  sistema javnih nabavki su Podizanje svijesti o značaju sistema javnih nabavki, pravilna primjena zakonodavstva u ovoj oblasti, unapređenje administrativnih kapaciteta i uspostavljanje efikasnih mehanizama za koordinaciju i konsultacije, profesionalizacija i izgradnja operativnih kapaciteta na nivou ugovaračkog tijela, Jačanje institucionalnih i operativnih kapaciteta ključnih aktera u cilju efikasne podrške sprovođenju pravnog okvira Koncesija/JPP.</w:t>
      </w:r>
    </w:p>
    <w:p w14:paraId="6C4EB7B2" w14:textId="77777777" w:rsidR="0086044A" w:rsidRPr="00F563CD" w:rsidRDefault="0086044A" w:rsidP="0086044A">
      <w:pPr>
        <w:spacing w:before="60" w:after="6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 xml:space="preserve">Predložena Akcija će takođe podržati edukaciju statističara, inovativna rešenja, korišćenje novih izvora podataka, dalje usklađivanje </w:t>
      </w:r>
      <w:r w:rsidRPr="00F563CD">
        <w:rPr>
          <w:rFonts w:asciiTheme="minorHAnsi" w:hAnsiTheme="minorHAnsi" w:cs="Arial"/>
          <w:b/>
          <w:sz w:val="20"/>
          <w:szCs w:val="20"/>
          <w:lang w:val="sr-Latn-ME"/>
        </w:rPr>
        <w:t>zvanične statistike</w:t>
      </w:r>
      <w:r w:rsidRPr="00F563CD">
        <w:rPr>
          <w:rFonts w:asciiTheme="minorHAnsi" w:hAnsiTheme="minorHAnsi" w:cs="Arial"/>
          <w:sz w:val="20"/>
          <w:szCs w:val="20"/>
          <w:lang w:val="sr-Latn-ME"/>
        </w:rPr>
        <w:t xml:space="preserve"> sa međunarodnim standardima i principima Evropskog statističkog kodeksa prakse. Ova akcija će pomoći da se svim korisnicima pruže kvantitativne i reprezentativne informacije o ekonomskim, demografskim, socijalnim uslovima i uslovima životne sredine uslovima u Crnoj Gori, u skladu sa međunarodno definisanom metodologijom i najvišim profesionalnim standardima, kroz uspostavljanje kontinuiranog dijaloga sa korisnicima podataka, dalju harmonizaciju i inovacije zvanične statistike sa međunarodnim standardima/preporukama, kreiranje novih izvora podataka za proizvodnju zvanične statistike i  razvoj IT integrisanog sistema za prikupljanje, obradu, objavljivanje i dokumentovanje rezultata zvanične statistike.</w:t>
      </w:r>
    </w:p>
    <w:p w14:paraId="22EA0999" w14:textId="77777777" w:rsidR="0086044A" w:rsidRPr="00F563CD" w:rsidRDefault="0086044A" w:rsidP="0086044A">
      <w:pPr>
        <w:spacing w:before="60" w:after="6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 xml:space="preserve">Potpuna implementacija prioritetnih reformskih mjera iz </w:t>
      </w:r>
      <w:r w:rsidRPr="00F563CD">
        <w:rPr>
          <w:rFonts w:asciiTheme="minorHAnsi" w:hAnsiTheme="minorHAnsi" w:cs="Arial"/>
          <w:b/>
          <w:sz w:val="20"/>
          <w:szCs w:val="20"/>
          <w:lang w:val="sr-Latn-ME"/>
        </w:rPr>
        <w:t>Programa ekonomskih reformi</w:t>
      </w:r>
      <w:r w:rsidRPr="00F563CD">
        <w:rPr>
          <w:rFonts w:asciiTheme="minorHAnsi" w:hAnsiTheme="minorHAnsi" w:cs="Arial"/>
          <w:sz w:val="20"/>
          <w:szCs w:val="20"/>
          <w:lang w:val="sr-Latn-ME"/>
        </w:rPr>
        <w:t xml:space="preserve"> će doprinijeti uklanjanju prepreka konkurentnosti i inkluzivnom rastu. Predloženom akcijom će se podržati identifikovane reformske akcije kao što su jačanje fiskalnog upravljanja, unapređivanje regulatornog okruženja, povećanje učešća na tržištu rada snažnijim mjerama aktivacije zapošljavanje i drugim komplementarnim mjerama.</w:t>
      </w:r>
    </w:p>
    <w:p w14:paraId="077EF5A6" w14:textId="77777777" w:rsidR="0086044A" w:rsidRPr="00F563CD" w:rsidRDefault="0086044A" w:rsidP="0086044A">
      <w:pPr>
        <w:spacing w:before="60" w:after="6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lastRenderedPageBreak/>
        <w:t>Instrument za EU integracije za ovu akciju će osigurati  dalju i ad hoc horizontalnu podršku u oblastima relevantnim za proces pridruživanja i implementaciju IPA. Iako su otvorena 33 poglavlja, postepeno zatvaranje pregovaračkih poglavlja je proces koji zahtjeva znatne napore. Ti napori uključuju i ljudske i finansijske resurse i zato će Instrument za EU integracije biti iskorišćen za rješavanje nekih izazova u tim poglavljima, identifikovanim tokom pregovaračkog procesa. U strukturi administracije je prisutna i vidljiva koordinacija procesa pridruživanja i upravljanja fondovima EU, ali joj je i dalje potrebna podrška. Iako je u okviru prethodnih IPA programa preduzet niz akcija izgradnje institucija, ipak je dodatna izgradnja potrebna administrativnim kapacitetima linijskih ministarstava i državnih agencija.</w:t>
      </w:r>
    </w:p>
    <w:p w14:paraId="2CA28439" w14:textId="77777777" w:rsidR="0086044A" w:rsidRPr="00F563CD" w:rsidRDefault="0086044A" w:rsidP="0086044A">
      <w:pPr>
        <w:spacing w:before="60" w:after="60" w:line="240" w:lineRule="auto"/>
        <w:jc w:val="both"/>
        <w:rPr>
          <w:rFonts w:asciiTheme="minorHAnsi" w:hAnsiTheme="minorHAnsi" w:cs="Arial"/>
          <w:sz w:val="20"/>
          <w:szCs w:val="20"/>
          <w:lang w:val="sr-Latn-ME"/>
        </w:rPr>
      </w:pPr>
    </w:p>
    <w:p w14:paraId="71B74AE8" w14:textId="77777777" w:rsidR="0086044A" w:rsidRPr="00F563CD" w:rsidRDefault="0086044A" w:rsidP="0086044A">
      <w:pPr>
        <w:spacing w:after="60" w:line="240" w:lineRule="auto"/>
        <w:jc w:val="both"/>
        <w:rPr>
          <w:rFonts w:asciiTheme="minorHAnsi" w:eastAsia="Calibri" w:hAnsiTheme="minorHAnsi" w:cs="Calibri"/>
          <w:b/>
          <w:i/>
          <w:iCs/>
          <w:sz w:val="20"/>
          <w:szCs w:val="20"/>
          <w:lang w:val="sr-Latn-ME"/>
        </w:rPr>
      </w:pPr>
      <w:r w:rsidRPr="00F563CD">
        <w:rPr>
          <w:rFonts w:asciiTheme="minorHAnsi" w:eastAsia="Calibri" w:hAnsiTheme="minorHAnsi" w:cs="Calibri"/>
          <w:b/>
          <w:i/>
          <w:iCs/>
          <w:sz w:val="20"/>
          <w:szCs w:val="20"/>
          <w:lang w:val="sr-Latn-ME"/>
        </w:rPr>
        <w:t>Tematski prioritet 3: Dobrosusjedski odnosi i pomirenje:</w:t>
      </w:r>
    </w:p>
    <w:p w14:paraId="618D26B1" w14:textId="4DDE90BB" w:rsidR="0086044A" w:rsidRPr="00F563CD" w:rsidRDefault="0086044A" w:rsidP="0086044A">
      <w:pPr>
        <w:spacing w:after="60" w:line="240" w:lineRule="auto"/>
        <w:jc w:val="both"/>
        <w:rPr>
          <w:rFonts w:asciiTheme="minorHAnsi" w:eastAsia="Calibri" w:hAnsiTheme="minorHAnsi" w:cs="Calibri"/>
          <w:iCs/>
          <w:sz w:val="20"/>
          <w:szCs w:val="20"/>
          <w:lang w:val="sr-Latn-ME"/>
        </w:rPr>
      </w:pPr>
      <w:r w:rsidRPr="00F563CD">
        <w:rPr>
          <w:rFonts w:asciiTheme="minorHAnsi" w:eastAsia="Calibri" w:hAnsiTheme="minorHAnsi" w:cs="Calibri"/>
          <w:iCs/>
          <w:sz w:val="20"/>
          <w:szCs w:val="20"/>
          <w:lang w:val="sr-Latn-ME"/>
        </w:rPr>
        <w:t>U skladu sa reformskim trendovima i otvorenošću, Vlada CG sprovodi aktivnosti usmjerene na jačanje institucionalne saradnje na međunarodnom i regionalnom nivou. Crna Gora će nastaviti na način da će nadležni organi aktivno raditi na daljem jačanju međunarodne i regionalne pravosudne saradnje kroz analizu i potpisivanje novih bilateralnih sporazuma sa zemljama regiona, kao i na unaprijeđenju direktne komunikacije između nadležnih organa.</w:t>
      </w:r>
    </w:p>
    <w:p w14:paraId="7F12516D" w14:textId="77777777" w:rsidR="0086044A" w:rsidRPr="00F563CD" w:rsidRDefault="0086044A" w:rsidP="0086044A">
      <w:pPr>
        <w:spacing w:before="60" w:after="60" w:line="240" w:lineRule="auto"/>
        <w:jc w:val="both"/>
        <w:rPr>
          <w:rFonts w:asciiTheme="minorHAnsi" w:hAnsiTheme="minorHAnsi" w:cs="Arial"/>
          <w:sz w:val="20"/>
          <w:szCs w:val="20"/>
          <w:lang w:val="sr-Latn-ME"/>
        </w:rPr>
      </w:pPr>
    </w:p>
    <w:p w14:paraId="7CCACFD6" w14:textId="77777777" w:rsidR="0086044A" w:rsidRPr="00F563CD" w:rsidRDefault="0086044A" w:rsidP="0086044A">
      <w:pPr>
        <w:spacing w:after="60" w:line="240" w:lineRule="auto"/>
        <w:jc w:val="both"/>
        <w:rPr>
          <w:rFonts w:asciiTheme="minorHAnsi" w:hAnsiTheme="minorHAnsi"/>
          <w:b/>
          <w:lang w:val="sr-Latn-ME"/>
        </w:rPr>
      </w:pPr>
      <w:r w:rsidRPr="00F563CD">
        <w:rPr>
          <w:rFonts w:asciiTheme="minorHAnsi" w:eastAsia="Calibri" w:hAnsiTheme="minorHAnsi" w:cs="Calibri"/>
          <w:b/>
          <w:i/>
          <w:iCs/>
          <w:sz w:val="20"/>
          <w:szCs w:val="20"/>
          <w:lang w:val="sr-Latn-ME"/>
        </w:rPr>
        <w:t xml:space="preserve">Tematski Prioritet  4: Strateško komuniciranje, monitoring, evaluacija i komunikacione aktivnosti </w:t>
      </w:r>
    </w:p>
    <w:p w14:paraId="0B942DB8" w14:textId="77777777" w:rsidR="0086044A" w:rsidRPr="00F563CD" w:rsidRDefault="0086044A" w:rsidP="0086044A">
      <w:pPr>
        <w:spacing w:before="60" w:after="6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Praćenje i evaluacija broja oblasti itd. Poglavlja su ocjenjena prateći i tumačeći zvanične statističke podatke. Sistem monitoringa bi mogao da bude olakšan poboljšanjem načina predstavljanja zvaničnih podataka svim korisnicima. Imajući u vidu značaj ove oblasti, jačanje statističkog sistema u Crnoj Gori unaprijeđenjem ICT infrastrukture – platformi za komunikaciju i diseminaciju kao zvaničnog sajta i promovisanje i jačanje pristupa i upotrebe Zvanične statistike je neophodnost. Ovim će se ojačati ukupni nacionalni statistički sistem, izgradnjom kapaciteta Zavoda za statistiku Crne Gore (Monstat) da diseminira statističke podatke u skladu sa modernom tehnologijom i blagovremeno ih učini dostupnim kreatorima politike i javnosti.</w:t>
      </w:r>
    </w:p>
    <w:p w14:paraId="4EAAB1C0" w14:textId="77777777" w:rsidR="0086044A" w:rsidRPr="00F563CD" w:rsidRDefault="0086044A" w:rsidP="0086044A">
      <w:pPr>
        <w:spacing w:before="60" w:after="6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Pored toga, redovna komunikacija za strateško planiranje je redovna praksa u Crnoj Gori,  posebno u okviru pripreme Višegodišnjeg programa statističkih istraživanja (petogodišnji program). Svi zainteresovane strane u procesu strateškog programiranja nisu samo proizvođači već i direktni korisnici statističkih proizvoda.</w:t>
      </w:r>
    </w:p>
    <w:p w14:paraId="0571FEA7" w14:textId="77777777" w:rsidR="0086044A" w:rsidRPr="00F563CD" w:rsidRDefault="0086044A" w:rsidP="0086044A">
      <w:pPr>
        <w:spacing w:before="60" w:after="6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Proces praćenja i procjene mogao bi da se poboljša modernizacijom metoda diseminacije podataka i da se njegovi podaci otvore u maksimalnoj meri. To će korisnicima pružiti mogućnost pristupa najširem skupu podataka i na najnižem nivou detaljnih podataka i na taj način im omogućiti veću slobodu u pretraživanju, korišćenju i ponovnom korišćenju podataka. Pored redovnih statičnih statističkih izdanja, korisnik će moći da pretražuje bazu podataka po različitim kriterijumima, ukršta podatke i na taj način vrši dodatne analize u skladu sa svojim potrebama. Ovaj pristup će biti posebno koristan za napredne korisnike, naučna istraživanja i poslovnu zajednicu.</w:t>
      </w:r>
    </w:p>
    <w:p w14:paraId="0142EF5D" w14:textId="77777777" w:rsidR="0086044A" w:rsidRPr="00F563CD" w:rsidRDefault="0086044A" w:rsidP="0086044A">
      <w:pPr>
        <w:spacing w:line="240" w:lineRule="auto"/>
        <w:jc w:val="both"/>
        <w:rPr>
          <w:rFonts w:asciiTheme="minorHAnsi" w:hAnsiTheme="minorHAnsi" w:cs="Arial"/>
          <w:i/>
          <w:iCs/>
          <w:sz w:val="20"/>
          <w:szCs w:val="20"/>
          <w:lang w:val="sr-Latn-ME"/>
        </w:rPr>
      </w:pPr>
    </w:p>
    <w:p w14:paraId="7FE57A14" w14:textId="77777777" w:rsidR="0086044A" w:rsidRPr="00F563CD" w:rsidRDefault="0086044A" w:rsidP="0086044A">
      <w:pPr>
        <w:keepNext/>
        <w:keepLines/>
        <w:numPr>
          <w:ilvl w:val="0"/>
          <w:numId w:val="27"/>
        </w:numPr>
        <w:spacing w:before="200" w:after="0"/>
        <w:outlineLvl w:val="1"/>
        <w:rPr>
          <w:rFonts w:asciiTheme="minorHAnsi" w:hAnsiTheme="minorHAnsi" w:cs="Arial"/>
          <w:b/>
          <w:bCs/>
          <w:smallCaps/>
          <w:sz w:val="24"/>
          <w:szCs w:val="24"/>
          <w:lang w:val="sr-Latn-ME"/>
        </w:rPr>
      </w:pPr>
      <w:bookmarkStart w:id="30" w:name="_Toc91500259"/>
      <w:r w:rsidRPr="00F563CD">
        <w:rPr>
          <w:rFonts w:asciiTheme="minorHAnsi" w:hAnsiTheme="minorHAnsi" w:cs="Arial"/>
          <w:b/>
          <w:bCs/>
          <w:smallCaps/>
          <w:sz w:val="24"/>
          <w:szCs w:val="24"/>
          <w:lang w:val="sr-Latn-ME"/>
        </w:rPr>
        <w:t>Lista predloženih akcija za IPA III podršku 2021 – 2024</w:t>
      </w:r>
      <w:bookmarkEnd w:id="30"/>
    </w:p>
    <w:p w14:paraId="2189536B" w14:textId="77777777" w:rsidR="0086044A" w:rsidRPr="00F563CD" w:rsidRDefault="0086044A" w:rsidP="0086044A">
      <w:pPr>
        <w:keepNext/>
        <w:keepLines/>
        <w:spacing w:before="200" w:after="0" w:line="240" w:lineRule="auto"/>
        <w:jc w:val="center"/>
        <w:outlineLvl w:val="3"/>
        <w:rPr>
          <w:rFonts w:asciiTheme="minorHAnsi" w:hAnsiTheme="minorHAnsi" w:cs="Arial"/>
          <w:b/>
          <w:bCs/>
          <w:iCs/>
          <w:sz w:val="20"/>
          <w:lang w:val="sr-Latn-ME"/>
        </w:rPr>
      </w:pPr>
      <w:r w:rsidRPr="00F563CD">
        <w:rPr>
          <w:rFonts w:asciiTheme="minorHAnsi" w:hAnsiTheme="minorHAnsi" w:cs="Arial"/>
          <w:b/>
          <w:bCs/>
          <w:iCs/>
          <w:sz w:val="20"/>
          <w:lang w:val="sr-Latn-ME"/>
        </w:rPr>
        <w:t xml:space="preserve">PROGRAMSKA GODINA 2021 </w:t>
      </w:r>
    </w:p>
    <w:p w14:paraId="2C520285" w14:textId="77777777" w:rsidR="0086044A" w:rsidRPr="00F563CD" w:rsidRDefault="0086044A" w:rsidP="0086044A">
      <w:pPr>
        <w:spacing w:before="120" w:after="120" w:line="240" w:lineRule="auto"/>
        <w:rPr>
          <w:rFonts w:asciiTheme="minorHAnsi" w:eastAsia="Arial" w:hAnsiTheme="minorHAnsi" w:cs="Arial"/>
          <w:bCs/>
          <w:sz w:val="20"/>
          <w:szCs w:val="20"/>
          <w:lang w:val="sr-Latn-ME"/>
        </w:rPr>
      </w:pPr>
      <w:bookmarkStart w:id="31" w:name="_Hlk87905412"/>
      <w:r w:rsidRPr="00F563CD">
        <w:rPr>
          <w:rFonts w:asciiTheme="minorHAnsi" w:eastAsia="Arial" w:hAnsiTheme="minorHAnsi" w:cs="Arial"/>
          <w:b/>
          <w:bCs/>
          <w:sz w:val="20"/>
          <w:szCs w:val="20"/>
          <w:lang w:val="sr-Latn-ME"/>
        </w:rPr>
        <w:t>Instrument za evropsku integraciju</w:t>
      </w:r>
      <w:r w:rsidRPr="00F563CD">
        <w:rPr>
          <w:rFonts w:asciiTheme="minorHAnsi" w:eastAsia="Arial" w:hAnsiTheme="minorHAnsi" w:cs="Arial"/>
          <w:bCs/>
          <w:sz w:val="20"/>
          <w:szCs w:val="20"/>
          <w:lang w:val="sr-Latn-ME"/>
        </w:rPr>
        <w:t xml:space="preserve"> (2.2 Administrativni kapaciteti i usklađivanje sa pravnom tekovinom) </w:t>
      </w:r>
    </w:p>
    <w:p w14:paraId="61376934" w14:textId="77777777" w:rsidR="0086044A" w:rsidRPr="00F563CD" w:rsidRDefault="0086044A" w:rsidP="0086044A">
      <w:pPr>
        <w:keepNext/>
        <w:keepLines/>
        <w:spacing w:before="240" w:after="0" w:line="240" w:lineRule="auto"/>
        <w:jc w:val="both"/>
        <w:outlineLvl w:val="0"/>
        <w:rPr>
          <w:rFonts w:asciiTheme="minorHAnsi" w:eastAsia="Arial" w:hAnsiTheme="minorHAnsi" w:cs="Arial"/>
          <w:bCs/>
          <w:sz w:val="20"/>
          <w:szCs w:val="20"/>
          <w:lang w:val="sr-Latn-ME"/>
        </w:rPr>
      </w:pPr>
      <w:bookmarkStart w:id="32" w:name="_Toc91500260"/>
      <w:r w:rsidRPr="00F563CD">
        <w:rPr>
          <w:rFonts w:asciiTheme="minorHAnsi" w:eastAsia="Arial" w:hAnsiTheme="minorHAnsi" w:cs="Arial"/>
          <w:b/>
          <w:bCs/>
          <w:sz w:val="20"/>
          <w:szCs w:val="20"/>
          <w:lang w:val="sr-Latn-ME"/>
        </w:rPr>
        <w:t>Instrument za evropsku integraciju</w:t>
      </w:r>
      <w:r w:rsidRPr="00F563CD">
        <w:rPr>
          <w:rFonts w:asciiTheme="minorHAnsi" w:eastAsia="Arial" w:hAnsiTheme="minorHAnsi" w:cs="Arial"/>
          <w:bCs/>
          <w:sz w:val="20"/>
          <w:szCs w:val="20"/>
          <w:lang w:val="sr-Latn-ME"/>
        </w:rPr>
        <w:t xml:space="preserve"> će pružiti fleksibilnu podršku nacionalnim vlastima sa ciljem da se odgovori na  specifične potrebe identifikovane tokom implementacije IPA III, ali može da se koristi i u ad hoc okolnostima u kojima je podrška EU potrebna i/ili predložena. Instrument će doprinijeti  povećanju efektivnosti ( djelotvornosti) IPA III i akcija će uglavnom biti usredsređena na tehničku podršku i izgradnju kapaciteta vezanih za proces pridruživanja EU i on treba da osigura efektivnost (djelotvornost) i uticaj akcija koje su finansirane kroz IPA III.</w:t>
      </w:r>
      <w:bookmarkEnd w:id="32"/>
    </w:p>
    <w:bookmarkEnd w:id="31"/>
    <w:p w14:paraId="17C188B1" w14:textId="539CC354" w:rsidR="0086044A" w:rsidRDefault="0086044A" w:rsidP="00323519">
      <w:pPr>
        <w:widowControl w:val="0"/>
        <w:spacing w:before="200" w:after="0" w:line="240" w:lineRule="auto"/>
        <w:jc w:val="center"/>
        <w:outlineLvl w:val="3"/>
        <w:rPr>
          <w:rFonts w:asciiTheme="minorHAnsi" w:hAnsiTheme="minorHAnsi" w:cs="Arial"/>
          <w:b/>
          <w:bCs/>
          <w:iCs/>
          <w:sz w:val="20"/>
          <w:lang w:val="sr-Latn-ME"/>
        </w:rPr>
      </w:pPr>
      <w:r w:rsidRPr="00F563CD">
        <w:rPr>
          <w:rFonts w:asciiTheme="minorHAnsi" w:hAnsiTheme="minorHAnsi" w:cs="Arial"/>
          <w:b/>
          <w:bCs/>
          <w:iCs/>
          <w:sz w:val="20"/>
          <w:lang w:val="sr-Latn-ME"/>
        </w:rPr>
        <w:t>PROGRAMSKA GODINA 2022</w:t>
      </w:r>
    </w:p>
    <w:p w14:paraId="3FFE561E" w14:textId="77777777" w:rsidR="00323519" w:rsidRPr="00323519" w:rsidRDefault="00323519" w:rsidP="00323519">
      <w:pPr>
        <w:widowControl w:val="0"/>
        <w:spacing w:after="0" w:line="240" w:lineRule="auto"/>
        <w:jc w:val="center"/>
        <w:outlineLvl w:val="3"/>
        <w:rPr>
          <w:rFonts w:asciiTheme="minorHAnsi" w:hAnsiTheme="minorHAnsi" w:cs="Arial"/>
          <w:b/>
          <w:bCs/>
          <w:iCs/>
          <w:sz w:val="20"/>
          <w:lang w:val="sr-Latn-ME"/>
        </w:rPr>
      </w:pPr>
    </w:p>
    <w:p w14:paraId="76A5B2DB" w14:textId="77777777" w:rsidR="0086044A" w:rsidRPr="00F563CD" w:rsidRDefault="0086044A" w:rsidP="0086044A">
      <w:pPr>
        <w:rPr>
          <w:rFonts w:asciiTheme="minorHAnsi" w:hAnsiTheme="minorHAnsi"/>
          <w:sz w:val="20"/>
          <w:szCs w:val="20"/>
          <w:lang w:val="sr-Latn-ME"/>
        </w:rPr>
      </w:pPr>
      <w:r w:rsidRPr="00F563CD">
        <w:rPr>
          <w:rFonts w:asciiTheme="minorHAnsi" w:eastAsia="Arial" w:hAnsiTheme="minorHAnsi" w:cs="Arial"/>
          <w:b/>
          <w:bCs/>
          <w:sz w:val="20"/>
          <w:szCs w:val="20"/>
          <w:lang w:val="sr-Latn-ME"/>
        </w:rPr>
        <w:t>Instrument za evropsku integraciju</w:t>
      </w:r>
      <w:r w:rsidRPr="00F563CD">
        <w:rPr>
          <w:rFonts w:asciiTheme="minorHAnsi" w:eastAsia="Arial" w:hAnsiTheme="minorHAnsi" w:cs="Arial"/>
          <w:bCs/>
          <w:sz w:val="20"/>
          <w:szCs w:val="20"/>
          <w:lang w:val="sr-Latn-ME"/>
        </w:rPr>
        <w:t xml:space="preserve"> </w:t>
      </w:r>
      <w:r w:rsidRPr="00F563CD">
        <w:rPr>
          <w:rFonts w:asciiTheme="minorHAnsi" w:hAnsiTheme="minorHAnsi"/>
          <w:sz w:val="20"/>
          <w:szCs w:val="20"/>
          <w:lang w:val="sr-Latn-ME"/>
        </w:rPr>
        <w:t xml:space="preserve">(2.2 Administrativni kapaciteti i prilagođavanje sa pravnom tekovinom) </w:t>
      </w:r>
    </w:p>
    <w:p w14:paraId="4DCB837A" w14:textId="77777777" w:rsidR="0086044A" w:rsidRPr="00F563CD" w:rsidRDefault="0086044A" w:rsidP="0086044A">
      <w:pPr>
        <w:keepNext/>
        <w:keepLines/>
        <w:spacing w:before="240" w:after="0" w:line="240" w:lineRule="auto"/>
        <w:jc w:val="both"/>
        <w:outlineLvl w:val="0"/>
        <w:rPr>
          <w:rFonts w:asciiTheme="minorHAnsi" w:eastAsia="Arial" w:hAnsiTheme="minorHAnsi" w:cs="Arial"/>
          <w:bCs/>
          <w:sz w:val="20"/>
          <w:szCs w:val="20"/>
          <w:lang w:val="sr-Latn-ME"/>
        </w:rPr>
      </w:pPr>
      <w:bookmarkStart w:id="33" w:name="_Toc91500261"/>
      <w:r w:rsidRPr="00F563CD">
        <w:rPr>
          <w:rFonts w:asciiTheme="minorHAnsi" w:eastAsia="Arial" w:hAnsiTheme="minorHAnsi" w:cs="Arial"/>
          <w:b/>
          <w:bCs/>
          <w:sz w:val="20"/>
          <w:szCs w:val="20"/>
          <w:lang w:val="sr-Latn-ME"/>
        </w:rPr>
        <w:t>Instrument za evropsku integraciju</w:t>
      </w:r>
      <w:r w:rsidRPr="00F563CD">
        <w:rPr>
          <w:rFonts w:asciiTheme="minorHAnsi" w:eastAsia="Arial" w:hAnsiTheme="minorHAnsi" w:cs="Arial"/>
          <w:bCs/>
          <w:sz w:val="20"/>
          <w:szCs w:val="20"/>
          <w:lang w:val="sr-Latn-ME"/>
        </w:rPr>
        <w:t xml:space="preserve"> će pružiti fleksibilnu podršku nacionalnim vlastima sa ciljem da se odgovori na  specifične potrebe identifikovane tokom implementacije IPA III, ali može da se koristi i u ad hoc okolnostima u kojima je podrška EU potrebna i/ili predložena. Instrument će doprinijeti  povećanju efektivnosti ( djelotvornosti) IPA III i akcija će uglavnom biti usredsređena na tehničku podršku i izgradnju kapaciteta vezanih za proces pridruživanja EU i on treba da osigura efektivnost (djelotvornost) i uticaj akcija koje su finansirane kroz IPA III.</w:t>
      </w:r>
      <w:bookmarkEnd w:id="33"/>
    </w:p>
    <w:p w14:paraId="137FCC58"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eastAsia="Arial" w:hAnsiTheme="minorHAnsi" w:cs="Arial"/>
          <w:b/>
          <w:bCs/>
          <w:sz w:val="20"/>
          <w:szCs w:val="20"/>
          <w:lang w:val="sr-Latn-ME"/>
        </w:rPr>
        <w:t xml:space="preserve">Podrška programima Unije i agencije </w:t>
      </w:r>
      <w:r w:rsidRPr="00F563CD">
        <w:rPr>
          <w:rFonts w:asciiTheme="minorHAnsi" w:hAnsiTheme="minorHAnsi" w:cs="Arial"/>
          <w:sz w:val="20"/>
          <w:szCs w:val="20"/>
          <w:lang w:val="sr-Latn-ME"/>
        </w:rPr>
        <w:t xml:space="preserve">(2.2 Administrativni kapaciteti i usklađivanje sa pravnom tekovinom) </w:t>
      </w:r>
    </w:p>
    <w:p w14:paraId="28CF0A76" w14:textId="77777777" w:rsidR="0086044A" w:rsidRPr="00F563CD" w:rsidRDefault="0086044A" w:rsidP="0086044A">
      <w:pPr>
        <w:spacing w:after="0" w:line="240" w:lineRule="auto"/>
        <w:jc w:val="both"/>
        <w:rPr>
          <w:rFonts w:asciiTheme="minorHAnsi" w:hAnsiTheme="minorHAnsi" w:cstheme="minorHAnsi"/>
          <w:sz w:val="20"/>
          <w:szCs w:val="20"/>
          <w:lang w:val="sr-Latn-ME"/>
        </w:rPr>
      </w:pPr>
      <w:r w:rsidRPr="00F563CD">
        <w:rPr>
          <w:rFonts w:asciiTheme="minorHAnsi" w:hAnsiTheme="minorHAnsi" w:cstheme="minorHAnsi"/>
          <w:color w:val="000000"/>
          <w:sz w:val="20"/>
          <w:szCs w:val="20"/>
          <w:lang w:val="sr-Latn-ME"/>
        </w:rPr>
        <w:t xml:space="preserve">Ova Akcija će obezbijediti i olakšati učešće Crne Gore u programima EU sufinansiranjem troškova "ulaznica" koje Crna Gora plaća u oblastima kao što su obrazovanje, nauka, kultura, zapošljavanje, preduzetništvo i inovacije, oporezivanje, carinski sistem itd. Akcijom će se povećati učešće Crne Gore u programima Unije, uključujući jačanje vlasništva nad i odgovornosti Crne </w:t>
      </w:r>
      <w:r w:rsidRPr="00F563CD">
        <w:rPr>
          <w:rFonts w:asciiTheme="minorHAnsi" w:hAnsiTheme="minorHAnsi" w:cstheme="minorHAnsi"/>
          <w:color w:val="000000"/>
          <w:sz w:val="20"/>
          <w:szCs w:val="20"/>
          <w:lang w:val="sr-Latn-ME"/>
        </w:rPr>
        <w:lastRenderedPageBreak/>
        <w:t>Gore za učešće u programima Unije (takođe i u smislu finansija), a doprinijeće i povećanju razmjene sa zemljama članicama EU. U okviru ove akcije planirana je podrška učešću u Programu zapošljavanja i socijalnih inovacija – EASY i sufinansiranje godišnje participacije.</w:t>
      </w:r>
    </w:p>
    <w:p w14:paraId="29D11714" w14:textId="77777777" w:rsidR="0086044A" w:rsidRPr="00F563CD" w:rsidRDefault="0086044A" w:rsidP="0086044A">
      <w:pPr>
        <w:spacing w:after="0" w:line="240" w:lineRule="auto"/>
        <w:jc w:val="both"/>
        <w:rPr>
          <w:rFonts w:asciiTheme="minorHAnsi" w:hAnsiTheme="minorHAnsi" w:cstheme="minorHAnsi"/>
          <w:sz w:val="20"/>
          <w:szCs w:val="20"/>
          <w:lang w:val="sr-Latn-ME"/>
        </w:rPr>
      </w:pPr>
    </w:p>
    <w:p w14:paraId="556F154F" w14:textId="77777777" w:rsidR="0086044A" w:rsidRPr="00F563CD" w:rsidRDefault="0086044A" w:rsidP="0086044A">
      <w:pPr>
        <w:spacing w:before="120" w:after="120" w:line="240" w:lineRule="auto"/>
        <w:jc w:val="both"/>
        <w:rPr>
          <w:rFonts w:asciiTheme="minorHAnsi" w:eastAsia="Arial" w:hAnsiTheme="minorHAnsi" w:cs="Arial"/>
          <w:bCs/>
          <w:iCs/>
          <w:sz w:val="20"/>
          <w:szCs w:val="20"/>
          <w:lang w:val="sr-Latn-ME"/>
        </w:rPr>
      </w:pPr>
      <w:r w:rsidRPr="00F563CD">
        <w:rPr>
          <w:rFonts w:asciiTheme="minorHAnsi" w:hAnsiTheme="minorHAnsi" w:cs="Arial"/>
          <w:b/>
          <w:sz w:val="20"/>
          <w:szCs w:val="20"/>
          <w:lang w:val="sr-Latn-ME"/>
        </w:rPr>
        <w:t>Podrška modernizaciji i profesionalizacija javne administracije u Crnoj Gori</w:t>
      </w:r>
      <w:r w:rsidRPr="00F563CD">
        <w:rPr>
          <w:rFonts w:asciiTheme="minorHAnsi" w:hAnsiTheme="minorHAnsi" w:cs="Arial"/>
          <w:sz w:val="20"/>
          <w:szCs w:val="20"/>
          <w:lang w:val="sr-Latn-ME"/>
        </w:rPr>
        <w:t xml:space="preserve"> (</w:t>
      </w:r>
      <w:r w:rsidRPr="00F563CD">
        <w:rPr>
          <w:rFonts w:asciiTheme="minorHAnsi" w:eastAsia="Arial" w:hAnsiTheme="minorHAnsi" w:cs="Arial"/>
          <w:bCs/>
          <w:sz w:val="20"/>
          <w:szCs w:val="20"/>
          <w:lang w:val="sr-Latn-ME"/>
        </w:rPr>
        <w:t xml:space="preserve">2.1 Dobro upravljanje </w:t>
      </w:r>
      <w:r w:rsidRPr="00F563CD">
        <w:rPr>
          <w:rFonts w:asciiTheme="minorHAnsi" w:eastAsia="Arial" w:hAnsiTheme="minorHAnsi" w:cs="Arial"/>
          <w:bCs/>
          <w:iCs/>
          <w:sz w:val="20"/>
          <w:szCs w:val="20"/>
          <w:lang w:val="sr-Latn-ME"/>
        </w:rPr>
        <w:t xml:space="preserve">2.2. </w:t>
      </w:r>
      <w:r w:rsidRPr="00F563CD">
        <w:rPr>
          <w:rFonts w:asciiTheme="minorHAnsi" w:hAnsiTheme="minorHAnsi" w:cs="Arial"/>
          <w:sz w:val="20"/>
          <w:szCs w:val="20"/>
          <w:lang w:val="sr-Latn-ME"/>
        </w:rPr>
        <w:t>Administrativni kapaciteti i usklađivanje sa pravnom tekovinom</w:t>
      </w:r>
      <w:r w:rsidRPr="00F563CD">
        <w:rPr>
          <w:rFonts w:asciiTheme="minorHAnsi" w:eastAsia="Arial" w:hAnsiTheme="minorHAnsi" w:cs="Arial"/>
          <w:bCs/>
          <w:iCs/>
          <w:sz w:val="20"/>
          <w:szCs w:val="20"/>
          <w:lang w:val="sr-Latn-ME"/>
        </w:rPr>
        <w:t xml:space="preserve">) </w:t>
      </w:r>
    </w:p>
    <w:p w14:paraId="219156A3" w14:textId="77777777" w:rsidR="0086044A" w:rsidRPr="00F563CD" w:rsidRDefault="0086044A" w:rsidP="0086044A">
      <w:pPr>
        <w:spacing w:before="120" w:after="120" w:line="240" w:lineRule="auto"/>
        <w:jc w:val="both"/>
        <w:rPr>
          <w:rFonts w:asciiTheme="minorHAnsi" w:eastAsia="Arial" w:hAnsiTheme="minorHAnsi" w:cs="Arial"/>
          <w:bCs/>
          <w:sz w:val="20"/>
          <w:szCs w:val="20"/>
          <w:lang w:val="sr-Latn-ME"/>
        </w:rPr>
      </w:pPr>
      <w:r w:rsidRPr="00F563CD">
        <w:rPr>
          <w:rFonts w:asciiTheme="minorHAnsi" w:eastAsia="Arial" w:hAnsiTheme="minorHAnsi" w:cs="Arial"/>
          <w:bCs/>
          <w:sz w:val="20"/>
          <w:szCs w:val="20"/>
          <w:lang w:val="sr-Latn-ME"/>
        </w:rPr>
        <w:t>Akcija će biti razvijena na osnovu slijedećih opisa projekta, koji su ocjenjeni kao strateški relevantni za finansiranje: Podrška modernizaciji i profesionalizaciji javne uprave i upravljanja javnim finansijama u Crnoj Gori; Unaprijeđivanje upravljanja kroz menadžersku odgovornost, prenos ovlašćenja i upravljanje nepredviđenim situacijama; i jačanje administrativnih kapaciteta Revizorske institucije  za reviziju Instrumenata EU kohezije, poljoprivrednih i ribarskih instrumenata EU, kao i za IPA III fondova. Akcija će takođe uključiti aktivnosti</w:t>
      </w:r>
      <w:r w:rsidRPr="00F563CD">
        <w:rPr>
          <w:rFonts w:asciiTheme="minorHAnsi" w:eastAsia="Arial" w:hAnsiTheme="minorHAnsi" w:cs="Arial"/>
          <w:sz w:val="20"/>
          <w:szCs w:val="20"/>
          <w:vertAlign w:val="superscript"/>
          <w:lang w:val="sr-Latn-ME"/>
        </w:rPr>
        <w:footnoteReference w:id="20"/>
      </w:r>
      <w:r w:rsidRPr="00F563CD">
        <w:rPr>
          <w:rFonts w:asciiTheme="minorHAnsi" w:eastAsia="Arial" w:hAnsiTheme="minorHAnsi" w:cs="Arial"/>
          <w:bCs/>
          <w:sz w:val="20"/>
          <w:szCs w:val="20"/>
          <w:lang w:val="sr-Latn-ME"/>
        </w:rPr>
        <w:t xml:space="preserve"> koje će biti dio nove strategije PFM, koja će predstavljati osnovu za novu sektorsku budžetsku podršku.</w:t>
      </w:r>
    </w:p>
    <w:p w14:paraId="4CCA94CA" w14:textId="4DEE057E" w:rsidR="0086044A" w:rsidRPr="00323519" w:rsidRDefault="0086044A" w:rsidP="00323519">
      <w:pPr>
        <w:rPr>
          <w:rFonts w:asciiTheme="minorHAnsi" w:eastAsia="Arial" w:hAnsiTheme="minorHAnsi" w:cs="Arial"/>
          <w:bCs/>
          <w:sz w:val="20"/>
          <w:szCs w:val="20"/>
          <w:lang w:val="sr-Latn-ME"/>
        </w:rPr>
      </w:pPr>
      <w:r w:rsidRPr="00F563CD">
        <w:rPr>
          <w:rFonts w:asciiTheme="minorHAnsi" w:eastAsia="Arial" w:hAnsiTheme="minorHAnsi" w:cs="Arial"/>
          <w:bCs/>
          <w:sz w:val="20"/>
          <w:szCs w:val="20"/>
          <w:lang w:val="sr-Latn-ME"/>
        </w:rPr>
        <w:t>Akcija će dodatno doprinijeti održivom rastu i unaprijeđenju konkurentnosti javnih službi kroz stvaranje transparentnije, efikasnije i javne administracije orijentisane ka uslugama u Crnoj Gori. To će biti učinjeno podrškom sprovođenju nove Strategije reforme javne uprave 2022.-2026., čije se us</w:t>
      </w:r>
      <w:r w:rsidR="00323519">
        <w:rPr>
          <w:rFonts w:asciiTheme="minorHAnsi" w:eastAsia="Arial" w:hAnsiTheme="minorHAnsi" w:cs="Arial"/>
          <w:bCs/>
          <w:sz w:val="20"/>
          <w:szCs w:val="20"/>
          <w:lang w:val="sr-Latn-ME"/>
        </w:rPr>
        <w:t xml:space="preserve">vajanje očekuje do kraja 2021. </w:t>
      </w:r>
    </w:p>
    <w:p w14:paraId="12BAF116" w14:textId="77777777" w:rsidR="0086044A" w:rsidRPr="00F563CD" w:rsidRDefault="0086044A" w:rsidP="0086044A">
      <w:pPr>
        <w:keepNext/>
        <w:keepLines/>
        <w:spacing w:before="200" w:after="0" w:line="240" w:lineRule="auto"/>
        <w:jc w:val="center"/>
        <w:outlineLvl w:val="3"/>
        <w:rPr>
          <w:rFonts w:asciiTheme="minorHAnsi" w:hAnsiTheme="minorHAnsi"/>
          <w:b/>
          <w:bCs/>
          <w:i/>
          <w:iCs/>
          <w:color w:val="2DA2BF"/>
          <w:sz w:val="20"/>
          <w:szCs w:val="20"/>
          <w:lang w:val="sr-Latn-ME"/>
        </w:rPr>
      </w:pPr>
      <w:r w:rsidRPr="00F563CD">
        <w:rPr>
          <w:rFonts w:asciiTheme="minorHAnsi" w:hAnsiTheme="minorHAnsi" w:cs="Arial"/>
          <w:b/>
          <w:bCs/>
          <w:iCs/>
          <w:sz w:val="20"/>
          <w:lang w:val="sr-Latn-ME"/>
        </w:rPr>
        <w:t>PROGRAMSKE GODINE 2023 i 2024</w:t>
      </w:r>
    </w:p>
    <w:p w14:paraId="28BF9B75" w14:textId="77777777" w:rsidR="0086044A" w:rsidRPr="00F563CD" w:rsidRDefault="0086044A" w:rsidP="0086044A">
      <w:pPr>
        <w:spacing w:line="240" w:lineRule="auto"/>
        <w:rPr>
          <w:rFonts w:asciiTheme="minorHAnsi" w:hAnsiTheme="minorHAnsi" w:cs="Arial"/>
          <w:b/>
          <w:sz w:val="20"/>
          <w:szCs w:val="20"/>
          <w:lang w:val="sr-Latn-ME"/>
        </w:rPr>
      </w:pPr>
      <w:r w:rsidRPr="00F563CD">
        <w:rPr>
          <w:rFonts w:asciiTheme="minorHAnsi" w:hAnsiTheme="minorHAnsi" w:cs="Arial"/>
          <w:b/>
          <w:sz w:val="20"/>
          <w:szCs w:val="20"/>
          <w:lang w:val="sr-Latn-ME"/>
        </w:rPr>
        <w:t>Programska godina 2023</w:t>
      </w:r>
    </w:p>
    <w:p w14:paraId="59BB8F66" w14:textId="77777777" w:rsidR="0086044A" w:rsidRPr="00F563CD" w:rsidRDefault="0086044A" w:rsidP="0086044A">
      <w:pPr>
        <w:spacing w:after="0" w:line="240" w:lineRule="auto"/>
        <w:jc w:val="both"/>
        <w:rPr>
          <w:rFonts w:asciiTheme="minorHAnsi" w:hAnsiTheme="minorHAnsi" w:cs="Arial"/>
          <w:bCs/>
          <w:sz w:val="20"/>
          <w:szCs w:val="20"/>
          <w:lang w:val="sr-Latn-ME"/>
        </w:rPr>
      </w:pPr>
    </w:p>
    <w:p w14:paraId="0B79293B"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 xml:space="preserve">Akcija br. 1 - Nadogradnja kapaciteta IT sistema ISA- Agencija za nadzor osiguranja (2.1 Dobro upravljanje) </w:t>
      </w:r>
    </w:p>
    <w:p w14:paraId="422F627F"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Akcija br. 2 - Digitalna transformacija IT sistema MONSTAT-a (2.1 Dobro upravljanje)</w:t>
      </w:r>
    </w:p>
    <w:p w14:paraId="2EE28678"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 xml:space="preserve">Akcija br. 3 - Unaprijeđenje sistema javnog nadzora i osiguranja kvaliteta za državnu revizorsku funkciju (2.1 Dobro upravljanje) </w:t>
      </w:r>
    </w:p>
    <w:p w14:paraId="434D6563"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Akcija br. 4 - Jačanje regulatornih i nadzornih kapaciteta Agencije za nadzor osiguranja</w:t>
      </w:r>
    </w:p>
    <w:p w14:paraId="0B375EDC"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 xml:space="preserve">Akcija br. 5 - Podrška finansijskim uslugama – izgradnja kapaciteta (2.2. Administrativni kapaciteti i usklađivanje sa pravnom tekovinom)  </w:t>
      </w:r>
    </w:p>
    <w:p w14:paraId="663ED3DE"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Akcija br. 6 - Jačanje kapaciteta Centralne banke Crne Gore</w:t>
      </w:r>
    </w:p>
    <w:p w14:paraId="1352E376"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Akcija br. 7 - Implementacija/Nadogradnja TARICG-a na najnoviju verziju EU TARIC i srodnih sistema ITMS-a i povezivanje sa postojećim osnovnim sistemom Carinske uprave</w:t>
      </w:r>
    </w:p>
    <w:p w14:paraId="6DECEA59"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Akcija br. 8 - Implementacija automatizovanih izvoznih procedura u Upravi prihoda i carina</w:t>
      </w:r>
    </w:p>
    <w:p w14:paraId="34E75949"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Akcija br. 9 - Implementacija automatizovanih uvoznih procedura u Upravi prihoda i carina</w:t>
      </w:r>
    </w:p>
    <w:p w14:paraId="2A59103A"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Akcija br. 10 – Održavanje i nadogradnja novog kompjuterizovanog sistema za tranzit</w:t>
      </w:r>
    </w:p>
    <w:p w14:paraId="35D03838"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 xml:space="preserve">Akcija br. 11- Uvođenje računovodstvenih procesa i implementacija sistema za vođenje tradicionalnih sopstvenih izvornih prihoda ( resursa) na računima A i B </w:t>
      </w:r>
    </w:p>
    <w:p w14:paraId="10098A33"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 xml:space="preserve">Akcija br.12- Implementacija Sistema za registraciju privrednih subjekata i identifikacioni broj </w:t>
      </w:r>
    </w:p>
    <w:p w14:paraId="59076F70"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 xml:space="preserve">Akcija br. 13- Primjena automatizovane procedure razmjene informacija o PDV-u u Upravi prihoda i carina </w:t>
      </w:r>
    </w:p>
    <w:p w14:paraId="0D4AFC46"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Akcija br.14 - Implementacija sistema kontrole kretanja akciza u Upravi prihoda i carina</w:t>
      </w:r>
    </w:p>
    <w:p w14:paraId="10BCC214"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Akcija br.15. -Digitalizacija zdravstvenog sektora u Crnoj Gori: Unaprijeđenje zdravstvene zaštite obezbijeđeno kroz digitalizaciju, informacione tehnologije, telemedicinu, napredno izvještavanje i upravljanje zdravstvenom statistikom. Kroz uvođenje digitalizacije u zdravstvo, naprednih digitalnih tehnologija, informacionih sistema, telemedicine, biće obezbijeđen bolji kvalitet zdravstvene zaštite, zdravstvena zaštita će biti pristupačnija, efikasnija i brža. Izvještavanje će biti brzo, donošenje odluka na osnovu tačnih i pravovremenih podataka i u realnom vremenu</w:t>
      </w:r>
    </w:p>
    <w:p w14:paraId="346E3908"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Akcija br. 16 - Jačanje tehničkih kapaciteta inspekcija</w:t>
      </w:r>
    </w:p>
    <w:p w14:paraId="143BCA20" w14:textId="4B880D76" w:rsidR="0086044A" w:rsidRDefault="0086044A" w:rsidP="00323519">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 xml:space="preserve">Akcija br. 17 - </w:t>
      </w:r>
      <w:r w:rsidRPr="00F563CD">
        <w:rPr>
          <w:rFonts w:asciiTheme="minorHAnsi" w:eastAsia="Arial" w:hAnsiTheme="minorHAnsi" w:cs="Arial"/>
          <w:bCs/>
          <w:sz w:val="20"/>
          <w:szCs w:val="20"/>
          <w:lang w:val="sr-Latn-ME"/>
        </w:rPr>
        <w:t>Instrument za evropsku integraciju</w:t>
      </w:r>
    </w:p>
    <w:p w14:paraId="3D794694" w14:textId="77777777" w:rsidR="00323519" w:rsidRPr="00323519" w:rsidRDefault="00323519" w:rsidP="00323519">
      <w:pPr>
        <w:spacing w:after="0" w:line="240" w:lineRule="auto"/>
        <w:jc w:val="both"/>
        <w:rPr>
          <w:rFonts w:asciiTheme="minorHAnsi" w:hAnsiTheme="minorHAnsi" w:cs="Arial"/>
          <w:bCs/>
          <w:sz w:val="20"/>
          <w:szCs w:val="20"/>
          <w:lang w:val="sr-Latn-ME"/>
        </w:rPr>
      </w:pPr>
    </w:p>
    <w:p w14:paraId="54C5EC90" w14:textId="77777777" w:rsidR="0086044A" w:rsidRPr="00F563CD" w:rsidRDefault="0086044A" w:rsidP="0086044A">
      <w:pPr>
        <w:spacing w:line="240" w:lineRule="auto"/>
        <w:jc w:val="both"/>
        <w:rPr>
          <w:rFonts w:asciiTheme="minorHAnsi" w:hAnsiTheme="minorHAnsi" w:cs="Arial"/>
          <w:b/>
          <w:bCs/>
          <w:sz w:val="20"/>
          <w:szCs w:val="20"/>
          <w:lang w:val="sr-Latn-ME"/>
        </w:rPr>
      </w:pPr>
      <w:r w:rsidRPr="00F563CD">
        <w:rPr>
          <w:rFonts w:asciiTheme="minorHAnsi" w:hAnsiTheme="minorHAnsi" w:cs="Arial"/>
          <w:b/>
          <w:bCs/>
          <w:sz w:val="20"/>
          <w:szCs w:val="20"/>
          <w:lang w:val="sr-Latn-ME"/>
        </w:rPr>
        <w:t>Programska godina 2024</w:t>
      </w:r>
    </w:p>
    <w:p w14:paraId="48114055" w14:textId="77777777" w:rsidR="0086044A" w:rsidRPr="00F563CD" w:rsidRDefault="0086044A" w:rsidP="0086044A">
      <w:pPr>
        <w:spacing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 xml:space="preserve">Akcija Br.1 – Dalja podrška Upravi prihoda i carina Crne Gore za implementaciju, nadogradnju i održavanje elektronskog sistema </w:t>
      </w:r>
    </w:p>
    <w:p w14:paraId="58DDC58F" w14:textId="77777777" w:rsidR="0086044A" w:rsidRPr="00F563CD" w:rsidRDefault="0086044A" w:rsidP="0086044A">
      <w:pPr>
        <w:spacing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Akcija Br.2 –</w:t>
      </w:r>
      <w:r w:rsidRPr="00F563CD">
        <w:rPr>
          <w:rFonts w:asciiTheme="minorHAnsi" w:eastAsia="Arial" w:hAnsiTheme="minorHAnsi" w:cs="Arial"/>
          <w:bCs/>
          <w:sz w:val="20"/>
          <w:szCs w:val="20"/>
          <w:lang w:val="sr-Latn-ME"/>
        </w:rPr>
        <w:t>Instrument za evropsku integraciju</w:t>
      </w:r>
    </w:p>
    <w:p w14:paraId="09D34262" w14:textId="5A77EE19" w:rsidR="0086044A" w:rsidRPr="00F563CD" w:rsidRDefault="0086044A" w:rsidP="0086044A">
      <w:pPr>
        <w:spacing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Uprava prihoda i carina Crne Gore pažljivo planira aktivnosti vezane za sprovođenje ovih akcija i tokom narednih mjesecima biće održane dodatne konsultacije sa DG TAXUD, kako bi se dobil</w:t>
      </w:r>
      <w:r w:rsidR="00323519">
        <w:rPr>
          <w:rFonts w:asciiTheme="minorHAnsi" w:hAnsiTheme="minorHAnsi" w:cs="Arial"/>
          <w:bCs/>
          <w:sz w:val="20"/>
          <w:szCs w:val="20"/>
          <w:lang w:val="sr-Latn-ME"/>
        </w:rPr>
        <w:t>e dodatne potrebne informacije.</w:t>
      </w:r>
    </w:p>
    <w:p w14:paraId="08A66EC4" w14:textId="77777777" w:rsidR="0086044A" w:rsidRPr="00F563CD" w:rsidRDefault="0086044A" w:rsidP="0086044A">
      <w:pPr>
        <w:keepNext/>
        <w:keepLines/>
        <w:numPr>
          <w:ilvl w:val="0"/>
          <w:numId w:val="27"/>
        </w:numPr>
        <w:spacing w:after="0"/>
        <w:outlineLvl w:val="1"/>
        <w:rPr>
          <w:rFonts w:asciiTheme="minorHAnsi" w:hAnsiTheme="minorHAnsi" w:cs="Arial"/>
          <w:b/>
          <w:bCs/>
          <w:smallCaps/>
          <w:sz w:val="24"/>
          <w:szCs w:val="24"/>
          <w:lang w:val="sr-Latn-ME"/>
        </w:rPr>
      </w:pPr>
      <w:bookmarkStart w:id="34" w:name="_Toc91500262"/>
      <w:r w:rsidRPr="00F563CD">
        <w:rPr>
          <w:rFonts w:asciiTheme="minorHAnsi" w:hAnsiTheme="minorHAnsi" w:cs="Arial"/>
          <w:b/>
          <w:bCs/>
          <w:smallCaps/>
          <w:sz w:val="24"/>
          <w:szCs w:val="24"/>
          <w:lang w:val="sr-Latn-ME"/>
        </w:rPr>
        <w:lastRenderedPageBreak/>
        <w:t>Indikativni budžet i plan sprovođenja 2021-2024</w:t>
      </w:r>
      <w:bookmarkEnd w:id="34"/>
    </w:p>
    <w:p w14:paraId="73F3FB6A" w14:textId="77777777" w:rsidR="0086044A" w:rsidRPr="00F563CD" w:rsidRDefault="0086044A" w:rsidP="0086044A">
      <w:pPr>
        <w:spacing w:after="0" w:line="240" w:lineRule="auto"/>
        <w:jc w:val="both"/>
        <w:textAlignment w:val="baseline"/>
        <w:rPr>
          <w:rFonts w:asciiTheme="minorHAnsi" w:hAnsiTheme="minorHAnsi" w:cs="Segoe UI"/>
          <w:sz w:val="18"/>
          <w:szCs w:val="18"/>
          <w:lang w:val="sr-Latn-ME" w:eastAsia="en-US"/>
        </w:rPr>
      </w:pPr>
      <w:r w:rsidRPr="00F563CD">
        <w:rPr>
          <w:rFonts w:asciiTheme="minorHAnsi" w:hAnsiTheme="minorHAnsi" w:cs="Calibri"/>
          <w:i/>
          <w:iCs/>
          <w:sz w:val="20"/>
          <w:szCs w:val="20"/>
          <w:lang w:val="sr-Latn-ME" w:eastAsia="en-US"/>
        </w:rPr>
        <w:t> </w:t>
      </w:r>
      <w:r w:rsidRPr="00F563CD">
        <w:rPr>
          <w:rFonts w:asciiTheme="minorHAnsi" w:hAnsiTheme="minorHAnsi" w:cs="Calibri"/>
          <w:sz w:val="20"/>
          <w:szCs w:val="20"/>
          <w:lang w:val="sr-Latn-ME" w:eastAsia="en-US"/>
        </w:rPr>
        <w:t> </w:t>
      </w:r>
    </w:p>
    <w:tbl>
      <w:tblPr>
        <w:tblW w:w="9826" w:type="dxa"/>
        <w:tblInd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8"/>
        <w:gridCol w:w="1949"/>
        <w:gridCol w:w="4758"/>
        <w:gridCol w:w="21"/>
      </w:tblGrid>
      <w:tr w:rsidR="0086044A" w:rsidRPr="00F563CD" w14:paraId="0FE1C834" w14:textId="77777777" w:rsidTr="006712E0">
        <w:trPr>
          <w:trHeight w:val="617"/>
        </w:trPr>
        <w:tc>
          <w:tcPr>
            <w:tcW w:w="3098" w:type="dxa"/>
            <w:tcBorders>
              <w:top w:val="single" w:sz="6" w:space="0" w:color="auto"/>
              <w:left w:val="single" w:sz="6" w:space="0" w:color="auto"/>
              <w:bottom w:val="single" w:sz="6" w:space="0" w:color="auto"/>
              <w:right w:val="single" w:sz="6" w:space="0" w:color="auto"/>
            </w:tcBorders>
            <w:shd w:val="clear" w:color="auto" w:fill="auto"/>
            <w:hideMark/>
          </w:tcPr>
          <w:p w14:paraId="720103C5" w14:textId="77777777" w:rsidR="0086044A" w:rsidRPr="00F563CD" w:rsidRDefault="0086044A" w:rsidP="0086044A">
            <w:pPr>
              <w:spacing w:after="0" w:line="240" w:lineRule="auto"/>
              <w:jc w:val="center"/>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  </w:t>
            </w:r>
          </w:p>
        </w:tc>
        <w:tc>
          <w:tcPr>
            <w:tcW w:w="1949" w:type="dxa"/>
            <w:tcBorders>
              <w:top w:val="single" w:sz="6" w:space="0" w:color="auto"/>
              <w:left w:val="single" w:sz="6" w:space="0" w:color="auto"/>
              <w:bottom w:val="single" w:sz="6" w:space="0" w:color="auto"/>
              <w:right w:val="single" w:sz="6" w:space="0" w:color="auto"/>
            </w:tcBorders>
            <w:shd w:val="clear" w:color="auto" w:fill="auto"/>
            <w:hideMark/>
          </w:tcPr>
          <w:p w14:paraId="2BFA9CEC" w14:textId="77777777" w:rsidR="0086044A" w:rsidRPr="00F563CD" w:rsidRDefault="0086044A" w:rsidP="0086044A">
            <w:pPr>
              <w:spacing w:after="0" w:line="240" w:lineRule="auto"/>
              <w:jc w:val="center"/>
              <w:textAlignment w:val="baseline"/>
              <w:rPr>
                <w:rFonts w:asciiTheme="minorHAnsi" w:hAnsiTheme="minorHAnsi"/>
                <w:sz w:val="24"/>
                <w:szCs w:val="24"/>
                <w:lang w:val="sr-Latn-ME" w:eastAsia="en-US"/>
              </w:rPr>
            </w:pPr>
            <w:r w:rsidRPr="00F563CD">
              <w:rPr>
                <w:rFonts w:asciiTheme="minorHAnsi" w:hAnsiTheme="minorHAnsi" w:cs="Arial"/>
                <w:b/>
                <w:bCs/>
                <w:sz w:val="20"/>
                <w:szCs w:val="20"/>
                <w:lang w:val="sr-Latn-ME" w:eastAsia="en-US"/>
              </w:rPr>
              <w:t>Procijenjeni budžet (EUR)</w:t>
            </w:r>
            <w:r w:rsidRPr="00F563CD">
              <w:rPr>
                <w:rFonts w:asciiTheme="minorHAnsi" w:hAnsiTheme="minorHAnsi" w:cs="Arial"/>
                <w:sz w:val="20"/>
                <w:szCs w:val="20"/>
                <w:lang w:val="sr-Latn-ME" w:eastAsia="en-US"/>
              </w:rPr>
              <w:t> </w:t>
            </w:r>
          </w:p>
        </w:tc>
        <w:tc>
          <w:tcPr>
            <w:tcW w:w="477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62C30E" w14:textId="77777777" w:rsidR="0086044A" w:rsidRPr="00F563CD" w:rsidRDefault="0086044A" w:rsidP="0086044A">
            <w:pPr>
              <w:spacing w:after="0" w:line="240" w:lineRule="auto"/>
              <w:jc w:val="center"/>
              <w:textAlignment w:val="baseline"/>
              <w:rPr>
                <w:rFonts w:asciiTheme="minorHAnsi" w:hAnsiTheme="minorHAnsi"/>
                <w:sz w:val="24"/>
                <w:szCs w:val="24"/>
                <w:lang w:val="sr-Latn-ME" w:eastAsia="en-US"/>
              </w:rPr>
            </w:pPr>
            <w:r w:rsidRPr="00F563CD">
              <w:rPr>
                <w:rFonts w:asciiTheme="minorHAnsi" w:hAnsiTheme="minorHAnsi" w:cs="Arial"/>
                <w:b/>
                <w:bCs/>
                <w:sz w:val="20"/>
                <w:szCs w:val="20"/>
                <w:lang w:val="sr-Latn-ME" w:eastAsia="en-US"/>
              </w:rPr>
              <w:t xml:space="preserve">Plan sprovođenja </w:t>
            </w:r>
            <w:r w:rsidRPr="00F563CD">
              <w:rPr>
                <w:rFonts w:asciiTheme="minorHAnsi" w:hAnsiTheme="minorHAnsi" w:cs="Arial"/>
                <w:sz w:val="20"/>
                <w:szCs w:val="20"/>
                <w:lang w:val="sr-Latn-ME" w:eastAsia="en-US"/>
              </w:rPr>
              <w:t> </w:t>
            </w:r>
          </w:p>
        </w:tc>
      </w:tr>
      <w:tr w:rsidR="0086044A" w:rsidRPr="00F563CD" w14:paraId="60AF8D78" w14:textId="77777777" w:rsidTr="006712E0">
        <w:trPr>
          <w:trHeight w:val="294"/>
        </w:trPr>
        <w:tc>
          <w:tcPr>
            <w:tcW w:w="982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3CA3DBE" w14:textId="77777777" w:rsidR="0086044A" w:rsidRPr="00F563CD" w:rsidRDefault="0086044A" w:rsidP="0086044A">
            <w:pPr>
              <w:spacing w:after="0" w:line="240" w:lineRule="auto"/>
              <w:jc w:val="center"/>
              <w:textAlignment w:val="baseline"/>
              <w:rPr>
                <w:rFonts w:asciiTheme="minorHAnsi" w:hAnsiTheme="minorHAnsi"/>
                <w:b/>
                <w:sz w:val="20"/>
                <w:szCs w:val="20"/>
                <w:lang w:val="sr-Latn-ME" w:eastAsia="en-US"/>
              </w:rPr>
            </w:pPr>
            <w:r w:rsidRPr="00F563CD">
              <w:rPr>
                <w:rFonts w:asciiTheme="minorHAnsi" w:hAnsiTheme="minorHAnsi"/>
                <w:b/>
                <w:sz w:val="20"/>
                <w:szCs w:val="20"/>
                <w:lang w:val="sr-Latn-ME" w:eastAsia="en-US"/>
              </w:rPr>
              <w:t>2021.</w:t>
            </w:r>
          </w:p>
        </w:tc>
      </w:tr>
      <w:tr w:rsidR="0086044A" w:rsidRPr="00F563CD" w14:paraId="43952AB3" w14:textId="77777777" w:rsidTr="006712E0">
        <w:trPr>
          <w:trHeight w:val="294"/>
        </w:trPr>
        <w:tc>
          <w:tcPr>
            <w:tcW w:w="9826" w:type="dxa"/>
            <w:gridSpan w:val="4"/>
            <w:tcBorders>
              <w:top w:val="single" w:sz="6" w:space="0" w:color="auto"/>
              <w:left w:val="single" w:sz="6" w:space="0" w:color="auto"/>
              <w:bottom w:val="single" w:sz="6" w:space="0" w:color="auto"/>
              <w:right w:val="single" w:sz="6" w:space="0" w:color="auto"/>
            </w:tcBorders>
            <w:shd w:val="clear" w:color="auto" w:fill="A6A6A6"/>
            <w:vAlign w:val="center"/>
            <w:hideMark/>
          </w:tcPr>
          <w:p w14:paraId="49D32091" w14:textId="77777777" w:rsidR="0086044A" w:rsidRPr="00F563CD" w:rsidRDefault="0086044A" w:rsidP="0086044A">
            <w:pPr>
              <w:spacing w:after="0" w:line="240" w:lineRule="auto"/>
              <w:textAlignment w:val="baseline"/>
              <w:rPr>
                <w:rFonts w:asciiTheme="minorHAnsi" w:hAnsiTheme="minorHAnsi"/>
                <w:sz w:val="24"/>
                <w:szCs w:val="24"/>
                <w:lang w:val="sr-Latn-ME" w:eastAsia="en-US"/>
              </w:rPr>
            </w:pPr>
            <w:r w:rsidRPr="00F563CD">
              <w:rPr>
                <w:rFonts w:asciiTheme="minorHAnsi" w:hAnsiTheme="minorHAnsi" w:cs="Arial"/>
                <w:b/>
                <w:bCs/>
                <w:sz w:val="20"/>
                <w:szCs w:val="20"/>
                <w:lang w:val="sr-Latn-ME" w:eastAsia="en-US"/>
              </w:rPr>
              <w:t xml:space="preserve">Tematski prioritet 2 – Administrativni kapaciteti i usklađivanje s pravnom tekovinom </w:t>
            </w:r>
            <w:r w:rsidRPr="00F563CD">
              <w:rPr>
                <w:rFonts w:asciiTheme="minorHAnsi" w:hAnsiTheme="minorHAnsi" w:cs="Arial"/>
                <w:sz w:val="20"/>
                <w:szCs w:val="20"/>
                <w:lang w:val="sr-Latn-ME" w:eastAsia="en-US"/>
              </w:rPr>
              <w:t> </w:t>
            </w:r>
          </w:p>
        </w:tc>
      </w:tr>
      <w:tr w:rsidR="0086044A" w:rsidRPr="008C3F18" w14:paraId="7D062BE7" w14:textId="77777777" w:rsidTr="006712E0">
        <w:trPr>
          <w:trHeight w:val="882"/>
        </w:trPr>
        <w:tc>
          <w:tcPr>
            <w:tcW w:w="3098" w:type="dxa"/>
            <w:tcBorders>
              <w:top w:val="single" w:sz="6" w:space="0" w:color="auto"/>
              <w:left w:val="single" w:sz="6" w:space="0" w:color="auto"/>
              <w:bottom w:val="single" w:sz="6" w:space="0" w:color="auto"/>
              <w:right w:val="single" w:sz="6" w:space="0" w:color="auto"/>
            </w:tcBorders>
            <w:shd w:val="clear" w:color="auto" w:fill="auto"/>
            <w:hideMark/>
          </w:tcPr>
          <w:p w14:paraId="4C93EE91" w14:textId="77777777" w:rsidR="0086044A" w:rsidRPr="00F563CD" w:rsidRDefault="0086044A" w:rsidP="0086044A">
            <w:pPr>
              <w:spacing w:line="240" w:lineRule="auto"/>
              <w:jc w:val="both"/>
              <w:rPr>
                <w:rFonts w:asciiTheme="minorHAnsi" w:hAnsiTheme="minorHAnsi" w:cs="Arial"/>
                <w:bCs/>
                <w:sz w:val="20"/>
                <w:szCs w:val="20"/>
                <w:lang w:val="sr-Latn-ME"/>
              </w:rPr>
            </w:pPr>
            <w:r w:rsidRPr="00F563CD">
              <w:rPr>
                <w:rFonts w:asciiTheme="minorHAnsi" w:hAnsiTheme="minorHAnsi" w:cs="Arial"/>
                <w:sz w:val="20"/>
                <w:szCs w:val="20"/>
                <w:lang w:val="sr-Latn-ME" w:eastAsia="en-US"/>
              </w:rPr>
              <w:t>Opis projekta Br. 1 –</w:t>
            </w:r>
            <w:r w:rsidRPr="00F563CD">
              <w:rPr>
                <w:rFonts w:asciiTheme="minorHAnsi" w:eastAsia="Arial" w:hAnsiTheme="minorHAnsi" w:cs="Arial"/>
                <w:bCs/>
                <w:sz w:val="20"/>
                <w:szCs w:val="20"/>
                <w:lang w:val="sr-Latn-ME"/>
              </w:rPr>
              <w:t>Instrument za evropsku integraciju</w:t>
            </w:r>
          </w:p>
          <w:p w14:paraId="62340CD6" w14:textId="77777777" w:rsidR="0086044A" w:rsidRPr="00F563CD" w:rsidRDefault="0086044A" w:rsidP="0086044A">
            <w:pPr>
              <w:spacing w:after="0" w:line="240" w:lineRule="auto"/>
              <w:textAlignment w:val="baseline"/>
              <w:rPr>
                <w:rFonts w:asciiTheme="minorHAnsi" w:hAnsiTheme="minorHAnsi"/>
                <w:sz w:val="24"/>
                <w:szCs w:val="24"/>
                <w:lang w:val="sr-Latn-ME" w:eastAsia="en-US"/>
              </w:rPr>
            </w:pPr>
          </w:p>
          <w:p w14:paraId="01DD579F" w14:textId="77777777" w:rsidR="0086044A" w:rsidRPr="00F563CD" w:rsidRDefault="0086044A" w:rsidP="0086044A">
            <w:pPr>
              <w:spacing w:after="0" w:line="240" w:lineRule="auto"/>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  </w:t>
            </w:r>
          </w:p>
        </w:tc>
        <w:tc>
          <w:tcPr>
            <w:tcW w:w="1949" w:type="dxa"/>
            <w:tcBorders>
              <w:top w:val="nil"/>
              <w:left w:val="single" w:sz="6" w:space="0" w:color="auto"/>
              <w:bottom w:val="single" w:sz="6" w:space="0" w:color="auto"/>
              <w:right w:val="single" w:sz="6" w:space="0" w:color="auto"/>
            </w:tcBorders>
            <w:shd w:val="clear" w:color="auto" w:fill="auto"/>
            <w:hideMark/>
          </w:tcPr>
          <w:p w14:paraId="23771521" w14:textId="77777777" w:rsidR="0086044A" w:rsidRPr="00F563CD" w:rsidRDefault="0086044A" w:rsidP="0086044A">
            <w:pPr>
              <w:spacing w:after="0" w:line="240" w:lineRule="auto"/>
              <w:jc w:val="right"/>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3.500.000 </w:t>
            </w:r>
          </w:p>
        </w:tc>
        <w:tc>
          <w:tcPr>
            <w:tcW w:w="4779" w:type="dxa"/>
            <w:gridSpan w:val="2"/>
            <w:tcBorders>
              <w:top w:val="nil"/>
              <w:left w:val="single" w:sz="6" w:space="0" w:color="auto"/>
              <w:bottom w:val="single" w:sz="6" w:space="0" w:color="auto"/>
              <w:right w:val="single" w:sz="6" w:space="0" w:color="auto"/>
            </w:tcBorders>
            <w:shd w:val="clear" w:color="auto" w:fill="auto"/>
            <w:hideMark/>
          </w:tcPr>
          <w:p w14:paraId="2A724678" w14:textId="77777777" w:rsidR="0086044A" w:rsidRPr="00F563CD" w:rsidRDefault="0086044A" w:rsidP="0086044A">
            <w:pPr>
              <w:spacing w:after="0" w:line="240" w:lineRule="auto"/>
              <w:jc w:val="both"/>
              <w:textAlignment w:val="baseline"/>
              <w:rPr>
                <w:rFonts w:asciiTheme="minorHAnsi" w:hAnsiTheme="minorHAnsi"/>
                <w:sz w:val="24"/>
                <w:szCs w:val="24"/>
                <w:lang w:val="sr-Latn-ME" w:eastAsia="en-US"/>
              </w:rPr>
            </w:pPr>
            <w:r w:rsidRPr="00F563CD">
              <w:rPr>
                <w:rFonts w:asciiTheme="minorHAnsi" w:hAnsiTheme="minorHAnsi" w:cs="Arial"/>
                <w:iCs/>
                <w:sz w:val="20"/>
                <w:szCs w:val="20"/>
                <w:lang w:val="sr-Latn-ME" w:eastAsia="en-US"/>
              </w:rPr>
              <w:t xml:space="preserve"> Akcioni dokument je podnijet u martu 2021. </w:t>
            </w:r>
            <w:r w:rsidRPr="00F563CD">
              <w:rPr>
                <w:rFonts w:asciiTheme="minorHAnsi" w:hAnsiTheme="minorHAnsi" w:cs="Arial"/>
                <w:sz w:val="20"/>
                <w:szCs w:val="20"/>
                <w:lang w:val="sr-Latn-ME" w:eastAsia="en-US"/>
              </w:rPr>
              <w:t> </w:t>
            </w:r>
          </w:p>
        </w:tc>
      </w:tr>
      <w:tr w:rsidR="0086044A" w:rsidRPr="00F563CD" w14:paraId="23ADBB54" w14:textId="77777777" w:rsidTr="006712E0">
        <w:trPr>
          <w:trHeight w:val="426"/>
        </w:trPr>
        <w:tc>
          <w:tcPr>
            <w:tcW w:w="3098" w:type="dxa"/>
            <w:tcBorders>
              <w:top w:val="single" w:sz="6" w:space="0" w:color="auto"/>
              <w:left w:val="single" w:sz="6" w:space="0" w:color="auto"/>
              <w:bottom w:val="single" w:sz="6" w:space="0" w:color="auto"/>
              <w:right w:val="single" w:sz="6" w:space="0" w:color="auto"/>
            </w:tcBorders>
            <w:shd w:val="clear" w:color="auto" w:fill="auto"/>
            <w:hideMark/>
          </w:tcPr>
          <w:p w14:paraId="70CF339A" w14:textId="77777777" w:rsidR="0086044A" w:rsidRPr="00F563CD" w:rsidRDefault="0086044A" w:rsidP="0086044A">
            <w:pPr>
              <w:spacing w:after="0" w:line="240" w:lineRule="auto"/>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Ukupno Tematski prioritet 2 (2021) </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B905B" w14:textId="77777777" w:rsidR="0086044A" w:rsidRPr="00F563CD" w:rsidRDefault="0086044A" w:rsidP="0086044A">
            <w:pPr>
              <w:spacing w:after="0" w:line="240" w:lineRule="auto"/>
              <w:jc w:val="right"/>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3.500.000 </w:t>
            </w:r>
          </w:p>
        </w:tc>
        <w:tc>
          <w:tcPr>
            <w:tcW w:w="4779" w:type="dxa"/>
            <w:gridSpan w:val="2"/>
            <w:tcBorders>
              <w:top w:val="single" w:sz="6" w:space="0" w:color="auto"/>
              <w:left w:val="single" w:sz="6" w:space="0" w:color="auto"/>
              <w:bottom w:val="single" w:sz="6" w:space="0" w:color="auto"/>
              <w:right w:val="nil"/>
            </w:tcBorders>
            <w:shd w:val="clear" w:color="auto" w:fill="auto"/>
            <w:vAlign w:val="center"/>
            <w:hideMark/>
          </w:tcPr>
          <w:p w14:paraId="68DDE52C" w14:textId="77777777" w:rsidR="0086044A" w:rsidRPr="00F563CD" w:rsidRDefault="0086044A" w:rsidP="0086044A">
            <w:pPr>
              <w:spacing w:after="0" w:line="240" w:lineRule="auto"/>
              <w:jc w:val="right"/>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  </w:t>
            </w:r>
          </w:p>
        </w:tc>
      </w:tr>
      <w:tr w:rsidR="0086044A" w:rsidRPr="00F563CD" w14:paraId="00BD6DCB" w14:textId="77777777" w:rsidTr="006712E0">
        <w:trPr>
          <w:trHeight w:val="294"/>
        </w:trPr>
        <w:tc>
          <w:tcPr>
            <w:tcW w:w="9826"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14:paraId="5AF84009" w14:textId="77777777" w:rsidR="0086044A" w:rsidRPr="00F563CD" w:rsidRDefault="0086044A" w:rsidP="0086044A">
            <w:pPr>
              <w:spacing w:after="0" w:line="240" w:lineRule="auto"/>
              <w:jc w:val="center"/>
              <w:textAlignment w:val="baseline"/>
              <w:rPr>
                <w:rFonts w:asciiTheme="minorHAnsi" w:hAnsiTheme="minorHAnsi"/>
                <w:sz w:val="24"/>
                <w:szCs w:val="24"/>
                <w:lang w:val="sr-Latn-ME" w:eastAsia="en-US"/>
              </w:rPr>
            </w:pPr>
            <w:r w:rsidRPr="00F563CD">
              <w:rPr>
                <w:rFonts w:asciiTheme="minorHAnsi" w:hAnsiTheme="minorHAnsi" w:cs="Arial"/>
                <w:b/>
                <w:bCs/>
                <w:sz w:val="20"/>
                <w:szCs w:val="20"/>
                <w:lang w:val="sr-Latn-ME" w:eastAsia="en-US"/>
              </w:rPr>
              <w:t>2022.</w:t>
            </w:r>
            <w:r w:rsidRPr="00F563CD">
              <w:rPr>
                <w:rFonts w:asciiTheme="minorHAnsi" w:hAnsiTheme="minorHAnsi" w:cs="Arial"/>
                <w:sz w:val="20"/>
                <w:szCs w:val="20"/>
                <w:lang w:val="sr-Latn-ME" w:eastAsia="en-US"/>
              </w:rPr>
              <w:t> </w:t>
            </w:r>
          </w:p>
        </w:tc>
      </w:tr>
      <w:tr w:rsidR="0086044A" w:rsidRPr="00F563CD" w14:paraId="20EC3BA0" w14:textId="77777777" w:rsidTr="006712E0">
        <w:trPr>
          <w:trHeight w:val="294"/>
        </w:trPr>
        <w:tc>
          <w:tcPr>
            <w:tcW w:w="9826" w:type="dxa"/>
            <w:gridSpan w:val="4"/>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7E29B406" w14:textId="77777777" w:rsidR="0086044A" w:rsidRPr="00F563CD" w:rsidRDefault="0086044A" w:rsidP="0086044A">
            <w:pPr>
              <w:spacing w:after="0" w:line="240" w:lineRule="auto"/>
              <w:textAlignment w:val="baseline"/>
              <w:rPr>
                <w:rFonts w:asciiTheme="minorHAnsi" w:hAnsiTheme="minorHAnsi" w:cs="Arial"/>
                <w:b/>
                <w:bCs/>
                <w:sz w:val="20"/>
                <w:szCs w:val="20"/>
                <w:lang w:val="sr-Latn-ME" w:eastAsia="en-US"/>
              </w:rPr>
            </w:pPr>
            <w:r w:rsidRPr="00F563CD">
              <w:rPr>
                <w:rFonts w:asciiTheme="minorHAnsi" w:hAnsiTheme="minorHAnsi" w:cs="Arial"/>
                <w:b/>
                <w:bCs/>
                <w:sz w:val="20"/>
                <w:szCs w:val="20"/>
                <w:lang w:val="sr-Latn-ME" w:eastAsia="en-US"/>
              </w:rPr>
              <w:t xml:space="preserve">Tematski prioritet 2 – Administrativni kapaciteti i usklađivanje s pravnom tekovinom </w:t>
            </w:r>
            <w:r w:rsidRPr="00F563CD">
              <w:rPr>
                <w:rFonts w:asciiTheme="minorHAnsi" w:hAnsiTheme="minorHAnsi" w:cs="Arial"/>
                <w:sz w:val="20"/>
                <w:szCs w:val="20"/>
                <w:lang w:val="sr-Latn-ME" w:eastAsia="en-US"/>
              </w:rPr>
              <w:t> </w:t>
            </w:r>
          </w:p>
        </w:tc>
      </w:tr>
      <w:tr w:rsidR="0086044A" w:rsidRPr="008C3F18" w14:paraId="228CFA3E" w14:textId="77777777" w:rsidTr="006712E0">
        <w:trPr>
          <w:trHeight w:val="485"/>
        </w:trPr>
        <w:tc>
          <w:tcPr>
            <w:tcW w:w="3098" w:type="dxa"/>
            <w:tcBorders>
              <w:top w:val="single" w:sz="6" w:space="0" w:color="auto"/>
              <w:left w:val="single" w:sz="6" w:space="0" w:color="auto"/>
              <w:bottom w:val="single" w:sz="6" w:space="0" w:color="auto"/>
              <w:right w:val="single" w:sz="6" w:space="0" w:color="auto"/>
            </w:tcBorders>
            <w:shd w:val="clear" w:color="auto" w:fill="auto"/>
          </w:tcPr>
          <w:p w14:paraId="21B8284B" w14:textId="77777777" w:rsidR="0086044A" w:rsidRPr="00F563CD" w:rsidRDefault="0086044A" w:rsidP="0086044A">
            <w:pPr>
              <w:spacing w:after="0" w:line="240" w:lineRule="auto"/>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Opis projekta Br. 1 –  </w:t>
            </w:r>
            <w:r w:rsidRPr="00F563CD">
              <w:rPr>
                <w:rFonts w:asciiTheme="minorHAnsi" w:eastAsia="Arial" w:hAnsiTheme="minorHAnsi" w:cs="Arial"/>
                <w:bCs/>
                <w:sz w:val="20"/>
                <w:szCs w:val="20"/>
                <w:lang w:val="sr-Latn-ME"/>
              </w:rPr>
              <w:t>Instrument za evropsku integraciju</w:t>
            </w:r>
          </w:p>
        </w:tc>
        <w:tc>
          <w:tcPr>
            <w:tcW w:w="1949" w:type="dxa"/>
            <w:tcBorders>
              <w:top w:val="nil"/>
              <w:left w:val="single" w:sz="6" w:space="0" w:color="auto"/>
              <w:bottom w:val="single" w:sz="6" w:space="0" w:color="auto"/>
              <w:right w:val="single" w:sz="6" w:space="0" w:color="auto"/>
            </w:tcBorders>
            <w:shd w:val="clear" w:color="auto" w:fill="auto"/>
          </w:tcPr>
          <w:p w14:paraId="30EE7D72" w14:textId="77777777" w:rsidR="0086044A" w:rsidRPr="00F563CD" w:rsidRDefault="0086044A" w:rsidP="0086044A">
            <w:pPr>
              <w:spacing w:after="0" w:line="240" w:lineRule="auto"/>
              <w:jc w:val="right"/>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5.000.000 </w:t>
            </w:r>
          </w:p>
        </w:tc>
        <w:tc>
          <w:tcPr>
            <w:tcW w:w="4779" w:type="dxa"/>
            <w:gridSpan w:val="2"/>
            <w:tcBorders>
              <w:top w:val="nil"/>
              <w:left w:val="single" w:sz="6" w:space="0" w:color="auto"/>
              <w:bottom w:val="single" w:sz="6" w:space="0" w:color="auto"/>
              <w:right w:val="single" w:sz="6" w:space="0" w:color="auto"/>
            </w:tcBorders>
            <w:shd w:val="clear" w:color="auto" w:fill="auto"/>
          </w:tcPr>
          <w:p w14:paraId="484F3ABB" w14:textId="77777777" w:rsidR="0086044A" w:rsidRPr="00F563CD" w:rsidRDefault="0086044A" w:rsidP="0086044A">
            <w:pPr>
              <w:spacing w:after="0" w:line="240" w:lineRule="auto"/>
              <w:jc w:val="both"/>
              <w:textAlignment w:val="baseline"/>
              <w:rPr>
                <w:rFonts w:asciiTheme="minorHAnsi" w:hAnsiTheme="minorHAnsi"/>
                <w:sz w:val="24"/>
                <w:szCs w:val="24"/>
                <w:lang w:val="sr-Latn-ME" w:eastAsia="en-US"/>
              </w:rPr>
            </w:pPr>
            <w:r w:rsidRPr="00F563CD">
              <w:rPr>
                <w:rFonts w:asciiTheme="minorHAnsi" w:hAnsiTheme="minorHAnsi" w:cs="Arial"/>
                <w:iCs/>
                <w:sz w:val="20"/>
                <w:szCs w:val="20"/>
                <w:lang w:val="sr-Latn-ME" w:eastAsia="en-US"/>
              </w:rPr>
              <w:t>Akcioni dokument je podnijet u novembru 2021. </w:t>
            </w:r>
            <w:r w:rsidRPr="00F563CD">
              <w:rPr>
                <w:rFonts w:asciiTheme="minorHAnsi" w:hAnsiTheme="minorHAnsi" w:cs="Arial"/>
                <w:sz w:val="20"/>
                <w:szCs w:val="20"/>
                <w:lang w:val="sr-Latn-ME" w:eastAsia="en-US"/>
              </w:rPr>
              <w:t> </w:t>
            </w:r>
          </w:p>
        </w:tc>
      </w:tr>
      <w:tr w:rsidR="0086044A" w:rsidRPr="00F563CD" w14:paraId="236B6C1F" w14:textId="77777777" w:rsidTr="006712E0">
        <w:trPr>
          <w:trHeight w:val="485"/>
        </w:trPr>
        <w:tc>
          <w:tcPr>
            <w:tcW w:w="3098" w:type="dxa"/>
            <w:tcBorders>
              <w:top w:val="single" w:sz="6" w:space="0" w:color="auto"/>
              <w:left w:val="single" w:sz="6" w:space="0" w:color="auto"/>
              <w:bottom w:val="single" w:sz="6" w:space="0" w:color="auto"/>
              <w:right w:val="single" w:sz="6" w:space="0" w:color="auto"/>
            </w:tcBorders>
            <w:shd w:val="clear" w:color="auto" w:fill="auto"/>
          </w:tcPr>
          <w:p w14:paraId="1568DBFE" w14:textId="77777777" w:rsidR="0086044A" w:rsidRPr="00F563CD" w:rsidRDefault="0086044A" w:rsidP="0086044A">
            <w:pPr>
              <w:spacing w:after="0" w:line="240" w:lineRule="auto"/>
              <w:textAlignment w:val="baseline"/>
              <w:rPr>
                <w:rFonts w:asciiTheme="minorHAnsi" w:hAnsiTheme="minorHAnsi" w:cs="Arial"/>
                <w:sz w:val="20"/>
                <w:szCs w:val="20"/>
                <w:lang w:val="sr-Latn-ME" w:eastAsia="en-US"/>
              </w:rPr>
            </w:pPr>
            <w:r w:rsidRPr="00F563CD">
              <w:rPr>
                <w:rFonts w:asciiTheme="minorHAnsi" w:hAnsiTheme="minorHAnsi" w:cs="Arial"/>
                <w:sz w:val="20"/>
                <w:szCs w:val="20"/>
                <w:lang w:val="sr-Latn-ME" w:eastAsia="en-US"/>
              </w:rPr>
              <w:t>Opis projekta Br. 1 – Podrška učešću u programima Unije i agencijama (PUPA ) </w:t>
            </w:r>
          </w:p>
        </w:tc>
        <w:tc>
          <w:tcPr>
            <w:tcW w:w="1949" w:type="dxa"/>
            <w:tcBorders>
              <w:top w:val="nil"/>
              <w:left w:val="single" w:sz="6" w:space="0" w:color="auto"/>
              <w:bottom w:val="single" w:sz="6" w:space="0" w:color="auto"/>
              <w:right w:val="single" w:sz="6" w:space="0" w:color="auto"/>
            </w:tcBorders>
            <w:shd w:val="clear" w:color="auto" w:fill="auto"/>
          </w:tcPr>
          <w:p w14:paraId="72CC4CFA" w14:textId="77777777" w:rsidR="0086044A" w:rsidRPr="00F563CD" w:rsidRDefault="0086044A" w:rsidP="0086044A">
            <w:pPr>
              <w:spacing w:after="0" w:line="240" w:lineRule="auto"/>
              <w:jc w:val="right"/>
              <w:textAlignment w:val="baseline"/>
              <w:rPr>
                <w:rFonts w:asciiTheme="minorHAnsi" w:hAnsiTheme="minorHAnsi" w:cs="Arial"/>
                <w:sz w:val="20"/>
                <w:szCs w:val="20"/>
                <w:lang w:val="sr-Latn-ME" w:eastAsia="en-US"/>
              </w:rPr>
            </w:pPr>
            <w:r w:rsidRPr="00F563CD">
              <w:rPr>
                <w:rFonts w:asciiTheme="minorHAnsi" w:hAnsiTheme="minorHAnsi" w:cs="Arial"/>
                <w:sz w:val="20"/>
                <w:szCs w:val="20"/>
                <w:lang w:val="sr-Latn-ME" w:eastAsia="en-US"/>
              </w:rPr>
              <w:t xml:space="preserve">Biće utvrđeno naknadno </w:t>
            </w:r>
          </w:p>
        </w:tc>
        <w:tc>
          <w:tcPr>
            <w:tcW w:w="4779" w:type="dxa"/>
            <w:gridSpan w:val="2"/>
            <w:tcBorders>
              <w:top w:val="nil"/>
              <w:left w:val="single" w:sz="6" w:space="0" w:color="auto"/>
              <w:bottom w:val="single" w:sz="6" w:space="0" w:color="auto"/>
              <w:right w:val="single" w:sz="6" w:space="0" w:color="auto"/>
            </w:tcBorders>
            <w:shd w:val="clear" w:color="auto" w:fill="auto"/>
          </w:tcPr>
          <w:p w14:paraId="22B20B62" w14:textId="77777777" w:rsidR="0086044A" w:rsidRPr="00F563CD" w:rsidRDefault="0086044A" w:rsidP="0086044A">
            <w:pPr>
              <w:spacing w:after="0" w:line="240" w:lineRule="auto"/>
              <w:jc w:val="both"/>
              <w:textAlignment w:val="baseline"/>
              <w:rPr>
                <w:rFonts w:asciiTheme="minorHAnsi" w:hAnsiTheme="minorHAnsi" w:cs="Arial"/>
                <w:sz w:val="20"/>
                <w:szCs w:val="20"/>
                <w:lang w:val="sr-Latn-ME" w:eastAsia="en-US"/>
              </w:rPr>
            </w:pPr>
          </w:p>
        </w:tc>
      </w:tr>
      <w:tr w:rsidR="0086044A" w:rsidRPr="00F563CD" w14:paraId="3654BFED" w14:textId="77777777" w:rsidTr="006712E0">
        <w:trPr>
          <w:trHeight w:val="265"/>
        </w:trPr>
        <w:tc>
          <w:tcPr>
            <w:tcW w:w="9826" w:type="dxa"/>
            <w:gridSpan w:val="4"/>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6B1F999B" w14:textId="77777777" w:rsidR="0086044A" w:rsidRPr="00F563CD" w:rsidRDefault="0086044A" w:rsidP="0086044A">
            <w:pPr>
              <w:spacing w:after="0" w:line="240" w:lineRule="auto"/>
              <w:textAlignment w:val="baseline"/>
              <w:rPr>
                <w:rFonts w:asciiTheme="minorHAnsi" w:hAnsiTheme="minorHAnsi" w:cs="Arial"/>
                <w:sz w:val="20"/>
                <w:szCs w:val="20"/>
                <w:lang w:val="sr-Latn-ME" w:eastAsia="en-US"/>
              </w:rPr>
            </w:pPr>
            <w:r w:rsidRPr="00F563CD">
              <w:rPr>
                <w:rFonts w:asciiTheme="minorHAnsi" w:hAnsiTheme="minorHAnsi" w:cs="Arial"/>
                <w:b/>
                <w:bCs/>
                <w:sz w:val="20"/>
                <w:szCs w:val="20"/>
                <w:lang w:val="sr-Latn-ME" w:eastAsia="en-US"/>
              </w:rPr>
              <w:t>Tematski prioritet 1- Dobro upravljanje</w:t>
            </w:r>
          </w:p>
        </w:tc>
      </w:tr>
      <w:tr w:rsidR="0086044A" w:rsidRPr="008C3F18" w14:paraId="63E77F39" w14:textId="77777777" w:rsidTr="006712E0">
        <w:trPr>
          <w:trHeight w:val="1293"/>
        </w:trPr>
        <w:tc>
          <w:tcPr>
            <w:tcW w:w="3098" w:type="dxa"/>
            <w:tcBorders>
              <w:top w:val="single" w:sz="6" w:space="0" w:color="auto"/>
              <w:left w:val="single" w:sz="6" w:space="0" w:color="auto"/>
              <w:bottom w:val="single" w:sz="6" w:space="0" w:color="auto"/>
              <w:right w:val="single" w:sz="6" w:space="0" w:color="auto"/>
            </w:tcBorders>
            <w:shd w:val="clear" w:color="auto" w:fill="auto"/>
            <w:hideMark/>
          </w:tcPr>
          <w:p w14:paraId="6C53C13C" w14:textId="77777777" w:rsidR="0086044A" w:rsidRPr="00F563CD" w:rsidRDefault="0086044A" w:rsidP="0086044A">
            <w:pPr>
              <w:spacing w:after="0" w:line="240" w:lineRule="auto"/>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Opis projekta Br. 2 – Podrška modernizaciji i profesionalizaciji javne administracije u Crnoj Gori </w:t>
            </w:r>
          </w:p>
          <w:p w14:paraId="64290857" w14:textId="77777777" w:rsidR="0086044A" w:rsidRPr="00F563CD" w:rsidRDefault="0086044A" w:rsidP="0086044A">
            <w:pPr>
              <w:spacing w:after="0" w:line="240" w:lineRule="auto"/>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(sa opisima projekata PFM ) </w:t>
            </w:r>
          </w:p>
        </w:tc>
        <w:tc>
          <w:tcPr>
            <w:tcW w:w="1949" w:type="dxa"/>
            <w:tcBorders>
              <w:top w:val="single" w:sz="6" w:space="0" w:color="auto"/>
              <w:left w:val="single" w:sz="6" w:space="0" w:color="auto"/>
              <w:bottom w:val="single" w:sz="6" w:space="0" w:color="auto"/>
              <w:right w:val="single" w:sz="6" w:space="0" w:color="auto"/>
            </w:tcBorders>
            <w:shd w:val="clear" w:color="auto" w:fill="auto"/>
            <w:hideMark/>
          </w:tcPr>
          <w:p w14:paraId="1531E107" w14:textId="77777777" w:rsidR="0086044A" w:rsidRPr="00F563CD" w:rsidRDefault="0086044A" w:rsidP="0086044A">
            <w:pPr>
              <w:spacing w:after="0" w:line="240" w:lineRule="auto"/>
              <w:jc w:val="right"/>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30.000.000 </w:t>
            </w:r>
          </w:p>
        </w:tc>
        <w:tc>
          <w:tcPr>
            <w:tcW w:w="4779" w:type="dxa"/>
            <w:gridSpan w:val="2"/>
            <w:tcBorders>
              <w:top w:val="single" w:sz="6" w:space="0" w:color="auto"/>
              <w:left w:val="single" w:sz="6" w:space="0" w:color="auto"/>
              <w:bottom w:val="single" w:sz="6" w:space="0" w:color="auto"/>
              <w:right w:val="single" w:sz="4" w:space="0" w:color="auto"/>
            </w:tcBorders>
            <w:shd w:val="clear" w:color="auto" w:fill="auto"/>
            <w:hideMark/>
          </w:tcPr>
          <w:p w14:paraId="359280D7" w14:textId="77777777" w:rsidR="0086044A" w:rsidRPr="00F563CD" w:rsidRDefault="0086044A" w:rsidP="0086044A">
            <w:pPr>
              <w:spacing w:line="240" w:lineRule="auto"/>
              <w:jc w:val="both"/>
              <w:rPr>
                <w:rFonts w:asciiTheme="minorHAnsi" w:hAnsiTheme="minorHAnsi" w:cs="Arial"/>
                <w:sz w:val="20"/>
                <w:szCs w:val="20"/>
                <w:lang w:val="sr-Latn-ME" w:eastAsia="en-US"/>
              </w:rPr>
            </w:pPr>
            <w:r w:rsidRPr="00F563CD">
              <w:rPr>
                <w:rFonts w:asciiTheme="minorHAnsi" w:hAnsiTheme="minorHAnsi" w:cs="Arial"/>
                <w:iCs/>
                <w:sz w:val="20"/>
                <w:szCs w:val="20"/>
                <w:lang w:val="sr-Latn-ME" w:eastAsia="en-US"/>
              </w:rPr>
              <w:t>Akcioni dokument je podnijet u novembru 2021. </w:t>
            </w:r>
            <w:r w:rsidRPr="00F563CD">
              <w:rPr>
                <w:rFonts w:asciiTheme="minorHAnsi" w:hAnsiTheme="minorHAnsi" w:cs="Arial"/>
                <w:sz w:val="20"/>
                <w:szCs w:val="20"/>
                <w:lang w:val="sr-Latn-ME" w:eastAsia="en-US"/>
              </w:rPr>
              <w:t> </w:t>
            </w:r>
          </w:p>
          <w:p w14:paraId="506593E4" w14:textId="77777777" w:rsidR="0086044A" w:rsidRPr="00F563CD" w:rsidRDefault="0086044A" w:rsidP="0086044A">
            <w:pPr>
              <w:spacing w:after="0" w:line="240" w:lineRule="auto"/>
              <w:jc w:val="both"/>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Modalitet sprovođenja: Sektorska budžetska podrška</w:t>
            </w:r>
          </w:p>
        </w:tc>
      </w:tr>
      <w:tr w:rsidR="0086044A" w:rsidRPr="008C3F18" w14:paraId="6170959C" w14:textId="77777777" w:rsidTr="006712E0">
        <w:trPr>
          <w:trHeight w:val="426"/>
        </w:trPr>
        <w:tc>
          <w:tcPr>
            <w:tcW w:w="3098" w:type="dxa"/>
            <w:tcBorders>
              <w:top w:val="single" w:sz="6" w:space="0" w:color="auto"/>
              <w:left w:val="single" w:sz="6" w:space="0" w:color="auto"/>
              <w:bottom w:val="single" w:sz="6" w:space="0" w:color="auto"/>
              <w:right w:val="single" w:sz="6" w:space="0" w:color="auto"/>
            </w:tcBorders>
            <w:shd w:val="clear" w:color="auto" w:fill="auto"/>
            <w:hideMark/>
          </w:tcPr>
          <w:p w14:paraId="43088F0A" w14:textId="77777777" w:rsidR="0086044A" w:rsidRPr="00F563CD" w:rsidRDefault="0086044A" w:rsidP="0086044A">
            <w:pPr>
              <w:spacing w:after="0" w:line="240" w:lineRule="auto"/>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Ukupno Tematski prioriteti 1 i 2 (2022.) </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44A99" w14:textId="77777777" w:rsidR="0086044A" w:rsidRPr="00F563CD" w:rsidRDefault="0086044A" w:rsidP="0086044A">
            <w:pPr>
              <w:spacing w:after="0" w:line="240" w:lineRule="auto"/>
              <w:jc w:val="right"/>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35.000.000 </w:t>
            </w:r>
          </w:p>
        </w:tc>
        <w:tc>
          <w:tcPr>
            <w:tcW w:w="4779"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14:paraId="348EB2DD" w14:textId="77777777" w:rsidR="0086044A" w:rsidRPr="00F563CD" w:rsidRDefault="0086044A" w:rsidP="0086044A">
            <w:pPr>
              <w:spacing w:after="0" w:line="240" w:lineRule="auto"/>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Za podršku učešću u programima Unije i agencijama (PUPA) ukupni iznos treba da bude potvrđen   </w:t>
            </w:r>
          </w:p>
        </w:tc>
      </w:tr>
      <w:tr w:rsidR="0086044A" w:rsidRPr="00F563CD" w14:paraId="24E66443" w14:textId="77777777" w:rsidTr="006712E0">
        <w:trPr>
          <w:trHeight w:val="294"/>
        </w:trPr>
        <w:tc>
          <w:tcPr>
            <w:tcW w:w="9826" w:type="dxa"/>
            <w:gridSpan w:val="4"/>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7286CE5" w14:textId="77777777" w:rsidR="0086044A" w:rsidRPr="00F563CD" w:rsidRDefault="0086044A" w:rsidP="0086044A">
            <w:pPr>
              <w:spacing w:after="0" w:line="240" w:lineRule="auto"/>
              <w:textAlignment w:val="baseline"/>
              <w:rPr>
                <w:rFonts w:asciiTheme="minorHAnsi" w:hAnsiTheme="minorHAnsi" w:cs="Arial"/>
                <w:b/>
                <w:bCs/>
                <w:sz w:val="20"/>
                <w:szCs w:val="20"/>
                <w:lang w:val="sr-Latn-ME" w:eastAsia="en-US"/>
              </w:rPr>
            </w:pPr>
            <w:r w:rsidRPr="00F563CD">
              <w:rPr>
                <w:rFonts w:asciiTheme="minorHAnsi" w:hAnsiTheme="minorHAnsi" w:cs="Arial"/>
                <w:b/>
                <w:bCs/>
                <w:sz w:val="20"/>
                <w:szCs w:val="20"/>
                <w:lang w:val="sr-Latn-ME" w:eastAsia="en-US"/>
              </w:rPr>
              <w:t>Tematski prioritet 1- Dobro upravljanje</w:t>
            </w:r>
          </w:p>
        </w:tc>
      </w:tr>
      <w:tr w:rsidR="0086044A" w:rsidRPr="00F563CD" w14:paraId="7F970C32" w14:textId="77777777" w:rsidTr="006712E0">
        <w:trPr>
          <w:trHeight w:val="294"/>
        </w:trPr>
        <w:tc>
          <w:tcPr>
            <w:tcW w:w="9826"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35A1145D" w14:textId="77777777" w:rsidR="0086044A" w:rsidRPr="00F563CD" w:rsidRDefault="0086044A" w:rsidP="0086044A">
            <w:pPr>
              <w:spacing w:after="0" w:line="240" w:lineRule="auto"/>
              <w:jc w:val="center"/>
              <w:textAlignment w:val="baseline"/>
              <w:rPr>
                <w:rFonts w:asciiTheme="minorHAnsi" w:hAnsiTheme="minorHAnsi" w:cs="Arial"/>
                <w:b/>
                <w:bCs/>
                <w:sz w:val="20"/>
                <w:szCs w:val="20"/>
                <w:lang w:val="sr-Latn-ME" w:eastAsia="en-US"/>
              </w:rPr>
            </w:pPr>
            <w:r w:rsidRPr="00F563CD">
              <w:rPr>
                <w:rFonts w:asciiTheme="minorHAnsi" w:hAnsiTheme="minorHAnsi" w:cs="Arial"/>
                <w:b/>
                <w:bCs/>
                <w:sz w:val="20"/>
                <w:szCs w:val="20"/>
                <w:lang w:val="sr-Latn-ME" w:eastAsia="en-US"/>
              </w:rPr>
              <w:t>2023.</w:t>
            </w:r>
            <w:r w:rsidRPr="00F563CD">
              <w:rPr>
                <w:rFonts w:asciiTheme="minorHAnsi" w:hAnsiTheme="minorHAnsi" w:cs="Arial"/>
                <w:sz w:val="20"/>
                <w:szCs w:val="20"/>
                <w:lang w:val="sr-Latn-ME" w:eastAsia="en-US"/>
              </w:rPr>
              <w:t> </w:t>
            </w:r>
          </w:p>
        </w:tc>
      </w:tr>
      <w:tr w:rsidR="0086044A" w:rsidRPr="008C3F18" w14:paraId="54DBF14E" w14:textId="77777777" w:rsidTr="006712E0">
        <w:trPr>
          <w:trHeight w:val="426"/>
        </w:trPr>
        <w:tc>
          <w:tcPr>
            <w:tcW w:w="3098" w:type="dxa"/>
            <w:tcBorders>
              <w:top w:val="single" w:sz="6" w:space="0" w:color="auto"/>
              <w:left w:val="single" w:sz="6" w:space="0" w:color="auto"/>
              <w:bottom w:val="single" w:sz="6" w:space="0" w:color="auto"/>
              <w:right w:val="single" w:sz="6" w:space="0" w:color="auto"/>
            </w:tcBorders>
            <w:shd w:val="clear" w:color="auto" w:fill="auto"/>
          </w:tcPr>
          <w:p w14:paraId="60BBE741" w14:textId="77777777" w:rsidR="0086044A" w:rsidRPr="00F563CD" w:rsidRDefault="0086044A" w:rsidP="0086044A">
            <w:pPr>
              <w:tabs>
                <w:tab w:val="left" w:pos="576"/>
              </w:tabs>
              <w:spacing w:after="0" w:line="240" w:lineRule="auto"/>
              <w:textAlignment w:val="baseline"/>
              <w:rPr>
                <w:rFonts w:asciiTheme="minorHAnsi" w:hAnsiTheme="minorHAnsi" w:cs="Arial"/>
                <w:sz w:val="20"/>
                <w:szCs w:val="20"/>
                <w:lang w:val="sr-Latn-ME" w:eastAsia="en-US"/>
              </w:rPr>
            </w:pPr>
            <w:r w:rsidRPr="00F563CD">
              <w:rPr>
                <w:rFonts w:asciiTheme="minorHAnsi" w:hAnsiTheme="minorHAnsi" w:cs="Arial"/>
                <w:sz w:val="20"/>
                <w:szCs w:val="20"/>
                <w:lang w:val="sr-Latn-ME" w:eastAsia="en-US"/>
              </w:rPr>
              <w:t>Opis projekta Br.1 –  Nadogradnja kapaciteta IT sistema ANO- Agencije za nadzor osiguranja   </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14:paraId="23A383A7" w14:textId="77777777" w:rsidR="0086044A" w:rsidRPr="00F563CD" w:rsidRDefault="0086044A" w:rsidP="0086044A">
            <w:pPr>
              <w:spacing w:after="0" w:line="240" w:lineRule="auto"/>
              <w:jc w:val="right"/>
              <w:textAlignment w:val="baseline"/>
              <w:rPr>
                <w:rFonts w:asciiTheme="minorHAnsi" w:hAnsiTheme="minorHAnsi" w:cs="Arial"/>
                <w:sz w:val="20"/>
                <w:szCs w:val="20"/>
                <w:lang w:val="sr-Latn-ME" w:eastAsia="en-US"/>
              </w:rPr>
            </w:pPr>
            <w:r w:rsidRPr="00F563CD">
              <w:rPr>
                <w:rFonts w:asciiTheme="minorHAnsi" w:hAnsiTheme="minorHAnsi" w:cs="Arial"/>
                <w:sz w:val="20"/>
                <w:szCs w:val="20"/>
                <w:lang w:val="sr-Latn-ME" w:eastAsia="en-US"/>
              </w:rPr>
              <w:t>250.000</w:t>
            </w:r>
          </w:p>
        </w:tc>
        <w:tc>
          <w:tcPr>
            <w:tcW w:w="4779" w:type="dxa"/>
            <w:gridSpan w:val="2"/>
            <w:tcBorders>
              <w:top w:val="single" w:sz="6" w:space="0" w:color="auto"/>
              <w:left w:val="single" w:sz="6" w:space="0" w:color="auto"/>
              <w:bottom w:val="single" w:sz="6" w:space="0" w:color="auto"/>
              <w:right w:val="single" w:sz="4" w:space="0" w:color="auto"/>
            </w:tcBorders>
            <w:shd w:val="clear" w:color="auto" w:fill="auto"/>
          </w:tcPr>
          <w:p w14:paraId="52FE6BBE" w14:textId="77777777" w:rsidR="0086044A" w:rsidRPr="00F563CD" w:rsidRDefault="0086044A" w:rsidP="0086044A">
            <w:pPr>
              <w:spacing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IPA 2023 programskim planom.</w:t>
            </w:r>
          </w:p>
          <w:p w14:paraId="05783C35"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Akcija će se sprovesti preko ugovora o uslugama/o djelu.</w:t>
            </w:r>
          </w:p>
          <w:p w14:paraId="70AA6B1B" w14:textId="77777777" w:rsidR="0086044A" w:rsidRPr="00F563CD" w:rsidRDefault="0086044A" w:rsidP="0086044A">
            <w:pPr>
              <w:spacing w:line="240" w:lineRule="auto"/>
              <w:jc w:val="both"/>
              <w:rPr>
                <w:rFonts w:asciiTheme="minorHAnsi" w:hAnsiTheme="minorHAnsi" w:cs="Arial"/>
                <w:sz w:val="20"/>
                <w:szCs w:val="20"/>
                <w:lang w:val="sr-Latn-ME" w:eastAsia="en-US"/>
              </w:rPr>
            </w:pPr>
            <w:r w:rsidRPr="00F563CD">
              <w:rPr>
                <w:rFonts w:asciiTheme="minorHAnsi" w:hAnsiTheme="minorHAnsi" w:cs="Arial"/>
                <w:sz w:val="20"/>
                <w:szCs w:val="20"/>
                <w:lang w:val="sr-Latn-ME"/>
              </w:rPr>
              <w:t xml:space="preserve">Akcija će se implementirati preko jednog ugovora, sa ciljem da se digitalizuju poslovne operacije u Agenciji za nadzor osiguranja (ANO) Crne Gore kroz dalju automatizaciju procesiranja podataka o nadzoru. </w:t>
            </w:r>
          </w:p>
        </w:tc>
      </w:tr>
      <w:tr w:rsidR="0086044A" w:rsidRPr="008C3F18" w14:paraId="25AA973E"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7447"/>
        </w:trPr>
        <w:tc>
          <w:tcPr>
            <w:tcW w:w="3098" w:type="dxa"/>
            <w:shd w:val="clear" w:color="auto" w:fill="auto"/>
          </w:tcPr>
          <w:p w14:paraId="14C518FA" w14:textId="77777777" w:rsidR="0086044A" w:rsidRPr="00F563CD" w:rsidRDefault="0086044A" w:rsidP="0086044A">
            <w:pPr>
              <w:spacing w:after="120" w:line="240" w:lineRule="auto"/>
              <w:ind w:left="-115"/>
              <w:jc w:val="both"/>
              <w:rPr>
                <w:rFonts w:asciiTheme="minorHAnsi" w:hAnsiTheme="minorHAnsi" w:cs="Arial"/>
                <w:sz w:val="20"/>
                <w:szCs w:val="20"/>
                <w:lang w:val="sr-Latn-ME" w:eastAsia="en-US"/>
              </w:rPr>
            </w:pPr>
            <w:r w:rsidRPr="00F563CD">
              <w:rPr>
                <w:rFonts w:asciiTheme="minorHAnsi" w:hAnsiTheme="minorHAnsi" w:cs="Arial"/>
                <w:sz w:val="20"/>
                <w:szCs w:val="20"/>
                <w:lang w:val="sr-Latn-ME" w:eastAsia="en-US"/>
              </w:rPr>
              <w:lastRenderedPageBreak/>
              <w:t>Opis projekta Br.2- Digitalna transformacija IT sistema Zavoda za statistiku Crne Gore (MONSTAT)</w:t>
            </w:r>
          </w:p>
          <w:p w14:paraId="685BE7EA" w14:textId="77777777" w:rsidR="0086044A" w:rsidRPr="00F563CD" w:rsidRDefault="0086044A" w:rsidP="0086044A">
            <w:pPr>
              <w:spacing w:before="120" w:after="120" w:line="240" w:lineRule="auto"/>
              <w:rPr>
                <w:rFonts w:asciiTheme="minorHAnsi" w:hAnsiTheme="minorHAnsi" w:cs="Arial"/>
                <w:bCs/>
                <w:sz w:val="20"/>
                <w:szCs w:val="20"/>
                <w:lang w:val="sr-Latn-ME"/>
              </w:rPr>
            </w:pPr>
          </w:p>
        </w:tc>
        <w:tc>
          <w:tcPr>
            <w:tcW w:w="1949" w:type="dxa"/>
            <w:shd w:val="clear" w:color="auto" w:fill="auto"/>
          </w:tcPr>
          <w:p w14:paraId="28DCE595"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1.500.000</w:t>
            </w:r>
          </w:p>
        </w:tc>
        <w:tc>
          <w:tcPr>
            <w:tcW w:w="4758" w:type="dxa"/>
          </w:tcPr>
          <w:p w14:paraId="3D605C59" w14:textId="77777777" w:rsidR="0086044A" w:rsidRPr="00F563CD" w:rsidRDefault="0086044A" w:rsidP="0086044A">
            <w:pPr>
              <w:spacing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 xml:space="preserve">Opis projekta će biti razvijen u skladu sa IPA 2023 programskim planom. </w:t>
            </w:r>
          </w:p>
          <w:p w14:paraId="34C3864B"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 xml:space="preserve">Opis akcije: </w:t>
            </w:r>
          </w:p>
          <w:p w14:paraId="4C03BB6B" w14:textId="77777777" w:rsidR="0086044A" w:rsidRPr="00F563CD" w:rsidRDefault="0086044A" w:rsidP="0086044A">
            <w:pPr>
              <w:spacing w:after="0" w:line="240" w:lineRule="auto"/>
              <w:jc w:val="both"/>
              <w:rPr>
                <w:rFonts w:asciiTheme="minorHAnsi" w:hAnsiTheme="minorHAnsi" w:cs="Arial"/>
                <w:bCs/>
                <w:sz w:val="20"/>
                <w:szCs w:val="20"/>
                <w:lang w:val="sr-Latn-ME"/>
              </w:rPr>
            </w:pPr>
            <w:r w:rsidRPr="00F563CD">
              <w:rPr>
                <w:rFonts w:asciiTheme="minorHAnsi" w:hAnsiTheme="minorHAnsi" w:cs="Arial"/>
                <w:bCs/>
                <w:sz w:val="20"/>
                <w:szCs w:val="20"/>
                <w:lang w:val="sr-Latn-ME"/>
              </w:rPr>
              <w:t>Digitalna transformacija IT sistema Zavoda za statistiku Crne Gore (MONSTAT) zahtijeva vršenje aktivnosti koji će unaprijediti:</w:t>
            </w:r>
          </w:p>
          <w:p w14:paraId="4639DF59" w14:textId="77777777" w:rsidR="0086044A" w:rsidRPr="00F563CD" w:rsidRDefault="0086044A" w:rsidP="0086044A">
            <w:pPr>
              <w:numPr>
                <w:ilvl w:val="0"/>
                <w:numId w:val="55"/>
              </w:numPr>
              <w:spacing w:after="0" w:line="240" w:lineRule="auto"/>
              <w:contextualSpacing/>
              <w:jc w:val="both"/>
              <w:rPr>
                <w:rFonts w:asciiTheme="minorHAnsi" w:hAnsiTheme="minorHAnsi" w:cs="Arial"/>
                <w:bCs/>
                <w:sz w:val="20"/>
                <w:szCs w:val="20"/>
                <w:lang w:val="sr-Latn-ME"/>
              </w:rPr>
            </w:pPr>
            <w:r w:rsidRPr="00F563CD">
              <w:rPr>
                <w:rFonts w:asciiTheme="minorHAnsi" w:hAnsiTheme="minorHAnsi" w:cs="Arial"/>
                <w:bCs/>
                <w:sz w:val="20"/>
                <w:szCs w:val="20"/>
                <w:lang w:val="sr-Latn-ME"/>
              </w:rPr>
              <w:t>razmjenu i korišćenje podataka iz privatnog i javnog sektora kako bi bili bolje informisani, kreirali partnerstva i donosili poslovne odluke</w:t>
            </w:r>
          </w:p>
          <w:p w14:paraId="353A2D41" w14:textId="77777777" w:rsidR="0086044A" w:rsidRPr="00F563CD" w:rsidRDefault="0086044A" w:rsidP="0086044A">
            <w:pPr>
              <w:numPr>
                <w:ilvl w:val="0"/>
                <w:numId w:val="55"/>
              </w:numPr>
              <w:spacing w:after="0" w:line="240" w:lineRule="auto"/>
              <w:contextualSpacing/>
              <w:jc w:val="both"/>
              <w:rPr>
                <w:rFonts w:asciiTheme="minorHAnsi" w:hAnsiTheme="minorHAnsi" w:cs="Arial"/>
                <w:bCs/>
                <w:sz w:val="20"/>
                <w:szCs w:val="20"/>
                <w:lang w:val="sr-Latn-ME"/>
              </w:rPr>
            </w:pPr>
            <w:r w:rsidRPr="00F563CD">
              <w:rPr>
                <w:rFonts w:asciiTheme="minorHAnsi" w:hAnsiTheme="minorHAnsi" w:cs="Arial"/>
                <w:bCs/>
                <w:sz w:val="20"/>
                <w:szCs w:val="20"/>
                <w:lang w:val="sr-Latn-ME"/>
              </w:rPr>
              <w:t>razmjenu podataka između institucija u javnom sektoru u cilju poboljšanja i boljeg upravljanja javnim sektorom, kroz korišćenje visokokvalitetnih statističkih podataka o kojima se donose odluke</w:t>
            </w:r>
          </w:p>
          <w:p w14:paraId="13E6DAE0" w14:textId="77777777" w:rsidR="0086044A" w:rsidRPr="00F563CD" w:rsidRDefault="0086044A" w:rsidP="0086044A">
            <w:pPr>
              <w:numPr>
                <w:ilvl w:val="0"/>
                <w:numId w:val="55"/>
              </w:numPr>
              <w:spacing w:after="0" w:line="240" w:lineRule="auto"/>
              <w:contextualSpacing/>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automatsko povezivanje sa administrativnim izvorima/registrima sa ciljem smanjenja troškova i opterećenja za odgovarajuće jedinice - Zvanična statistika pristupa registrima putem web usluga (GSB)</w:t>
            </w:r>
          </w:p>
          <w:p w14:paraId="1A678910" w14:textId="77777777" w:rsidR="0086044A" w:rsidRPr="00F563CD" w:rsidRDefault="0086044A" w:rsidP="0086044A">
            <w:pPr>
              <w:numPr>
                <w:ilvl w:val="0"/>
                <w:numId w:val="55"/>
              </w:numPr>
              <w:spacing w:after="0" w:line="240" w:lineRule="auto"/>
              <w:contextualSpacing/>
              <w:jc w:val="both"/>
              <w:rPr>
                <w:rFonts w:asciiTheme="minorHAnsi" w:hAnsiTheme="minorHAnsi" w:cs="Arial"/>
                <w:bCs/>
                <w:sz w:val="20"/>
                <w:szCs w:val="20"/>
                <w:lang w:val="sr-Latn-ME"/>
              </w:rPr>
            </w:pPr>
            <w:r w:rsidRPr="00F563CD">
              <w:rPr>
                <w:rFonts w:asciiTheme="minorHAnsi" w:hAnsiTheme="minorHAnsi" w:cs="Arial"/>
                <w:bCs/>
                <w:sz w:val="20"/>
                <w:szCs w:val="20"/>
                <w:lang w:val="sr-Latn-ME"/>
              </w:rPr>
              <w:t>Bolju</w:t>
            </w:r>
            <w:r w:rsidRPr="00F563CD">
              <w:rPr>
                <w:rFonts w:asciiTheme="minorHAnsi" w:hAnsiTheme="minorHAnsi"/>
                <w:lang w:val="sr-Latn-ME"/>
              </w:rPr>
              <w:t xml:space="preserve"> </w:t>
            </w:r>
            <w:r w:rsidRPr="00F563CD">
              <w:rPr>
                <w:rFonts w:asciiTheme="minorHAnsi" w:hAnsiTheme="minorHAnsi" w:cs="Arial"/>
                <w:bCs/>
                <w:sz w:val="20"/>
                <w:szCs w:val="20"/>
                <w:lang w:val="sr-Latn-ME"/>
              </w:rPr>
              <w:t>organizaciju i kontrolu statističkih procesa uvođenjem savremenih tehnologija</w:t>
            </w:r>
          </w:p>
          <w:p w14:paraId="1101DB72" w14:textId="77777777" w:rsidR="0086044A" w:rsidRPr="00F563CD" w:rsidRDefault="0086044A" w:rsidP="0086044A">
            <w:pPr>
              <w:numPr>
                <w:ilvl w:val="0"/>
                <w:numId w:val="55"/>
              </w:numPr>
              <w:spacing w:after="0" w:line="240" w:lineRule="auto"/>
              <w:contextualSpacing/>
              <w:jc w:val="both"/>
              <w:rPr>
                <w:rFonts w:asciiTheme="minorHAnsi" w:hAnsiTheme="minorHAnsi" w:cs="Arial"/>
                <w:bCs/>
                <w:sz w:val="20"/>
                <w:szCs w:val="20"/>
                <w:lang w:val="sr-Latn-ME"/>
              </w:rPr>
            </w:pPr>
            <w:r w:rsidRPr="00F563CD">
              <w:rPr>
                <w:rFonts w:asciiTheme="minorHAnsi" w:hAnsiTheme="minorHAnsi" w:cs="Arial"/>
                <w:bCs/>
                <w:sz w:val="20"/>
                <w:szCs w:val="20"/>
                <w:lang w:val="sr-Latn-ME"/>
              </w:rPr>
              <w:t>dostupnost, kvalitet, uporedivost i promptnost/blagovremenost podataka visokog kvaliteta i statističkih podataka od značaja politiku</w:t>
            </w:r>
          </w:p>
          <w:p w14:paraId="0F4C5379" w14:textId="77777777" w:rsidR="0086044A" w:rsidRPr="00F563CD" w:rsidRDefault="0086044A" w:rsidP="0086044A">
            <w:pPr>
              <w:numPr>
                <w:ilvl w:val="0"/>
                <w:numId w:val="55"/>
              </w:numPr>
              <w:spacing w:after="0" w:line="240" w:lineRule="auto"/>
              <w:contextualSpacing/>
              <w:jc w:val="both"/>
              <w:rPr>
                <w:rFonts w:asciiTheme="minorHAnsi" w:hAnsiTheme="minorHAnsi" w:cs="Arial"/>
                <w:bCs/>
                <w:sz w:val="20"/>
                <w:szCs w:val="20"/>
                <w:lang w:val="sr-Latn-ME"/>
              </w:rPr>
            </w:pPr>
            <w:r w:rsidRPr="00F563CD">
              <w:rPr>
                <w:rFonts w:asciiTheme="minorHAnsi" w:hAnsiTheme="minorHAnsi"/>
                <w:lang w:val="sr-Latn-ME"/>
              </w:rPr>
              <w:t xml:space="preserve"> </w:t>
            </w:r>
            <w:r w:rsidRPr="00F563CD">
              <w:rPr>
                <w:rFonts w:asciiTheme="minorHAnsi" w:hAnsiTheme="minorHAnsi" w:cs="Arial"/>
                <w:bCs/>
                <w:sz w:val="20"/>
                <w:szCs w:val="20"/>
                <w:lang w:val="sr-Latn-ME"/>
              </w:rPr>
              <w:t>ubrzavanje procesa i smanjenje troškova prikupljanja podataka (preduzeća i domaćinstava) uvođenjem savremenih metoda za prikupljanje podataka CATI, CAWI, velikih podataka</w:t>
            </w:r>
          </w:p>
          <w:p w14:paraId="7E2AFF20" w14:textId="77777777" w:rsidR="0086044A" w:rsidRPr="00F563CD" w:rsidRDefault="0086044A" w:rsidP="0086044A">
            <w:pPr>
              <w:numPr>
                <w:ilvl w:val="0"/>
                <w:numId w:val="55"/>
              </w:numPr>
              <w:spacing w:after="0" w:line="240" w:lineRule="auto"/>
              <w:contextualSpacing/>
              <w:jc w:val="both"/>
              <w:rPr>
                <w:rFonts w:asciiTheme="minorHAnsi" w:hAnsiTheme="minorHAnsi" w:cs="Arial"/>
                <w:bCs/>
                <w:sz w:val="20"/>
                <w:szCs w:val="20"/>
                <w:lang w:val="sr-Latn-ME"/>
              </w:rPr>
            </w:pPr>
            <w:r w:rsidRPr="00F563CD">
              <w:rPr>
                <w:rFonts w:asciiTheme="minorHAnsi" w:hAnsiTheme="minorHAnsi" w:cs="Arial"/>
                <w:bCs/>
                <w:sz w:val="20"/>
                <w:szCs w:val="20"/>
                <w:lang w:val="sr-Latn-ME"/>
              </w:rPr>
              <w:t>automatizacija obrade podataka u MONSTAT-u čime se smanjuje opterećenje ljudskih resursa zaposlenih u MONSTAT-u</w:t>
            </w:r>
          </w:p>
          <w:p w14:paraId="528A7B57" w14:textId="77777777" w:rsidR="0086044A" w:rsidRPr="00F563CD" w:rsidRDefault="0086044A" w:rsidP="0086044A">
            <w:pPr>
              <w:spacing w:line="240" w:lineRule="auto"/>
              <w:rPr>
                <w:rFonts w:asciiTheme="minorHAnsi" w:hAnsiTheme="minorHAnsi" w:cs="Arial"/>
                <w:sz w:val="20"/>
                <w:szCs w:val="20"/>
                <w:lang w:val="sr-Latn-ME"/>
              </w:rPr>
            </w:pPr>
          </w:p>
        </w:tc>
      </w:tr>
      <w:tr w:rsidR="0086044A" w:rsidRPr="008C3F18" w14:paraId="52B4A4C4"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3752"/>
        </w:trPr>
        <w:tc>
          <w:tcPr>
            <w:tcW w:w="3098" w:type="dxa"/>
            <w:shd w:val="clear" w:color="auto" w:fill="auto"/>
          </w:tcPr>
          <w:p w14:paraId="1C78E8D0" w14:textId="77777777" w:rsidR="0086044A" w:rsidRPr="00F563CD" w:rsidRDefault="0086044A" w:rsidP="0086044A">
            <w:pPr>
              <w:spacing w:after="120" w:line="240" w:lineRule="auto"/>
              <w:jc w:val="both"/>
              <w:rPr>
                <w:rFonts w:asciiTheme="minorHAnsi" w:hAnsiTheme="minorHAnsi" w:cs="Arial"/>
                <w:bCs/>
                <w:i/>
                <w:iCs/>
                <w:sz w:val="20"/>
                <w:szCs w:val="20"/>
                <w:lang w:val="sr-Latn-ME"/>
              </w:rPr>
            </w:pPr>
            <w:r w:rsidRPr="00F563CD">
              <w:rPr>
                <w:rFonts w:asciiTheme="minorHAnsi" w:hAnsiTheme="minorHAnsi" w:cs="Arial"/>
                <w:sz w:val="20"/>
                <w:szCs w:val="20"/>
                <w:lang w:val="sr-Latn-ME" w:eastAsia="en-US"/>
              </w:rPr>
              <w:t>Opis projekta</w:t>
            </w:r>
            <w:r w:rsidRPr="00F563CD">
              <w:rPr>
                <w:rFonts w:asciiTheme="minorHAnsi" w:hAnsiTheme="minorHAnsi" w:cs="Arial"/>
                <w:bCs/>
                <w:sz w:val="20"/>
                <w:szCs w:val="20"/>
                <w:lang w:val="sr-Latn-ME"/>
              </w:rPr>
              <w:t xml:space="preserve"> Br. 3 -</w:t>
            </w:r>
            <w:r w:rsidRPr="00F563CD">
              <w:rPr>
                <w:rFonts w:asciiTheme="minorHAnsi" w:hAnsiTheme="minorHAnsi"/>
                <w:lang w:val="sr-Latn-ME"/>
              </w:rPr>
              <w:t xml:space="preserve"> </w:t>
            </w:r>
            <w:r w:rsidRPr="00F563CD">
              <w:rPr>
                <w:rFonts w:asciiTheme="minorHAnsi" w:hAnsiTheme="minorHAnsi" w:cs="Arial"/>
                <w:bCs/>
                <w:sz w:val="20"/>
                <w:szCs w:val="20"/>
                <w:lang w:val="sr-Latn-ME"/>
              </w:rPr>
              <w:t>Unaprijeđenje sistema javnog revizorskog nadzora i osiguranja kvaliteta za funkciju zakonske državne revizije</w:t>
            </w:r>
          </w:p>
          <w:p w14:paraId="65882B62" w14:textId="77777777" w:rsidR="0086044A" w:rsidRPr="00F563CD" w:rsidRDefault="0086044A" w:rsidP="0086044A">
            <w:pPr>
              <w:spacing w:after="120" w:line="240" w:lineRule="auto"/>
              <w:jc w:val="both"/>
              <w:rPr>
                <w:rFonts w:asciiTheme="minorHAnsi" w:hAnsiTheme="minorHAnsi" w:cs="Arial"/>
                <w:bCs/>
                <w:sz w:val="20"/>
                <w:szCs w:val="20"/>
                <w:lang w:val="sr-Latn-ME"/>
              </w:rPr>
            </w:pPr>
          </w:p>
        </w:tc>
        <w:tc>
          <w:tcPr>
            <w:tcW w:w="1949" w:type="dxa"/>
            <w:shd w:val="clear" w:color="auto" w:fill="auto"/>
          </w:tcPr>
          <w:p w14:paraId="33F534CE"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600.000</w:t>
            </w:r>
          </w:p>
        </w:tc>
        <w:tc>
          <w:tcPr>
            <w:tcW w:w="4758" w:type="dxa"/>
          </w:tcPr>
          <w:p w14:paraId="60F79362" w14:textId="77777777" w:rsidR="0086044A" w:rsidRPr="00F563CD" w:rsidRDefault="0086044A" w:rsidP="0086044A">
            <w:pPr>
              <w:spacing w:after="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 xml:space="preserve">Opis projekta će biti razvijen u skladu sa IPA 2023 programskim planom. </w:t>
            </w:r>
          </w:p>
          <w:p w14:paraId="14DDFA8F" w14:textId="77777777" w:rsidR="0086044A" w:rsidRPr="00F563CD" w:rsidRDefault="0086044A" w:rsidP="0086044A">
            <w:pPr>
              <w:spacing w:after="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Akcija će biti implementirana preko Twinning ugovora.</w:t>
            </w:r>
          </w:p>
          <w:p w14:paraId="22E1FF44" w14:textId="77777777" w:rsidR="0086044A" w:rsidRPr="00F563CD" w:rsidRDefault="0086044A" w:rsidP="0086044A">
            <w:pPr>
              <w:shd w:val="clear" w:color="auto" w:fill="FFFFFF"/>
              <w:spacing w:before="60" w:after="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Opšti cilj akcije je poboljšanje sistema javnog revizorskog nadzora i osiguranja kvaliteta za funkciju statutarne revizije u Crnoj Gori, uključujući konvergenciju nadzorne funkcije sa javnim nadzornim tijelima EU.</w:t>
            </w:r>
          </w:p>
          <w:p w14:paraId="530A99D6" w14:textId="77777777" w:rsidR="0086044A" w:rsidRPr="00F563CD" w:rsidRDefault="0086044A" w:rsidP="0086044A">
            <w:pPr>
              <w:shd w:val="clear" w:color="auto" w:fill="FFFFFF"/>
              <w:spacing w:before="60" w:after="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Specifični ciljevi akcije su potpuno usklađivanje zakonodavstva o reviziji sa pravnom tekovinom EU, unaprijeđenje kapaciteta javnog nadzora u Ministarstvu finansija i socijalnog staranja, unaprijeđenje metodoloških smjernica za inspektore kvaliteta, definisanje mape puta za učešće i punopravno članstvo u Komitetu evropskih revizorskih nadzornih tijela.</w:t>
            </w:r>
          </w:p>
          <w:p w14:paraId="58BC812E" w14:textId="77777777" w:rsidR="0086044A" w:rsidRPr="00F563CD" w:rsidRDefault="0086044A" w:rsidP="0086044A">
            <w:pPr>
              <w:shd w:val="clear" w:color="auto" w:fill="FFFFFF"/>
              <w:spacing w:before="60" w:after="0" w:line="240" w:lineRule="auto"/>
              <w:jc w:val="both"/>
              <w:rPr>
                <w:rFonts w:asciiTheme="minorHAnsi" w:hAnsiTheme="minorHAnsi" w:cs="Arial"/>
                <w:sz w:val="20"/>
                <w:szCs w:val="20"/>
                <w:lang w:val="sr-Latn-ME"/>
              </w:rPr>
            </w:pPr>
          </w:p>
        </w:tc>
      </w:tr>
      <w:tr w:rsidR="0086044A" w:rsidRPr="00F563CD" w14:paraId="4C2F0F9B"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9001"/>
        </w:trPr>
        <w:tc>
          <w:tcPr>
            <w:tcW w:w="3098" w:type="dxa"/>
            <w:shd w:val="clear" w:color="auto" w:fill="auto"/>
          </w:tcPr>
          <w:p w14:paraId="7721D1FC" w14:textId="77777777" w:rsidR="0086044A" w:rsidRPr="00F563CD" w:rsidRDefault="0086044A" w:rsidP="0086044A">
            <w:pPr>
              <w:spacing w:before="120" w:after="120" w:line="240" w:lineRule="auto"/>
              <w:rPr>
                <w:rFonts w:asciiTheme="minorHAnsi" w:hAnsiTheme="minorHAnsi" w:cs="Arial"/>
                <w:sz w:val="20"/>
                <w:szCs w:val="20"/>
                <w:lang w:val="sr-Latn-ME"/>
              </w:rPr>
            </w:pPr>
            <w:r w:rsidRPr="00F563CD">
              <w:rPr>
                <w:rFonts w:asciiTheme="minorHAnsi" w:hAnsiTheme="minorHAnsi" w:cs="Arial"/>
                <w:sz w:val="20"/>
                <w:szCs w:val="20"/>
                <w:lang w:val="sr-Latn-ME" w:eastAsia="en-US"/>
              </w:rPr>
              <w:lastRenderedPageBreak/>
              <w:t>Opis projekta</w:t>
            </w:r>
            <w:r w:rsidRPr="00F563CD">
              <w:rPr>
                <w:rFonts w:asciiTheme="minorHAnsi" w:hAnsiTheme="minorHAnsi" w:cs="Arial"/>
                <w:bCs/>
                <w:sz w:val="20"/>
                <w:szCs w:val="20"/>
                <w:lang w:val="sr-Latn-ME"/>
              </w:rPr>
              <w:t xml:space="preserve"> Br. 4 – Jačanje regulatornih i nadzornih kapaciteta Agencije za nadzor osiguranja</w:t>
            </w:r>
          </w:p>
        </w:tc>
        <w:tc>
          <w:tcPr>
            <w:tcW w:w="1949" w:type="dxa"/>
            <w:shd w:val="clear" w:color="auto" w:fill="auto"/>
          </w:tcPr>
          <w:p w14:paraId="6781A821"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1.150.000</w:t>
            </w:r>
          </w:p>
        </w:tc>
        <w:tc>
          <w:tcPr>
            <w:tcW w:w="4758" w:type="dxa"/>
          </w:tcPr>
          <w:p w14:paraId="741BF64B" w14:textId="77777777" w:rsidR="0086044A" w:rsidRPr="00F563CD" w:rsidRDefault="0086044A" w:rsidP="0086044A">
            <w:pPr>
              <w:spacing w:after="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 xml:space="preserve">Opis projekta će biti razvijen u skladu sa IPA 2023 programskim planom. </w:t>
            </w:r>
          </w:p>
          <w:p w14:paraId="6FC48232" w14:textId="77777777" w:rsidR="0086044A" w:rsidRPr="00F563CD" w:rsidRDefault="0086044A" w:rsidP="0086044A">
            <w:pPr>
              <w:spacing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Akcija će biti implementirana preko Twinning ugovora.</w:t>
            </w:r>
          </w:p>
          <w:p w14:paraId="60C3A82E" w14:textId="77777777" w:rsidR="0086044A" w:rsidRPr="00F563CD" w:rsidRDefault="0086044A" w:rsidP="0086044A">
            <w:pPr>
              <w:spacing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Cilj akcije je dalje jačanje nadzornog i bonitetnog a sama akcija  treba da se sprovede kroz do 3 ugovora, sa slijedećim ciljevima:</w:t>
            </w:r>
          </w:p>
          <w:p w14:paraId="4D17DBD4" w14:textId="77777777" w:rsidR="0086044A" w:rsidRPr="00F563CD" w:rsidRDefault="0086044A" w:rsidP="0086044A">
            <w:pPr>
              <w:numPr>
                <w:ilvl w:val="0"/>
                <w:numId w:val="53"/>
              </w:numPr>
              <w:spacing w:line="240" w:lineRule="auto"/>
              <w:contextualSpacing/>
              <w:jc w:val="both"/>
              <w:rPr>
                <w:rFonts w:asciiTheme="minorHAnsi" w:hAnsiTheme="minorHAnsi" w:cs="Arial"/>
                <w:sz w:val="20"/>
                <w:szCs w:val="20"/>
                <w:lang w:val="sr-Latn-ME" w:eastAsia="sr-Latn-CS"/>
              </w:rPr>
            </w:pPr>
            <w:r w:rsidRPr="00F563CD">
              <w:rPr>
                <w:rFonts w:asciiTheme="minorHAnsi" w:hAnsiTheme="minorHAnsi" w:cs="Arial"/>
                <w:sz w:val="20"/>
                <w:szCs w:val="20"/>
                <w:lang w:val="sr-Latn-ME"/>
              </w:rPr>
              <w:t>Podrška u implementaciji nadzora osiguranja zasnovanog na riziku u skladu sa okvirom Solventnost II, sa fokusom na razvoj metodologije za nadzorni okvir za procjenu rizika i sistem izvještavanja, metodologija treba da bude zasnovana na finansijskim indikatorima, indikatorima rizika i   indikatorima specifičnim za  pravnom tekovinom   EU i smjernicama koje je razvila EIOPA (Solventnost II okvir). Korisnik: Agencija za nadzor osiguranja</w:t>
            </w:r>
          </w:p>
          <w:p w14:paraId="27593C2B" w14:textId="77777777" w:rsidR="0086044A" w:rsidRPr="00F563CD" w:rsidRDefault="0086044A" w:rsidP="0086044A">
            <w:pPr>
              <w:numPr>
                <w:ilvl w:val="0"/>
                <w:numId w:val="53"/>
              </w:numPr>
              <w:spacing w:line="240" w:lineRule="auto"/>
              <w:contextualSpacing/>
              <w:jc w:val="both"/>
              <w:rPr>
                <w:rFonts w:asciiTheme="minorHAnsi" w:hAnsiTheme="minorHAnsi" w:cs="Arial"/>
                <w:sz w:val="20"/>
                <w:szCs w:val="20"/>
                <w:lang w:val="sr-Latn-ME" w:eastAsia="sr-Latn-CS"/>
              </w:rPr>
            </w:pPr>
            <w:r w:rsidRPr="00F563CD">
              <w:rPr>
                <w:rFonts w:asciiTheme="minorHAnsi" w:hAnsiTheme="minorHAnsi" w:cs="Arial"/>
                <w:sz w:val="20"/>
                <w:szCs w:val="20"/>
                <w:lang w:val="sr-Latn-ME" w:eastAsia="sr-Latn-CS"/>
              </w:rPr>
              <w:t xml:space="preserve">Podrška razvoju sistema ranog upozoravanja, zasnovanog na finansijskim i aktuarijskim inputima, sastavljenim od indikatora specifičnih za pojedinačne specifične privredne grane a koji bi mogli da pomognu u predviđanju potencijalnih problema na crnogorskog tržišta osiguranja. </w:t>
            </w:r>
            <w:r w:rsidRPr="00F563CD">
              <w:rPr>
                <w:rFonts w:asciiTheme="minorHAnsi" w:hAnsiTheme="minorHAnsi" w:cs="Arial"/>
                <w:sz w:val="20"/>
                <w:szCs w:val="20"/>
                <w:lang w:val="sr-Latn-ME"/>
              </w:rPr>
              <w:t xml:space="preserve">Korisnik: Agencija za nadzor osiguranja </w:t>
            </w:r>
          </w:p>
          <w:p w14:paraId="25660388" w14:textId="77777777" w:rsidR="0086044A" w:rsidRPr="00F563CD" w:rsidRDefault="0086044A" w:rsidP="0086044A">
            <w:pPr>
              <w:numPr>
                <w:ilvl w:val="0"/>
                <w:numId w:val="53"/>
              </w:numPr>
              <w:spacing w:line="240" w:lineRule="auto"/>
              <w:contextualSpacing/>
              <w:jc w:val="both"/>
              <w:rPr>
                <w:rFonts w:asciiTheme="minorHAnsi" w:hAnsiTheme="minorHAnsi" w:cs="Arial"/>
                <w:sz w:val="20"/>
                <w:szCs w:val="20"/>
                <w:lang w:val="sr-Latn-ME" w:eastAsia="sr-Latn-CS"/>
              </w:rPr>
            </w:pPr>
            <w:r w:rsidRPr="00F563CD">
              <w:rPr>
                <w:rFonts w:asciiTheme="minorHAnsi" w:hAnsiTheme="minorHAnsi" w:cs="Arial"/>
                <w:sz w:val="20"/>
                <w:szCs w:val="20"/>
                <w:lang w:val="sr-Latn-ME"/>
              </w:rPr>
              <w:t>Podrška usklađivanju i implementaciji novih Međunarodnih standarda finansijskog izvještavanja 17 (IFRS17 (Ugovori o osiguranju) i IFRS 9 (Finansijski instrumenti), u regulatorne i nadzorne svrhe</w:t>
            </w:r>
          </w:p>
          <w:p w14:paraId="55A23DF0" w14:textId="77777777" w:rsidR="0086044A" w:rsidRPr="00F563CD" w:rsidRDefault="0086044A" w:rsidP="0086044A">
            <w:pPr>
              <w:numPr>
                <w:ilvl w:val="0"/>
                <w:numId w:val="53"/>
              </w:numPr>
              <w:spacing w:line="240" w:lineRule="auto"/>
              <w:contextualSpacing/>
              <w:jc w:val="both"/>
              <w:rPr>
                <w:rFonts w:asciiTheme="minorHAnsi" w:hAnsiTheme="minorHAnsi" w:cs="Arial"/>
                <w:sz w:val="20"/>
                <w:szCs w:val="20"/>
                <w:lang w:val="sr-Latn-ME" w:eastAsia="sr-Latn-CS"/>
              </w:rPr>
            </w:pPr>
            <w:r w:rsidRPr="00F563CD">
              <w:rPr>
                <w:rFonts w:asciiTheme="minorHAnsi" w:hAnsiTheme="minorHAnsi" w:cs="Arial"/>
                <w:sz w:val="20"/>
                <w:szCs w:val="20"/>
                <w:lang w:val="sr-Latn-ME"/>
              </w:rPr>
              <w:t xml:space="preserve">Korisnik: Agencija za nadzor osiguranja </w:t>
            </w:r>
          </w:p>
        </w:tc>
      </w:tr>
      <w:tr w:rsidR="0086044A" w:rsidRPr="008C3F18" w14:paraId="7D70D286"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8718"/>
        </w:trPr>
        <w:tc>
          <w:tcPr>
            <w:tcW w:w="3098" w:type="dxa"/>
            <w:shd w:val="clear" w:color="auto" w:fill="auto"/>
          </w:tcPr>
          <w:p w14:paraId="44768AF8"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lastRenderedPageBreak/>
              <w:t>Opis projekta</w:t>
            </w:r>
            <w:r w:rsidRPr="00F563CD">
              <w:rPr>
                <w:rFonts w:asciiTheme="minorHAnsi" w:hAnsiTheme="minorHAnsi" w:cs="Arial"/>
                <w:bCs/>
                <w:sz w:val="20"/>
                <w:szCs w:val="20"/>
                <w:lang w:val="sr-Latn-ME"/>
              </w:rPr>
              <w:t xml:space="preserve"> Br. 6 –  Jačanje kapaciteta Centralne banke Crne Gore </w:t>
            </w:r>
          </w:p>
          <w:p w14:paraId="12BE27E2" w14:textId="77777777" w:rsidR="0086044A" w:rsidRPr="00F563CD" w:rsidRDefault="0086044A" w:rsidP="0086044A">
            <w:pPr>
              <w:spacing w:before="120" w:after="120" w:line="240" w:lineRule="auto"/>
              <w:rPr>
                <w:rFonts w:asciiTheme="minorHAnsi" w:hAnsiTheme="minorHAnsi" w:cs="Arial"/>
                <w:sz w:val="20"/>
                <w:szCs w:val="20"/>
                <w:lang w:val="sr-Latn-ME"/>
              </w:rPr>
            </w:pPr>
          </w:p>
        </w:tc>
        <w:tc>
          <w:tcPr>
            <w:tcW w:w="1949" w:type="dxa"/>
            <w:shd w:val="clear" w:color="auto" w:fill="auto"/>
          </w:tcPr>
          <w:p w14:paraId="240CD023"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1.500.000</w:t>
            </w:r>
          </w:p>
          <w:p w14:paraId="1A9989B0"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p w14:paraId="0F43D68B"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tc>
        <w:tc>
          <w:tcPr>
            <w:tcW w:w="4758" w:type="dxa"/>
          </w:tcPr>
          <w:p w14:paraId="388A4F6A"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programskim planom IPA 2023.</w:t>
            </w:r>
          </w:p>
          <w:p w14:paraId="2D1562D6"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Akcija će se realizovati preko ugovora o djelu i uslugama.</w:t>
            </w:r>
          </w:p>
          <w:p w14:paraId="287D709A"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Ciljevi/rezultati akcije su kao što slijedi:</w:t>
            </w:r>
          </w:p>
          <w:p w14:paraId="6F559B02" w14:textId="77777777" w:rsidR="0086044A" w:rsidRPr="00F563CD" w:rsidRDefault="0086044A" w:rsidP="0086044A">
            <w:pPr>
              <w:numPr>
                <w:ilvl w:val="0"/>
                <w:numId w:val="54"/>
              </w:numPr>
              <w:spacing w:before="120" w:after="120" w:line="240" w:lineRule="auto"/>
              <w:contextualSpacing/>
              <w:jc w:val="both"/>
              <w:rPr>
                <w:rFonts w:asciiTheme="minorHAnsi" w:hAnsiTheme="minorHAnsi" w:cs="Arial"/>
                <w:sz w:val="20"/>
                <w:szCs w:val="20"/>
                <w:lang w:val="sr-Latn-ME"/>
              </w:rPr>
            </w:pPr>
            <w:r w:rsidRPr="00F563CD">
              <w:rPr>
                <w:rFonts w:asciiTheme="minorHAnsi" w:hAnsiTheme="minorHAnsi" w:cs="Arial"/>
                <w:sz w:val="20"/>
                <w:szCs w:val="20"/>
                <w:lang w:val="sr-Latn-ME"/>
              </w:rPr>
              <w:t xml:space="preserve">Cilj Akcije je jačanje institutionalnih kapaciteta Centralne banke Crne Gore u cilju poboljšanja ukupne finansijske edukacije kroz Obrazovno – konferencijski centar Centralne banke Crne Gore koji će biti regionalni kanal za sprovođenje međunarodne razvojne saradnje sa ciljem podrške razvoju kapaciteta u oblasti finansijskih usluga i doprinijeće ukupnom finansijskom obrazovanju ne samo u Crnoj Gori već i u regionu. Ključna aktivnost Akcije je nabavka IT i nadzorne opreme za digitalizaciju Obrazovno-konferencijskog centra CBCG-e. </w:t>
            </w:r>
          </w:p>
          <w:p w14:paraId="42289E7A" w14:textId="77777777" w:rsidR="0086044A" w:rsidRPr="00F563CD" w:rsidRDefault="0086044A" w:rsidP="0086044A">
            <w:pPr>
              <w:numPr>
                <w:ilvl w:val="0"/>
                <w:numId w:val="54"/>
              </w:numPr>
              <w:spacing w:before="120" w:after="120" w:line="240" w:lineRule="auto"/>
              <w:contextualSpacing/>
              <w:jc w:val="both"/>
              <w:rPr>
                <w:rFonts w:asciiTheme="minorHAnsi" w:hAnsiTheme="minorHAnsi" w:cs="Arial"/>
                <w:sz w:val="20"/>
                <w:szCs w:val="20"/>
                <w:lang w:val="sr-Latn-ME"/>
              </w:rPr>
            </w:pPr>
            <w:r w:rsidRPr="00F563CD">
              <w:rPr>
                <w:rFonts w:asciiTheme="minorHAnsi" w:hAnsiTheme="minorHAnsi" w:cs="Arial"/>
                <w:sz w:val="20"/>
                <w:szCs w:val="20"/>
                <w:lang w:val="sr-Latn-ME"/>
              </w:rPr>
              <w:t xml:space="preserve">Dalje usklađivanje sa ESCB standardima pravnog i operativnog okvira u oblasti platnih sistema </w:t>
            </w:r>
          </w:p>
          <w:p w14:paraId="2B5486D0" w14:textId="77777777" w:rsidR="0086044A" w:rsidRPr="00F563CD" w:rsidRDefault="0086044A" w:rsidP="0086044A">
            <w:pPr>
              <w:numPr>
                <w:ilvl w:val="0"/>
                <w:numId w:val="54"/>
              </w:numPr>
              <w:spacing w:before="120" w:after="120" w:line="240" w:lineRule="auto"/>
              <w:contextualSpacing/>
              <w:jc w:val="both"/>
              <w:rPr>
                <w:rFonts w:asciiTheme="minorHAnsi" w:hAnsiTheme="minorHAnsi" w:cs="Arial"/>
                <w:sz w:val="20"/>
                <w:szCs w:val="20"/>
                <w:lang w:val="sr-Latn-ME"/>
              </w:rPr>
            </w:pPr>
            <w:r w:rsidRPr="00F563CD">
              <w:rPr>
                <w:rFonts w:asciiTheme="minorHAnsi" w:hAnsiTheme="minorHAnsi" w:cs="Arial"/>
                <w:sz w:val="20"/>
                <w:szCs w:val="20"/>
                <w:lang w:val="sr-Latn-ME"/>
              </w:rPr>
              <w:t>Podrška razvoju sistema izvještavanja o adekvatnosti kapitala</w:t>
            </w:r>
          </w:p>
          <w:p w14:paraId="64C4A0E4" w14:textId="77777777" w:rsidR="0086044A" w:rsidRPr="00F563CD" w:rsidRDefault="0086044A" w:rsidP="0086044A">
            <w:pPr>
              <w:numPr>
                <w:ilvl w:val="0"/>
                <w:numId w:val="54"/>
              </w:numPr>
              <w:spacing w:before="120" w:after="120" w:line="240" w:lineRule="auto"/>
              <w:contextualSpacing/>
              <w:jc w:val="both"/>
              <w:rPr>
                <w:rFonts w:asciiTheme="minorHAnsi" w:hAnsiTheme="minorHAnsi" w:cs="Arial"/>
                <w:sz w:val="20"/>
                <w:szCs w:val="20"/>
                <w:lang w:val="sr-Latn-ME"/>
              </w:rPr>
            </w:pPr>
            <w:r w:rsidRPr="00F563CD">
              <w:rPr>
                <w:rFonts w:asciiTheme="minorHAnsi" w:hAnsiTheme="minorHAnsi" w:cs="Arial"/>
                <w:sz w:val="20"/>
                <w:szCs w:val="20"/>
                <w:lang w:val="sr-Latn-ME"/>
              </w:rPr>
              <w:t xml:space="preserve">Harmonizacija pravnog i okvira podzakonskih akata  Crne Gore sa regulatornim okvirom EU u oblasti sanacije kreditnih institucija </w:t>
            </w:r>
          </w:p>
          <w:p w14:paraId="665D4808" w14:textId="77777777" w:rsidR="0086044A" w:rsidRPr="00F563CD" w:rsidRDefault="0086044A" w:rsidP="0086044A">
            <w:pPr>
              <w:numPr>
                <w:ilvl w:val="0"/>
                <w:numId w:val="54"/>
              </w:numPr>
              <w:spacing w:before="120" w:after="120" w:line="240" w:lineRule="auto"/>
              <w:contextualSpacing/>
              <w:jc w:val="both"/>
              <w:rPr>
                <w:rFonts w:asciiTheme="minorHAnsi" w:hAnsiTheme="minorHAnsi" w:cs="Arial"/>
                <w:sz w:val="20"/>
                <w:szCs w:val="20"/>
                <w:lang w:val="sr-Latn-ME"/>
              </w:rPr>
            </w:pPr>
            <w:r w:rsidRPr="00F563CD">
              <w:rPr>
                <w:rFonts w:asciiTheme="minorHAnsi" w:hAnsiTheme="minorHAnsi" w:cs="Arial"/>
                <w:sz w:val="20"/>
                <w:szCs w:val="20"/>
                <w:lang w:val="sr-Latn-ME"/>
              </w:rPr>
              <w:t>Unaprijeđenje pravljenja makroekonomskih modela i implementacija modela za stres testiranje banaka</w:t>
            </w:r>
          </w:p>
          <w:p w14:paraId="23A148C1" w14:textId="77777777" w:rsidR="0086044A" w:rsidRPr="00F563CD" w:rsidRDefault="0086044A" w:rsidP="0086044A">
            <w:pPr>
              <w:numPr>
                <w:ilvl w:val="0"/>
                <w:numId w:val="54"/>
              </w:numPr>
              <w:spacing w:before="120" w:after="120" w:line="240" w:lineRule="auto"/>
              <w:contextualSpacing/>
              <w:jc w:val="both"/>
              <w:rPr>
                <w:rFonts w:asciiTheme="minorHAnsi" w:hAnsiTheme="minorHAnsi" w:cs="Arial"/>
                <w:sz w:val="20"/>
                <w:szCs w:val="20"/>
                <w:lang w:val="sr-Latn-ME"/>
              </w:rPr>
            </w:pPr>
            <w:r w:rsidRPr="00F563CD">
              <w:rPr>
                <w:rFonts w:asciiTheme="minorHAnsi" w:hAnsiTheme="minorHAnsi" w:cs="Arial"/>
                <w:sz w:val="20"/>
                <w:szCs w:val="20"/>
                <w:lang w:val="sr-Latn-ME"/>
              </w:rPr>
              <w:t>Program modernizacije i zamjene istrošene opreme za preradu i tehničku analizu - ekspertiza novčanica/banknota i metalnih novčića eura.</w:t>
            </w:r>
          </w:p>
        </w:tc>
      </w:tr>
      <w:tr w:rsidR="0086044A" w:rsidRPr="008C3F18" w14:paraId="48961CBF"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3034"/>
        </w:trPr>
        <w:tc>
          <w:tcPr>
            <w:tcW w:w="3098" w:type="dxa"/>
            <w:shd w:val="clear" w:color="auto" w:fill="auto"/>
          </w:tcPr>
          <w:p w14:paraId="6C496AA5"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t>Opis projekta</w:t>
            </w:r>
            <w:r w:rsidRPr="00F563CD">
              <w:rPr>
                <w:rFonts w:asciiTheme="minorHAnsi" w:hAnsiTheme="minorHAnsi" w:cs="Arial"/>
                <w:bCs/>
                <w:sz w:val="20"/>
                <w:szCs w:val="20"/>
                <w:lang w:val="sr-Latn-ME"/>
              </w:rPr>
              <w:t xml:space="preserve"> Br. 7 - Implementacija/Nadogradnja TARICG-a na najnoviju verziju EU TARIC i srodnih sistema ITMS-a i povezivanje sa postojećim centralnim sistemom Carinske uprave</w:t>
            </w:r>
          </w:p>
        </w:tc>
        <w:tc>
          <w:tcPr>
            <w:tcW w:w="1949" w:type="dxa"/>
            <w:shd w:val="clear" w:color="auto" w:fill="auto"/>
          </w:tcPr>
          <w:p w14:paraId="578D2178"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3.000.000</w:t>
            </w:r>
          </w:p>
        </w:tc>
        <w:tc>
          <w:tcPr>
            <w:tcW w:w="4758" w:type="dxa"/>
          </w:tcPr>
          <w:p w14:paraId="5C49D73A"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programskim planom IPA 2023.</w:t>
            </w:r>
          </w:p>
          <w:p w14:paraId="17D2B5B9" w14:textId="77777777" w:rsidR="0086044A" w:rsidRPr="00F563CD" w:rsidRDefault="0086044A" w:rsidP="0086044A">
            <w:pPr>
              <w:shd w:val="clear" w:color="auto" w:fill="FFFFFF"/>
              <w:spacing w:after="0" w:line="240" w:lineRule="auto"/>
              <w:jc w:val="both"/>
              <w:rPr>
                <w:rFonts w:asciiTheme="minorHAnsi" w:hAnsiTheme="minorHAnsi" w:cs="Arial"/>
                <w:sz w:val="20"/>
                <w:szCs w:val="20"/>
                <w:lang w:val="sr-Latn-ME" w:eastAsia="en-US"/>
              </w:rPr>
            </w:pPr>
            <w:r w:rsidRPr="00F563CD">
              <w:rPr>
                <w:rFonts w:asciiTheme="minorHAnsi" w:hAnsiTheme="minorHAnsi" w:cs="Arial"/>
                <w:sz w:val="20"/>
                <w:szCs w:val="20"/>
                <w:lang w:val="sr-Latn-ME" w:eastAsia="en-US"/>
              </w:rPr>
              <w:t>Projekat će uključivati implementaciju najnovijih verzija TARIC EU i srodnih ITMS podsistema u Carinski informacioni sistem, koji koriste slijedeće funkcionalnosti: Kombinovana nomenklatura, kvote, akcize, PDV, licence, roba sa dvojnom namjenom, obračun svih dažbina itd.) i povezivanje sa postojećim osnovnim sistemom UPC, kao i obuka za carinske službenike i preduzeća, izrada instrukcija i smjernica.</w:t>
            </w:r>
          </w:p>
          <w:p w14:paraId="09923208" w14:textId="77777777" w:rsidR="0086044A" w:rsidRPr="00F563CD" w:rsidRDefault="0086044A" w:rsidP="0086044A">
            <w:pPr>
              <w:spacing w:line="240" w:lineRule="auto"/>
              <w:jc w:val="both"/>
              <w:rPr>
                <w:rFonts w:asciiTheme="minorHAnsi" w:hAnsiTheme="minorHAnsi" w:cs="Arial"/>
                <w:b/>
                <w:bCs/>
                <w:sz w:val="20"/>
                <w:szCs w:val="20"/>
                <w:lang w:val="sr-Latn-ME" w:eastAsia="sr-Latn-CS"/>
              </w:rPr>
            </w:pPr>
          </w:p>
        </w:tc>
      </w:tr>
      <w:tr w:rsidR="0086044A" w:rsidRPr="008C3F18" w14:paraId="64792875"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3190"/>
        </w:trPr>
        <w:tc>
          <w:tcPr>
            <w:tcW w:w="3098" w:type="dxa"/>
            <w:shd w:val="clear" w:color="auto" w:fill="auto"/>
          </w:tcPr>
          <w:p w14:paraId="41D99BEF"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lastRenderedPageBreak/>
              <w:t>Opis projekta</w:t>
            </w:r>
            <w:r w:rsidRPr="00F563CD">
              <w:rPr>
                <w:rFonts w:asciiTheme="minorHAnsi" w:hAnsiTheme="minorHAnsi" w:cs="Arial"/>
                <w:bCs/>
                <w:sz w:val="20"/>
                <w:szCs w:val="20"/>
                <w:lang w:val="sr-Latn-ME"/>
              </w:rPr>
              <w:t xml:space="preserve"> Br.8 - Implementacija automatizovanih izvoznih procedura u Upravi prihoda i carina</w:t>
            </w:r>
          </w:p>
          <w:p w14:paraId="544003C7" w14:textId="77777777" w:rsidR="0086044A" w:rsidRPr="00F563CD" w:rsidRDefault="0086044A" w:rsidP="0086044A">
            <w:pPr>
              <w:spacing w:before="120" w:after="120" w:line="240" w:lineRule="auto"/>
              <w:rPr>
                <w:rFonts w:asciiTheme="minorHAnsi" w:hAnsiTheme="minorHAnsi" w:cs="Arial"/>
                <w:bCs/>
                <w:sz w:val="20"/>
                <w:szCs w:val="20"/>
                <w:lang w:val="sr-Latn-ME"/>
              </w:rPr>
            </w:pPr>
          </w:p>
        </w:tc>
        <w:tc>
          <w:tcPr>
            <w:tcW w:w="1949" w:type="dxa"/>
            <w:shd w:val="clear" w:color="auto" w:fill="auto"/>
          </w:tcPr>
          <w:p w14:paraId="36DDCEF9"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1.600.000</w:t>
            </w:r>
          </w:p>
        </w:tc>
        <w:tc>
          <w:tcPr>
            <w:tcW w:w="4758" w:type="dxa"/>
          </w:tcPr>
          <w:p w14:paraId="7659EC96"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programskim planom  IPA 2023.</w:t>
            </w:r>
          </w:p>
          <w:p w14:paraId="72D6374B"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 xml:space="preserve">Cilj ove akcije biće sprovođenje automatizovanih izvoznih procedura koje podrazumevaju elektronsku obradu izvoznih deklaracija i koja je nadogradnja ECS-a (Export Control System) navedene u završnim mjerilima za zatvaranje Poglavlja 29. </w:t>
            </w:r>
          </w:p>
          <w:p w14:paraId="1F141B61"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Imajući u vidu da je državama članicama dat rok za implementaciju AES-a do 1. decembra 2023. godine, Uprava carina Crne Gore će planirati njegovo sprovođenje u bliskoj saradnji sa DG TAXUD .</w:t>
            </w:r>
          </w:p>
          <w:p w14:paraId="616B17B3" w14:textId="77777777" w:rsidR="0086044A" w:rsidRPr="00F563CD" w:rsidRDefault="0086044A" w:rsidP="0086044A">
            <w:pPr>
              <w:spacing w:before="120" w:after="120" w:line="240" w:lineRule="auto"/>
              <w:jc w:val="both"/>
              <w:rPr>
                <w:rFonts w:asciiTheme="minorHAnsi" w:hAnsiTheme="minorHAnsi" w:cs="Arial"/>
                <w:sz w:val="20"/>
                <w:szCs w:val="20"/>
                <w:lang w:val="sr-Latn-ME"/>
              </w:rPr>
            </w:pPr>
          </w:p>
        </w:tc>
      </w:tr>
      <w:tr w:rsidR="0086044A" w:rsidRPr="008C3F18" w14:paraId="74A1B01C"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3249"/>
        </w:trPr>
        <w:tc>
          <w:tcPr>
            <w:tcW w:w="3098" w:type="dxa"/>
            <w:shd w:val="clear" w:color="auto" w:fill="auto"/>
          </w:tcPr>
          <w:p w14:paraId="17120911"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t>Opis projekta</w:t>
            </w:r>
            <w:r w:rsidRPr="00F563CD">
              <w:rPr>
                <w:rFonts w:asciiTheme="minorHAnsi" w:hAnsiTheme="minorHAnsi" w:cs="Arial"/>
                <w:bCs/>
                <w:sz w:val="20"/>
                <w:szCs w:val="20"/>
                <w:lang w:val="sr-Latn-ME"/>
              </w:rPr>
              <w:t xml:space="preserve"> Br.9 - Implementacija automatizovanih uvoznih procedura u Upravi prihoda i carina</w:t>
            </w:r>
          </w:p>
        </w:tc>
        <w:tc>
          <w:tcPr>
            <w:tcW w:w="1949" w:type="dxa"/>
            <w:shd w:val="clear" w:color="auto" w:fill="auto"/>
          </w:tcPr>
          <w:p w14:paraId="29F28E9E"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2.000.000</w:t>
            </w:r>
          </w:p>
        </w:tc>
        <w:tc>
          <w:tcPr>
            <w:tcW w:w="4758" w:type="dxa"/>
          </w:tcPr>
          <w:p w14:paraId="59561B23"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programskim planom IPA 2023.</w:t>
            </w:r>
          </w:p>
          <w:p w14:paraId="575C0274"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Cilj ove akcije biće sprovođenje automatizovanih uvoznih procedura koje podrazumevaju elektronsku obradu uvoznih deklaracija i koja je nadogradnja ECS-a (Export Control System) navedene u završnim mjerilima za zatvaranje Poglavlja 29</w:t>
            </w:r>
          </w:p>
          <w:p w14:paraId="7FD6F5D4"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Imajući u vidu da je državama članicama dat rok za implementaciju AES-a do 1. decembra 2025. godine, Uprava carina Crne Gore će planirati njegovo sprovođenje u bliskoj saradnji sa DG TAXUD.</w:t>
            </w:r>
          </w:p>
        </w:tc>
      </w:tr>
      <w:tr w:rsidR="0086044A" w:rsidRPr="008C3F18" w14:paraId="50C89DB8"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1850"/>
        </w:trPr>
        <w:tc>
          <w:tcPr>
            <w:tcW w:w="3098" w:type="dxa"/>
            <w:shd w:val="clear" w:color="auto" w:fill="auto"/>
          </w:tcPr>
          <w:p w14:paraId="79EE2A2A"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t>Opis projekta</w:t>
            </w:r>
            <w:r w:rsidRPr="00F563CD">
              <w:rPr>
                <w:rFonts w:asciiTheme="minorHAnsi" w:hAnsiTheme="minorHAnsi" w:cs="Arial"/>
                <w:bCs/>
                <w:sz w:val="20"/>
                <w:szCs w:val="20"/>
                <w:lang w:val="sr-Latn-ME"/>
              </w:rPr>
              <w:t xml:space="preserve"> Br.10 – Održavanje i nadogradnja novog kompjuterizovanog sistema za tranzit</w:t>
            </w:r>
          </w:p>
        </w:tc>
        <w:tc>
          <w:tcPr>
            <w:tcW w:w="1949" w:type="dxa"/>
            <w:shd w:val="clear" w:color="auto" w:fill="auto"/>
          </w:tcPr>
          <w:p w14:paraId="40D4812C"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600.000</w:t>
            </w:r>
          </w:p>
        </w:tc>
        <w:tc>
          <w:tcPr>
            <w:tcW w:w="4758" w:type="dxa"/>
          </w:tcPr>
          <w:p w14:paraId="336C4ED3"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programskim planom IPA 2023.</w:t>
            </w:r>
          </w:p>
          <w:p w14:paraId="5D18C653"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Cilj ove akcije biće praćenje novih tehničkih specifikacija na nivou EU Novog kompjuterizovanog sistema za transit, njegovo održavanje i nadogradnja.</w:t>
            </w:r>
          </w:p>
          <w:p w14:paraId="1A7D378B" w14:textId="77777777" w:rsidR="0086044A" w:rsidRPr="00F563CD" w:rsidRDefault="0086044A" w:rsidP="0086044A">
            <w:pPr>
              <w:spacing w:before="120" w:after="120" w:line="240" w:lineRule="auto"/>
              <w:rPr>
                <w:rFonts w:asciiTheme="minorHAnsi" w:hAnsiTheme="minorHAnsi" w:cs="Arial"/>
                <w:sz w:val="20"/>
                <w:szCs w:val="20"/>
                <w:lang w:val="sr-Latn-ME"/>
              </w:rPr>
            </w:pPr>
          </w:p>
        </w:tc>
      </w:tr>
      <w:tr w:rsidR="0086044A" w:rsidRPr="008C3F18" w14:paraId="151F19B5"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1693"/>
        </w:trPr>
        <w:tc>
          <w:tcPr>
            <w:tcW w:w="3098" w:type="dxa"/>
            <w:shd w:val="clear" w:color="auto" w:fill="auto"/>
          </w:tcPr>
          <w:p w14:paraId="3B578DF6"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t>Opis projekta</w:t>
            </w:r>
            <w:r w:rsidRPr="00F563CD">
              <w:rPr>
                <w:rFonts w:asciiTheme="minorHAnsi" w:hAnsiTheme="minorHAnsi" w:cs="Arial"/>
                <w:bCs/>
                <w:sz w:val="20"/>
                <w:szCs w:val="20"/>
                <w:lang w:val="sr-Latn-ME"/>
              </w:rPr>
              <w:t xml:space="preserve"> Br.11-  Uvođenje računovodstvenih procesa i implementacija sistema za vođenje tradicionalnih vlastitih izvornih prihoda (resursa) na računima A i B.</w:t>
            </w:r>
          </w:p>
          <w:p w14:paraId="28EDE259" w14:textId="77777777" w:rsidR="0086044A" w:rsidRPr="00F563CD" w:rsidRDefault="0086044A" w:rsidP="0086044A">
            <w:pPr>
              <w:spacing w:before="120" w:after="120" w:line="240" w:lineRule="auto"/>
              <w:rPr>
                <w:rFonts w:asciiTheme="minorHAnsi" w:hAnsiTheme="minorHAnsi" w:cs="Arial"/>
                <w:bCs/>
                <w:sz w:val="20"/>
                <w:szCs w:val="20"/>
                <w:lang w:val="sr-Latn-ME"/>
              </w:rPr>
            </w:pPr>
          </w:p>
        </w:tc>
        <w:tc>
          <w:tcPr>
            <w:tcW w:w="1949" w:type="dxa"/>
            <w:shd w:val="clear" w:color="auto" w:fill="auto"/>
          </w:tcPr>
          <w:p w14:paraId="49112ADA"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500.000</w:t>
            </w:r>
          </w:p>
        </w:tc>
        <w:tc>
          <w:tcPr>
            <w:tcW w:w="4758" w:type="dxa"/>
          </w:tcPr>
          <w:p w14:paraId="32A5C1B7"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programskim planom IPA 2023.</w:t>
            </w:r>
          </w:p>
          <w:p w14:paraId="1C055F20"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Cilj ove akcije če biti uvođenje unifikovanog finansijskog računovodstva sa fokusom na tradicionalne vlastite izvorne prihode ( resurse) u skladu sa direktivom EU.</w:t>
            </w:r>
          </w:p>
        </w:tc>
      </w:tr>
      <w:tr w:rsidR="0086044A" w:rsidRPr="008C3F18" w14:paraId="2F9F8D2E"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2197"/>
        </w:trPr>
        <w:tc>
          <w:tcPr>
            <w:tcW w:w="3098" w:type="dxa"/>
            <w:shd w:val="clear" w:color="auto" w:fill="auto"/>
          </w:tcPr>
          <w:p w14:paraId="6529E861"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t>Opis projekta</w:t>
            </w:r>
            <w:r w:rsidRPr="00F563CD">
              <w:rPr>
                <w:rFonts w:asciiTheme="minorHAnsi" w:hAnsiTheme="minorHAnsi" w:cs="Arial"/>
                <w:bCs/>
                <w:sz w:val="20"/>
                <w:szCs w:val="20"/>
                <w:lang w:val="sr-Latn-ME"/>
              </w:rPr>
              <w:t xml:space="preserve"> Br.12- Implementacija sistema registracije privrednih subjekata i identifikacionog broja </w:t>
            </w:r>
          </w:p>
        </w:tc>
        <w:tc>
          <w:tcPr>
            <w:tcW w:w="1949" w:type="dxa"/>
            <w:shd w:val="clear" w:color="auto" w:fill="auto"/>
          </w:tcPr>
          <w:p w14:paraId="13C4B0DA"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500.000</w:t>
            </w:r>
          </w:p>
        </w:tc>
        <w:tc>
          <w:tcPr>
            <w:tcW w:w="4758" w:type="dxa"/>
          </w:tcPr>
          <w:p w14:paraId="7BC145FA"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 xml:space="preserve"> Opis projekta će biti razvijen u skladu sa programskim planom IPA 2023.</w:t>
            </w:r>
          </w:p>
          <w:p w14:paraId="40A67D29" w14:textId="77777777" w:rsidR="0086044A" w:rsidRPr="00F563CD" w:rsidRDefault="0086044A" w:rsidP="0086044A">
            <w:pPr>
              <w:spacing w:before="120" w:after="120" w:line="240" w:lineRule="auto"/>
              <w:jc w:val="both"/>
              <w:rPr>
                <w:rFonts w:asciiTheme="minorHAnsi" w:hAnsiTheme="minorHAnsi" w:cs="Arial"/>
                <w:sz w:val="20"/>
                <w:szCs w:val="20"/>
                <w:lang w:val="sr-Latn-ME"/>
              </w:rPr>
            </w:pPr>
          </w:p>
          <w:p w14:paraId="4E1C52C1"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Cilj ove akcije će biti uvođeje registracionog broja privrednih subjekata koji je neophodan za pravna lica koja se bave trgovačkim aktivnostima u EU.</w:t>
            </w:r>
          </w:p>
        </w:tc>
      </w:tr>
      <w:tr w:rsidR="0086044A" w:rsidRPr="008C3F18" w14:paraId="76DBBE5B"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1772"/>
        </w:trPr>
        <w:tc>
          <w:tcPr>
            <w:tcW w:w="3098" w:type="dxa"/>
            <w:shd w:val="clear" w:color="auto" w:fill="auto"/>
          </w:tcPr>
          <w:p w14:paraId="16F7FA1A"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t>Opis projekta</w:t>
            </w:r>
            <w:r w:rsidRPr="00F563CD">
              <w:rPr>
                <w:rFonts w:asciiTheme="minorHAnsi" w:hAnsiTheme="minorHAnsi" w:cs="Arial"/>
                <w:bCs/>
                <w:sz w:val="20"/>
                <w:szCs w:val="20"/>
                <w:lang w:val="sr-Latn-ME"/>
              </w:rPr>
              <w:t xml:space="preserve"> Br.13- Implementacija automatizovane procedure razmjene informacija o PDV-u u Upravi prihoda i carina stration</w:t>
            </w:r>
          </w:p>
        </w:tc>
        <w:tc>
          <w:tcPr>
            <w:tcW w:w="1949" w:type="dxa"/>
            <w:shd w:val="clear" w:color="auto" w:fill="auto"/>
          </w:tcPr>
          <w:p w14:paraId="4242697F"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2.000.000</w:t>
            </w:r>
          </w:p>
        </w:tc>
        <w:tc>
          <w:tcPr>
            <w:tcW w:w="4758" w:type="dxa"/>
          </w:tcPr>
          <w:p w14:paraId="08D613DE"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programskim planom IPA 2023.</w:t>
            </w:r>
          </w:p>
          <w:p w14:paraId="17C4E040"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Cilj ove akcije biće automatska razmjena informacija u vezi sa PDV-om i preduzećima u sistemima PDV-a na nivou EU.</w:t>
            </w:r>
          </w:p>
        </w:tc>
      </w:tr>
      <w:tr w:rsidR="0086044A" w:rsidRPr="008C3F18" w14:paraId="152E14B1"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1697"/>
        </w:trPr>
        <w:tc>
          <w:tcPr>
            <w:tcW w:w="3098" w:type="dxa"/>
            <w:shd w:val="clear" w:color="auto" w:fill="auto"/>
          </w:tcPr>
          <w:p w14:paraId="6722915B"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lastRenderedPageBreak/>
              <w:t>Opis projekta</w:t>
            </w:r>
            <w:r w:rsidRPr="00F563CD">
              <w:rPr>
                <w:rFonts w:asciiTheme="minorHAnsi" w:hAnsiTheme="minorHAnsi" w:cs="Arial"/>
                <w:bCs/>
                <w:sz w:val="20"/>
                <w:szCs w:val="20"/>
                <w:lang w:val="sr-Latn-ME"/>
              </w:rPr>
              <w:t xml:space="preserve"> Br.14-Implementacija kontrole kretanja akcize (akcizne robe) u Upravi prihoda i carina </w:t>
            </w:r>
          </w:p>
        </w:tc>
        <w:tc>
          <w:tcPr>
            <w:tcW w:w="1949" w:type="dxa"/>
            <w:shd w:val="clear" w:color="auto" w:fill="auto"/>
          </w:tcPr>
          <w:p w14:paraId="342F4A45"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 xml:space="preserve">1.000.000 </w:t>
            </w:r>
          </w:p>
        </w:tc>
        <w:tc>
          <w:tcPr>
            <w:tcW w:w="4758" w:type="dxa"/>
          </w:tcPr>
          <w:p w14:paraId="1540F65C"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programskim planom IPA 2023.</w:t>
            </w:r>
          </w:p>
          <w:p w14:paraId="7837F139"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Cilj ove akcije biće razvoj elektronskog sistema za razmjenu informacija o akciznim dobrima u sistemu obustavljenog carinjenja.</w:t>
            </w:r>
          </w:p>
        </w:tc>
      </w:tr>
      <w:tr w:rsidR="0086044A" w:rsidRPr="008C3F18" w14:paraId="12A91CEB"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9361"/>
        </w:trPr>
        <w:tc>
          <w:tcPr>
            <w:tcW w:w="3098" w:type="dxa"/>
            <w:shd w:val="clear" w:color="auto" w:fill="auto"/>
          </w:tcPr>
          <w:p w14:paraId="23DC7CE1"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t>Opis projekta</w:t>
            </w:r>
            <w:r w:rsidRPr="00F563CD">
              <w:rPr>
                <w:rFonts w:asciiTheme="minorHAnsi" w:hAnsiTheme="minorHAnsi" w:cs="Arial"/>
                <w:bCs/>
                <w:sz w:val="20"/>
                <w:szCs w:val="20"/>
                <w:lang w:val="sr-Latn-ME"/>
              </w:rPr>
              <w:t xml:space="preserve"> Br. 15 – Digitalizacija sektora zdravstva u Crnoj Gori  (Ministarstvo zdravlja sa pratećim institucijama – Fond  zdravstvenog osiguranja, Klinički centar, bolnice, centri primarne zdravstvene zaštite).</w:t>
            </w:r>
          </w:p>
        </w:tc>
        <w:tc>
          <w:tcPr>
            <w:tcW w:w="1949" w:type="dxa"/>
            <w:shd w:val="clear" w:color="auto" w:fill="auto"/>
          </w:tcPr>
          <w:p w14:paraId="5CAF8E84"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3.500.000</w:t>
            </w:r>
          </w:p>
        </w:tc>
        <w:tc>
          <w:tcPr>
            <w:tcW w:w="4758" w:type="dxa"/>
          </w:tcPr>
          <w:p w14:paraId="55FB426E"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programskim planom IPA 2023.</w:t>
            </w:r>
          </w:p>
          <w:p w14:paraId="2330660E"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Digitalna transformacija IT sistema zdravstvenog sistema zahtijeva brojne aktivnosti koje će:</w:t>
            </w:r>
          </w:p>
          <w:p w14:paraId="12C7F6BD"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w:t>
            </w:r>
            <w:r w:rsidRPr="00F563CD">
              <w:rPr>
                <w:rFonts w:asciiTheme="minorHAnsi" w:hAnsiTheme="minorHAnsi" w:cs="Arial"/>
                <w:sz w:val="20"/>
                <w:szCs w:val="20"/>
                <w:lang w:val="sr-Latn-ME"/>
              </w:rPr>
              <w:tab/>
              <w:t>Omogućiti adekvatnu razmjenu i korišćenje podataka iz privatnog i javnog zdravstvenog sektora u cilju bolje informisanosti  te time imali dobru bazu za političke odluke vezane za sistem zdravstvene zaštite</w:t>
            </w:r>
          </w:p>
          <w:p w14:paraId="1C51675C"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w:t>
            </w:r>
            <w:r w:rsidRPr="00F563CD">
              <w:rPr>
                <w:rFonts w:asciiTheme="minorHAnsi" w:hAnsiTheme="minorHAnsi" w:cs="Arial"/>
                <w:sz w:val="20"/>
                <w:szCs w:val="20"/>
                <w:lang w:val="sr-Latn-ME"/>
              </w:rPr>
              <w:tab/>
              <w:t>Uspostaviti adekvatni sistem registracije ličnog zdravlja koji integriše sve zdravstvene ustanove u jedan IT sistem</w:t>
            </w:r>
          </w:p>
          <w:p w14:paraId="79F6FED3"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w:t>
            </w:r>
            <w:r w:rsidRPr="00F563CD">
              <w:rPr>
                <w:rFonts w:asciiTheme="minorHAnsi" w:hAnsiTheme="minorHAnsi" w:cs="Arial"/>
                <w:sz w:val="20"/>
                <w:szCs w:val="20"/>
                <w:lang w:val="sr-Latn-ME"/>
              </w:rPr>
              <w:tab/>
              <w:t>Poboljšati pristup pacijenata sopstvenim zdravstvenim kartonima i bolji odgovor/tretman ljekara na osnovu istoriju pacijenta i evidenciju na jednom mjestu</w:t>
            </w:r>
          </w:p>
          <w:p w14:paraId="139ACCA8"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w:t>
            </w:r>
            <w:r w:rsidRPr="00F563CD">
              <w:rPr>
                <w:rFonts w:asciiTheme="minorHAnsi" w:hAnsiTheme="minorHAnsi" w:cs="Arial"/>
                <w:sz w:val="20"/>
                <w:szCs w:val="20"/>
                <w:lang w:val="sr-Latn-ME"/>
              </w:rPr>
              <w:tab/>
              <w:t>Poboljšati komunikaciju između pacijenata i doktora</w:t>
            </w:r>
          </w:p>
          <w:p w14:paraId="34AA0101"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w:t>
            </w:r>
            <w:r w:rsidRPr="00F563CD">
              <w:rPr>
                <w:rFonts w:asciiTheme="minorHAnsi" w:hAnsiTheme="minorHAnsi" w:cs="Arial"/>
                <w:sz w:val="20"/>
                <w:szCs w:val="20"/>
                <w:lang w:val="sr-Latn-ME"/>
              </w:rPr>
              <w:tab/>
              <w:t>Razviti sistem telemedicine za daljinski pristup radiološkim snimcima, pisanje izveštaja i mišljenja</w:t>
            </w:r>
          </w:p>
          <w:p w14:paraId="78F55123"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w:t>
            </w:r>
            <w:r w:rsidRPr="00F563CD">
              <w:rPr>
                <w:rFonts w:asciiTheme="minorHAnsi" w:hAnsiTheme="minorHAnsi" w:cs="Arial"/>
                <w:sz w:val="20"/>
                <w:szCs w:val="20"/>
                <w:lang w:val="sr-Latn-ME"/>
              </w:rPr>
              <w:tab/>
              <w:t xml:space="preserve">Razviti farmaceutski sistem praćenja da bi se ljekovi pratili od proizvodnje do pacijenta </w:t>
            </w:r>
          </w:p>
          <w:p w14:paraId="76369A62"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w:t>
            </w:r>
            <w:r w:rsidRPr="00F563CD">
              <w:rPr>
                <w:rFonts w:asciiTheme="minorHAnsi" w:hAnsiTheme="minorHAnsi" w:cs="Arial"/>
                <w:sz w:val="20"/>
                <w:szCs w:val="20"/>
                <w:lang w:val="sr-Latn-ME"/>
              </w:rPr>
              <w:tab/>
              <w:t>Ubrzati ukupne procese unutar zdravstvenog sistema i značajno smanjiti troškove medikamenata i liječenja pacijenata.</w:t>
            </w:r>
          </w:p>
          <w:p w14:paraId="27CD8662"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Program ekonomskih reformi za period 2021 -2023 za prioritetnu reformsku mjeru 20: budžet od 1.145.000 eura je predviđen za korišćenje usluga telemedicine u Crnoj Gori kroz uspostavljanje informacionog sistema za telemedicinu i razvoj mobilnog zdravlja. Preostala sredstva treba da podrže druge procese digitalizacije, ulaganja u softver i hardver za podršku digitalizaciji sistema.</w:t>
            </w:r>
          </w:p>
        </w:tc>
      </w:tr>
      <w:tr w:rsidR="0086044A" w:rsidRPr="008C3F18" w14:paraId="66E6A416"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5813"/>
        </w:trPr>
        <w:tc>
          <w:tcPr>
            <w:tcW w:w="3098" w:type="dxa"/>
            <w:shd w:val="clear" w:color="auto" w:fill="auto"/>
          </w:tcPr>
          <w:p w14:paraId="7CC72980"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lastRenderedPageBreak/>
              <w:t>Opis projekta</w:t>
            </w:r>
            <w:r w:rsidRPr="00F563CD">
              <w:rPr>
                <w:rFonts w:asciiTheme="minorHAnsi" w:hAnsiTheme="minorHAnsi" w:cs="Arial"/>
                <w:bCs/>
                <w:sz w:val="20"/>
                <w:szCs w:val="20"/>
                <w:lang w:val="sr-Latn-ME"/>
              </w:rPr>
              <w:t xml:space="preserve"> Br.16 -</w:t>
            </w:r>
            <w:r w:rsidRPr="00F563CD">
              <w:rPr>
                <w:rFonts w:asciiTheme="minorHAnsi" w:hAnsiTheme="minorHAnsi"/>
                <w:lang w:val="sr-Latn-ME"/>
              </w:rPr>
              <w:t xml:space="preserve"> </w:t>
            </w:r>
            <w:r w:rsidRPr="00F563CD">
              <w:rPr>
                <w:rFonts w:asciiTheme="minorHAnsi" w:hAnsiTheme="minorHAnsi" w:cs="Arial"/>
                <w:bCs/>
                <w:sz w:val="20"/>
                <w:szCs w:val="20"/>
                <w:lang w:val="sr-Latn-ME"/>
              </w:rPr>
              <w:t>Jačanje tehničkih kapaciteta inspekcija</w:t>
            </w:r>
          </w:p>
        </w:tc>
        <w:tc>
          <w:tcPr>
            <w:tcW w:w="1949" w:type="dxa"/>
            <w:shd w:val="clear" w:color="auto" w:fill="auto"/>
          </w:tcPr>
          <w:p w14:paraId="7F90144C" w14:textId="77777777" w:rsidR="0086044A" w:rsidRPr="00F563CD" w:rsidRDefault="0086044A" w:rsidP="0086044A">
            <w:pPr>
              <w:spacing w:before="120" w:after="120" w:line="240" w:lineRule="auto"/>
              <w:rPr>
                <w:rFonts w:asciiTheme="minorHAnsi" w:hAnsiTheme="minorHAnsi" w:cs="Arial"/>
                <w:sz w:val="20"/>
                <w:szCs w:val="20"/>
                <w:lang w:val="sr-Latn-ME"/>
              </w:rPr>
            </w:pPr>
            <w:r w:rsidRPr="00F563CD">
              <w:rPr>
                <w:rFonts w:asciiTheme="minorHAnsi" w:hAnsiTheme="minorHAnsi" w:cs="Arial"/>
                <w:sz w:val="20"/>
                <w:szCs w:val="20"/>
                <w:lang w:val="sr-Latn-ME"/>
              </w:rPr>
              <w:t xml:space="preserve">       160.000</w:t>
            </w:r>
          </w:p>
        </w:tc>
        <w:tc>
          <w:tcPr>
            <w:tcW w:w="4758" w:type="dxa"/>
          </w:tcPr>
          <w:p w14:paraId="5567B11A"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programskim planom IPA 2023.</w:t>
            </w:r>
          </w:p>
          <w:p w14:paraId="06021847"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Jačanje tehničkih kapaciteta podrazumeva nabavku ICT opreme i druge opreme koja je neophodna inspekcijama u toj oblasti.</w:t>
            </w:r>
          </w:p>
          <w:p w14:paraId="196A0980"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Ciljevi/rezultati akcije su kao što slijedi:</w:t>
            </w:r>
          </w:p>
          <w:p w14:paraId="13FB45B3"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w:t>
            </w:r>
            <w:r w:rsidRPr="00F563CD">
              <w:rPr>
                <w:rFonts w:asciiTheme="minorHAnsi" w:hAnsiTheme="minorHAnsi" w:cs="Arial"/>
                <w:sz w:val="20"/>
                <w:szCs w:val="20"/>
                <w:lang w:val="sr-Latn-ME"/>
              </w:rPr>
              <w:tab/>
              <w:t>Unapređenje inspekcija preko usklađenog zakonodavstva koje pripada većem broju pregovaračkih poglavlja.</w:t>
            </w:r>
          </w:p>
          <w:p w14:paraId="29ADA178"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w:t>
            </w:r>
            <w:r w:rsidRPr="00F563CD">
              <w:rPr>
                <w:rFonts w:asciiTheme="minorHAnsi" w:hAnsiTheme="minorHAnsi" w:cs="Arial"/>
                <w:sz w:val="20"/>
                <w:szCs w:val="20"/>
                <w:lang w:val="sr-Latn-ME"/>
              </w:rPr>
              <w:tab/>
              <w:t>Korišćenje UIIS-a (Objedinjeni informacioni sistem inspekcije). U direktnoj vezi sa ugrađenim softverom, UIIS je predmet nabavke ICT opreme koja će omogućiti njegovo korišćenje.</w:t>
            </w:r>
          </w:p>
          <w:p w14:paraId="05185057"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w:t>
            </w:r>
            <w:r w:rsidRPr="00F563CD">
              <w:rPr>
                <w:rFonts w:asciiTheme="minorHAnsi" w:hAnsiTheme="minorHAnsi" w:cs="Arial"/>
                <w:sz w:val="20"/>
                <w:szCs w:val="20"/>
                <w:lang w:val="sr-Latn-ME"/>
              </w:rPr>
              <w:tab/>
              <w:t>Veći broj inspekcija i kontrolisanih subjekata, što će doprineti vidljivijim rezultatima.</w:t>
            </w:r>
          </w:p>
          <w:p w14:paraId="10CEC19F"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w:t>
            </w:r>
            <w:r w:rsidRPr="00F563CD">
              <w:rPr>
                <w:rFonts w:asciiTheme="minorHAnsi" w:hAnsiTheme="minorHAnsi" w:cs="Arial"/>
                <w:sz w:val="20"/>
                <w:szCs w:val="20"/>
                <w:lang w:val="sr-Latn-ME"/>
              </w:rPr>
              <w:tab/>
              <w:t>Nabavka opreme zajedno sa kontinuiranom edukacijom inspektora omogućiće ispunjenje komponente koja se odnosi na jačanje administrativnih kapaciteta.</w:t>
            </w:r>
          </w:p>
        </w:tc>
      </w:tr>
      <w:tr w:rsidR="0086044A" w:rsidRPr="00F563CD" w14:paraId="4F4F9F93"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435"/>
        </w:trPr>
        <w:tc>
          <w:tcPr>
            <w:tcW w:w="3098" w:type="dxa"/>
            <w:shd w:val="clear" w:color="auto" w:fill="auto"/>
          </w:tcPr>
          <w:p w14:paraId="3931CA17" w14:textId="77777777" w:rsidR="0086044A" w:rsidRPr="00F563CD" w:rsidRDefault="0086044A" w:rsidP="0086044A">
            <w:pPr>
              <w:spacing w:before="120" w:after="120" w:line="240" w:lineRule="auto"/>
              <w:jc w:val="center"/>
              <w:rPr>
                <w:rFonts w:asciiTheme="minorHAnsi" w:hAnsiTheme="minorHAnsi" w:cs="Arial"/>
                <w:sz w:val="20"/>
                <w:szCs w:val="20"/>
                <w:lang w:val="sr-Latn-ME"/>
              </w:rPr>
            </w:pPr>
            <w:r w:rsidRPr="00F563CD">
              <w:rPr>
                <w:rFonts w:asciiTheme="minorHAnsi" w:hAnsiTheme="minorHAnsi" w:cs="Arial"/>
                <w:sz w:val="20"/>
                <w:szCs w:val="20"/>
                <w:lang w:val="sr-Latn-ME"/>
              </w:rPr>
              <w:t>Ukupno Tematski prioritet (2023)</w:t>
            </w:r>
          </w:p>
        </w:tc>
        <w:tc>
          <w:tcPr>
            <w:tcW w:w="1949" w:type="dxa"/>
            <w:shd w:val="clear" w:color="auto" w:fill="auto"/>
            <w:vAlign w:val="center"/>
          </w:tcPr>
          <w:p w14:paraId="4622B5FD"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rPr>
              <w:t>19.860.000</w:t>
            </w:r>
          </w:p>
        </w:tc>
        <w:tc>
          <w:tcPr>
            <w:tcW w:w="4758" w:type="dxa"/>
            <w:tcBorders>
              <w:right w:val="single" w:sz="4" w:space="0" w:color="auto"/>
            </w:tcBorders>
            <w:shd w:val="clear" w:color="auto" w:fill="auto"/>
            <w:vAlign w:val="center"/>
          </w:tcPr>
          <w:p w14:paraId="3CAC7863"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p w14:paraId="3F9340C3"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p w14:paraId="0F2847AB"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p w14:paraId="175221E6"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p w14:paraId="44EB1F90"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p w14:paraId="0B26BB32"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p w14:paraId="67E82582"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p w14:paraId="4FF3DCD8"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p w14:paraId="596C2488"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p w14:paraId="24C25BFC"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p>
        </w:tc>
      </w:tr>
      <w:tr w:rsidR="0086044A" w:rsidRPr="008C3F18" w14:paraId="517C424D"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284"/>
        </w:trPr>
        <w:tc>
          <w:tcPr>
            <w:tcW w:w="9805" w:type="dxa"/>
            <w:gridSpan w:val="3"/>
            <w:shd w:val="clear" w:color="auto" w:fill="A6A6A6" w:themeFill="background1" w:themeFillShade="A6"/>
            <w:vAlign w:val="center"/>
          </w:tcPr>
          <w:p w14:paraId="3CA999C0" w14:textId="77777777" w:rsidR="0086044A" w:rsidRPr="00F563CD" w:rsidRDefault="0086044A" w:rsidP="0086044A">
            <w:pPr>
              <w:spacing w:after="0" w:line="240" w:lineRule="auto"/>
              <w:rPr>
                <w:rFonts w:asciiTheme="minorHAnsi" w:hAnsiTheme="minorHAnsi" w:cs="Arial"/>
                <w:b/>
                <w:bCs/>
                <w:sz w:val="20"/>
                <w:szCs w:val="20"/>
                <w:lang w:val="sr-Latn-ME"/>
              </w:rPr>
            </w:pPr>
            <w:r w:rsidRPr="00F563CD">
              <w:rPr>
                <w:rFonts w:asciiTheme="minorHAnsi" w:hAnsiTheme="minorHAnsi" w:cs="Arial"/>
                <w:b/>
                <w:bCs/>
                <w:sz w:val="20"/>
                <w:szCs w:val="20"/>
                <w:lang w:val="sr-Latn-ME" w:eastAsia="en-US"/>
              </w:rPr>
              <w:t>Tematski prioritet 2 – Administrativni kapaciteti i usklađivanje sa pravnom tekovinom</w:t>
            </w:r>
          </w:p>
        </w:tc>
      </w:tr>
      <w:tr w:rsidR="0086044A" w:rsidRPr="00F563CD" w14:paraId="5AB35CAD"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284"/>
        </w:trPr>
        <w:tc>
          <w:tcPr>
            <w:tcW w:w="3098" w:type="dxa"/>
            <w:shd w:val="clear" w:color="auto" w:fill="auto"/>
          </w:tcPr>
          <w:p w14:paraId="27085EDD" w14:textId="77777777" w:rsidR="0086044A" w:rsidRPr="00F563CD" w:rsidRDefault="0086044A" w:rsidP="0086044A">
            <w:pPr>
              <w:spacing w:after="0" w:line="240" w:lineRule="auto"/>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Opis projekta Br. 1 – </w:t>
            </w:r>
            <w:r w:rsidRPr="00F563CD">
              <w:rPr>
                <w:rFonts w:asciiTheme="minorHAnsi" w:eastAsia="Arial" w:hAnsiTheme="minorHAnsi" w:cs="Arial"/>
                <w:bCs/>
                <w:sz w:val="20"/>
                <w:szCs w:val="20"/>
                <w:lang w:val="sr-Latn-ME"/>
              </w:rPr>
              <w:t>Instrument za evropsku integraciju</w:t>
            </w:r>
          </w:p>
          <w:p w14:paraId="072C046D" w14:textId="77777777" w:rsidR="0086044A" w:rsidRPr="00F563CD" w:rsidRDefault="0086044A" w:rsidP="0086044A">
            <w:pPr>
              <w:spacing w:after="0" w:line="240" w:lineRule="auto"/>
              <w:rPr>
                <w:rFonts w:asciiTheme="minorHAnsi" w:hAnsiTheme="minorHAnsi" w:cs="Arial"/>
                <w:b/>
                <w:bCs/>
                <w:sz w:val="20"/>
                <w:szCs w:val="20"/>
                <w:lang w:val="sr-Latn-ME" w:eastAsia="en-US"/>
              </w:rPr>
            </w:pPr>
            <w:r w:rsidRPr="00F563CD">
              <w:rPr>
                <w:rFonts w:asciiTheme="minorHAnsi" w:hAnsiTheme="minorHAnsi" w:cs="Arial"/>
                <w:sz w:val="20"/>
                <w:szCs w:val="20"/>
                <w:lang w:val="sr-Latn-ME" w:eastAsia="en-US"/>
              </w:rPr>
              <w:t>  </w:t>
            </w:r>
          </w:p>
        </w:tc>
        <w:tc>
          <w:tcPr>
            <w:tcW w:w="1949" w:type="dxa"/>
            <w:shd w:val="clear" w:color="auto" w:fill="auto"/>
          </w:tcPr>
          <w:p w14:paraId="3EB28FA8" w14:textId="77777777" w:rsidR="0086044A" w:rsidRPr="00F563CD" w:rsidRDefault="0086044A" w:rsidP="0086044A">
            <w:pPr>
              <w:spacing w:after="0" w:line="240" w:lineRule="auto"/>
              <w:jc w:val="right"/>
              <w:rPr>
                <w:rFonts w:asciiTheme="minorHAnsi" w:hAnsiTheme="minorHAnsi" w:cs="Arial"/>
                <w:b/>
                <w:bCs/>
                <w:sz w:val="20"/>
                <w:szCs w:val="20"/>
                <w:lang w:val="sr-Latn-ME" w:eastAsia="en-US"/>
              </w:rPr>
            </w:pPr>
            <w:r w:rsidRPr="00F563CD">
              <w:rPr>
                <w:rFonts w:asciiTheme="minorHAnsi" w:hAnsiTheme="minorHAnsi" w:cs="Arial"/>
                <w:sz w:val="20"/>
                <w:szCs w:val="20"/>
                <w:lang w:val="sr-Latn-ME" w:eastAsia="en-US"/>
              </w:rPr>
              <w:t>Biće naknadno utvrđeno</w:t>
            </w:r>
          </w:p>
        </w:tc>
        <w:tc>
          <w:tcPr>
            <w:tcW w:w="4758" w:type="dxa"/>
            <w:shd w:val="clear" w:color="auto" w:fill="auto"/>
          </w:tcPr>
          <w:p w14:paraId="633DF380" w14:textId="77777777" w:rsidR="0086044A" w:rsidRPr="00F563CD" w:rsidRDefault="0086044A" w:rsidP="0086044A">
            <w:pPr>
              <w:spacing w:after="0" w:line="240" w:lineRule="auto"/>
              <w:rPr>
                <w:rFonts w:asciiTheme="minorHAnsi" w:hAnsiTheme="minorHAnsi" w:cs="Arial"/>
                <w:b/>
                <w:bCs/>
                <w:sz w:val="20"/>
                <w:szCs w:val="20"/>
                <w:lang w:val="sr-Latn-ME" w:eastAsia="en-US"/>
              </w:rPr>
            </w:pPr>
          </w:p>
        </w:tc>
      </w:tr>
      <w:tr w:rsidR="0086044A" w:rsidRPr="00F563CD" w14:paraId="000FB3BA"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284"/>
        </w:trPr>
        <w:tc>
          <w:tcPr>
            <w:tcW w:w="9805" w:type="dxa"/>
            <w:gridSpan w:val="3"/>
            <w:shd w:val="clear" w:color="auto" w:fill="D9D9D9"/>
            <w:vAlign w:val="center"/>
          </w:tcPr>
          <w:p w14:paraId="2DF73742" w14:textId="77777777" w:rsidR="0086044A" w:rsidRPr="00F563CD" w:rsidRDefault="0086044A" w:rsidP="0086044A">
            <w:pPr>
              <w:spacing w:after="0" w:line="240" w:lineRule="auto"/>
              <w:jc w:val="center"/>
              <w:rPr>
                <w:rFonts w:asciiTheme="minorHAnsi" w:hAnsiTheme="minorHAnsi" w:cs="Arial"/>
                <w:b/>
                <w:bCs/>
                <w:sz w:val="20"/>
                <w:szCs w:val="20"/>
                <w:lang w:val="sr-Latn-ME"/>
              </w:rPr>
            </w:pPr>
            <w:r w:rsidRPr="00F563CD">
              <w:rPr>
                <w:rFonts w:asciiTheme="minorHAnsi" w:hAnsiTheme="minorHAnsi" w:cs="Arial"/>
                <w:b/>
                <w:bCs/>
                <w:sz w:val="20"/>
                <w:szCs w:val="20"/>
                <w:lang w:val="sr-Latn-ME"/>
              </w:rPr>
              <w:t>2024</w:t>
            </w:r>
          </w:p>
        </w:tc>
      </w:tr>
      <w:tr w:rsidR="0086044A" w:rsidRPr="00F563CD" w14:paraId="2BD9D569"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val="284"/>
        </w:trPr>
        <w:tc>
          <w:tcPr>
            <w:tcW w:w="9805" w:type="dxa"/>
            <w:gridSpan w:val="3"/>
            <w:shd w:val="clear" w:color="auto" w:fill="A6A6A6" w:themeFill="background1" w:themeFillShade="A6"/>
            <w:vAlign w:val="center"/>
          </w:tcPr>
          <w:p w14:paraId="756E8464" w14:textId="77777777" w:rsidR="0086044A" w:rsidRPr="00F563CD" w:rsidRDefault="0086044A" w:rsidP="0086044A">
            <w:pPr>
              <w:spacing w:after="0" w:line="240" w:lineRule="auto"/>
              <w:rPr>
                <w:rFonts w:asciiTheme="minorHAnsi" w:hAnsiTheme="minorHAnsi" w:cs="Arial"/>
                <w:b/>
                <w:bCs/>
                <w:sz w:val="20"/>
                <w:szCs w:val="20"/>
                <w:lang w:val="sr-Latn-ME"/>
              </w:rPr>
            </w:pPr>
            <w:r w:rsidRPr="00F563CD">
              <w:rPr>
                <w:rFonts w:asciiTheme="minorHAnsi" w:hAnsiTheme="minorHAnsi" w:cs="Arial"/>
                <w:b/>
                <w:bCs/>
                <w:sz w:val="20"/>
                <w:szCs w:val="20"/>
                <w:lang w:val="sr-Latn-ME"/>
              </w:rPr>
              <w:t>Tematski prioritet 1- Dobro upravljanje</w:t>
            </w:r>
          </w:p>
        </w:tc>
      </w:tr>
      <w:tr w:rsidR="0086044A" w:rsidRPr="008C3F18" w14:paraId="6392DB4E"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1801"/>
        </w:trPr>
        <w:tc>
          <w:tcPr>
            <w:tcW w:w="3098" w:type="dxa"/>
            <w:shd w:val="clear" w:color="auto" w:fill="auto"/>
          </w:tcPr>
          <w:p w14:paraId="5EDCDF9B" w14:textId="77777777" w:rsidR="0086044A" w:rsidRPr="00F563CD" w:rsidRDefault="0086044A" w:rsidP="0086044A">
            <w:pPr>
              <w:spacing w:before="120" w:after="120" w:line="240" w:lineRule="auto"/>
              <w:rPr>
                <w:rFonts w:asciiTheme="minorHAnsi" w:hAnsiTheme="minorHAnsi" w:cs="Arial"/>
                <w:bCs/>
                <w:sz w:val="20"/>
                <w:szCs w:val="20"/>
                <w:lang w:val="sr-Latn-ME"/>
              </w:rPr>
            </w:pPr>
            <w:r w:rsidRPr="00F563CD">
              <w:rPr>
                <w:rFonts w:asciiTheme="minorHAnsi" w:hAnsiTheme="minorHAnsi" w:cs="Arial"/>
                <w:sz w:val="20"/>
                <w:szCs w:val="20"/>
                <w:lang w:val="sr-Latn-ME" w:eastAsia="en-US"/>
              </w:rPr>
              <w:t>Opis projekta</w:t>
            </w:r>
            <w:r w:rsidRPr="00F563CD">
              <w:rPr>
                <w:rFonts w:asciiTheme="minorHAnsi" w:hAnsiTheme="minorHAnsi" w:cs="Arial"/>
                <w:bCs/>
                <w:sz w:val="20"/>
                <w:szCs w:val="20"/>
                <w:lang w:val="sr-Latn-ME"/>
              </w:rPr>
              <w:t xml:space="preserve"> Br.1 Dalja podrška Upravi prihoda i carina za implementaciju elektronske carine</w:t>
            </w:r>
          </w:p>
        </w:tc>
        <w:tc>
          <w:tcPr>
            <w:tcW w:w="1949" w:type="dxa"/>
            <w:shd w:val="clear" w:color="auto" w:fill="auto"/>
          </w:tcPr>
          <w:p w14:paraId="5A7B1B91"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eastAsia="en-US"/>
              </w:rPr>
              <w:t>Biće naknadno utvrđeno</w:t>
            </w:r>
            <w:r w:rsidRPr="00F563CD">
              <w:rPr>
                <w:rFonts w:asciiTheme="minorHAnsi" w:hAnsiTheme="minorHAnsi" w:cs="Arial"/>
                <w:sz w:val="20"/>
                <w:szCs w:val="20"/>
                <w:lang w:val="sr-Latn-ME"/>
              </w:rPr>
              <w:t xml:space="preserve"> </w:t>
            </w:r>
          </w:p>
        </w:tc>
        <w:tc>
          <w:tcPr>
            <w:tcW w:w="4758" w:type="dxa"/>
            <w:tcBorders>
              <w:bottom w:val="single" w:sz="4" w:space="0" w:color="auto"/>
            </w:tcBorders>
          </w:tcPr>
          <w:p w14:paraId="3FDD76D9" w14:textId="77777777" w:rsidR="0086044A" w:rsidRPr="00F563CD" w:rsidRDefault="0086044A" w:rsidP="0086044A">
            <w:pPr>
              <w:spacing w:before="120" w:after="120" w:line="240" w:lineRule="auto"/>
              <w:jc w:val="both"/>
              <w:rPr>
                <w:rFonts w:asciiTheme="minorHAnsi" w:hAnsiTheme="minorHAnsi" w:cs="Arial"/>
                <w:sz w:val="20"/>
                <w:szCs w:val="20"/>
                <w:lang w:val="sr-Latn-ME"/>
              </w:rPr>
            </w:pPr>
            <w:r w:rsidRPr="00F563CD">
              <w:rPr>
                <w:rFonts w:asciiTheme="minorHAnsi" w:hAnsiTheme="minorHAnsi" w:cs="Arial"/>
                <w:sz w:val="20"/>
                <w:szCs w:val="20"/>
                <w:lang w:val="sr-Latn-ME"/>
              </w:rPr>
              <w:t>Opis projekta će biti razvijen u skladu sa programskim planom IPA 2024.</w:t>
            </w:r>
          </w:p>
          <w:p w14:paraId="2E252F43" w14:textId="77777777" w:rsidR="0086044A" w:rsidRPr="00F563CD" w:rsidRDefault="0086044A" w:rsidP="0086044A">
            <w:pPr>
              <w:spacing w:before="120" w:after="120" w:line="240" w:lineRule="auto"/>
              <w:rPr>
                <w:rFonts w:asciiTheme="minorHAnsi" w:hAnsiTheme="minorHAnsi" w:cs="Arial"/>
                <w:sz w:val="20"/>
                <w:szCs w:val="20"/>
                <w:lang w:val="sr-Latn-ME"/>
              </w:rPr>
            </w:pPr>
            <w:r w:rsidRPr="00F563CD">
              <w:rPr>
                <w:rFonts w:asciiTheme="minorHAnsi" w:hAnsiTheme="minorHAnsi" w:cs="Arial"/>
                <w:sz w:val="20"/>
                <w:szCs w:val="20"/>
                <w:lang w:val="sr-Latn-ME"/>
              </w:rPr>
              <w:t xml:space="preserve">Cilj ove akcije biće implementacija elektronskih carinskih sistema u skladu sa najnovijim MASP –C i UCC Planom rada i zasnovan na najnovijim funkcionalnim i techničkim specifikacijama DGTAXUD </w:t>
            </w:r>
          </w:p>
        </w:tc>
      </w:tr>
      <w:tr w:rsidR="0086044A" w:rsidRPr="008C3F18" w14:paraId="17B5B6AB"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388"/>
        </w:trPr>
        <w:tc>
          <w:tcPr>
            <w:tcW w:w="9805" w:type="dxa"/>
            <w:gridSpan w:val="3"/>
            <w:shd w:val="clear" w:color="auto" w:fill="A6A6A6" w:themeFill="background1" w:themeFillShade="A6"/>
          </w:tcPr>
          <w:p w14:paraId="13F4217F" w14:textId="77777777" w:rsidR="0086044A" w:rsidRPr="00F563CD" w:rsidRDefault="0086044A" w:rsidP="0086044A">
            <w:pPr>
              <w:spacing w:before="120" w:after="120" w:line="240" w:lineRule="auto"/>
              <w:rPr>
                <w:rFonts w:asciiTheme="minorHAnsi" w:hAnsiTheme="minorHAnsi" w:cs="Arial"/>
                <w:b/>
                <w:sz w:val="20"/>
                <w:szCs w:val="20"/>
                <w:lang w:val="sr-Latn-ME"/>
              </w:rPr>
            </w:pPr>
            <w:r w:rsidRPr="00F563CD">
              <w:rPr>
                <w:rFonts w:asciiTheme="minorHAnsi" w:hAnsiTheme="minorHAnsi" w:cs="Arial"/>
                <w:b/>
                <w:bCs/>
                <w:sz w:val="20"/>
                <w:szCs w:val="20"/>
                <w:lang w:val="sr-Latn-ME" w:eastAsia="en-US"/>
              </w:rPr>
              <w:t>Tematski prioritet 2 – Administrativni kapaciteti i usklađivanje sa pravnom tekovinom</w:t>
            </w:r>
          </w:p>
        </w:tc>
      </w:tr>
      <w:tr w:rsidR="0086044A" w:rsidRPr="00F563CD" w14:paraId="417E5EDC"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21" w:type="dxa"/>
          <w:trHeight w:hRule="exact" w:val="1801"/>
        </w:trPr>
        <w:tc>
          <w:tcPr>
            <w:tcW w:w="3098" w:type="dxa"/>
            <w:shd w:val="clear" w:color="auto" w:fill="auto"/>
          </w:tcPr>
          <w:p w14:paraId="312D7412" w14:textId="77777777" w:rsidR="0086044A" w:rsidRPr="00F563CD" w:rsidRDefault="0086044A" w:rsidP="0086044A">
            <w:pPr>
              <w:spacing w:after="0" w:line="240" w:lineRule="auto"/>
              <w:textAlignment w:val="baseline"/>
              <w:rPr>
                <w:rFonts w:asciiTheme="minorHAnsi" w:hAnsiTheme="minorHAnsi"/>
                <w:sz w:val="24"/>
                <w:szCs w:val="24"/>
                <w:lang w:val="sr-Latn-ME" w:eastAsia="en-US"/>
              </w:rPr>
            </w:pPr>
            <w:r w:rsidRPr="00F563CD">
              <w:rPr>
                <w:rFonts w:asciiTheme="minorHAnsi" w:hAnsiTheme="minorHAnsi" w:cs="Arial"/>
                <w:sz w:val="20"/>
                <w:szCs w:val="20"/>
                <w:lang w:val="sr-Latn-ME" w:eastAsia="en-US"/>
              </w:rPr>
              <w:t>Opis projekta Br. 1 –</w:t>
            </w:r>
            <w:r w:rsidRPr="00F563CD">
              <w:rPr>
                <w:rFonts w:asciiTheme="minorHAnsi" w:eastAsia="Arial" w:hAnsiTheme="minorHAnsi" w:cs="Arial"/>
                <w:bCs/>
                <w:sz w:val="20"/>
                <w:szCs w:val="20"/>
                <w:lang w:val="sr-Latn-ME"/>
              </w:rPr>
              <w:t>Instrument za evropsku integraciju</w:t>
            </w:r>
          </w:p>
          <w:p w14:paraId="37CAA7FD" w14:textId="77777777" w:rsidR="0086044A" w:rsidRPr="00F563CD" w:rsidRDefault="0086044A" w:rsidP="0086044A">
            <w:pPr>
              <w:spacing w:before="120" w:after="120" w:line="240" w:lineRule="auto"/>
              <w:jc w:val="right"/>
              <w:rPr>
                <w:rFonts w:asciiTheme="minorHAnsi" w:hAnsiTheme="minorHAnsi" w:cs="Arial"/>
                <w:bCs/>
                <w:sz w:val="20"/>
                <w:szCs w:val="20"/>
                <w:lang w:val="sr-Latn-ME"/>
              </w:rPr>
            </w:pPr>
            <w:r w:rsidRPr="00F563CD">
              <w:rPr>
                <w:rFonts w:asciiTheme="minorHAnsi" w:hAnsiTheme="minorHAnsi" w:cs="Arial"/>
                <w:sz w:val="20"/>
                <w:szCs w:val="20"/>
                <w:lang w:val="sr-Latn-ME" w:eastAsia="en-US"/>
              </w:rPr>
              <w:t>  </w:t>
            </w:r>
          </w:p>
        </w:tc>
        <w:tc>
          <w:tcPr>
            <w:tcW w:w="1949" w:type="dxa"/>
            <w:shd w:val="clear" w:color="auto" w:fill="auto"/>
          </w:tcPr>
          <w:p w14:paraId="749B5964" w14:textId="77777777" w:rsidR="0086044A" w:rsidRPr="00F563CD" w:rsidRDefault="0086044A" w:rsidP="0086044A">
            <w:pPr>
              <w:spacing w:before="120" w:after="120" w:line="240" w:lineRule="auto"/>
              <w:jc w:val="right"/>
              <w:rPr>
                <w:rFonts w:asciiTheme="minorHAnsi" w:hAnsiTheme="minorHAnsi" w:cs="Arial"/>
                <w:sz w:val="20"/>
                <w:szCs w:val="20"/>
                <w:lang w:val="sr-Latn-ME"/>
              </w:rPr>
            </w:pPr>
            <w:r w:rsidRPr="00F563CD">
              <w:rPr>
                <w:rFonts w:asciiTheme="minorHAnsi" w:hAnsiTheme="minorHAnsi" w:cs="Arial"/>
                <w:sz w:val="20"/>
                <w:szCs w:val="20"/>
                <w:lang w:val="sr-Latn-ME" w:eastAsia="en-US"/>
              </w:rPr>
              <w:t xml:space="preserve">Biće naknadno utvrđeno </w:t>
            </w:r>
          </w:p>
        </w:tc>
        <w:tc>
          <w:tcPr>
            <w:tcW w:w="4758" w:type="dxa"/>
            <w:tcBorders>
              <w:bottom w:val="single" w:sz="4" w:space="0" w:color="auto"/>
            </w:tcBorders>
          </w:tcPr>
          <w:p w14:paraId="06C15249" w14:textId="77777777" w:rsidR="0086044A" w:rsidRPr="00F563CD" w:rsidRDefault="0086044A" w:rsidP="0086044A">
            <w:pPr>
              <w:spacing w:before="120" w:after="120" w:line="240" w:lineRule="auto"/>
              <w:rPr>
                <w:rFonts w:asciiTheme="minorHAnsi" w:hAnsiTheme="minorHAnsi" w:cs="Arial"/>
                <w:sz w:val="20"/>
                <w:szCs w:val="20"/>
                <w:lang w:val="sr-Latn-ME"/>
              </w:rPr>
            </w:pPr>
          </w:p>
        </w:tc>
      </w:tr>
      <w:tr w:rsidR="0086044A" w:rsidRPr="00F563CD" w14:paraId="668A509F" w14:textId="77777777" w:rsidTr="006712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4779" w:type="dxa"/>
          <w:trHeight w:hRule="exact" w:val="665"/>
        </w:trPr>
        <w:tc>
          <w:tcPr>
            <w:tcW w:w="3098" w:type="dxa"/>
            <w:tcBorders>
              <w:top w:val="single" w:sz="4" w:space="0" w:color="auto"/>
              <w:left w:val="single" w:sz="4" w:space="0" w:color="auto"/>
              <w:bottom w:val="single" w:sz="4" w:space="0" w:color="auto"/>
              <w:right w:val="single" w:sz="4" w:space="0" w:color="auto"/>
            </w:tcBorders>
            <w:shd w:val="clear" w:color="auto" w:fill="BFBFBF"/>
          </w:tcPr>
          <w:p w14:paraId="2809FB6F" w14:textId="77777777" w:rsidR="0086044A" w:rsidRPr="00F563CD" w:rsidRDefault="0086044A" w:rsidP="0086044A">
            <w:pPr>
              <w:spacing w:before="120" w:after="120" w:line="240" w:lineRule="auto"/>
              <w:rPr>
                <w:rFonts w:asciiTheme="minorHAnsi" w:hAnsiTheme="minorHAnsi" w:cs="Arial"/>
                <w:b/>
                <w:bCs/>
                <w:sz w:val="20"/>
                <w:szCs w:val="20"/>
                <w:lang w:val="sr-Latn-ME"/>
              </w:rPr>
            </w:pPr>
            <w:r w:rsidRPr="00F563CD">
              <w:rPr>
                <w:rFonts w:asciiTheme="minorHAnsi" w:hAnsiTheme="minorHAnsi" w:cs="Arial"/>
                <w:b/>
                <w:bCs/>
                <w:sz w:val="20"/>
                <w:szCs w:val="20"/>
                <w:lang w:val="sr-Latn-ME"/>
              </w:rPr>
              <w:t xml:space="preserve">Ukupno Tematski prioritet (2021.-2024.) </w:t>
            </w:r>
          </w:p>
        </w:tc>
        <w:tc>
          <w:tcPr>
            <w:tcW w:w="1949" w:type="dxa"/>
            <w:tcBorders>
              <w:top w:val="single" w:sz="4" w:space="0" w:color="auto"/>
              <w:left w:val="single" w:sz="4" w:space="0" w:color="auto"/>
              <w:bottom w:val="single" w:sz="4" w:space="0" w:color="auto"/>
              <w:right w:val="single" w:sz="4" w:space="0" w:color="auto"/>
            </w:tcBorders>
            <w:shd w:val="clear" w:color="auto" w:fill="BFBFBF"/>
          </w:tcPr>
          <w:p w14:paraId="21FF9F2D" w14:textId="77777777" w:rsidR="0086044A" w:rsidRPr="00F563CD" w:rsidRDefault="0086044A" w:rsidP="0086044A">
            <w:pPr>
              <w:spacing w:line="240" w:lineRule="auto"/>
              <w:rPr>
                <w:rFonts w:asciiTheme="minorHAnsi" w:hAnsiTheme="minorHAnsi" w:cs="Arial"/>
                <w:b/>
                <w:sz w:val="20"/>
                <w:szCs w:val="20"/>
                <w:lang w:val="sr-Latn-ME"/>
              </w:rPr>
            </w:pPr>
            <w:r w:rsidRPr="00F563CD">
              <w:rPr>
                <w:rFonts w:asciiTheme="minorHAnsi" w:hAnsiTheme="minorHAnsi" w:cs="Arial"/>
                <w:b/>
                <w:sz w:val="20"/>
                <w:szCs w:val="20"/>
                <w:lang w:val="sr-Latn-ME"/>
              </w:rPr>
              <w:t>58.360.000</w:t>
            </w:r>
          </w:p>
        </w:tc>
      </w:tr>
    </w:tbl>
    <w:p w14:paraId="3415EBBF" w14:textId="4C99AD0E" w:rsidR="00047EF8" w:rsidRPr="00F563CD" w:rsidRDefault="00047EF8" w:rsidP="0086044A">
      <w:pPr>
        <w:keepNext/>
        <w:keepLines/>
        <w:spacing w:before="200" w:after="0"/>
        <w:outlineLvl w:val="2"/>
        <w:rPr>
          <w:rFonts w:asciiTheme="minorHAnsi" w:hAnsiTheme="minorHAnsi" w:cs="Arial"/>
          <w:i/>
          <w:iCs/>
          <w:sz w:val="20"/>
          <w:szCs w:val="20"/>
        </w:rPr>
        <w:sectPr w:rsidR="00047EF8" w:rsidRPr="00F563CD" w:rsidSect="00A239C5">
          <w:headerReference w:type="default" r:id="rId20"/>
          <w:footerReference w:type="default" r:id="rId21"/>
          <w:pgSz w:w="11906" w:h="16838" w:code="9"/>
          <w:pgMar w:top="992" w:right="709" w:bottom="720" w:left="567" w:header="709" w:footer="0" w:gutter="0"/>
          <w:cols w:space="708"/>
          <w:docGrid w:linePitch="360"/>
        </w:sectPr>
      </w:pPr>
    </w:p>
    <w:p w14:paraId="4801D2FB" w14:textId="77777777" w:rsidR="00047EF8" w:rsidRPr="00F563CD" w:rsidRDefault="00864F83" w:rsidP="00047EF8">
      <w:pPr>
        <w:pStyle w:val="Heading1"/>
        <w:pBdr>
          <w:bottom w:val="single" w:sz="12" w:space="1" w:color="auto"/>
        </w:pBdr>
        <w:rPr>
          <w:rFonts w:asciiTheme="minorHAnsi" w:hAnsiTheme="minorHAnsi" w:cs="Arial"/>
          <w:color w:val="auto"/>
          <w:highlight w:val="yellow"/>
        </w:rPr>
      </w:pPr>
      <w:bookmarkStart w:id="35" w:name="_Toc91500263"/>
      <w:r w:rsidRPr="00F563CD">
        <w:rPr>
          <w:rFonts w:asciiTheme="minorHAnsi" w:hAnsiTheme="minorHAnsi" w:cs="Arial"/>
          <w:color w:val="auto"/>
        </w:rPr>
        <w:lastRenderedPageBreak/>
        <w:t>PROZOR 3 – ODRŽIVA POVEZANOST I ZELENA AGENDA</w:t>
      </w:r>
      <w:bookmarkEnd w:id="35"/>
      <w:r w:rsidRPr="00F563CD">
        <w:rPr>
          <w:rFonts w:asciiTheme="minorHAnsi" w:hAnsiTheme="minorHAnsi" w:cs="Arial"/>
          <w:color w:val="auto"/>
        </w:rPr>
        <w:t xml:space="preserve"> </w:t>
      </w:r>
    </w:p>
    <w:p w14:paraId="0907C3CC" w14:textId="77777777" w:rsidR="00047EF8" w:rsidRPr="00F563CD" w:rsidRDefault="00047EF8" w:rsidP="00047EF8">
      <w:pPr>
        <w:rPr>
          <w:rFonts w:asciiTheme="minorHAnsi" w:hAnsiTheme="minorHAnsi"/>
          <w:i/>
          <w:iCs/>
          <w:sz w:val="20"/>
          <w:szCs w:val="20"/>
          <w:highlight w:val="yellow"/>
        </w:rPr>
      </w:pPr>
    </w:p>
    <w:p w14:paraId="09EF3012" w14:textId="77777777" w:rsidR="00047EF8" w:rsidRPr="00F563CD" w:rsidRDefault="00864F83" w:rsidP="00047EF8">
      <w:pPr>
        <w:pStyle w:val="Heading3"/>
        <w:rPr>
          <w:rFonts w:asciiTheme="minorHAnsi" w:hAnsiTheme="minorHAnsi" w:cs="Arial"/>
          <w:sz w:val="22"/>
          <w:szCs w:val="22"/>
        </w:rPr>
      </w:pPr>
      <w:bookmarkStart w:id="36" w:name="_Toc91500264"/>
      <w:r w:rsidRPr="00F563CD">
        <w:rPr>
          <w:rFonts w:asciiTheme="minorHAnsi" w:hAnsiTheme="minorHAnsi" w:cs="Arial"/>
          <w:color w:val="auto"/>
          <w:sz w:val="22"/>
          <w:szCs w:val="22"/>
        </w:rPr>
        <w:t>DIO 1 – SEKTORSKI KONTEKST I RELEVANTNOST ZA POLITIKU PROŠIRENJA</w:t>
      </w:r>
      <w:bookmarkEnd w:id="36"/>
      <w:r w:rsidRPr="00F563CD">
        <w:rPr>
          <w:rFonts w:asciiTheme="minorHAnsi" w:hAnsiTheme="minorHAnsi" w:cs="Arial"/>
          <w:color w:val="auto"/>
          <w:sz w:val="22"/>
          <w:szCs w:val="22"/>
        </w:rPr>
        <w:t xml:space="preserve"> </w:t>
      </w:r>
    </w:p>
    <w:p w14:paraId="3813D68A" w14:textId="77777777" w:rsidR="00047EF8" w:rsidRPr="00F563CD" w:rsidRDefault="00864F83" w:rsidP="00047EF8">
      <w:pPr>
        <w:pStyle w:val="Heading2"/>
        <w:numPr>
          <w:ilvl w:val="0"/>
          <w:numId w:val="28"/>
        </w:numPr>
        <w:rPr>
          <w:rFonts w:asciiTheme="minorHAnsi" w:hAnsiTheme="minorHAnsi" w:cs="Arial"/>
          <w:smallCaps/>
          <w:color w:val="auto"/>
          <w:sz w:val="24"/>
          <w:szCs w:val="24"/>
        </w:rPr>
      </w:pPr>
      <w:bookmarkStart w:id="37" w:name="_Toc91500265"/>
      <w:r w:rsidRPr="00F563CD">
        <w:rPr>
          <w:rFonts w:asciiTheme="minorHAnsi" w:hAnsiTheme="minorHAnsi" w:cs="Arial"/>
          <w:smallCaps/>
          <w:color w:val="auto"/>
          <w:sz w:val="24"/>
          <w:szCs w:val="24"/>
        </w:rPr>
        <w:t>Proces konsultacija</w:t>
      </w:r>
      <w:bookmarkEnd w:id="37"/>
    </w:p>
    <w:p w14:paraId="6C1A4838" w14:textId="77777777" w:rsidR="00047EF8" w:rsidRPr="00F563CD" w:rsidRDefault="00864F83" w:rsidP="00047EF8">
      <w:pPr>
        <w:spacing w:before="60" w:after="60" w:line="240" w:lineRule="auto"/>
        <w:ind w:right="190"/>
        <w:jc w:val="both"/>
        <w:rPr>
          <w:rFonts w:asciiTheme="minorHAnsi" w:hAnsiTheme="minorHAnsi" w:cstheme="minorBidi"/>
          <w:sz w:val="20"/>
          <w:szCs w:val="20"/>
        </w:rPr>
      </w:pPr>
      <w:r w:rsidRPr="00F563CD">
        <w:rPr>
          <w:rFonts w:asciiTheme="minorHAnsi" w:hAnsiTheme="minorHAnsi" w:cstheme="minorBidi"/>
          <w:sz w:val="20"/>
          <w:szCs w:val="20"/>
        </w:rPr>
        <w:t>Kada su u pitanju rane faze strateškog planiranja za prve godine programiranja u okviru ovog prozora, prvi nacrt opisa projekata (OP) dostavljen je Evropskoj komisiji u skladu sa predviđenim vremenskim okvirom (jun 2020. godine). Kroz procjenu koju je izvršio Generalni direktorat za susjedsku politiku i pregovore o proširenju (DG NEAR) dostavljene su dodatne smjernice i sugestije u vezi sa izabranim akcijama za IPA 2021 i 2022. Kancelarija nipaka je u januaru 2021. godine pokrenula kosultativni proces, u okviru kojeg je komunicirala sve relevantne informacije, uključujući i kategorizaciju relevantnih dokumenata po stepenu njihove važnosti, pružala je incijalne smjernice o Strateškom odgovoru i akcionim dokumentima, kao osnovne podatke koje je trebalo dalje razrađivati u predviđenom roku. Priprema Strateškog odgovora teče uporedo sa izradom akcionih dokumenata (AD) za programe IPA 2021 i 2022. Kada je u pitanju širi konsultativni proces koji se tokom procesa programiranja sprovodi u skladu sa načelom partnerskog odnosa i transparentnosti, planirano je da se pokrene proces javnih konsultacija o Strateškom odgovoru čim dokumentacija dostigne određeni nivo zrelosti, tj. nakon što se barem kroz jednu iteraciju razmijene komentari sa relevantnim službama EK.</w:t>
      </w:r>
    </w:p>
    <w:p w14:paraId="47516F40" w14:textId="77777777" w:rsidR="00047EF8" w:rsidRPr="00F563CD" w:rsidRDefault="00AF0227" w:rsidP="00047EF8">
      <w:pPr>
        <w:spacing w:line="240" w:lineRule="auto"/>
        <w:jc w:val="both"/>
        <w:rPr>
          <w:rFonts w:asciiTheme="minorHAnsi" w:hAnsiTheme="minorHAnsi" w:cstheme="minorBidi"/>
          <w:i/>
          <w:sz w:val="20"/>
          <w:szCs w:val="20"/>
          <w:highlight w:val="yellow"/>
        </w:rPr>
      </w:pPr>
      <w:r w:rsidRPr="00F563CD">
        <w:rPr>
          <w:rFonts w:asciiTheme="minorHAnsi" w:hAnsiTheme="minorHAnsi" w:cstheme="minorBidi"/>
          <w:i/>
          <w:noProof/>
          <w:sz w:val="20"/>
          <w:szCs w:val="20"/>
          <w:highlight w:val="yellow"/>
          <w:lang w:val="en-US" w:eastAsia="en-US"/>
        </w:rPr>
        <w:drawing>
          <wp:inline distT="0" distB="0" distL="0" distR="0" wp14:anchorId="0D868B90" wp14:editId="7DA4C13D">
            <wp:extent cx="4381500" cy="4752975"/>
            <wp:effectExtent l="38100" t="19050" r="95250" b="28575"/>
            <wp:docPr id="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A25BB1A" w14:textId="77777777" w:rsidR="00047EF8" w:rsidRPr="00F563CD" w:rsidRDefault="00864F83" w:rsidP="00047EF8">
      <w:pPr>
        <w:pStyle w:val="Heading2"/>
        <w:numPr>
          <w:ilvl w:val="0"/>
          <w:numId w:val="28"/>
        </w:numPr>
        <w:rPr>
          <w:rFonts w:asciiTheme="minorHAnsi" w:hAnsiTheme="minorHAnsi" w:cs="Arial"/>
          <w:smallCaps/>
          <w:color w:val="auto"/>
          <w:sz w:val="24"/>
          <w:szCs w:val="24"/>
        </w:rPr>
      </w:pPr>
      <w:bookmarkStart w:id="38" w:name="_Toc91500266"/>
      <w:r w:rsidRPr="00F563CD">
        <w:rPr>
          <w:rFonts w:asciiTheme="minorHAnsi" w:hAnsiTheme="minorHAnsi" w:cs="Arial"/>
          <w:smallCaps/>
          <w:color w:val="auto"/>
          <w:sz w:val="24"/>
          <w:szCs w:val="24"/>
        </w:rPr>
        <w:lastRenderedPageBreak/>
        <w:t>Usklađenost strategija zemlje korisnice sa IPA III programskim okvirom</w:t>
      </w:r>
      <w:bookmarkEnd w:id="38"/>
      <w:r w:rsidRPr="00F563CD">
        <w:rPr>
          <w:rFonts w:asciiTheme="minorHAnsi" w:hAnsiTheme="minorHAnsi" w:cs="Arial"/>
          <w:smallCaps/>
          <w:color w:val="auto"/>
          <w:sz w:val="24"/>
          <w:szCs w:val="24"/>
        </w:rPr>
        <w:t xml:space="preserve"> </w:t>
      </w:r>
    </w:p>
    <w:p w14:paraId="4E67DB0D" w14:textId="43990E8F" w:rsidR="00047EF8" w:rsidRPr="00F563CD" w:rsidRDefault="007840BE" w:rsidP="00047EF8">
      <w:pPr>
        <w:spacing w:line="240" w:lineRule="auto"/>
        <w:jc w:val="both"/>
        <w:rPr>
          <w:rFonts w:asciiTheme="minorHAnsi" w:hAnsiTheme="minorHAnsi" w:cstheme="minorBidi"/>
          <w:iCs/>
          <w:sz w:val="20"/>
          <w:szCs w:val="20"/>
        </w:rPr>
      </w:pPr>
      <w:r w:rsidRPr="00F563CD">
        <w:rPr>
          <w:rFonts w:asciiTheme="minorHAnsi" w:hAnsiTheme="minorHAnsi"/>
          <w:noProof/>
          <w:highlight w:val="yellow"/>
          <w:lang w:val="en-US" w:eastAsia="en-US"/>
        </w:rPr>
        <mc:AlternateContent>
          <mc:Choice Requires="wps">
            <w:drawing>
              <wp:anchor distT="0" distB="0" distL="114300" distR="114300" simplePos="0" relativeHeight="251659264" behindDoc="0" locked="0" layoutInCell="1" allowOverlap="1" wp14:anchorId="34964EA0" wp14:editId="5425A789">
                <wp:simplePos x="0" y="0"/>
                <wp:positionH relativeFrom="margin">
                  <wp:align>left</wp:align>
                </wp:positionH>
                <wp:positionV relativeFrom="paragraph">
                  <wp:posOffset>424815</wp:posOffset>
                </wp:positionV>
                <wp:extent cx="6775450" cy="553085"/>
                <wp:effectExtent l="0" t="0" r="6350" b="0"/>
                <wp:wrapSquare wrapText="bothSides"/>
                <wp:docPr id="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0" cy="55308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8E6FF26" w14:textId="77777777" w:rsidR="006712E0" w:rsidRPr="003708C9" w:rsidRDefault="006712E0" w:rsidP="00047EF8">
                            <w:pPr>
                              <w:spacing w:line="240" w:lineRule="auto"/>
                              <w:jc w:val="both"/>
                              <w:rPr>
                                <w:rFonts w:asciiTheme="minorHAnsi" w:hAnsiTheme="minorHAnsi" w:cstheme="minorBidi"/>
                                <w:iCs/>
                                <w:sz w:val="20"/>
                                <w:szCs w:val="20"/>
                                <w:lang w:val="fr-FR"/>
                              </w:rPr>
                            </w:pPr>
                            <w:r w:rsidRPr="009A5E9A">
                              <w:rPr>
                                <w:rFonts w:asciiTheme="minorHAnsi" w:hAnsiTheme="minorHAnsi" w:cstheme="minorBidi"/>
                                <w:iCs/>
                                <w:sz w:val="20"/>
                                <w:szCs w:val="20"/>
                                <w:lang w:val="fr-FR"/>
                              </w:rPr>
                              <w:t>Opš</w:t>
                            </w:r>
                            <w:r>
                              <w:rPr>
                                <w:rFonts w:asciiTheme="minorHAnsi" w:hAnsiTheme="minorHAnsi" w:cstheme="minorBidi"/>
                                <w:iCs/>
                                <w:sz w:val="20"/>
                                <w:szCs w:val="20"/>
                                <w:lang w:val="fr-FR"/>
                              </w:rPr>
                              <w:t xml:space="preserve">ti ciljevi u okviru Prozora </w:t>
                            </w:r>
                            <w:proofErr w:type="gramStart"/>
                            <w:r>
                              <w:rPr>
                                <w:rFonts w:asciiTheme="minorHAnsi" w:hAnsiTheme="minorHAnsi" w:cstheme="minorBidi"/>
                                <w:iCs/>
                                <w:sz w:val="20"/>
                                <w:szCs w:val="20"/>
                                <w:lang w:val="fr-FR"/>
                              </w:rPr>
                              <w:t>3:</w:t>
                            </w:r>
                            <w:proofErr w:type="gramEnd"/>
                            <w:r>
                              <w:rPr>
                                <w:rFonts w:asciiTheme="minorHAnsi" w:hAnsiTheme="minorHAnsi" w:cstheme="minorBidi"/>
                                <w:iCs/>
                                <w:sz w:val="20"/>
                                <w:szCs w:val="20"/>
                                <w:lang w:val="fr-FR"/>
                              </w:rPr>
                              <w:t xml:space="preserve"> P</w:t>
                            </w:r>
                            <w:r w:rsidRPr="009A5E9A">
                              <w:rPr>
                                <w:rFonts w:asciiTheme="minorHAnsi" w:hAnsiTheme="minorHAnsi" w:cstheme="minorBidi"/>
                                <w:iCs/>
                                <w:sz w:val="20"/>
                                <w:szCs w:val="20"/>
                                <w:lang w:val="fr-FR"/>
                              </w:rPr>
                              <w:t xml:space="preserve">romovisati zelenu agendu </w:t>
                            </w:r>
                            <w:r>
                              <w:rPr>
                                <w:rFonts w:asciiTheme="minorHAnsi" w:hAnsiTheme="minorHAnsi" w:cstheme="minorBidi"/>
                                <w:iCs/>
                                <w:sz w:val="20"/>
                                <w:szCs w:val="20"/>
                                <w:lang w:val="fr-FR"/>
                              </w:rPr>
                              <w:t>podsticanjem zaštite životne sredine, odgovarajućim doprinosom jačanju otpornosti na klimatske promjene</w:t>
                            </w:r>
                            <w:r w:rsidRPr="00462DAF">
                              <w:rPr>
                                <w:rFonts w:asciiTheme="minorHAnsi" w:hAnsiTheme="minorHAnsi" w:cstheme="minorBidi"/>
                                <w:iCs/>
                                <w:sz w:val="20"/>
                                <w:szCs w:val="20"/>
                                <w:lang w:val="fr-FR"/>
                              </w:rPr>
                              <w:t xml:space="preserve"> </w:t>
                            </w:r>
                            <w:r>
                              <w:rPr>
                                <w:rFonts w:asciiTheme="minorHAnsi" w:hAnsiTheme="minorHAnsi" w:cstheme="minorBidi"/>
                                <w:iCs/>
                                <w:sz w:val="20"/>
                                <w:szCs w:val="20"/>
                                <w:lang w:val="fr-FR"/>
                              </w:rPr>
                              <w:t>i njihovom ublažavanju, ubrzanjem prelaska na niskougljeničnu i cirkularnu ekonomiju i razvojem digitalne ekonomije i društva.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964EA0" id="_x0000_t202" coordsize="21600,21600" o:spt="202" path="m,l,21600r21600,l21600,xe">
                <v:stroke joinstyle="miter"/>
                <v:path gradientshapeok="t" o:connecttype="rect"/>
              </v:shapetype>
              <v:shape id="Cuadro de texto 2" o:spid="_x0000_s1026" type="#_x0000_t202" style="position:absolute;left:0;text-align:left;margin-left:0;margin-top:33.45pt;width:533.5pt;height:43.5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" fillcolor="white [3201]" strokecolor="#4f81bd [3204]" strokeweight="2pt">
                <v:path arrowok="t"/>
                <v:textbox>
                  <w:txbxContent>
                    <w:p w14:paraId="28E6FF26" w14:textId="77777777" w:rsidR="006712E0" w:rsidRPr="003708C9" w:rsidRDefault="006712E0" w:rsidP="00047EF8">
                      <w:pPr>
                        <w:spacing w:line="240" w:lineRule="auto"/>
                        <w:jc w:val="both"/>
                        <w:rPr>
                          <w:rFonts w:asciiTheme="minorHAnsi" w:hAnsiTheme="minorHAnsi" w:cstheme="minorBidi"/>
                          <w:iCs/>
                          <w:sz w:val="20"/>
                          <w:szCs w:val="20"/>
                          <w:lang w:val="fr-FR"/>
                        </w:rPr>
                      </w:pPr>
                      <w:r w:rsidRPr="009A5E9A">
                        <w:rPr>
                          <w:rFonts w:asciiTheme="minorHAnsi" w:hAnsiTheme="minorHAnsi" w:cstheme="minorBidi"/>
                          <w:iCs/>
                          <w:sz w:val="20"/>
                          <w:szCs w:val="20"/>
                          <w:lang w:val="fr-FR"/>
                        </w:rPr>
                        <w:t>Opš</w:t>
                      </w:r>
                      <w:r>
                        <w:rPr>
                          <w:rFonts w:asciiTheme="minorHAnsi" w:hAnsiTheme="minorHAnsi" w:cstheme="minorBidi"/>
                          <w:iCs/>
                          <w:sz w:val="20"/>
                          <w:szCs w:val="20"/>
                          <w:lang w:val="fr-FR"/>
                        </w:rPr>
                        <w:t>ti ciljevi u okviru Prozora 3: P</w:t>
                      </w:r>
                      <w:r w:rsidRPr="009A5E9A">
                        <w:rPr>
                          <w:rFonts w:asciiTheme="minorHAnsi" w:hAnsiTheme="minorHAnsi" w:cstheme="minorBidi"/>
                          <w:iCs/>
                          <w:sz w:val="20"/>
                          <w:szCs w:val="20"/>
                          <w:lang w:val="fr-FR"/>
                        </w:rPr>
                        <w:t xml:space="preserve">romovisati zelenu agendu </w:t>
                      </w:r>
                      <w:r>
                        <w:rPr>
                          <w:rFonts w:asciiTheme="minorHAnsi" w:hAnsiTheme="minorHAnsi" w:cstheme="minorBidi"/>
                          <w:iCs/>
                          <w:sz w:val="20"/>
                          <w:szCs w:val="20"/>
                          <w:lang w:val="fr-FR"/>
                        </w:rPr>
                        <w:t>podsticanjem zaštite životne sredine, odgovarajućim doprinosom jačanju otpornosti na klimatske promjene</w:t>
                      </w:r>
                      <w:r w:rsidRPr="00462DAF">
                        <w:rPr>
                          <w:rFonts w:asciiTheme="minorHAnsi" w:hAnsiTheme="minorHAnsi" w:cstheme="minorBidi"/>
                          <w:iCs/>
                          <w:sz w:val="20"/>
                          <w:szCs w:val="20"/>
                          <w:lang w:val="fr-FR"/>
                        </w:rPr>
                        <w:t xml:space="preserve"> </w:t>
                      </w:r>
                      <w:r>
                        <w:rPr>
                          <w:rFonts w:asciiTheme="minorHAnsi" w:hAnsiTheme="minorHAnsi" w:cstheme="minorBidi"/>
                          <w:iCs/>
                          <w:sz w:val="20"/>
                          <w:szCs w:val="20"/>
                          <w:lang w:val="fr-FR"/>
                        </w:rPr>
                        <w:t>i njihovom ublažavanju, ubrzanjem prelaska na niskougljeničnu i cirkularnu ekonomiju i razvojem digitalne ekonomije i društva.</w:t>
                      </w:r>
                    </w:p>
                  </w:txbxContent>
                </v:textbox>
                <w10:wrap type="square" anchorx="margin"/>
              </v:shape>
            </w:pict>
          </mc:Fallback>
        </mc:AlternateContent>
      </w:r>
      <w:r w:rsidR="00864F83" w:rsidRPr="00F563CD">
        <w:rPr>
          <w:rFonts w:asciiTheme="minorHAnsi" w:hAnsiTheme="minorHAnsi" w:cstheme="minorBidi"/>
          <w:iCs/>
          <w:sz w:val="20"/>
          <w:szCs w:val="20"/>
        </w:rPr>
        <w:t>U nastavku su predstavljene najznačajnije horizontalne i sektorske strategije u okviru Prozora 3, s opisom njihovog doprinosa u dostizanju opštih ciljeva i specifičnih ciljeva u okviru određenih tematskih prioriteta:</w:t>
      </w:r>
    </w:p>
    <w:p w14:paraId="014B6FB9" w14:textId="77777777" w:rsidR="00047EF8" w:rsidRPr="00F563CD" w:rsidRDefault="00864F83" w:rsidP="00047EF8">
      <w:pPr>
        <w:spacing w:line="240" w:lineRule="auto"/>
        <w:jc w:val="both"/>
        <w:rPr>
          <w:rFonts w:asciiTheme="minorHAnsi" w:hAnsiTheme="minorHAnsi" w:cstheme="minorBidi"/>
          <w:b/>
          <w:bCs/>
          <w:iCs/>
          <w:sz w:val="20"/>
          <w:szCs w:val="20"/>
        </w:rPr>
      </w:pPr>
      <w:r w:rsidRPr="00F563CD">
        <w:rPr>
          <w:rFonts w:asciiTheme="minorHAnsi" w:hAnsiTheme="minorHAnsi" w:cstheme="minorBidi"/>
          <w:b/>
          <w:bCs/>
          <w:iCs/>
          <w:sz w:val="20"/>
          <w:szCs w:val="20"/>
        </w:rPr>
        <w:t>Horizontalne strategije za oba tematska prioriteta:</w:t>
      </w:r>
    </w:p>
    <w:p w14:paraId="0B014EBE" w14:textId="53959EE5" w:rsidR="00F86ED0" w:rsidRPr="00F563CD" w:rsidRDefault="00F86ED0" w:rsidP="00047EF8">
      <w:pPr>
        <w:spacing w:line="240" w:lineRule="auto"/>
        <w:jc w:val="both"/>
        <w:rPr>
          <w:rFonts w:asciiTheme="minorHAnsi" w:hAnsiTheme="minorHAnsi" w:cstheme="minorBidi"/>
          <w:iCs/>
          <w:sz w:val="20"/>
          <w:szCs w:val="20"/>
        </w:rPr>
      </w:pPr>
      <w:r w:rsidRPr="00F563CD">
        <w:rPr>
          <w:rFonts w:asciiTheme="minorHAnsi" w:hAnsiTheme="minorHAnsi" w:cstheme="minorBidi"/>
          <w:b/>
          <w:bCs/>
          <w:iCs/>
          <w:sz w:val="20"/>
          <w:szCs w:val="20"/>
        </w:rPr>
        <w:t>Nacionalna strategija održivog razvoja do 2030. godine (NSOR)</w:t>
      </w:r>
      <w:r w:rsidRPr="00F563CD">
        <w:rPr>
          <w:rFonts w:asciiTheme="minorHAnsi" w:hAnsiTheme="minorHAnsi" w:cstheme="minorBidi"/>
          <w:iCs/>
          <w:sz w:val="20"/>
          <w:szCs w:val="20"/>
        </w:rPr>
        <w:t xml:space="preserve"> predstavlja dugoročnu razvojnu strategiju kojom su predviđena rješenja za održivo upravljanje u okviru četiri grupe nacionalnih resursa: ljudski, društveni, prirodni i ekonomski, koji su definisani kao prioriteti sveukupnog održivog razvoja crnogorskog društva. Izvor: </w:t>
      </w:r>
      <w:hyperlink r:id="rId27" w:history="1">
        <w:r w:rsidRPr="00F563CD">
          <w:rPr>
            <w:rStyle w:val="Hyperlink"/>
            <w:rFonts w:asciiTheme="minorHAnsi" w:hAnsiTheme="minorHAnsi" w:cstheme="minorBidi"/>
            <w:iCs/>
            <w:sz w:val="20"/>
          </w:rPr>
          <w:t>http://www.nssd2030.gov.me/</w:t>
        </w:r>
      </w:hyperlink>
    </w:p>
    <w:p w14:paraId="4609B232" w14:textId="53959EE5"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b/>
          <w:bCs/>
          <w:iCs/>
          <w:sz w:val="20"/>
          <w:szCs w:val="20"/>
        </w:rPr>
        <w:t>Pravci razvoja Crne Gore 2018-2021 –</w:t>
      </w:r>
      <w:r w:rsidRPr="00F563CD">
        <w:rPr>
          <w:rFonts w:asciiTheme="minorHAnsi" w:hAnsiTheme="minorHAnsi" w:cstheme="minorBidi"/>
          <w:iCs/>
          <w:sz w:val="20"/>
          <w:szCs w:val="20"/>
        </w:rPr>
        <w:t xml:space="preserve"> dokument utvrđuje viziju socio-ekonomskog razvoja, uključujući i potrebne investicije i razvojne mjere koje vode ka pametnom, održivom i inkluzivnom rastu. Link:</w:t>
      </w:r>
    </w:p>
    <w:p w14:paraId="7D060586" w14:textId="77777777" w:rsidR="00047EF8" w:rsidRPr="00F563CD" w:rsidRDefault="001D48BA" w:rsidP="00047EF8">
      <w:pPr>
        <w:spacing w:line="240" w:lineRule="auto"/>
        <w:jc w:val="both"/>
        <w:rPr>
          <w:rFonts w:asciiTheme="minorHAnsi" w:hAnsiTheme="minorHAnsi" w:cstheme="minorBidi"/>
          <w:iCs/>
          <w:sz w:val="20"/>
          <w:szCs w:val="20"/>
        </w:rPr>
      </w:pPr>
      <w:hyperlink r:id="rId28" w:history="1">
        <w:r w:rsidR="00864F83" w:rsidRPr="00F563CD">
          <w:rPr>
            <w:rStyle w:val="Hyperlink"/>
            <w:rFonts w:asciiTheme="minorHAnsi" w:hAnsiTheme="minorHAnsi" w:cstheme="minorBidi"/>
            <w:iCs/>
            <w:sz w:val="20"/>
          </w:rPr>
          <w:t>https://mif.gov.me/en/news/184592/Montenegro-Development-Directions-2018-2021.html</w:t>
        </w:r>
      </w:hyperlink>
    </w:p>
    <w:p w14:paraId="336B19E2"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b/>
          <w:bCs/>
          <w:iCs/>
          <w:sz w:val="20"/>
          <w:szCs w:val="20"/>
        </w:rPr>
        <w:t>Program pristupanja Crne Gore Evropskoj uniji 2020 – 2022.</w:t>
      </w:r>
      <w:r w:rsidRPr="00F563CD">
        <w:rPr>
          <w:rFonts w:asciiTheme="minorHAnsi" w:hAnsiTheme="minorHAnsi" w:cstheme="minorBidi"/>
          <w:iCs/>
          <w:sz w:val="20"/>
          <w:szCs w:val="20"/>
        </w:rPr>
        <w:t xml:space="preserve"> kojim su definisani prioriteti za usklađivanje u okviru različitih pregovaračkih poglavlja, u pogledu nacionalnih strategija, zakonodavnog okvira i administrativnih kapaciteta za poglavlja koja su obuhvaćena Prozorom 3:</w:t>
      </w:r>
    </w:p>
    <w:p w14:paraId="2ECCD03D" w14:textId="77777777" w:rsidR="00047EF8" w:rsidRPr="00F563CD" w:rsidRDefault="00864F83" w:rsidP="00047EF8">
      <w:pPr>
        <w:pStyle w:val="ListParagraph"/>
        <w:numPr>
          <w:ilvl w:val="0"/>
          <w:numId w:val="62"/>
        </w:num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Poglavlje 10: Informaciono društvo i mediji</w:t>
      </w:r>
    </w:p>
    <w:p w14:paraId="025D8589" w14:textId="77777777" w:rsidR="00047EF8" w:rsidRPr="00F563CD" w:rsidRDefault="00864F83" w:rsidP="00047EF8">
      <w:pPr>
        <w:pStyle w:val="ListParagraph"/>
        <w:numPr>
          <w:ilvl w:val="0"/>
          <w:numId w:val="62"/>
        </w:num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Poglavlje 14: Saobraćajna politika</w:t>
      </w:r>
    </w:p>
    <w:p w14:paraId="58D89649" w14:textId="77777777" w:rsidR="00047EF8" w:rsidRPr="00F563CD" w:rsidRDefault="00864F83" w:rsidP="00047EF8">
      <w:pPr>
        <w:pStyle w:val="ListParagraph"/>
        <w:numPr>
          <w:ilvl w:val="0"/>
          <w:numId w:val="62"/>
        </w:num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Poglavlje 15: Energetika</w:t>
      </w:r>
    </w:p>
    <w:p w14:paraId="080A4D3C" w14:textId="77777777" w:rsidR="00047EF8" w:rsidRPr="00F563CD" w:rsidRDefault="00864F83" w:rsidP="00047EF8">
      <w:pPr>
        <w:pStyle w:val="ListParagraph"/>
        <w:numPr>
          <w:ilvl w:val="0"/>
          <w:numId w:val="62"/>
        </w:num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Poglavlje 21: Trans-evropske mreže</w:t>
      </w:r>
    </w:p>
    <w:p w14:paraId="0E41B1B2" w14:textId="77777777" w:rsidR="00047EF8" w:rsidRPr="00F563CD" w:rsidRDefault="00864F83" w:rsidP="00047EF8">
      <w:pPr>
        <w:pStyle w:val="ListParagraph"/>
        <w:numPr>
          <w:ilvl w:val="0"/>
          <w:numId w:val="62"/>
        </w:num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Poglavlje 27: Životna sredina i klimatske promjene</w:t>
      </w:r>
    </w:p>
    <w:p w14:paraId="094AA44D" w14:textId="77777777" w:rsidR="00047EF8" w:rsidRPr="00F563CD" w:rsidRDefault="00864F83" w:rsidP="00047EF8">
      <w:pPr>
        <w:spacing w:line="240" w:lineRule="auto"/>
        <w:jc w:val="both"/>
        <w:rPr>
          <w:rStyle w:val="Hyperlink"/>
          <w:rFonts w:asciiTheme="minorHAnsi" w:hAnsiTheme="minorHAnsi" w:cstheme="minorBidi"/>
          <w:iCs/>
          <w:sz w:val="20"/>
        </w:rPr>
      </w:pPr>
      <w:r w:rsidRPr="00F563CD">
        <w:rPr>
          <w:rFonts w:asciiTheme="minorHAnsi" w:hAnsiTheme="minorHAnsi" w:cstheme="minorBidi"/>
          <w:iCs/>
          <w:sz w:val="20"/>
          <w:szCs w:val="20"/>
        </w:rPr>
        <w:t xml:space="preserve">Link: </w:t>
      </w:r>
      <w:hyperlink r:id="rId29" w:anchor="1583-1683-ppcg" w:history="1">
        <w:r w:rsidRPr="00F563CD">
          <w:rPr>
            <w:rStyle w:val="Hyperlink"/>
            <w:rFonts w:asciiTheme="minorHAnsi" w:hAnsiTheme="minorHAnsi" w:cstheme="minorBidi"/>
            <w:iCs/>
            <w:sz w:val="20"/>
          </w:rPr>
          <w:t>https://www.eu.me/dokumenti-pregovori-o-pristupanju/#1583-1683-ppcg</w:t>
        </w:r>
      </w:hyperlink>
      <w:r w:rsidRPr="00F563CD">
        <w:rPr>
          <w:rStyle w:val="Hyperlink"/>
          <w:rFonts w:asciiTheme="minorHAnsi" w:hAnsiTheme="minorHAnsi" w:cstheme="minorBidi"/>
          <w:iCs/>
          <w:sz w:val="20"/>
        </w:rPr>
        <w:t>,</w:t>
      </w:r>
    </w:p>
    <w:p w14:paraId="0F8DDF04" w14:textId="77777777" w:rsidR="00047EF8" w:rsidRPr="00F563CD" w:rsidRDefault="00864F83" w:rsidP="00047EF8">
      <w:pPr>
        <w:spacing w:line="240" w:lineRule="auto"/>
        <w:jc w:val="both"/>
        <w:rPr>
          <w:rFonts w:asciiTheme="minorHAnsi" w:hAnsiTheme="minorHAnsi" w:cstheme="minorBidi"/>
          <w:iCs/>
          <w:sz w:val="20"/>
          <w:szCs w:val="20"/>
        </w:rPr>
      </w:pPr>
      <w:r w:rsidRPr="00F563CD">
        <w:rPr>
          <w:rStyle w:val="Hyperlink"/>
          <w:rFonts w:asciiTheme="minorHAnsi" w:hAnsiTheme="minorHAnsi" w:cstheme="minorBidi"/>
          <w:iCs/>
          <w:sz w:val="20"/>
        </w:rPr>
        <w:t>Makroregionalne strategije EU</w:t>
      </w:r>
    </w:p>
    <w:p w14:paraId="50B1430A" w14:textId="77777777" w:rsidR="00047EF8" w:rsidRPr="00F563CD" w:rsidRDefault="00864F83" w:rsidP="00047EF8">
      <w:pPr>
        <w:spacing w:line="240" w:lineRule="auto"/>
        <w:jc w:val="both"/>
        <w:rPr>
          <w:rFonts w:asciiTheme="minorHAnsi" w:hAnsiTheme="minorHAnsi" w:cstheme="minorBidi"/>
          <w:b/>
          <w:bCs/>
          <w:iCs/>
          <w:sz w:val="20"/>
          <w:szCs w:val="20"/>
        </w:rPr>
      </w:pPr>
      <w:r w:rsidRPr="00F563CD">
        <w:rPr>
          <w:rFonts w:asciiTheme="minorHAnsi" w:hAnsiTheme="minorHAnsi" w:cstheme="minorBidi"/>
          <w:b/>
          <w:bCs/>
          <w:iCs/>
          <w:sz w:val="20"/>
          <w:szCs w:val="20"/>
        </w:rPr>
        <w:t>Tematski prioritet 1: Životna sredina i klimatske promjene</w:t>
      </w:r>
    </w:p>
    <w:tbl>
      <w:tblPr>
        <w:tblStyle w:val="GridTable5Dark-Accent31"/>
        <w:tblW w:w="0" w:type="auto"/>
        <w:tblLook w:val="04A0" w:firstRow="1" w:lastRow="0" w:firstColumn="1" w:lastColumn="0" w:noHBand="0" w:noVBand="1"/>
      </w:tblPr>
      <w:tblGrid>
        <w:gridCol w:w="2528"/>
        <w:gridCol w:w="8092"/>
      </w:tblGrid>
      <w:tr w:rsidR="00047EF8" w:rsidRPr="00F563CD" w14:paraId="41F9D85F" w14:textId="77777777" w:rsidTr="00F86ED0">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628" w:type="dxa"/>
            <w:hideMark/>
          </w:tcPr>
          <w:p w14:paraId="3B65C561" w14:textId="77777777" w:rsidR="00047EF8" w:rsidRPr="00F563CD" w:rsidRDefault="00864F83" w:rsidP="00A239C5">
            <w:pPr>
              <w:spacing w:line="240" w:lineRule="auto"/>
              <w:jc w:val="both"/>
              <w:rPr>
                <w:rFonts w:asciiTheme="minorHAnsi" w:hAnsiTheme="minorHAnsi" w:cstheme="minorBidi"/>
                <w:iCs/>
                <w:sz w:val="20"/>
                <w:szCs w:val="20"/>
              </w:rPr>
            </w:pPr>
            <w:r w:rsidRPr="00F563CD">
              <w:rPr>
                <w:rFonts w:asciiTheme="minorHAnsi" w:hAnsiTheme="minorHAnsi" w:cstheme="minorBidi"/>
                <w:iCs/>
                <w:color w:val="auto"/>
                <w:sz w:val="20"/>
                <w:szCs w:val="20"/>
              </w:rPr>
              <w:t>Strategije relevatne za oblast životne sredine i klimatskih promjena</w:t>
            </w:r>
          </w:p>
        </w:tc>
        <w:tc>
          <w:tcPr>
            <w:tcW w:w="8218" w:type="dxa"/>
            <w:hideMark/>
          </w:tcPr>
          <w:p w14:paraId="4A51DF8C" w14:textId="77777777" w:rsidR="00047EF8" w:rsidRPr="00F563CD" w:rsidRDefault="00864F83" w:rsidP="00A239C5">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Bidi"/>
                <w:iCs/>
                <w:color w:val="auto"/>
                <w:sz w:val="20"/>
                <w:szCs w:val="20"/>
              </w:rPr>
              <w:t>Specifični ciljevi koji se odnose na digitalno okruženje i klimatske promjene, koji doprinose tematskom prioritetu 1: obezbijediti podršku zaštiti životne sredine, unaprijediti njen kvalitet i pružiti odogovarajući doprinos akcijama i politikama u borbi protiv klimatskih promjena, kako bi se ubrzao prelazak na niskougljeničnu ekonomiju.</w:t>
            </w:r>
          </w:p>
        </w:tc>
      </w:tr>
      <w:tr w:rsidR="00047EF8" w:rsidRPr="00F563CD" w14:paraId="569DFF28" w14:textId="77777777" w:rsidTr="00F86ED0">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628" w:type="dxa"/>
          </w:tcPr>
          <w:p w14:paraId="28EE9E89" w14:textId="385F8045" w:rsidR="00047EF8" w:rsidRPr="00F563CD" w:rsidRDefault="00864F83" w:rsidP="00A239C5">
            <w:pPr>
              <w:spacing w:line="240" w:lineRule="auto"/>
              <w:jc w:val="both"/>
              <w:rPr>
                <w:rFonts w:asciiTheme="minorHAnsi" w:hAnsiTheme="minorHAnsi" w:cstheme="minorBidi"/>
                <w:b w:val="0"/>
                <w:bCs w:val="0"/>
                <w:iCs/>
                <w:sz w:val="20"/>
                <w:szCs w:val="20"/>
              </w:rPr>
            </w:pPr>
            <w:r w:rsidRPr="00F563CD">
              <w:rPr>
                <w:rFonts w:asciiTheme="minorHAnsi" w:hAnsiTheme="minorHAnsi" w:cstheme="minorBidi"/>
                <w:iCs/>
                <w:color w:val="auto"/>
                <w:sz w:val="20"/>
                <w:szCs w:val="20"/>
              </w:rPr>
              <w:t>Nacionalna strategija aproksimacije za životnu sredinu (NEAS) s Akcionim planom za implementaciju, za period 2016-202</w:t>
            </w:r>
            <w:r w:rsidR="00F86ED0" w:rsidRPr="00F563CD">
              <w:rPr>
                <w:rFonts w:asciiTheme="minorHAnsi" w:hAnsiTheme="minorHAnsi" w:cstheme="minorBidi"/>
                <w:iCs/>
                <w:color w:val="auto"/>
                <w:sz w:val="20"/>
                <w:szCs w:val="20"/>
              </w:rPr>
              <w:t>0</w:t>
            </w:r>
          </w:p>
        </w:tc>
        <w:tc>
          <w:tcPr>
            <w:tcW w:w="8218" w:type="dxa"/>
          </w:tcPr>
          <w:p w14:paraId="6544C86E" w14:textId="1C0ABF33"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Bidi"/>
                <w:iCs/>
                <w:sz w:val="20"/>
                <w:szCs w:val="20"/>
              </w:rPr>
              <w:t>Vlada je usvojila dokument 28. jula 2016. godine. Ovaj dokument ima značajnu ulogu u definisanju programa aktivnosti za potrebe ispunjavanja obaveza u pogledu aproksimacije crnogorskih standarda u oblasti životne sredine i klimatske akcije sa pravnom tekovinom EU u ovoj oblasti. Dokument predstavlja osnovni plan na osnovu kojeg će Vlada utvrđivati redosljed akcija koje treba preduzimati na godišnjoj osnovi i pruža pokazatelje za troškove sveukupnog usklađivanja s pravnom tekovinom u oblasti životne sredine, što uključuje i troškove izgradnje kapaciteta, investicija i nadgledanja. U novembru 2020. godine, usvojen je finalni Izvještaj o implementaciji ove Strategije, na osnovu kojeg je stepen realizacije aktivnosti iznosio 80,35%.</w:t>
            </w:r>
          </w:p>
          <w:p w14:paraId="6355D035" w14:textId="77777777" w:rsidR="007840BE" w:rsidRPr="00F563CD" w:rsidRDefault="007840BE"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Cs/>
                <w:sz w:val="20"/>
                <w:szCs w:val="20"/>
              </w:rPr>
            </w:pPr>
          </w:p>
          <w:p w14:paraId="486914AC" w14:textId="77777777" w:rsidR="00047EF8" w:rsidRPr="00F563CD" w:rsidRDefault="00864F83" w:rsidP="00A239C5">
            <w:pPr>
              <w:spacing w:after="0" w:line="240" w:lineRule="auto"/>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Arial"/>
                <w:sz w:val="20"/>
              </w:rPr>
            </w:pPr>
            <w:r w:rsidRPr="00F563CD">
              <w:rPr>
                <w:rFonts w:asciiTheme="minorHAnsi" w:hAnsiTheme="minorHAnsi" w:cs="Arial"/>
                <w:sz w:val="20"/>
                <w:szCs w:val="20"/>
              </w:rPr>
              <w:t xml:space="preserve">Link: </w:t>
            </w:r>
            <w:hyperlink r:id="rId30" w:history="1">
              <w:r w:rsidRPr="00F563CD">
                <w:rPr>
                  <w:rStyle w:val="Hyperlink"/>
                  <w:rFonts w:asciiTheme="minorHAnsi" w:hAnsiTheme="minorHAnsi" w:cs="Arial"/>
                  <w:sz w:val="20"/>
                </w:rPr>
                <w:t>https://mrt.gov.me/ResourceManager/FileDownloadaspx?rid=251034&amp;rType=</w:t>
              </w:r>
            </w:hyperlink>
          </w:p>
          <w:p w14:paraId="1ACA1BEC" w14:textId="2053C2E8" w:rsidR="007840BE" w:rsidRPr="00F563CD" w:rsidRDefault="007840BE" w:rsidP="00A239C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047EF8" w:rsidRPr="00F563CD" w14:paraId="65DA1F5B" w14:textId="77777777" w:rsidTr="00F86ED0">
        <w:trPr>
          <w:trHeight w:val="816"/>
        </w:trPr>
        <w:tc>
          <w:tcPr>
            <w:cnfStyle w:val="001000000000" w:firstRow="0" w:lastRow="0" w:firstColumn="1" w:lastColumn="0" w:oddVBand="0" w:evenVBand="0" w:oddHBand="0" w:evenHBand="0" w:firstRowFirstColumn="0" w:firstRowLastColumn="0" w:lastRowFirstColumn="0" w:lastRowLastColumn="0"/>
            <w:tcW w:w="2628" w:type="dxa"/>
          </w:tcPr>
          <w:p w14:paraId="065273E2" w14:textId="77777777" w:rsidR="00047EF8" w:rsidRPr="00F563CD" w:rsidRDefault="00864F83" w:rsidP="00A239C5">
            <w:pPr>
              <w:spacing w:line="240" w:lineRule="auto"/>
              <w:jc w:val="both"/>
              <w:rPr>
                <w:rFonts w:asciiTheme="minorHAnsi" w:hAnsiTheme="minorHAnsi" w:cstheme="minorBidi"/>
                <w:b w:val="0"/>
                <w:bCs w:val="0"/>
                <w:iCs/>
                <w:sz w:val="20"/>
                <w:szCs w:val="20"/>
                <w:highlight w:val="yellow"/>
              </w:rPr>
            </w:pPr>
            <w:r w:rsidRPr="00F563CD">
              <w:rPr>
                <w:rFonts w:asciiTheme="minorHAnsi" w:hAnsiTheme="minorHAnsi" w:cstheme="minorBidi"/>
                <w:iCs/>
                <w:color w:val="auto"/>
                <w:sz w:val="20"/>
                <w:szCs w:val="20"/>
              </w:rPr>
              <w:t>Nacionalna strategija biodiverziteta za period  2016-2020.</w:t>
            </w:r>
          </w:p>
        </w:tc>
        <w:tc>
          <w:tcPr>
            <w:tcW w:w="8218" w:type="dxa"/>
          </w:tcPr>
          <w:p w14:paraId="24344A1E" w14:textId="77777777" w:rsidR="00047EF8" w:rsidRPr="00F563CD" w:rsidRDefault="00864F83" w:rsidP="00A239C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mbria"/>
                <w:sz w:val="24"/>
                <w:szCs w:val="24"/>
              </w:rPr>
            </w:pPr>
            <w:r w:rsidRPr="00F563CD">
              <w:rPr>
                <w:rFonts w:asciiTheme="minorHAnsi" w:hAnsiTheme="minorHAnsi" w:cs="Arial"/>
                <w:sz w:val="20"/>
                <w:szCs w:val="20"/>
              </w:rPr>
              <w:t xml:space="preserve">Ova Strategija definiše sedam strateških pravaca (strateških ciljeva) za period do 2020. godine: (i) biodiverzitet da bude </w:t>
            </w:r>
            <w:r w:rsidRPr="00F563CD">
              <w:rPr>
                <w:rFonts w:asciiTheme="minorHAnsi" w:hAnsiTheme="minorHAnsi" w:cs="Arial"/>
                <w:i/>
                <w:sz w:val="20"/>
                <w:szCs w:val="20"/>
              </w:rPr>
              <w:t>de facto</w:t>
            </w:r>
            <w:r w:rsidRPr="00F563CD">
              <w:rPr>
                <w:rFonts w:asciiTheme="minorHAnsi" w:hAnsiTheme="minorHAnsi" w:cs="Arial"/>
                <w:sz w:val="20"/>
                <w:szCs w:val="20"/>
              </w:rPr>
              <w:t xml:space="preserve"> jedan od najznačajnijih društvenih i političkih prioriteta; (ii) </w:t>
            </w:r>
            <w:r w:rsidRPr="00F563CD">
              <w:rPr>
                <w:rFonts w:asciiTheme="minorHAnsi" w:hAnsiTheme="minorHAnsi" w:cstheme="minorHAnsi"/>
                <w:sz w:val="20"/>
                <w:szCs w:val="20"/>
              </w:rPr>
              <w:t>biodiverzitet se štiti multidisciplinarnim i multisektorskim pristupom;</w:t>
            </w:r>
            <w:r w:rsidRPr="00F563CD">
              <w:rPr>
                <w:rFonts w:asciiTheme="minorHAnsi" w:hAnsiTheme="minorHAnsi" w:cs="Arial"/>
                <w:sz w:val="20"/>
                <w:szCs w:val="20"/>
              </w:rPr>
              <w:t xml:space="preserve"> (</w:t>
            </w:r>
            <w:r w:rsidRPr="00F563CD">
              <w:rPr>
                <w:rFonts w:asciiTheme="minorHAnsi" w:hAnsiTheme="minorHAnsi" w:cstheme="minorHAnsi"/>
                <w:sz w:val="20"/>
                <w:szCs w:val="20"/>
              </w:rPr>
              <w:t xml:space="preserve">iii) uspostaviti efikasan mehanizam finansiranja zaštite biodiverziteta, kao i prelaz ka održivoj </w:t>
            </w:r>
            <w:r w:rsidRPr="00F563CD">
              <w:rPr>
                <w:rFonts w:asciiTheme="minorHAnsi" w:hAnsiTheme="minorHAnsi" w:cstheme="minorHAnsi"/>
                <w:sz w:val="20"/>
                <w:szCs w:val="20"/>
              </w:rPr>
              <w:lastRenderedPageBreak/>
              <w:t xml:space="preserve">ekonomiji biodiverziteta; (iv) značajno smanjenje identifikovanih direktnih pritisaka na biodiverzitet; (v) stvaranje preduslova i sprovođenje ciljanih mjera za zaštitu najugroženijih djelova </w:t>
            </w:r>
            <w:r w:rsidRPr="00F563CD">
              <w:rPr>
                <w:rFonts w:asciiTheme="minorHAnsi" w:hAnsiTheme="minorHAnsi" w:cstheme="minorHAnsi"/>
                <w:sz w:val="20"/>
              </w:rPr>
              <w:t xml:space="preserve">biodiverziteta; (vi) stvaranje efikasne  infrastrukture kao osnovnog mehanizma za očuvanje biodiverziteta, i (vii) unapređenje znanja o biodiverzitetu, i njegova široka i ravnopravna dostupnost kroz razvijene mehanizme. </w:t>
            </w:r>
          </w:p>
          <w:p w14:paraId="050C3067" w14:textId="77777777" w:rsidR="00047EF8" w:rsidRPr="00F563CD" w:rsidRDefault="00047EF8" w:rsidP="00A239C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p w14:paraId="3946F474" w14:textId="77777777" w:rsidR="00047EF8" w:rsidRPr="00F563CD" w:rsidRDefault="00864F83" w:rsidP="00A239C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S obzirom da je Nacionalna strategija za transpoziciju, implementaciju i primjenu pravne tekovine EU u oblasti životne sredine i klimatskih promjena bila na snazi do jula 2020. godine, Vlada Crne Gore je 18. februara 2021. godine usvojila Akcioni plan za ispunjavanje završnih mjerila u Poglavlju 27 (nakon što je 23. decembra 2020. godine Evropska komisija dostavila pozitivno mišljenje na Akcioni plan). Ovaj Akcioni plan predstavlja najznačajniji dokument u ovoj oblasti, imajući u vidu da će sprovođenjem aktivnosti koje su njime definisane biti ispunjeni svi kriterijumi koje EU postavlja kroz završna mjerila, kao i kroz Zajedničku poziciju za Poglavlje 27. Akcionim planom su predviđene i aktivnosti koje treba preduzeti u cilju realizacije preostalih obaveza iz Nacionalne strategije za transpoziciju, implementaciju i primjenu pravne tekovine EU, obaveza koje proizilaze iz Pregovaračke pozicije za Poglavlje 27, koju je Vlada Crne Gore usvojila u februaru 2018. godine. Akcioni plan sadrži 251 aktivnost u okviru 10 potpoglavlja za Poglavlje 27. Izvještaj o implementaciji Akcionog plana priprema se na polugodišnjoj osnovi i dostavlja se Vladi na uvid i saglasnost. Ovaj izvještaj će, u cilju blagovremenog informisanja EK, kao i kontinuiranog informisanja nadležnih službi u EK, biti preveden na engleski, prije svega za potrebe redovnih godišnjih sastanaka Pododbora za saobraćaj, životnu sredinu, energetiku i regionalnu politiku, kao i Odbora za stabilizaciju i pridruživanje.</w:t>
            </w:r>
          </w:p>
          <w:p w14:paraId="3FA9882E" w14:textId="59414D7F" w:rsidR="007840BE" w:rsidRPr="00F563CD" w:rsidRDefault="007840BE" w:rsidP="00A239C5">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r w:rsidR="00047EF8" w:rsidRPr="00F563CD" w14:paraId="672710F6" w14:textId="77777777" w:rsidTr="00F86ED0">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2628" w:type="dxa"/>
          </w:tcPr>
          <w:p w14:paraId="7BF1CD4E" w14:textId="77777777" w:rsidR="00047EF8" w:rsidRPr="00F563CD" w:rsidRDefault="00864F83" w:rsidP="00A239C5">
            <w:pPr>
              <w:spacing w:line="240" w:lineRule="auto"/>
              <w:jc w:val="both"/>
              <w:rPr>
                <w:rFonts w:asciiTheme="minorHAnsi" w:hAnsiTheme="minorHAnsi" w:cstheme="minorBidi"/>
                <w:b w:val="0"/>
                <w:bCs w:val="0"/>
                <w:iCs/>
                <w:sz w:val="20"/>
                <w:szCs w:val="20"/>
              </w:rPr>
            </w:pPr>
            <w:r w:rsidRPr="00F563CD">
              <w:rPr>
                <w:rFonts w:asciiTheme="minorHAnsi" w:hAnsiTheme="minorHAnsi" w:cstheme="minorBidi"/>
                <w:iCs/>
                <w:color w:val="auto"/>
                <w:sz w:val="20"/>
                <w:szCs w:val="20"/>
              </w:rPr>
              <w:lastRenderedPageBreak/>
              <w:t>Nacionalna strategija upravljanja hemikalijama 2019-2022 s Akcionim planom za period 2019-2022</w:t>
            </w:r>
          </w:p>
        </w:tc>
        <w:tc>
          <w:tcPr>
            <w:tcW w:w="8218" w:type="dxa"/>
          </w:tcPr>
          <w:p w14:paraId="065E3515" w14:textId="77777777"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Bidi"/>
                <w:iCs/>
                <w:sz w:val="20"/>
                <w:szCs w:val="20"/>
              </w:rPr>
              <w:t>Ovaj dokument definiše ključne strateške pravce i mjere za uspostavljanje sistema bezbjednog upravljanja hemikalijama, koji je usklađen sa pravnom tekovinom i praksama EU.</w:t>
            </w:r>
          </w:p>
        </w:tc>
      </w:tr>
      <w:tr w:rsidR="00047EF8" w:rsidRPr="00F563CD" w14:paraId="1C389D64" w14:textId="77777777" w:rsidTr="00F86ED0">
        <w:trPr>
          <w:trHeight w:val="762"/>
        </w:trPr>
        <w:tc>
          <w:tcPr>
            <w:cnfStyle w:val="001000000000" w:firstRow="0" w:lastRow="0" w:firstColumn="1" w:lastColumn="0" w:oddVBand="0" w:evenVBand="0" w:oddHBand="0" w:evenHBand="0" w:firstRowFirstColumn="0" w:firstRowLastColumn="0" w:lastRowFirstColumn="0" w:lastRowLastColumn="0"/>
            <w:tcW w:w="2628" w:type="dxa"/>
          </w:tcPr>
          <w:p w14:paraId="60C29F42" w14:textId="77777777" w:rsidR="00047EF8" w:rsidRPr="00F563CD" w:rsidRDefault="00864F83" w:rsidP="00A239C5">
            <w:pPr>
              <w:spacing w:line="240" w:lineRule="auto"/>
              <w:jc w:val="both"/>
              <w:rPr>
                <w:rFonts w:asciiTheme="minorHAnsi" w:hAnsiTheme="minorHAnsi" w:cstheme="minorBidi"/>
                <w:b w:val="0"/>
                <w:bCs w:val="0"/>
                <w:iCs/>
                <w:sz w:val="20"/>
                <w:szCs w:val="20"/>
              </w:rPr>
            </w:pPr>
            <w:r w:rsidRPr="00F563CD">
              <w:rPr>
                <w:rFonts w:asciiTheme="minorHAnsi" w:hAnsiTheme="minorHAnsi" w:cstheme="minorBidi"/>
                <w:iCs/>
                <w:color w:val="auto"/>
                <w:sz w:val="20"/>
                <w:szCs w:val="20"/>
              </w:rPr>
              <w:t>Strategija za smanjenje rizika od katastrofa Crne Gore i propratni Akcioni plan za period  2018-2023</w:t>
            </w:r>
          </w:p>
        </w:tc>
        <w:tc>
          <w:tcPr>
            <w:tcW w:w="8218" w:type="dxa"/>
          </w:tcPr>
          <w:p w14:paraId="2564846A" w14:textId="77777777" w:rsidR="00047EF8" w:rsidRPr="00F563CD" w:rsidRDefault="00864F83" w:rsidP="00A239C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Bidi"/>
                <w:iCs/>
                <w:sz w:val="20"/>
                <w:szCs w:val="20"/>
              </w:rPr>
              <w:t>Predviđa usklađivanje sa Sprovedbenom odlukom Komisije 2014/762EU o mehanizmu za civilnu zaštitu EU, u kojem Crna Gora učestvuje od 2015. godine.</w:t>
            </w:r>
          </w:p>
        </w:tc>
      </w:tr>
      <w:tr w:rsidR="00047EF8" w:rsidRPr="00F563CD" w14:paraId="7C3B3E00" w14:textId="77777777" w:rsidTr="00F86ED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628" w:type="dxa"/>
          </w:tcPr>
          <w:p w14:paraId="42FAD8B9" w14:textId="77777777" w:rsidR="00047EF8" w:rsidRPr="00F563CD" w:rsidRDefault="00864F83" w:rsidP="00A239C5">
            <w:pPr>
              <w:spacing w:line="240" w:lineRule="auto"/>
              <w:jc w:val="both"/>
              <w:rPr>
                <w:rFonts w:asciiTheme="minorHAnsi" w:hAnsiTheme="minorHAnsi" w:cstheme="minorBidi"/>
                <w:b w:val="0"/>
                <w:bCs w:val="0"/>
                <w:iCs/>
                <w:sz w:val="20"/>
                <w:szCs w:val="20"/>
              </w:rPr>
            </w:pPr>
            <w:r w:rsidRPr="00F563CD">
              <w:rPr>
                <w:rFonts w:asciiTheme="minorHAnsi" w:hAnsiTheme="minorHAnsi" w:cstheme="minorBidi"/>
                <w:iCs/>
                <w:color w:val="auto"/>
                <w:sz w:val="20"/>
                <w:szCs w:val="20"/>
              </w:rPr>
              <w:t>Nacionalna strategija u oblasti klimatskih promjena do 2030. godine</w:t>
            </w:r>
          </w:p>
        </w:tc>
        <w:tc>
          <w:tcPr>
            <w:tcW w:w="8218" w:type="dxa"/>
          </w:tcPr>
          <w:p w14:paraId="2C59116B" w14:textId="77777777" w:rsidR="00047EF8" w:rsidRPr="00F563CD" w:rsidRDefault="00864F83" w:rsidP="00A239C5">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Bidi"/>
                <w:iCs/>
                <w:sz w:val="20"/>
                <w:szCs w:val="20"/>
              </w:rPr>
              <w:t>Dokument kojim je definisana nacionalna horizontalna politika u oblasti životne sredine. Strategija je tijesno povezana sa drugim sektorskim strategijama, odnosno drugim dokumentima koji se bave pitanjima klimatskih promjena, i pri samoj izradi dokumenta uzeti su u obzir identifikovani efekti klimatskih promjena, trenutni stadijum društveno-ekonomskog razvoja, kao i scenariji budućeg razvoja koji se oslanjaju na postojeće informacije. Primjena Nacionalne strategije nije moguća bez integrisanja njenih ciljeva u politike ključnih sektora koji utiču na klimatske promjene ili trpe negativan uticaj klimatskih promjena (npr. energetika, industrija, poljoprivreda, turizam, šumarstvo), uz nadgledanje implementacije strateških ciljeva i smjernica koje su definisane u ovom dokumentu, u skladu sa dinamikom integrisanja navedenih ciljeva u sektorske politike.</w:t>
            </w:r>
          </w:p>
          <w:p w14:paraId="6FFDF209" w14:textId="77777777" w:rsidR="00047EF8" w:rsidRPr="00F563CD" w:rsidRDefault="00864F83" w:rsidP="00A239C5">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Bidi"/>
                <w:iCs/>
                <w:sz w:val="20"/>
                <w:szCs w:val="20"/>
              </w:rPr>
              <w:t>Ovaj dokument omogućava jasan pregled aktivnosti, ciljeva i mjera u okviru najznačajnijih sektora ekonomskog sistema, koje treba implementirati u periodu od 2015. do 2030. godine, a sa prevashodnim ciljem da se smanji negativan uticaj klimatskih promjena kroz integrisane akcije koje prepoznaju različite mjere adaptacije, odnosno suzbijanja efekta klimatskih promjena, i istovremeno preduzimanje aktivnosti u cilju smanjenja emisije gasova s efektom staklene bašte.</w:t>
            </w:r>
          </w:p>
        </w:tc>
      </w:tr>
      <w:tr w:rsidR="00047EF8" w:rsidRPr="00F563CD" w14:paraId="666932CB" w14:textId="77777777" w:rsidTr="00F86ED0">
        <w:trPr>
          <w:trHeight w:val="1823"/>
        </w:trPr>
        <w:tc>
          <w:tcPr>
            <w:cnfStyle w:val="001000000000" w:firstRow="0" w:lastRow="0" w:firstColumn="1" w:lastColumn="0" w:oddVBand="0" w:evenVBand="0" w:oddHBand="0" w:evenHBand="0" w:firstRowFirstColumn="0" w:firstRowLastColumn="0" w:lastRowFirstColumn="0" w:lastRowLastColumn="0"/>
            <w:tcW w:w="2628" w:type="dxa"/>
          </w:tcPr>
          <w:p w14:paraId="07C67439" w14:textId="77777777" w:rsidR="00047EF8" w:rsidRPr="00F563CD" w:rsidRDefault="00864F83" w:rsidP="00A239C5">
            <w:pPr>
              <w:spacing w:line="240" w:lineRule="auto"/>
              <w:jc w:val="both"/>
              <w:rPr>
                <w:rFonts w:asciiTheme="minorHAnsi" w:hAnsiTheme="minorHAnsi" w:cstheme="minorBidi"/>
                <w:b w:val="0"/>
                <w:bCs w:val="0"/>
                <w:iCs/>
                <w:sz w:val="20"/>
                <w:szCs w:val="20"/>
              </w:rPr>
            </w:pPr>
            <w:r w:rsidRPr="00F563CD">
              <w:rPr>
                <w:rFonts w:asciiTheme="minorHAnsi" w:hAnsiTheme="minorHAnsi" w:cstheme="minorBidi"/>
                <w:iCs/>
                <w:color w:val="auto"/>
                <w:sz w:val="20"/>
                <w:szCs w:val="20"/>
              </w:rPr>
              <w:lastRenderedPageBreak/>
              <w:t>Master Plan upravljanja otpadnim vodama za period 2018-2035 i Plan za upravljanje komunalnim otpadnim vodama 2020-2035</w:t>
            </w:r>
          </w:p>
          <w:p w14:paraId="636569AC" w14:textId="77777777" w:rsidR="00047EF8" w:rsidRPr="00F563CD" w:rsidRDefault="00047EF8" w:rsidP="00A239C5">
            <w:pPr>
              <w:spacing w:line="240" w:lineRule="auto"/>
              <w:jc w:val="both"/>
              <w:rPr>
                <w:rFonts w:asciiTheme="minorHAnsi" w:hAnsiTheme="minorHAnsi" w:cstheme="minorBidi"/>
                <w:b w:val="0"/>
                <w:bCs w:val="0"/>
                <w:iCs/>
                <w:sz w:val="20"/>
                <w:szCs w:val="20"/>
              </w:rPr>
            </w:pPr>
          </w:p>
        </w:tc>
        <w:tc>
          <w:tcPr>
            <w:tcW w:w="8218" w:type="dxa"/>
          </w:tcPr>
          <w:p w14:paraId="4493E9D0" w14:textId="60AB1D1D" w:rsidR="00047EF8" w:rsidRPr="00F563CD" w:rsidRDefault="00864F83" w:rsidP="00A239C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Bidi"/>
                <w:iCs/>
                <w:sz w:val="20"/>
                <w:szCs w:val="20"/>
              </w:rPr>
              <w:t>Identifikovani su glavni izazovi u podsektoru koji se odnosi na upravljanje vodama: 1) administrativni kapaciteti, 2) međusektorski pristup, 3) finansije za kapitalne investicije i primjenu propisa, 4) nadgledanje, and 5) informisanje i edukovanje stanovništva.</w:t>
            </w:r>
          </w:p>
          <w:p w14:paraId="1F88CB56" w14:textId="77777777" w:rsidR="00F86ED0" w:rsidRPr="00F563CD" w:rsidRDefault="00F86ED0" w:rsidP="00A239C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iCs/>
                <w:sz w:val="20"/>
                <w:szCs w:val="20"/>
              </w:rPr>
            </w:pPr>
          </w:p>
          <w:p w14:paraId="256644B5" w14:textId="77777777" w:rsidR="00047EF8" w:rsidRPr="00F563CD" w:rsidRDefault="00864F83" w:rsidP="00A239C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Bidi"/>
                <w:iCs/>
                <w:sz w:val="20"/>
                <w:szCs w:val="20"/>
              </w:rPr>
              <w:t xml:space="preserve">Neophodne su značajne investicije, prije svega u oblasti izgradnje i modernizacije postrojenja za prikupljanje i prečišćavanje komunalnih otpadnih voda, kao i uvođenje novih tehnologija za prečišćavanje voda i vodosnabdijevanje, a u cilju usklađivanja sa Direktivom o vodi za piće. Posebno je važno da se obezbijede finansijska sredstva za primjenu Direktive 91/271/EEC, koja se odnosi na prečišćavanje otpadnih voda, kako bi se spriječilo dalje nekontrolisano ispuštanje otpadnih voda u prirodne recipijente. </w:t>
            </w:r>
          </w:p>
          <w:p w14:paraId="797DB3D7" w14:textId="02A8EBAF" w:rsidR="00F86ED0" w:rsidRPr="00F563CD" w:rsidRDefault="00F86ED0" w:rsidP="00A239C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iCs/>
                <w:sz w:val="20"/>
                <w:szCs w:val="20"/>
              </w:rPr>
            </w:pPr>
          </w:p>
        </w:tc>
      </w:tr>
      <w:tr w:rsidR="00047EF8" w:rsidRPr="00F563CD" w14:paraId="4B05DE6E" w14:textId="77777777" w:rsidTr="00F86ED0">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628" w:type="dxa"/>
          </w:tcPr>
          <w:p w14:paraId="6CCE80F7" w14:textId="77777777" w:rsidR="00047EF8" w:rsidRPr="00F563CD" w:rsidRDefault="00864F83" w:rsidP="00A239C5">
            <w:pPr>
              <w:spacing w:line="240" w:lineRule="auto"/>
              <w:jc w:val="both"/>
              <w:rPr>
                <w:rFonts w:asciiTheme="minorHAnsi" w:hAnsiTheme="minorHAnsi" w:cstheme="minorBidi"/>
                <w:b w:val="0"/>
                <w:bCs w:val="0"/>
                <w:iCs/>
                <w:sz w:val="20"/>
                <w:szCs w:val="20"/>
              </w:rPr>
            </w:pPr>
            <w:r w:rsidRPr="00F563CD">
              <w:rPr>
                <w:rFonts w:asciiTheme="minorHAnsi" w:hAnsiTheme="minorHAnsi" w:cstheme="minorBidi"/>
                <w:iCs/>
                <w:color w:val="auto"/>
                <w:sz w:val="20"/>
                <w:szCs w:val="20"/>
              </w:rPr>
              <w:t>Strategija upravljanja otpadom u Crnoj Gori za period do 2030. godine</w:t>
            </w:r>
          </w:p>
        </w:tc>
        <w:tc>
          <w:tcPr>
            <w:tcW w:w="8218" w:type="dxa"/>
          </w:tcPr>
          <w:p w14:paraId="49368129" w14:textId="77777777"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Bidi"/>
                <w:iCs/>
                <w:sz w:val="20"/>
                <w:szCs w:val="20"/>
              </w:rPr>
              <w:t>Definiše vremenski okvir i glavne instrumente/mjere koji vode usklađivanju sa zakonodavstvom EU u oblasti upravljanja vodama i njegovoj primjeni.</w:t>
            </w:r>
          </w:p>
        </w:tc>
      </w:tr>
    </w:tbl>
    <w:p w14:paraId="3B330850" w14:textId="77777777" w:rsidR="00047EF8" w:rsidRPr="00F563CD" w:rsidRDefault="00864F83" w:rsidP="00047EF8">
      <w:pPr>
        <w:spacing w:after="0" w:line="240" w:lineRule="auto"/>
        <w:rPr>
          <w:rFonts w:asciiTheme="minorHAnsi" w:hAnsiTheme="minorHAnsi" w:cs="Arial"/>
          <w:sz w:val="20"/>
          <w:szCs w:val="20"/>
        </w:rPr>
      </w:pPr>
      <w:r w:rsidRPr="00F563CD">
        <w:rPr>
          <w:rFonts w:asciiTheme="minorHAnsi" w:hAnsiTheme="minorHAnsi" w:cstheme="minorBidi"/>
          <w:iCs/>
          <w:sz w:val="20"/>
          <w:szCs w:val="20"/>
        </w:rPr>
        <w:t xml:space="preserve">Napomena: </w:t>
      </w:r>
      <w:r w:rsidRPr="00F563CD">
        <w:rPr>
          <w:rFonts w:asciiTheme="minorHAnsi" w:hAnsiTheme="minorHAnsi" w:cs="Arial"/>
          <w:sz w:val="20"/>
          <w:szCs w:val="20"/>
        </w:rPr>
        <w:t xml:space="preserve">Link za preuzimanje strategija: </w:t>
      </w:r>
      <w:hyperlink r:id="rId31" w:history="1">
        <w:r w:rsidRPr="00F563CD">
          <w:rPr>
            <w:rStyle w:val="Hyperlink"/>
            <w:rFonts w:asciiTheme="minorHAnsi" w:hAnsiTheme="minorHAnsi" w:cs="Arial"/>
            <w:sz w:val="20"/>
          </w:rPr>
          <w:t>https://mrt.gov.me/en/library/strategije</w:t>
        </w:r>
      </w:hyperlink>
    </w:p>
    <w:p w14:paraId="2FD2C38C" w14:textId="77777777" w:rsidR="00047EF8" w:rsidRPr="00F563CD" w:rsidRDefault="00047EF8" w:rsidP="00047EF8">
      <w:pPr>
        <w:spacing w:line="240" w:lineRule="auto"/>
        <w:jc w:val="both"/>
        <w:rPr>
          <w:rFonts w:asciiTheme="minorHAnsi" w:hAnsiTheme="minorHAnsi" w:cstheme="minorBidi"/>
          <w:iCs/>
          <w:sz w:val="20"/>
          <w:szCs w:val="20"/>
        </w:rPr>
      </w:pPr>
    </w:p>
    <w:p w14:paraId="43A4AD92" w14:textId="77777777" w:rsidR="00047EF8" w:rsidRPr="00F563CD" w:rsidRDefault="00864F83" w:rsidP="00047EF8">
      <w:pPr>
        <w:spacing w:line="240" w:lineRule="auto"/>
        <w:jc w:val="both"/>
        <w:rPr>
          <w:rFonts w:asciiTheme="minorHAnsi" w:hAnsiTheme="minorHAnsi" w:cstheme="minorBidi"/>
          <w:b/>
          <w:bCs/>
          <w:iCs/>
          <w:sz w:val="20"/>
          <w:szCs w:val="20"/>
        </w:rPr>
      </w:pPr>
      <w:r w:rsidRPr="00F563CD">
        <w:rPr>
          <w:rFonts w:asciiTheme="minorHAnsi" w:hAnsiTheme="minorHAnsi" w:cstheme="minorBidi"/>
          <w:b/>
          <w:bCs/>
          <w:iCs/>
          <w:sz w:val="20"/>
          <w:szCs w:val="20"/>
        </w:rPr>
        <w:t>Tematski prioritet 2: Saobraćaj, digitalna ekonomija i društvo, i energetika</w:t>
      </w:r>
    </w:p>
    <w:tbl>
      <w:tblPr>
        <w:tblStyle w:val="GridTable5Dark-Accent51"/>
        <w:tblW w:w="5000" w:type="pct"/>
        <w:tblLook w:val="04A0" w:firstRow="1" w:lastRow="0" w:firstColumn="1" w:lastColumn="0" w:noHBand="0" w:noVBand="1"/>
      </w:tblPr>
      <w:tblGrid>
        <w:gridCol w:w="2485"/>
        <w:gridCol w:w="8135"/>
      </w:tblGrid>
      <w:tr w:rsidR="00047EF8" w:rsidRPr="00F563CD" w14:paraId="0985432B" w14:textId="77777777" w:rsidTr="00F86ED0">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170" w:type="pct"/>
            <w:hideMark/>
          </w:tcPr>
          <w:p w14:paraId="1FA3A078" w14:textId="77777777" w:rsidR="00047EF8" w:rsidRPr="00F563CD" w:rsidRDefault="00864F83" w:rsidP="00A239C5">
            <w:pPr>
              <w:spacing w:line="240" w:lineRule="auto"/>
              <w:jc w:val="both"/>
              <w:rPr>
                <w:rFonts w:asciiTheme="minorHAnsi" w:hAnsiTheme="minorHAnsi" w:cstheme="minorBidi"/>
                <w:iCs/>
                <w:sz w:val="20"/>
                <w:szCs w:val="20"/>
              </w:rPr>
            </w:pPr>
            <w:r w:rsidRPr="00F563CD">
              <w:rPr>
                <w:rFonts w:asciiTheme="minorHAnsi" w:hAnsiTheme="minorHAnsi" w:cstheme="minorBidi"/>
                <w:iCs/>
                <w:color w:val="auto"/>
                <w:sz w:val="20"/>
                <w:szCs w:val="20"/>
              </w:rPr>
              <w:t>Strategije relevantne za saobraćaj</w:t>
            </w:r>
          </w:p>
        </w:tc>
        <w:tc>
          <w:tcPr>
            <w:tcW w:w="3830" w:type="pct"/>
            <w:hideMark/>
          </w:tcPr>
          <w:p w14:paraId="634FDAAE" w14:textId="77777777" w:rsidR="00047EF8" w:rsidRPr="00F563CD" w:rsidRDefault="00864F83" w:rsidP="00A239C5">
            <w:pPr>
              <w:spacing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Bidi"/>
                <w:iCs/>
                <w:color w:val="auto"/>
                <w:sz w:val="20"/>
                <w:szCs w:val="20"/>
              </w:rPr>
              <w:t>Specifični ciljevi u oblasti saobraćaja koji doprinose tematskom prioritetu 2:</w:t>
            </w:r>
            <w:r w:rsidRPr="00F563CD">
              <w:rPr>
                <w:rFonts w:asciiTheme="minorHAnsi" w:hAnsiTheme="minorHAnsi"/>
                <w:color w:val="auto"/>
              </w:rPr>
              <w:t xml:space="preserve"> </w:t>
            </w:r>
            <w:r w:rsidRPr="00F563CD">
              <w:rPr>
                <w:rFonts w:asciiTheme="minorHAnsi" w:hAnsiTheme="minorHAnsi" w:cstheme="minorBidi"/>
                <w:iCs/>
                <w:color w:val="auto"/>
                <w:sz w:val="20"/>
                <w:szCs w:val="20"/>
              </w:rPr>
              <w:t xml:space="preserve"> Unaprijediti pametni, održivi, inkluzivni, bezbjedni saobraćaj, i ukloniti uska grla u infrastukturama glavnih mreža</w:t>
            </w:r>
          </w:p>
        </w:tc>
      </w:tr>
      <w:tr w:rsidR="00047EF8" w:rsidRPr="00F563CD" w14:paraId="21BACA91" w14:textId="77777777" w:rsidTr="00F86ED0">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170" w:type="pct"/>
            <w:hideMark/>
          </w:tcPr>
          <w:p w14:paraId="586E890F" w14:textId="77777777" w:rsidR="00047EF8" w:rsidRPr="00F563CD" w:rsidRDefault="00864F83" w:rsidP="00A239C5">
            <w:pPr>
              <w:spacing w:line="240" w:lineRule="auto"/>
              <w:jc w:val="both"/>
              <w:rPr>
                <w:rFonts w:asciiTheme="minorHAnsi" w:hAnsiTheme="minorHAnsi" w:cstheme="minorBidi"/>
                <w:b w:val="0"/>
                <w:bCs w:val="0"/>
                <w:iCs/>
                <w:sz w:val="20"/>
                <w:szCs w:val="20"/>
              </w:rPr>
            </w:pPr>
            <w:r w:rsidRPr="00F563CD">
              <w:rPr>
                <w:rFonts w:asciiTheme="minorHAnsi" w:hAnsiTheme="minorHAnsi" w:cstheme="minorBidi"/>
                <w:iCs/>
                <w:color w:val="auto"/>
                <w:sz w:val="20"/>
                <w:szCs w:val="20"/>
              </w:rPr>
              <w:t>Strategija razvoja saobraćaja za period 2019-2030.</w:t>
            </w:r>
          </w:p>
        </w:tc>
        <w:tc>
          <w:tcPr>
            <w:tcW w:w="3830" w:type="pct"/>
            <w:hideMark/>
          </w:tcPr>
          <w:p w14:paraId="238CE662" w14:textId="77777777" w:rsidR="00047EF8" w:rsidRPr="00F563CD" w:rsidRDefault="00864F83" w:rsidP="00A239C5">
            <w:pPr>
              <w:numPr>
                <w:ilvl w:val="0"/>
                <w:numId w:val="60"/>
              </w:numPr>
              <w:tabs>
                <w:tab w:val="num" w:pos="72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Završiti sve infrastrukturne projekte koji su dio jedinstvene liste prioritetnih infastrukturnih projekata SEKTOR: drumski, željeznički, vazdušni, pomorski saobraćaj</w:t>
            </w:r>
          </w:p>
          <w:p w14:paraId="6F6F0096"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Željeznički saobraćaj uskladiti sa zahtjevima interoperabilnosti</w:t>
            </w:r>
          </w:p>
          <w:p w14:paraId="1076632C"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Smanjenje vremena prelaska preko granice SEKTOR: drumski i željeznički saobraćaj</w:t>
            </w:r>
          </w:p>
          <w:p w14:paraId="28C73905"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Unaprijediti povezanost luke Bar</w:t>
            </w:r>
          </w:p>
          <w:p w14:paraId="7DE34AD5"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Održavati adekvatan nivo usluge na državnoj putnoj mreži SEKTOR: drumski saobraćaj</w:t>
            </w:r>
          </w:p>
          <w:p w14:paraId="13BABB4D"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Remont željezničke mreže i unapređenje željezničke infrastrukture u skladu sa standardima TEN-T SEKTOR: željeznički saobraćaj</w:t>
            </w:r>
          </w:p>
          <w:p w14:paraId="7DB03E6E"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Revitalizovati i/ili unaprijediti saobraćajnu infrastrukturu SEKTOR: pomorski saobraćaj</w:t>
            </w:r>
          </w:p>
          <w:p w14:paraId="6D57EA69"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Podržati uspostavljanje efikasnog i integrisanog sistema prevoza kroz intermodalnost</w:t>
            </w:r>
          </w:p>
          <w:p w14:paraId="60C8A013"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eastAsia="ArialMT" w:hAnsiTheme="minorHAnsi" w:cstheme="minorHAnsi"/>
                <w:sz w:val="20"/>
                <w:szCs w:val="20"/>
              </w:rPr>
              <w:t>Utvrditi i mogućnosti i potrebe za</w:t>
            </w:r>
            <w:r w:rsidRPr="00F563CD">
              <w:rPr>
                <w:rFonts w:asciiTheme="minorHAnsi" w:hAnsiTheme="minorHAnsi" w:cstheme="minorHAnsi"/>
                <w:sz w:val="20"/>
                <w:szCs w:val="20"/>
              </w:rPr>
              <w:t xml:space="preserve"> </w:t>
            </w:r>
            <w:r w:rsidRPr="00F563CD">
              <w:rPr>
                <w:rFonts w:asciiTheme="minorHAnsi" w:eastAsia="ArialMT" w:hAnsiTheme="minorHAnsi" w:cstheme="minorHAnsi"/>
                <w:sz w:val="20"/>
                <w:szCs w:val="20"/>
              </w:rPr>
              <w:t>revitalizaciom i/ili rekonstrukcijom</w:t>
            </w:r>
            <w:r w:rsidRPr="00F563CD">
              <w:rPr>
                <w:rFonts w:asciiTheme="minorHAnsi" w:hAnsiTheme="minorHAnsi" w:cstheme="minorHAnsi"/>
                <w:sz w:val="20"/>
                <w:szCs w:val="20"/>
              </w:rPr>
              <w:t xml:space="preserve"> </w:t>
            </w:r>
            <w:r w:rsidRPr="00F563CD">
              <w:rPr>
                <w:rFonts w:asciiTheme="minorHAnsi" w:eastAsia="ArialMT" w:hAnsiTheme="minorHAnsi" w:cstheme="minorHAnsi"/>
                <w:sz w:val="20"/>
                <w:szCs w:val="20"/>
              </w:rPr>
              <w:t>transportne infrastrukture vazdušnog saobraćaja</w:t>
            </w:r>
          </w:p>
          <w:p w14:paraId="0BB1E254"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eastAsia="ArialMT" w:hAnsiTheme="minorHAnsi" w:cstheme="minorHAnsi"/>
                <w:sz w:val="20"/>
                <w:szCs w:val="20"/>
              </w:rPr>
              <w:t>Primjena tehnologija ITS u sektoru drumskog, željezničkog i</w:t>
            </w:r>
            <w:r w:rsidRPr="00F563CD">
              <w:rPr>
                <w:rFonts w:asciiTheme="minorHAnsi" w:hAnsiTheme="minorHAnsi" w:cstheme="minorHAnsi"/>
                <w:sz w:val="20"/>
                <w:szCs w:val="20"/>
              </w:rPr>
              <w:t xml:space="preserve"> </w:t>
            </w:r>
            <w:r w:rsidRPr="00F563CD">
              <w:rPr>
                <w:rFonts w:asciiTheme="minorHAnsi" w:eastAsia="ArialMT" w:hAnsiTheme="minorHAnsi" w:cstheme="minorHAnsi"/>
                <w:sz w:val="20"/>
                <w:szCs w:val="20"/>
              </w:rPr>
              <w:t>pomorskog saobraćaja</w:t>
            </w:r>
            <w:r w:rsidRPr="00F563CD">
              <w:rPr>
                <w:rFonts w:asciiTheme="minorHAnsi" w:hAnsiTheme="minorHAnsi" w:cstheme="minorHAnsi"/>
                <w:sz w:val="20"/>
                <w:szCs w:val="20"/>
              </w:rPr>
              <w:t xml:space="preserve"> </w:t>
            </w:r>
            <w:r w:rsidRPr="00F563CD">
              <w:rPr>
                <w:rFonts w:asciiTheme="minorHAnsi" w:eastAsia="ArialMT" w:hAnsiTheme="minorHAnsi" w:cstheme="minorHAnsi"/>
                <w:sz w:val="20"/>
                <w:szCs w:val="20"/>
              </w:rPr>
              <w:t>SEKTOR: drumski, žaljeznički i</w:t>
            </w:r>
            <w:r w:rsidRPr="00F563CD">
              <w:rPr>
                <w:rFonts w:asciiTheme="minorHAnsi" w:hAnsiTheme="minorHAnsi" w:cstheme="minorHAnsi"/>
                <w:sz w:val="20"/>
                <w:szCs w:val="20"/>
              </w:rPr>
              <w:t xml:space="preserve"> </w:t>
            </w:r>
            <w:r w:rsidRPr="00F563CD">
              <w:rPr>
                <w:rFonts w:asciiTheme="minorHAnsi" w:eastAsia="ArialMT" w:hAnsiTheme="minorHAnsi" w:cstheme="minorHAnsi"/>
                <w:sz w:val="20"/>
                <w:szCs w:val="20"/>
              </w:rPr>
              <w:t>pomorski saobraćaj</w:t>
            </w:r>
          </w:p>
          <w:p w14:paraId="424479CC"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Podržati uspostavljanje efikasnog i integrisanog sistema prevoza kroz intermodalnost</w:t>
            </w:r>
          </w:p>
          <w:p w14:paraId="5801534F" w14:textId="73844D99"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Željeznički saobraćaj uskladiti sa zahtjevima interoperabilnosti</w:t>
            </w:r>
          </w:p>
          <w:p w14:paraId="35A1E68F" w14:textId="77777777" w:rsidR="00F86ED0" w:rsidRPr="00F563CD" w:rsidRDefault="00F86ED0" w:rsidP="00F86ED0">
            <w:pPr>
              <w:tabs>
                <w:tab w:val="num" w:pos="720"/>
              </w:tab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01221BEE" w14:textId="77777777" w:rsidR="00047EF8" w:rsidRPr="00F563CD" w:rsidRDefault="00864F83" w:rsidP="00A239C5">
            <w:pPr>
              <w:spacing w:after="0" w:line="240" w:lineRule="auto"/>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Arial"/>
                <w:sz w:val="20"/>
              </w:rPr>
            </w:pPr>
            <w:r w:rsidRPr="00F563CD">
              <w:rPr>
                <w:rFonts w:asciiTheme="minorHAnsi" w:hAnsiTheme="minorHAnsi" w:cs="Arial"/>
                <w:sz w:val="20"/>
                <w:szCs w:val="20"/>
              </w:rPr>
              <w:t>Izvor:</w:t>
            </w:r>
            <w:r w:rsidRPr="00F563CD">
              <w:rPr>
                <w:rFonts w:asciiTheme="minorHAnsi" w:hAnsiTheme="minorHAnsi"/>
              </w:rPr>
              <w:t xml:space="preserve"> </w:t>
            </w:r>
            <w:hyperlink r:id="rId32" w:history="1">
              <w:r w:rsidRPr="00F563CD">
                <w:rPr>
                  <w:rStyle w:val="Hyperlink"/>
                  <w:rFonts w:asciiTheme="minorHAnsi" w:hAnsiTheme="minorHAnsi" w:cs="Arial"/>
                  <w:sz w:val="20"/>
                </w:rPr>
                <w:t>https://msp.gov.me/en/library/strategije</w:t>
              </w:r>
            </w:hyperlink>
          </w:p>
          <w:p w14:paraId="45E5F37D" w14:textId="2A6BB597" w:rsidR="00F86ED0" w:rsidRPr="00F563CD" w:rsidRDefault="00F86ED0" w:rsidP="00A239C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047EF8" w:rsidRPr="00F563CD" w14:paraId="77E23718" w14:textId="77777777" w:rsidTr="00F86ED0">
        <w:trPr>
          <w:trHeight w:val="908"/>
        </w:trPr>
        <w:tc>
          <w:tcPr>
            <w:cnfStyle w:val="001000000000" w:firstRow="0" w:lastRow="0" w:firstColumn="1" w:lastColumn="0" w:oddVBand="0" w:evenVBand="0" w:oddHBand="0" w:evenHBand="0" w:firstRowFirstColumn="0" w:firstRowLastColumn="0" w:lastRowFirstColumn="0" w:lastRowLastColumn="0"/>
            <w:tcW w:w="1170" w:type="pct"/>
            <w:hideMark/>
          </w:tcPr>
          <w:p w14:paraId="15F9F372" w14:textId="77777777" w:rsidR="00047EF8" w:rsidRPr="00F563CD" w:rsidRDefault="00864F83" w:rsidP="00A239C5">
            <w:pPr>
              <w:tabs>
                <w:tab w:val="num" w:pos="720"/>
              </w:tabs>
              <w:spacing w:after="0" w:line="240" w:lineRule="auto"/>
              <w:rPr>
                <w:rFonts w:asciiTheme="minorHAnsi" w:hAnsiTheme="minorHAnsi" w:cs="Arial"/>
                <w:sz w:val="20"/>
                <w:szCs w:val="20"/>
              </w:rPr>
            </w:pPr>
            <w:r w:rsidRPr="00F563CD">
              <w:rPr>
                <w:rFonts w:asciiTheme="minorHAnsi" w:hAnsiTheme="minorHAnsi" w:cs="Arial"/>
                <w:color w:val="auto"/>
                <w:sz w:val="20"/>
                <w:szCs w:val="20"/>
              </w:rPr>
              <w:t>Ekonomski i investicioni plan (EIP)  za Zapadni Balkan</w:t>
            </w:r>
          </w:p>
        </w:tc>
        <w:tc>
          <w:tcPr>
            <w:tcW w:w="3830" w:type="pct"/>
            <w:hideMark/>
          </w:tcPr>
          <w:p w14:paraId="30FD1CEE" w14:textId="77777777" w:rsidR="00047EF8" w:rsidRPr="00F563CD" w:rsidRDefault="00864F83" w:rsidP="00A239C5">
            <w:pPr>
              <w:numPr>
                <w:ilvl w:val="0"/>
                <w:numId w:val="60"/>
              </w:numPr>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BE"/>
              </w:rPr>
            </w:pPr>
            <w:r w:rsidRPr="00F563CD">
              <w:rPr>
                <w:rFonts w:asciiTheme="minorHAnsi" w:hAnsiTheme="minorHAnsi" w:cs="Arial"/>
                <w:sz w:val="20"/>
                <w:szCs w:val="20"/>
                <w:lang w:val="fr-BE"/>
              </w:rPr>
              <w:t>VODEĆA INICIJATIVA 2 – POVEZIVANJE SJEVERA I JUGA</w:t>
            </w:r>
          </w:p>
          <w:p w14:paraId="794B98FE" w14:textId="77777777" w:rsidR="00047EF8" w:rsidRPr="00F563CD" w:rsidRDefault="00864F83" w:rsidP="00A239C5">
            <w:pPr>
              <w:numPr>
                <w:ilvl w:val="0"/>
                <w:numId w:val="60"/>
              </w:numPr>
              <w:tabs>
                <w:tab w:val="num" w:pos="72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fr-BE"/>
              </w:rPr>
            </w:pPr>
            <w:r w:rsidRPr="00F563CD">
              <w:rPr>
                <w:rFonts w:asciiTheme="minorHAnsi" w:hAnsiTheme="minorHAnsi"/>
                <w:sz w:val="20"/>
                <w:szCs w:val="20"/>
                <w:lang w:val="fr-BE"/>
              </w:rPr>
              <w:t>75% glavnog cestovnog koridora sjever-jug (u skladu sa standardima autoputeva) koji povezuje glavne gradove centralne Evrope, preko Sarajeva do luke Ploče (Koridor Vc).</w:t>
            </w:r>
          </w:p>
          <w:p w14:paraId="643953DD" w14:textId="77777777" w:rsidR="00047EF8" w:rsidRPr="00F563CD" w:rsidRDefault="00864F83" w:rsidP="00A239C5">
            <w:pPr>
              <w:numPr>
                <w:ilvl w:val="0"/>
                <w:numId w:val="60"/>
              </w:numPr>
              <w:tabs>
                <w:tab w:val="num" w:pos="72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sz w:val="20"/>
                <w:szCs w:val="20"/>
              </w:rPr>
              <w:t>Kompletna sanacija željezničke rute 4 (Beograd-Bar). Dalje unapređenje paralelnog cestovnog koridora, posebno podgoričke obilaznice.</w:t>
            </w:r>
          </w:p>
          <w:p w14:paraId="06532E6A" w14:textId="77777777" w:rsidR="00047EF8" w:rsidRPr="00F563CD" w:rsidRDefault="00864F83" w:rsidP="00A239C5">
            <w:pPr>
              <w:numPr>
                <w:ilvl w:val="0"/>
                <w:numId w:val="60"/>
              </w:numPr>
              <w:tabs>
                <w:tab w:val="num" w:pos="72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sz w:val="20"/>
                <w:szCs w:val="20"/>
              </w:rPr>
              <w:t>Biće unaprijeđena povezanost glavnih gradova, Sarajeva i Podgorice.</w:t>
            </w:r>
          </w:p>
          <w:p w14:paraId="402845EA" w14:textId="77777777" w:rsidR="00047EF8" w:rsidRPr="00F563CD" w:rsidRDefault="00864F83" w:rsidP="00A239C5">
            <w:pPr>
              <w:numPr>
                <w:ilvl w:val="0"/>
                <w:numId w:val="60"/>
              </w:numPr>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VODEĆA INICIJATIVA 3: POVEZIVANJE OBALNIH REGIJA</w:t>
            </w:r>
          </w:p>
          <w:p w14:paraId="640EFEB1" w14:textId="77777777" w:rsidR="00047EF8" w:rsidRPr="00F563CD" w:rsidRDefault="00864F83" w:rsidP="00A239C5">
            <w:pPr>
              <w:numPr>
                <w:ilvl w:val="0"/>
                <w:numId w:val="60"/>
              </w:numPr>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20"/>
              </w:rPr>
            </w:pPr>
            <w:r w:rsidRPr="00F563CD">
              <w:rPr>
                <w:rFonts w:asciiTheme="minorHAnsi" w:hAnsiTheme="minorHAnsi"/>
                <w:sz w:val="20"/>
              </w:rPr>
              <w:t>Ključni projekat za region je željeznička ruta 2 (Tirana-Podgorica): planirana je sanacija željezničke pruge prema granici s Albanijom.</w:t>
            </w:r>
          </w:p>
          <w:p w14:paraId="026E2369" w14:textId="0B11FFF0" w:rsidR="00047EF8" w:rsidRPr="00F563CD" w:rsidRDefault="00864F83" w:rsidP="00A239C5">
            <w:pPr>
              <w:numPr>
                <w:ilvl w:val="0"/>
                <w:numId w:val="60"/>
              </w:numPr>
              <w:tabs>
                <w:tab w:val="num" w:pos="720"/>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sz w:val="20"/>
              </w:rPr>
              <w:t xml:space="preserve">Planira se završetak „Plavog </w:t>
            </w:r>
            <w:proofErr w:type="gramStart"/>
            <w:r w:rsidR="00F86ED0" w:rsidRPr="00F563CD">
              <w:rPr>
                <w:rFonts w:asciiTheme="minorHAnsi" w:hAnsiTheme="minorHAnsi"/>
                <w:sz w:val="20"/>
              </w:rPr>
              <w:t>autoputa“ duž</w:t>
            </w:r>
            <w:proofErr w:type="gramEnd"/>
            <w:r w:rsidRPr="00F563CD">
              <w:rPr>
                <w:rFonts w:asciiTheme="minorHAnsi" w:hAnsiTheme="minorHAnsi"/>
                <w:sz w:val="20"/>
              </w:rPr>
              <w:t xml:space="preserve"> obale od Hrvatske do Grčke: značajno će biti unaprijeđena obilaznica kod Budve.</w:t>
            </w:r>
          </w:p>
          <w:p w14:paraId="2E4DC097" w14:textId="4DA9B413" w:rsidR="00F86ED0" w:rsidRPr="00F563CD" w:rsidRDefault="00F86ED0" w:rsidP="00F86ED0">
            <w:pPr>
              <w:tabs>
                <w:tab w:val="num" w:pos="720"/>
              </w:tabs>
              <w:spacing w:after="0" w:line="24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r w:rsidR="00047EF8" w:rsidRPr="00F563CD" w14:paraId="49B8758A" w14:textId="77777777" w:rsidTr="00F86ED0">
        <w:trPr>
          <w:cnfStyle w:val="000000100000" w:firstRow="0" w:lastRow="0" w:firstColumn="0" w:lastColumn="0" w:oddVBand="0" w:evenVBand="0" w:oddHBand="1" w:evenHBand="0" w:firstRowFirstColumn="0" w:firstRowLastColumn="0" w:lastRowFirstColumn="0" w:lastRowLastColumn="0"/>
          <w:trHeight w:val="1823"/>
        </w:trPr>
        <w:tc>
          <w:tcPr>
            <w:cnfStyle w:val="001000000000" w:firstRow="0" w:lastRow="0" w:firstColumn="1" w:lastColumn="0" w:oddVBand="0" w:evenVBand="0" w:oddHBand="0" w:evenHBand="0" w:firstRowFirstColumn="0" w:firstRowLastColumn="0" w:lastRowFirstColumn="0" w:lastRowLastColumn="0"/>
            <w:tcW w:w="1170" w:type="pct"/>
            <w:hideMark/>
          </w:tcPr>
          <w:p w14:paraId="3C68968B" w14:textId="77777777" w:rsidR="00047EF8" w:rsidRPr="00F563CD" w:rsidRDefault="00864F83" w:rsidP="00A239C5">
            <w:pPr>
              <w:spacing w:line="240" w:lineRule="auto"/>
              <w:rPr>
                <w:rFonts w:asciiTheme="minorHAnsi" w:hAnsiTheme="minorHAnsi" w:cstheme="minorBidi"/>
                <w:iCs/>
                <w:sz w:val="20"/>
                <w:szCs w:val="20"/>
              </w:rPr>
            </w:pPr>
            <w:r w:rsidRPr="00F563CD">
              <w:rPr>
                <w:rFonts w:asciiTheme="minorHAnsi" w:hAnsiTheme="minorHAnsi" w:cstheme="minorBidi"/>
                <w:iCs/>
                <w:color w:val="auto"/>
                <w:sz w:val="20"/>
                <w:szCs w:val="20"/>
              </w:rPr>
              <w:lastRenderedPageBreak/>
              <w:t xml:space="preserve">Strategija EU za održivu i pametnu mobilnost </w:t>
            </w:r>
          </w:p>
        </w:tc>
        <w:tc>
          <w:tcPr>
            <w:tcW w:w="3830" w:type="pct"/>
            <w:hideMark/>
          </w:tcPr>
          <w:p w14:paraId="13643208" w14:textId="1EDFE765" w:rsidR="00047EF8" w:rsidRPr="00F563CD" w:rsidRDefault="007840BE"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 xml:space="preserve">Vodeća inicijativa 1 – </w:t>
            </w:r>
            <w:r w:rsidRPr="00F563CD">
              <w:rPr>
                <w:rFonts w:asciiTheme="minorHAnsi" w:hAnsiTheme="minorHAnsi"/>
                <w:sz w:val="20"/>
              </w:rPr>
              <w:t xml:space="preserve">Podsticanje šire upotrebe vozila s nultim emisijama, obnovljivih i niskougljeničnih goriva i povezane infrastrukture </w:t>
            </w:r>
          </w:p>
          <w:p w14:paraId="05E02717" w14:textId="76C334F7" w:rsidR="00047EF8" w:rsidRPr="00F563CD" w:rsidRDefault="007840BE"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Arial"/>
                <w:sz w:val="20"/>
                <w:szCs w:val="20"/>
              </w:rPr>
              <w:t xml:space="preserve">Vodeća inicijativa 2 – </w:t>
            </w:r>
            <w:r w:rsidRPr="00F563CD">
              <w:rPr>
                <w:rFonts w:asciiTheme="minorHAnsi" w:hAnsiTheme="minorHAnsi" w:cstheme="minorHAnsi"/>
                <w:sz w:val="20"/>
                <w:szCs w:val="20"/>
              </w:rPr>
              <w:t xml:space="preserve">Stvaranje vazdušnih i drugih luka s nultim emisijama </w:t>
            </w:r>
          </w:p>
          <w:p w14:paraId="03484A17" w14:textId="13BC6464" w:rsidR="00047EF8" w:rsidRPr="00F563CD" w:rsidRDefault="007840BE"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Vodeća inicijativa 3 – Održivija i zdravija međugradska i gradska mobilnost</w:t>
            </w:r>
          </w:p>
          <w:p w14:paraId="074F18B2" w14:textId="2FCFD7B5" w:rsidR="00047EF8" w:rsidRPr="00F563CD" w:rsidRDefault="007840BE"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 xml:space="preserve">Vodeća inicijativa 4 – Ekologizacija prevoza tereta </w:t>
            </w:r>
          </w:p>
          <w:p w14:paraId="00730AF5" w14:textId="45651C54" w:rsidR="00047EF8" w:rsidRPr="00F563CD" w:rsidRDefault="007840BE"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Vodeća inicijativa 5 – Određivanje cijene ugljenika i povoljniji podsticaji za korisnike</w:t>
            </w:r>
          </w:p>
          <w:p w14:paraId="58781C81" w14:textId="43543C52" w:rsidR="00047EF8" w:rsidRPr="00F563CD" w:rsidRDefault="007840BE"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Vodeća inicijativa 6 – Ostvarivanje povezane i automatizovane multimodalne mobilnosti</w:t>
            </w:r>
          </w:p>
          <w:p w14:paraId="12EA64B3" w14:textId="798FDB74" w:rsidR="00047EF8" w:rsidRPr="00F563CD" w:rsidRDefault="007840BE"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Vodeća inicijativa 7 – Inovacije, podaci i vještačka inteligencija za pametniju mobilnost</w:t>
            </w:r>
          </w:p>
          <w:p w14:paraId="4525EB49" w14:textId="046C20C3" w:rsidR="00047EF8" w:rsidRPr="00F563CD" w:rsidRDefault="007840BE"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Vodeća inicijativa 8 – Osnaživanje jedinstvenog tržišta</w:t>
            </w:r>
          </w:p>
          <w:p w14:paraId="5AC03B91" w14:textId="279DD81E" w:rsidR="00047EF8" w:rsidRPr="00F563CD" w:rsidRDefault="007840BE"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Vodeća inicijativa 9 – Pravedna mobilnost za sve</w:t>
            </w:r>
          </w:p>
          <w:p w14:paraId="7CC87EFF" w14:textId="0692B437" w:rsidR="00047EF8" w:rsidRPr="00F563CD" w:rsidRDefault="007840BE"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HAnsi"/>
                <w:sz w:val="20"/>
                <w:szCs w:val="20"/>
              </w:rPr>
              <w:t>Vodeća inicijativa 10 – Povećanje sigurnosti i zaštite u saobraćaju</w:t>
            </w:r>
          </w:p>
          <w:p w14:paraId="1BBA00AC" w14:textId="6A8EA122" w:rsidR="00F86ED0" w:rsidRPr="00F563CD" w:rsidRDefault="00F86ED0" w:rsidP="00F86ED0">
            <w:pPr>
              <w:tabs>
                <w:tab w:val="num" w:pos="720"/>
              </w:tab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Cs/>
                <w:sz w:val="20"/>
                <w:szCs w:val="20"/>
              </w:rPr>
            </w:pPr>
          </w:p>
        </w:tc>
      </w:tr>
      <w:tr w:rsidR="00047EF8" w:rsidRPr="00F563CD" w14:paraId="68183E1F" w14:textId="77777777" w:rsidTr="00F86ED0">
        <w:trPr>
          <w:trHeight w:val="1689"/>
        </w:trPr>
        <w:tc>
          <w:tcPr>
            <w:cnfStyle w:val="001000000000" w:firstRow="0" w:lastRow="0" w:firstColumn="1" w:lastColumn="0" w:oddVBand="0" w:evenVBand="0" w:oddHBand="0" w:evenHBand="0" w:firstRowFirstColumn="0" w:firstRowLastColumn="0" w:lastRowFirstColumn="0" w:lastRowLastColumn="0"/>
            <w:tcW w:w="1170" w:type="pct"/>
            <w:hideMark/>
          </w:tcPr>
          <w:p w14:paraId="44820BAB" w14:textId="77777777" w:rsidR="00047EF8" w:rsidRPr="00F563CD" w:rsidRDefault="00864F83" w:rsidP="00A239C5">
            <w:pPr>
              <w:spacing w:line="240" w:lineRule="auto"/>
              <w:rPr>
                <w:rFonts w:asciiTheme="minorHAnsi" w:hAnsiTheme="minorHAnsi" w:cstheme="minorBidi"/>
                <w:iCs/>
                <w:sz w:val="20"/>
                <w:szCs w:val="20"/>
              </w:rPr>
            </w:pPr>
            <w:r w:rsidRPr="00F563CD">
              <w:rPr>
                <w:rFonts w:asciiTheme="minorHAnsi" w:hAnsiTheme="minorHAnsi" w:cstheme="minorBidi"/>
                <w:iCs/>
                <w:color w:val="auto"/>
                <w:sz w:val="20"/>
                <w:szCs w:val="20"/>
              </w:rPr>
              <w:t>Nacionalna strategija u oblasti klimatskih promjena (NSKP) do 2030. godine</w:t>
            </w:r>
          </w:p>
        </w:tc>
        <w:tc>
          <w:tcPr>
            <w:tcW w:w="3830" w:type="pct"/>
            <w:hideMark/>
          </w:tcPr>
          <w:p w14:paraId="4C068579" w14:textId="77777777" w:rsidR="00047EF8" w:rsidRPr="00F563CD" w:rsidRDefault="00864F83" w:rsidP="00A239C5">
            <w:pPr>
              <w:numPr>
                <w:ilvl w:val="0"/>
                <w:numId w:val="60"/>
              </w:numPr>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cs="Calibri"/>
                <w:sz w:val="20"/>
                <w:szCs w:val="20"/>
              </w:rPr>
              <w:t>Povećanje energetske</w:t>
            </w:r>
            <w:r w:rsidRPr="00F563CD">
              <w:rPr>
                <w:rFonts w:asciiTheme="minorHAnsi" w:hAnsiTheme="minorHAnsi" w:cs="Arial"/>
                <w:sz w:val="20"/>
                <w:szCs w:val="20"/>
              </w:rPr>
              <w:t xml:space="preserve"> </w:t>
            </w:r>
            <w:r w:rsidRPr="00F563CD">
              <w:rPr>
                <w:rFonts w:asciiTheme="minorHAnsi" w:hAnsiTheme="minorHAnsi" w:cs="Calibri"/>
                <w:sz w:val="20"/>
                <w:szCs w:val="20"/>
              </w:rPr>
              <w:t>efikasnosti u</w:t>
            </w:r>
            <w:r w:rsidRPr="00F563CD">
              <w:rPr>
                <w:rFonts w:asciiTheme="minorHAnsi" w:hAnsiTheme="minorHAnsi" w:cs="Arial"/>
                <w:sz w:val="20"/>
                <w:szCs w:val="20"/>
              </w:rPr>
              <w:t xml:space="preserve"> </w:t>
            </w:r>
            <w:r w:rsidRPr="00F563CD">
              <w:rPr>
                <w:rFonts w:asciiTheme="minorHAnsi" w:hAnsiTheme="minorHAnsi" w:cs="Calibri"/>
                <w:sz w:val="20"/>
                <w:szCs w:val="20"/>
              </w:rPr>
              <w:t>proizvodnji, prenosu i</w:t>
            </w:r>
            <w:r w:rsidRPr="00F563CD">
              <w:rPr>
                <w:rFonts w:asciiTheme="minorHAnsi" w:hAnsiTheme="minorHAnsi" w:cs="Arial"/>
                <w:sz w:val="20"/>
                <w:szCs w:val="20"/>
              </w:rPr>
              <w:t xml:space="preserve"> </w:t>
            </w:r>
            <w:r w:rsidRPr="00F563CD">
              <w:rPr>
                <w:rFonts w:asciiTheme="minorHAnsi" w:hAnsiTheme="minorHAnsi" w:cs="Calibri"/>
                <w:sz w:val="20"/>
                <w:szCs w:val="20"/>
              </w:rPr>
              <w:t>distribuciji električne</w:t>
            </w:r>
            <w:r w:rsidRPr="00F563CD">
              <w:rPr>
                <w:rFonts w:asciiTheme="minorHAnsi" w:hAnsiTheme="minorHAnsi" w:cs="Arial"/>
                <w:sz w:val="20"/>
                <w:szCs w:val="20"/>
              </w:rPr>
              <w:t xml:space="preserve"> </w:t>
            </w:r>
            <w:r w:rsidRPr="00F563CD">
              <w:rPr>
                <w:rFonts w:asciiTheme="minorHAnsi" w:hAnsiTheme="minorHAnsi" w:cs="Calibri"/>
                <w:sz w:val="20"/>
                <w:szCs w:val="20"/>
              </w:rPr>
              <w:t>energije</w:t>
            </w:r>
          </w:p>
          <w:p w14:paraId="313B5171" w14:textId="77777777" w:rsidR="00047EF8" w:rsidRPr="00F563CD" w:rsidRDefault="00864F83" w:rsidP="00A239C5">
            <w:pPr>
              <w:numPr>
                <w:ilvl w:val="0"/>
                <w:numId w:val="60"/>
              </w:numPr>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cs="Calibri"/>
                <w:sz w:val="20"/>
                <w:szCs w:val="20"/>
              </w:rPr>
              <w:t>Dekarbonizacija</w:t>
            </w:r>
            <w:r w:rsidRPr="00F563CD">
              <w:rPr>
                <w:rFonts w:asciiTheme="minorHAnsi" w:hAnsiTheme="minorHAnsi" w:cs="Arial"/>
                <w:sz w:val="20"/>
                <w:szCs w:val="20"/>
              </w:rPr>
              <w:t xml:space="preserve"> </w:t>
            </w:r>
            <w:r w:rsidRPr="00F563CD">
              <w:rPr>
                <w:rFonts w:asciiTheme="minorHAnsi" w:hAnsiTheme="minorHAnsi" w:cs="Calibri"/>
                <w:sz w:val="20"/>
                <w:szCs w:val="20"/>
              </w:rPr>
              <w:t>energetskih izvora koji</w:t>
            </w:r>
            <w:r w:rsidRPr="00F563CD">
              <w:rPr>
                <w:rFonts w:asciiTheme="minorHAnsi" w:hAnsiTheme="minorHAnsi" w:cs="Arial"/>
                <w:sz w:val="20"/>
                <w:szCs w:val="20"/>
              </w:rPr>
              <w:t xml:space="preserve"> </w:t>
            </w:r>
            <w:r w:rsidRPr="00F563CD">
              <w:rPr>
                <w:rFonts w:asciiTheme="minorHAnsi" w:hAnsiTheme="minorHAnsi" w:cs="Calibri"/>
                <w:sz w:val="20"/>
                <w:szCs w:val="20"/>
              </w:rPr>
              <w:t>su konkurentni na</w:t>
            </w:r>
            <w:r w:rsidRPr="00F563CD">
              <w:rPr>
                <w:rFonts w:asciiTheme="minorHAnsi" w:hAnsiTheme="minorHAnsi" w:cs="Arial"/>
                <w:sz w:val="20"/>
                <w:szCs w:val="20"/>
              </w:rPr>
              <w:t xml:space="preserve"> </w:t>
            </w:r>
            <w:r w:rsidRPr="00F563CD">
              <w:rPr>
                <w:rFonts w:asciiTheme="minorHAnsi" w:hAnsiTheme="minorHAnsi" w:cs="Calibri"/>
                <w:sz w:val="20"/>
                <w:szCs w:val="20"/>
              </w:rPr>
              <w:t>tržištu</w:t>
            </w:r>
          </w:p>
          <w:p w14:paraId="4BB037C3" w14:textId="77777777" w:rsidR="00047EF8" w:rsidRPr="00F563CD" w:rsidRDefault="00864F83" w:rsidP="00A239C5">
            <w:pPr>
              <w:numPr>
                <w:ilvl w:val="0"/>
                <w:numId w:val="60"/>
              </w:numPr>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Visoke energetske uštede u saobraćaju</w:t>
            </w:r>
          </w:p>
          <w:p w14:paraId="42581A44" w14:textId="77777777" w:rsidR="00047EF8" w:rsidRPr="00F563CD" w:rsidRDefault="00864F83" w:rsidP="00A239C5">
            <w:pPr>
              <w:numPr>
                <w:ilvl w:val="0"/>
                <w:numId w:val="60"/>
              </w:numPr>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Arial"/>
                <w:sz w:val="20"/>
                <w:szCs w:val="20"/>
              </w:rPr>
              <w:t xml:space="preserve">Unapređenje efikasnosti u pomorskom, drumskom, vazdušnom i vandrumskom saobraćaju </w:t>
            </w:r>
          </w:p>
          <w:p w14:paraId="233A3AC4" w14:textId="77777777" w:rsidR="00047EF8" w:rsidRPr="00F563CD" w:rsidRDefault="00864F83" w:rsidP="00A239C5">
            <w:pPr>
              <w:numPr>
                <w:ilvl w:val="0"/>
                <w:numId w:val="60"/>
              </w:numPr>
              <w:tabs>
                <w:tab w:val="num" w:pos="720"/>
              </w:tabs>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theme="minorBidi"/>
                <w:iCs/>
                <w:sz w:val="20"/>
                <w:szCs w:val="20"/>
              </w:rPr>
              <w:t xml:space="preserve">Unaprijeđeno korišćenje informatičkih </w:t>
            </w:r>
            <w:r w:rsidRPr="00F563CD">
              <w:rPr>
                <w:rFonts w:asciiTheme="minorHAnsi" w:hAnsiTheme="minorHAnsi" w:cs="Calibri"/>
                <w:sz w:val="20"/>
                <w:szCs w:val="20"/>
              </w:rPr>
              <w:t>sistema (ICT) u</w:t>
            </w:r>
            <w:r w:rsidRPr="00F563CD">
              <w:rPr>
                <w:rFonts w:asciiTheme="minorHAnsi" w:hAnsiTheme="minorHAnsi" w:cstheme="minorBidi"/>
                <w:iCs/>
                <w:sz w:val="20"/>
                <w:szCs w:val="20"/>
              </w:rPr>
              <w:t xml:space="preserve"> </w:t>
            </w:r>
            <w:r w:rsidRPr="00F563CD">
              <w:rPr>
                <w:rFonts w:asciiTheme="minorHAnsi" w:hAnsiTheme="minorHAnsi" w:cs="Calibri"/>
                <w:sz w:val="20"/>
                <w:szCs w:val="20"/>
              </w:rPr>
              <w:t>korišćenju</w:t>
            </w:r>
            <w:r w:rsidRPr="00F563CD">
              <w:rPr>
                <w:rFonts w:asciiTheme="minorHAnsi" w:hAnsiTheme="minorHAnsi" w:cstheme="minorBidi"/>
                <w:iCs/>
                <w:sz w:val="20"/>
                <w:szCs w:val="20"/>
              </w:rPr>
              <w:t xml:space="preserve"> </w:t>
            </w:r>
            <w:r w:rsidRPr="00F563CD">
              <w:rPr>
                <w:rFonts w:asciiTheme="minorHAnsi" w:hAnsiTheme="minorHAnsi" w:cs="Calibri"/>
                <w:sz w:val="20"/>
                <w:szCs w:val="20"/>
              </w:rPr>
              <w:t>energije i</w:t>
            </w:r>
            <w:r w:rsidRPr="00F563CD">
              <w:rPr>
                <w:rFonts w:asciiTheme="minorHAnsi" w:hAnsiTheme="minorHAnsi" w:cstheme="minorBidi"/>
                <w:iCs/>
                <w:sz w:val="20"/>
                <w:szCs w:val="20"/>
              </w:rPr>
              <w:t xml:space="preserve"> </w:t>
            </w:r>
            <w:r w:rsidRPr="00F563CD">
              <w:rPr>
                <w:rFonts w:asciiTheme="minorHAnsi" w:hAnsiTheme="minorHAnsi" w:cs="Calibri"/>
                <w:sz w:val="20"/>
                <w:szCs w:val="20"/>
              </w:rPr>
              <w:t>saobraćaju – primjena</w:t>
            </w:r>
            <w:r w:rsidRPr="00F563CD">
              <w:rPr>
                <w:rFonts w:asciiTheme="minorHAnsi" w:hAnsiTheme="minorHAnsi" w:cstheme="minorBidi"/>
                <w:iCs/>
                <w:sz w:val="20"/>
                <w:szCs w:val="20"/>
              </w:rPr>
              <w:t xml:space="preserve"> </w:t>
            </w:r>
            <w:r w:rsidRPr="00F563CD">
              <w:rPr>
                <w:rFonts w:asciiTheme="minorHAnsi" w:hAnsiTheme="minorHAnsi" w:cs="Calibri"/>
                <w:sz w:val="20"/>
                <w:szCs w:val="20"/>
              </w:rPr>
              <w:t>pametnih urbanih</w:t>
            </w:r>
            <w:r w:rsidRPr="00F563CD">
              <w:rPr>
                <w:rFonts w:asciiTheme="minorHAnsi" w:hAnsiTheme="minorHAnsi" w:cstheme="minorBidi"/>
                <w:iCs/>
                <w:sz w:val="20"/>
                <w:szCs w:val="20"/>
              </w:rPr>
              <w:t xml:space="preserve"> </w:t>
            </w:r>
            <w:r w:rsidRPr="00F563CD">
              <w:rPr>
                <w:rFonts w:asciiTheme="minorHAnsi" w:hAnsiTheme="minorHAnsi" w:cs="Calibri"/>
                <w:sz w:val="20"/>
                <w:szCs w:val="20"/>
              </w:rPr>
              <w:t>aplikacija</w:t>
            </w:r>
            <w:r w:rsidRPr="00F563CD">
              <w:rPr>
                <w:rFonts w:asciiTheme="minorHAnsi" w:hAnsiTheme="minorHAnsi" w:cs="Arial"/>
                <w:sz w:val="20"/>
                <w:szCs w:val="20"/>
              </w:rPr>
              <w:t xml:space="preserve"> </w:t>
            </w:r>
          </w:p>
          <w:p w14:paraId="48F48828" w14:textId="5EA2B658" w:rsidR="00F86ED0" w:rsidRPr="00F563CD" w:rsidRDefault="00F86ED0" w:rsidP="00F86ED0">
            <w:pPr>
              <w:tabs>
                <w:tab w:val="num" w:pos="720"/>
              </w:tabs>
              <w:spacing w:after="0" w:line="240"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iCs/>
                <w:sz w:val="20"/>
                <w:szCs w:val="20"/>
              </w:rPr>
            </w:pPr>
          </w:p>
        </w:tc>
      </w:tr>
    </w:tbl>
    <w:p w14:paraId="6E05D1BE" w14:textId="63416A1E" w:rsidR="00047EF8" w:rsidRPr="00F563CD" w:rsidRDefault="00047EF8" w:rsidP="00047EF8">
      <w:pPr>
        <w:spacing w:line="240" w:lineRule="auto"/>
        <w:jc w:val="both"/>
        <w:rPr>
          <w:rFonts w:asciiTheme="minorHAnsi" w:hAnsiTheme="minorHAnsi" w:cstheme="minorBidi"/>
          <w:iCs/>
          <w:sz w:val="20"/>
          <w:szCs w:val="20"/>
        </w:rPr>
      </w:pPr>
    </w:p>
    <w:tbl>
      <w:tblPr>
        <w:tblW w:w="0" w:type="auto"/>
        <w:tblCellMar>
          <w:left w:w="0" w:type="dxa"/>
          <w:right w:w="0" w:type="dxa"/>
        </w:tblCellMar>
        <w:tblLook w:val="04A0" w:firstRow="1" w:lastRow="0" w:firstColumn="1" w:lastColumn="0" w:noHBand="0" w:noVBand="1"/>
      </w:tblPr>
      <w:tblGrid>
        <w:gridCol w:w="2458"/>
        <w:gridCol w:w="8152"/>
      </w:tblGrid>
      <w:tr w:rsidR="00047EF8" w:rsidRPr="00F563CD" w14:paraId="6EB13993" w14:textId="77777777" w:rsidTr="00A239C5">
        <w:trPr>
          <w:trHeight w:val="440"/>
        </w:trPr>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704C4F5F" w14:textId="77777777" w:rsidR="00047EF8" w:rsidRPr="00F563CD" w:rsidRDefault="00864F83" w:rsidP="00A239C5">
            <w:pPr>
              <w:spacing w:line="240" w:lineRule="auto"/>
              <w:jc w:val="both"/>
              <w:rPr>
                <w:rFonts w:asciiTheme="minorHAnsi" w:hAnsiTheme="minorHAnsi" w:cstheme="minorBidi"/>
                <w:b/>
                <w:bCs/>
                <w:iCs/>
                <w:sz w:val="20"/>
                <w:szCs w:val="20"/>
              </w:rPr>
            </w:pPr>
            <w:r w:rsidRPr="00F563CD">
              <w:rPr>
                <w:rFonts w:asciiTheme="minorHAnsi" w:hAnsiTheme="minorHAnsi" w:cstheme="minorBidi"/>
                <w:b/>
                <w:bCs/>
                <w:iCs/>
                <w:sz w:val="20"/>
                <w:szCs w:val="20"/>
              </w:rPr>
              <w:t>Strategije relevatne za oblast digitalne ekonomije</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15" w:type="dxa"/>
              <w:left w:w="108" w:type="dxa"/>
              <w:bottom w:w="0" w:type="dxa"/>
              <w:right w:w="108" w:type="dxa"/>
            </w:tcMar>
            <w:hideMark/>
          </w:tcPr>
          <w:p w14:paraId="3A8DD856" w14:textId="77777777" w:rsidR="00047EF8" w:rsidRPr="00F563CD" w:rsidRDefault="00864F83" w:rsidP="00A239C5">
            <w:pPr>
              <w:spacing w:line="240" w:lineRule="auto"/>
              <w:jc w:val="both"/>
              <w:rPr>
                <w:rFonts w:asciiTheme="minorHAnsi" w:hAnsiTheme="minorHAnsi" w:cstheme="minorBidi"/>
                <w:b/>
                <w:bCs/>
                <w:iCs/>
                <w:sz w:val="20"/>
                <w:szCs w:val="20"/>
              </w:rPr>
            </w:pPr>
            <w:r w:rsidRPr="00F563CD">
              <w:rPr>
                <w:rFonts w:asciiTheme="minorHAnsi" w:hAnsiTheme="minorHAnsi" w:cstheme="minorBidi"/>
                <w:b/>
                <w:bCs/>
                <w:iCs/>
                <w:sz w:val="20"/>
                <w:szCs w:val="20"/>
              </w:rPr>
              <w:t>Specifični ciljevi u oblasti digitalne ekonomije i digitalnog društva, koji doprinose tematskom prioritetu 2:</w:t>
            </w:r>
            <w:r w:rsidRPr="00F563CD">
              <w:rPr>
                <w:rFonts w:asciiTheme="minorHAnsi" w:hAnsiTheme="minorHAnsi"/>
                <w:b/>
                <w:bCs/>
                <w:sz w:val="20"/>
                <w:szCs w:val="20"/>
              </w:rPr>
              <w:t xml:space="preserve"> Unaprijediti pristup digitalnim tehnologijama i uslugama</w:t>
            </w:r>
            <w:r w:rsidRPr="00F563CD">
              <w:rPr>
                <w:rFonts w:asciiTheme="minorHAnsi" w:hAnsiTheme="minorHAnsi" w:cstheme="minorBidi"/>
                <w:b/>
                <w:bCs/>
                <w:iCs/>
                <w:sz w:val="20"/>
                <w:szCs w:val="20"/>
              </w:rPr>
              <w:t xml:space="preserve"> </w:t>
            </w:r>
          </w:p>
        </w:tc>
      </w:tr>
      <w:tr w:rsidR="00047EF8" w:rsidRPr="00F563CD" w14:paraId="22B31AA0" w14:textId="77777777" w:rsidTr="00A239C5">
        <w:trPr>
          <w:trHeight w:val="1341"/>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1FFAB08B" w14:textId="77777777" w:rsidR="00047EF8" w:rsidRPr="00F563CD" w:rsidRDefault="00864F83" w:rsidP="00A239C5">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 xml:space="preserve">Strategija razvoja informacionog društva Crne Gore  2020 </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6F538CF3" w14:textId="77777777" w:rsidR="00047EF8" w:rsidRPr="00F563CD" w:rsidRDefault="00864F83" w:rsidP="00A239C5">
            <w:pPr>
              <w:numPr>
                <w:ilvl w:val="0"/>
                <w:numId w:val="60"/>
              </w:numPr>
              <w:tabs>
                <w:tab w:val="num" w:pos="720"/>
              </w:tabs>
              <w:spacing w:after="0" w:line="240" w:lineRule="auto"/>
              <w:rPr>
                <w:rFonts w:asciiTheme="minorHAnsi" w:hAnsiTheme="minorHAnsi" w:cstheme="minorHAnsi"/>
                <w:sz w:val="20"/>
                <w:szCs w:val="20"/>
              </w:rPr>
            </w:pPr>
            <w:r w:rsidRPr="00F563CD">
              <w:rPr>
                <w:rFonts w:asciiTheme="minorHAnsi" w:hAnsiTheme="minorHAnsi" w:cstheme="minorHAnsi"/>
                <w:sz w:val="20"/>
                <w:szCs w:val="20"/>
              </w:rPr>
              <w:t>Infrastruktura za širokopojasni pristup</w:t>
            </w:r>
          </w:p>
          <w:p w14:paraId="735338EA" w14:textId="77777777" w:rsidR="00047EF8" w:rsidRPr="00F563CD" w:rsidRDefault="00864F83" w:rsidP="00A239C5">
            <w:pPr>
              <w:numPr>
                <w:ilvl w:val="0"/>
                <w:numId w:val="60"/>
              </w:numPr>
              <w:tabs>
                <w:tab w:val="num" w:pos="720"/>
              </w:tabs>
              <w:spacing w:after="0" w:line="240" w:lineRule="auto"/>
              <w:rPr>
                <w:rFonts w:asciiTheme="minorHAnsi" w:hAnsiTheme="minorHAnsi" w:cstheme="minorHAnsi"/>
                <w:sz w:val="20"/>
                <w:szCs w:val="20"/>
              </w:rPr>
            </w:pPr>
            <w:r w:rsidRPr="00F563CD">
              <w:rPr>
                <w:rFonts w:asciiTheme="minorHAnsi" w:hAnsiTheme="minorHAnsi" w:cstheme="minorHAnsi"/>
                <w:sz w:val="20"/>
                <w:szCs w:val="20"/>
              </w:rPr>
              <w:t>Jaka organizaciona infrastruktura za prevenciju i suzbijanje incidenata na internetu</w:t>
            </w:r>
          </w:p>
          <w:p w14:paraId="5ABB65E9" w14:textId="77777777" w:rsidR="00047EF8" w:rsidRPr="00F563CD" w:rsidRDefault="00864F83" w:rsidP="00A239C5">
            <w:pPr>
              <w:numPr>
                <w:ilvl w:val="0"/>
                <w:numId w:val="60"/>
              </w:numPr>
              <w:tabs>
                <w:tab w:val="num" w:pos="720"/>
              </w:tabs>
              <w:spacing w:after="0" w:line="240" w:lineRule="auto"/>
              <w:rPr>
                <w:rFonts w:asciiTheme="minorHAnsi" w:hAnsiTheme="minorHAnsi" w:cs="Arial"/>
                <w:sz w:val="20"/>
                <w:szCs w:val="20"/>
              </w:rPr>
            </w:pPr>
            <w:r w:rsidRPr="00F563CD">
              <w:rPr>
                <w:rFonts w:asciiTheme="minorHAnsi" w:hAnsiTheme="minorHAnsi" w:cs="Arial"/>
                <w:sz w:val="20"/>
                <w:szCs w:val="20"/>
              </w:rPr>
              <w:t xml:space="preserve">Razvijanje osnovnih i naprednih digitalnih vještina </w:t>
            </w:r>
          </w:p>
          <w:p w14:paraId="67FD51CB" w14:textId="77777777" w:rsidR="00F86ED0" w:rsidRPr="00F563CD" w:rsidRDefault="00864F83" w:rsidP="00A239C5">
            <w:pPr>
              <w:numPr>
                <w:ilvl w:val="0"/>
                <w:numId w:val="60"/>
              </w:numPr>
              <w:tabs>
                <w:tab w:val="num" w:pos="720"/>
              </w:tabs>
              <w:spacing w:after="0" w:line="240" w:lineRule="auto"/>
              <w:rPr>
                <w:rFonts w:asciiTheme="minorHAnsi" w:hAnsiTheme="minorHAnsi" w:cs="Arial"/>
                <w:sz w:val="20"/>
                <w:szCs w:val="20"/>
              </w:rPr>
            </w:pPr>
            <w:r w:rsidRPr="00F563CD">
              <w:rPr>
                <w:rFonts w:asciiTheme="minorHAnsi" w:hAnsiTheme="minorHAnsi" w:cs="Arial"/>
                <w:sz w:val="20"/>
                <w:szCs w:val="20"/>
              </w:rPr>
              <w:t>Fokus na segmentu e-obrazovanja</w:t>
            </w:r>
          </w:p>
          <w:p w14:paraId="6241940D" w14:textId="539721ED" w:rsidR="00047EF8" w:rsidRPr="00F563CD" w:rsidRDefault="00864F83" w:rsidP="00F86ED0">
            <w:pPr>
              <w:tabs>
                <w:tab w:val="num" w:pos="720"/>
              </w:tabs>
              <w:spacing w:after="0" w:line="240" w:lineRule="auto"/>
              <w:ind w:left="360"/>
              <w:rPr>
                <w:rFonts w:asciiTheme="minorHAnsi" w:hAnsiTheme="minorHAnsi" w:cs="Arial"/>
                <w:sz w:val="20"/>
                <w:szCs w:val="20"/>
              </w:rPr>
            </w:pPr>
            <w:r w:rsidRPr="00F563CD">
              <w:rPr>
                <w:rFonts w:asciiTheme="minorHAnsi" w:hAnsiTheme="minorHAnsi" w:cs="Arial"/>
                <w:sz w:val="20"/>
                <w:szCs w:val="20"/>
              </w:rPr>
              <w:t xml:space="preserve"> </w:t>
            </w:r>
          </w:p>
          <w:p w14:paraId="08D9B2F5" w14:textId="77777777" w:rsidR="00047EF8" w:rsidRPr="00F563CD" w:rsidRDefault="00864F83" w:rsidP="00A239C5">
            <w:pPr>
              <w:spacing w:after="0" w:line="240" w:lineRule="auto"/>
              <w:rPr>
                <w:rFonts w:asciiTheme="minorHAnsi" w:hAnsiTheme="minorHAnsi" w:cs="Arial"/>
                <w:sz w:val="20"/>
                <w:szCs w:val="20"/>
              </w:rPr>
            </w:pPr>
            <w:r w:rsidRPr="00F563CD">
              <w:rPr>
                <w:rFonts w:asciiTheme="minorHAnsi" w:hAnsiTheme="minorHAnsi" w:cs="Arial"/>
                <w:sz w:val="20"/>
                <w:szCs w:val="20"/>
              </w:rPr>
              <w:t xml:space="preserve">Link: </w:t>
            </w:r>
            <w:hyperlink r:id="rId33" w:history="1">
              <w:r w:rsidRPr="00F563CD">
                <w:rPr>
                  <w:rStyle w:val="Hyperlink"/>
                  <w:rFonts w:asciiTheme="minorHAnsi" w:hAnsiTheme="minorHAnsi" w:cs="Arial"/>
                  <w:sz w:val="20"/>
                </w:rPr>
                <w:t>https://mju.gov.me/en/library/strategije</w:t>
              </w:r>
            </w:hyperlink>
          </w:p>
        </w:tc>
      </w:tr>
      <w:tr w:rsidR="00047EF8" w:rsidRPr="00F563CD" w14:paraId="3904D4A9" w14:textId="77777777" w:rsidTr="00A239C5">
        <w:trPr>
          <w:trHeight w:val="1823"/>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4C1139C0" w14:textId="77777777" w:rsidR="00047EF8" w:rsidRPr="00F563CD" w:rsidRDefault="00864F83" w:rsidP="00A239C5">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Strategija za sajber bezbjednost u Crnoj Gori za period 2018-2021</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4BE15B7B" w14:textId="77777777" w:rsidR="00047EF8" w:rsidRPr="00F563CD" w:rsidRDefault="00864F83" w:rsidP="00A239C5">
            <w:pPr>
              <w:numPr>
                <w:ilvl w:val="0"/>
                <w:numId w:val="60"/>
              </w:numPr>
              <w:tabs>
                <w:tab w:val="num" w:pos="720"/>
              </w:tabs>
              <w:spacing w:after="0" w:line="240" w:lineRule="auto"/>
              <w:rPr>
                <w:rFonts w:asciiTheme="minorHAnsi" w:hAnsiTheme="minorHAnsi" w:cstheme="minorHAnsi"/>
                <w:sz w:val="20"/>
                <w:szCs w:val="20"/>
              </w:rPr>
            </w:pPr>
            <w:r w:rsidRPr="00F563CD">
              <w:rPr>
                <w:rFonts w:asciiTheme="minorHAnsi" w:hAnsiTheme="minorHAnsi" w:cstheme="minorHAnsi"/>
                <w:sz w:val="20"/>
                <w:szCs w:val="20"/>
              </w:rPr>
              <w:t xml:space="preserve">Kapaciteti za sajber odbranu </w:t>
            </w:r>
          </w:p>
          <w:p w14:paraId="1F7F6AA2" w14:textId="77777777" w:rsidR="00047EF8" w:rsidRPr="00F563CD" w:rsidRDefault="00864F83" w:rsidP="00A239C5">
            <w:pPr>
              <w:numPr>
                <w:ilvl w:val="0"/>
                <w:numId w:val="60"/>
              </w:numPr>
              <w:tabs>
                <w:tab w:val="num" w:pos="720"/>
              </w:tabs>
              <w:spacing w:after="0" w:line="240" w:lineRule="auto"/>
              <w:rPr>
                <w:rFonts w:asciiTheme="minorHAnsi" w:hAnsiTheme="minorHAnsi" w:cstheme="minorHAnsi"/>
                <w:sz w:val="20"/>
                <w:szCs w:val="20"/>
              </w:rPr>
            </w:pPr>
            <w:r w:rsidRPr="00F563CD">
              <w:rPr>
                <w:rFonts w:asciiTheme="minorHAnsi" w:hAnsiTheme="minorHAnsi" w:cstheme="minorHAnsi"/>
                <w:sz w:val="20"/>
                <w:szCs w:val="20"/>
              </w:rPr>
              <w:t xml:space="preserve">Centralizacija sajber ekspertize i resursa </w:t>
            </w:r>
          </w:p>
          <w:p w14:paraId="762A805F" w14:textId="77777777" w:rsidR="00047EF8" w:rsidRPr="00F563CD" w:rsidRDefault="00864F83" w:rsidP="00A239C5">
            <w:pPr>
              <w:numPr>
                <w:ilvl w:val="0"/>
                <w:numId w:val="60"/>
              </w:numPr>
              <w:tabs>
                <w:tab w:val="num" w:pos="720"/>
              </w:tabs>
              <w:spacing w:after="0" w:line="240" w:lineRule="auto"/>
              <w:rPr>
                <w:rFonts w:asciiTheme="minorHAnsi" w:hAnsiTheme="minorHAnsi" w:cstheme="minorHAnsi"/>
                <w:sz w:val="20"/>
                <w:szCs w:val="20"/>
              </w:rPr>
            </w:pPr>
            <w:r w:rsidRPr="00F563CD">
              <w:rPr>
                <w:rFonts w:asciiTheme="minorHAnsi" w:hAnsiTheme="minorHAnsi" w:cstheme="minorHAnsi"/>
                <w:sz w:val="20"/>
                <w:szCs w:val="20"/>
              </w:rPr>
              <w:t>Zaštita kritične informatičke infrastrukture</w:t>
            </w:r>
          </w:p>
          <w:p w14:paraId="578BAD34" w14:textId="77777777" w:rsidR="00047EF8" w:rsidRPr="00F563CD" w:rsidRDefault="00864F83" w:rsidP="00A239C5">
            <w:pPr>
              <w:numPr>
                <w:ilvl w:val="0"/>
                <w:numId w:val="60"/>
              </w:numPr>
              <w:tabs>
                <w:tab w:val="num" w:pos="720"/>
              </w:tabs>
              <w:spacing w:after="0" w:line="240" w:lineRule="auto"/>
              <w:rPr>
                <w:rFonts w:asciiTheme="minorHAnsi" w:hAnsiTheme="minorHAnsi" w:cstheme="minorHAnsi"/>
                <w:sz w:val="20"/>
                <w:szCs w:val="20"/>
              </w:rPr>
            </w:pPr>
            <w:r w:rsidRPr="00F563CD">
              <w:rPr>
                <w:rFonts w:asciiTheme="minorHAnsi" w:hAnsiTheme="minorHAnsi" w:cstheme="minorHAnsi"/>
                <w:sz w:val="20"/>
                <w:szCs w:val="20"/>
              </w:rPr>
              <w:t xml:space="preserve">Međuinstitucionalna saradnja </w:t>
            </w:r>
          </w:p>
          <w:p w14:paraId="248084ED" w14:textId="77777777" w:rsidR="00047EF8" w:rsidRPr="00F563CD" w:rsidRDefault="00864F83" w:rsidP="00A239C5">
            <w:pPr>
              <w:numPr>
                <w:ilvl w:val="0"/>
                <w:numId w:val="60"/>
              </w:numPr>
              <w:tabs>
                <w:tab w:val="num" w:pos="720"/>
              </w:tabs>
              <w:spacing w:after="0" w:line="240" w:lineRule="auto"/>
              <w:rPr>
                <w:rFonts w:asciiTheme="minorHAnsi" w:hAnsiTheme="minorHAnsi" w:cstheme="minorHAnsi"/>
                <w:sz w:val="20"/>
                <w:szCs w:val="20"/>
              </w:rPr>
            </w:pPr>
            <w:r w:rsidRPr="00F563CD">
              <w:rPr>
                <w:rFonts w:asciiTheme="minorHAnsi" w:hAnsiTheme="minorHAnsi" w:cstheme="minorHAnsi"/>
                <w:sz w:val="20"/>
                <w:szCs w:val="20"/>
              </w:rPr>
              <w:t>Zaštita podataka</w:t>
            </w:r>
          </w:p>
          <w:p w14:paraId="71783430" w14:textId="77777777" w:rsidR="00047EF8" w:rsidRPr="00F563CD" w:rsidRDefault="00864F83" w:rsidP="00A239C5">
            <w:pPr>
              <w:numPr>
                <w:ilvl w:val="0"/>
                <w:numId w:val="60"/>
              </w:numPr>
              <w:tabs>
                <w:tab w:val="num" w:pos="720"/>
              </w:tabs>
              <w:spacing w:after="0" w:line="240" w:lineRule="auto"/>
              <w:rPr>
                <w:rFonts w:asciiTheme="minorHAnsi" w:hAnsiTheme="minorHAnsi" w:cstheme="minorHAnsi"/>
                <w:sz w:val="20"/>
                <w:szCs w:val="20"/>
              </w:rPr>
            </w:pPr>
            <w:r w:rsidRPr="00F563CD">
              <w:rPr>
                <w:rFonts w:asciiTheme="minorHAnsi" w:hAnsiTheme="minorHAnsi" w:cstheme="minorHAnsi"/>
                <w:sz w:val="20"/>
                <w:szCs w:val="20"/>
              </w:rPr>
              <w:t xml:space="preserve">Edukacija u oblasti sajber bezbjednosti </w:t>
            </w:r>
          </w:p>
          <w:p w14:paraId="2B770934" w14:textId="77777777" w:rsidR="00047EF8" w:rsidRPr="00F563CD" w:rsidRDefault="00864F83" w:rsidP="00A239C5">
            <w:pPr>
              <w:numPr>
                <w:ilvl w:val="0"/>
                <w:numId w:val="60"/>
              </w:numPr>
              <w:tabs>
                <w:tab w:val="num" w:pos="720"/>
              </w:tabs>
              <w:spacing w:after="0" w:line="240" w:lineRule="auto"/>
              <w:rPr>
                <w:rFonts w:asciiTheme="minorHAnsi" w:hAnsiTheme="minorHAnsi" w:cstheme="minorHAnsi"/>
                <w:sz w:val="20"/>
                <w:szCs w:val="20"/>
              </w:rPr>
            </w:pPr>
            <w:r w:rsidRPr="00F563CD">
              <w:rPr>
                <w:rFonts w:asciiTheme="minorHAnsi" w:hAnsiTheme="minorHAnsi" w:cstheme="minorHAnsi"/>
                <w:sz w:val="20"/>
                <w:szCs w:val="20"/>
              </w:rPr>
              <w:t>Saradnja javnog i privatnog sektora</w:t>
            </w:r>
          </w:p>
          <w:p w14:paraId="7292DE60" w14:textId="0CA2D680" w:rsidR="00047EF8" w:rsidRPr="00F563CD" w:rsidRDefault="00864F83" w:rsidP="00A239C5">
            <w:pPr>
              <w:numPr>
                <w:ilvl w:val="0"/>
                <w:numId w:val="60"/>
              </w:numPr>
              <w:tabs>
                <w:tab w:val="num" w:pos="720"/>
              </w:tabs>
              <w:spacing w:after="0" w:line="240" w:lineRule="auto"/>
              <w:rPr>
                <w:rFonts w:asciiTheme="minorHAnsi" w:hAnsiTheme="minorHAnsi" w:cs="Arial"/>
                <w:sz w:val="20"/>
                <w:szCs w:val="20"/>
              </w:rPr>
            </w:pPr>
            <w:r w:rsidRPr="00F563CD">
              <w:rPr>
                <w:rFonts w:asciiTheme="minorHAnsi" w:hAnsiTheme="minorHAnsi" w:cstheme="minorHAnsi"/>
                <w:sz w:val="20"/>
                <w:szCs w:val="20"/>
              </w:rPr>
              <w:t xml:space="preserve">Regionalna i međunarodna </w:t>
            </w:r>
            <w:r w:rsidR="00F86ED0" w:rsidRPr="00F563CD">
              <w:rPr>
                <w:rFonts w:asciiTheme="minorHAnsi" w:hAnsiTheme="minorHAnsi" w:cstheme="minorHAnsi"/>
                <w:sz w:val="20"/>
                <w:szCs w:val="20"/>
              </w:rPr>
              <w:t>saradnju</w:t>
            </w:r>
          </w:p>
          <w:p w14:paraId="10A8DBCC" w14:textId="0BF28988" w:rsidR="00F86ED0" w:rsidRPr="00F563CD" w:rsidRDefault="00F86ED0" w:rsidP="00F86ED0">
            <w:pPr>
              <w:tabs>
                <w:tab w:val="num" w:pos="720"/>
              </w:tabs>
              <w:spacing w:after="0" w:line="240" w:lineRule="auto"/>
              <w:ind w:left="360"/>
              <w:rPr>
                <w:rFonts w:asciiTheme="minorHAnsi" w:hAnsiTheme="minorHAnsi" w:cs="Arial"/>
                <w:sz w:val="20"/>
                <w:szCs w:val="20"/>
              </w:rPr>
            </w:pPr>
          </w:p>
        </w:tc>
      </w:tr>
      <w:tr w:rsidR="00047EF8" w:rsidRPr="00F563CD" w14:paraId="1F086B0D" w14:textId="77777777" w:rsidTr="00A239C5">
        <w:trPr>
          <w:trHeight w:val="816"/>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095F300A" w14:textId="77777777" w:rsidR="00047EF8" w:rsidRPr="00F563CD" w:rsidRDefault="00864F83" w:rsidP="00A239C5">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Strategija digitalne transformacije za period  2021-2025</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hideMark/>
          </w:tcPr>
          <w:p w14:paraId="23C29E8A" w14:textId="77777777" w:rsidR="00047EF8" w:rsidRPr="00F563CD" w:rsidRDefault="00864F83" w:rsidP="00A239C5">
            <w:pPr>
              <w:numPr>
                <w:ilvl w:val="0"/>
                <w:numId w:val="60"/>
              </w:numPr>
              <w:tabs>
                <w:tab w:val="num" w:pos="720"/>
              </w:tabs>
              <w:spacing w:after="0" w:line="240" w:lineRule="auto"/>
              <w:rPr>
                <w:rFonts w:asciiTheme="minorHAnsi" w:hAnsiTheme="minorHAnsi" w:cs="Arial"/>
                <w:sz w:val="20"/>
                <w:szCs w:val="20"/>
              </w:rPr>
            </w:pPr>
            <w:r w:rsidRPr="00F563CD">
              <w:rPr>
                <w:rFonts w:asciiTheme="minorHAnsi" w:hAnsiTheme="minorHAnsi" w:cs="Arial"/>
                <w:sz w:val="20"/>
                <w:szCs w:val="20"/>
              </w:rPr>
              <w:t xml:space="preserve">Inovativna transformaciona rešenja </w:t>
            </w:r>
          </w:p>
          <w:p w14:paraId="7C48E2BB" w14:textId="77777777" w:rsidR="00047EF8" w:rsidRPr="00F563CD" w:rsidRDefault="00864F83" w:rsidP="00A239C5">
            <w:pPr>
              <w:numPr>
                <w:ilvl w:val="0"/>
                <w:numId w:val="60"/>
              </w:numPr>
              <w:tabs>
                <w:tab w:val="num" w:pos="720"/>
              </w:tabs>
              <w:spacing w:after="0" w:line="240" w:lineRule="auto"/>
              <w:rPr>
                <w:rFonts w:asciiTheme="minorHAnsi" w:hAnsiTheme="minorHAnsi" w:cs="Arial"/>
                <w:sz w:val="20"/>
                <w:szCs w:val="20"/>
              </w:rPr>
            </w:pPr>
            <w:r w:rsidRPr="00F563CD">
              <w:rPr>
                <w:rFonts w:asciiTheme="minorHAnsi" w:hAnsiTheme="minorHAnsi" w:cs="Arial"/>
                <w:sz w:val="20"/>
                <w:szCs w:val="20"/>
              </w:rPr>
              <w:t>Promjena u poslovnim procesima kroz digitalizaciju</w:t>
            </w:r>
          </w:p>
          <w:p w14:paraId="132F0E88" w14:textId="3D37AFFB" w:rsidR="00047EF8" w:rsidRPr="00F563CD" w:rsidRDefault="00864F83" w:rsidP="00A239C5">
            <w:pPr>
              <w:numPr>
                <w:ilvl w:val="0"/>
                <w:numId w:val="60"/>
              </w:numPr>
              <w:tabs>
                <w:tab w:val="num" w:pos="720"/>
              </w:tabs>
              <w:spacing w:after="0" w:line="240" w:lineRule="auto"/>
              <w:rPr>
                <w:rFonts w:asciiTheme="minorHAnsi" w:hAnsiTheme="minorHAnsi" w:cs="Arial"/>
                <w:sz w:val="20"/>
                <w:szCs w:val="20"/>
              </w:rPr>
            </w:pPr>
            <w:r w:rsidRPr="00F563CD">
              <w:rPr>
                <w:rFonts w:asciiTheme="minorHAnsi" w:hAnsiTheme="minorHAnsi" w:cs="Arial"/>
                <w:sz w:val="20"/>
                <w:szCs w:val="20"/>
              </w:rPr>
              <w:t>Novi ICT poslovni modeli</w:t>
            </w:r>
          </w:p>
          <w:p w14:paraId="1C6711AB" w14:textId="77777777" w:rsidR="007840BE" w:rsidRPr="00F563CD" w:rsidRDefault="007840BE" w:rsidP="007840BE">
            <w:pPr>
              <w:tabs>
                <w:tab w:val="num" w:pos="720"/>
              </w:tabs>
              <w:spacing w:after="0" w:line="240" w:lineRule="auto"/>
              <w:ind w:left="360"/>
              <w:rPr>
                <w:rFonts w:asciiTheme="minorHAnsi" w:hAnsiTheme="minorHAnsi" w:cs="Arial"/>
                <w:sz w:val="20"/>
                <w:szCs w:val="20"/>
              </w:rPr>
            </w:pPr>
          </w:p>
          <w:p w14:paraId="0F4D2EC8" w14:textId="77777777" w:rsidR="00047EF8" w:rsidRPr="00F563CD" w:rsidRDefault="00864F83" w:rsidP="00A239C5">
            <w:pPr>
              <w:spacing w:after="0" w:line="240" w:lineRule="auto"/>
              <w:rPr>
                <w:rFonts w:asciiTheme="minorHAnsi" w:hAnsiTheme="minorHAnsi" w:cs="Arial"/>
                <w:sz w:val="20"/>
                <w:szCs w:val="20"/>
              </w:rPr>
            </w:pPr>
            <w:r w:rsidRPr="00F563CD">
              <w:rPr>
                <w:rFonts w:asciiTheme="minorHAnsi" w:hAnsiTheme="minorHAnsi" w:cs="Arial"/>
                <w:sz w:val="20"/>
                <w:szCs w:val="20"/>
              </w:rPr>
              <w:t xml:space="preserve">Link: </w:t>
            </w:r>
            <w:hyperlink r:id="rId34" w:history="1">
              <w:r w:rsidRPr="00F563CD">
                <w:rPr>
                  <w:rStyle w:val="Hyperlink"/>
                  <w:rFonts w:asciiTheme="minorHAnsi" w:hAnsiTheme="minorHAnsi" w:cs="Arial"/>
                  <w:sz w:val="20"/>
                </w:rPr>
                <w:t>https://mju.gov.me/en/library/strategije</w:t>
              </w:r>
            </w:hyperlink>
          </w:p>
        </w:tc>
      </w:tr>
      <w:tr w:rsidR="00047EF8" w:rsidRPr="00F563CD" w14:paraId="58C01ACD" w14:textId="77777777" w:rsidTr="00FE2154">
        <w:trPr>
          <w:trHeight w:val="485"/>
        </w:trPr>
        <w:tc>
          <w:tcPr>
            <w:tcW w:w="0" w:type="auto"/>
            <w:tcBorders>
              <w:top w:val="single" w:sz="8" w:space="0" w:color="FFFFFF"/>
              <w:left w:val="single" w:sz="8" w:space="0" w:color="FFFFFF"/>
              <w:bottom w:val="single" w:sz="8" w:space="0" w:color="FFFFFF"/>
              <w:right w:val="single" w:sz="8" w:space="0" w:color="FFFFFF"/>
            </w:tcBorders>
            <w:shd w:val="clear" w:color="auto" w:fill="4472C4"/>
            <w:tcMar>
              <w:top w:w="15" w:type="dxa"/>
              <w:left w:w="108" w:type="dxa"/>
              <w:bottom w:w="0" w:type="dxa"/>
              <w:right w:w="108" w:type="dxa"/>
            </w:tcMar>
            <w:hideMark/>
          </w:tcPr>
          <w:p w14:paraId="20FF94A3" w14:textId="77777777" w:rsidR="00047EF8" w:rsidRPr="00F563CD" w:rsidRDefault="00864F83" w:rsidP="00A239C5">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Strategija pametne specijalizacije 2019-2024</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hideMark/>
          </w:tcPr>
          <w:p w14:paraId="07F5EC90" w14:textId="7037E790" w:rsidR="00047EF8" w:rsidRPr="00F563CD" w:rsidRDefault="00864F83" w:rsidP="00A239C5">
            <w:pPr>
              <w:spacing w:after="0" w:line="240" w:lineRule="auto"/>
              <w:jc w:val="both"/>
              <w:rPr>
                <w:rFonts w:asciiTheme="minorHAnsi" w:hAnsiTheme="minorHAnsi" w:cstheme="minorHAnsi"/>
                <w:sz w:val="20"/>
                <w:szCs w:val="20"/>
              </w:rPr>
            </w:pPr>
            <w:r w:rsidRPr="00F563CD">
              <w:rPr>
                <w:rFonts w:asciiTheme="minorHAnsi" w:hAnsiTheme="minorHAnsi" w:cstheme="minorBidi"/>
                <w:b/>
                <w:bCs/>
                <w:iCs/>
                <w:sz w:val="20"/>
                <w:szCs w:val="20"/>
              </w:rPr>
              <w:t xml:space="preserve">VIZIJA </w:t>
            </w:r>
            <w:r w:rsidRPr="00F563CD">
              <w:rPr>
                <w:rFonts w:asciiTheme="minorHAnsi" w:hAnsiTheme="minorHAnsi" w:cstheme="minorHAnsi"/>
                <w:b/>
                <w:bCs/>
                <w:iCs/>
                <w:sz w:val="20"/>
                <w:szCs w:val="20"/>
              </w:rPr>
              <w:t>2024:</w:t>
            </w:r>
            <w:r w:rsidRPr="00F563CD">
              <w:rPr>
                <w:rFonts w:asciiTheme="minorHAnsi" w:hAnsiTheme="minorHAnsi" w:cstheme="minorHAnsi"/>
                <w:iCs/>
                <w:sz w:val="20"/>
                <w:szCs w:val="20"/>
              </w:rPr>
              <w:t xml:space="preserve"> </w:t>
            </w:r>
            <w:r w:rsidRPr="00F563CD">
              <w:rPr>
                <w:rFonts w:asciiTheme="minorHAnsi" w:hAnsiTheme="minorHAnsi" w:cstheme="minorHAnsi"/>
                <w:sz w:val="20"/>
                <w:szCs w:val="20"/>
              </w:rPr>
              <w:t>Digitalna Crna Gora sa primjenom naprednih ICT rješenja u svim granama privrede i razvijenom informatičkom sviješću, koja omogućava dinamičan i proaktivni pristup novim i inovativnim tehnologijama.</w:t>
            </w:r>
          </w:p>
          <w:p w14:paraId="6272D44A" w14:textId="5B56D674" w:rsidR="00F86ED0" w:rsidRPr="00F563CD" w:rsidRDefault="00F86ED0" w:rsidP="00A239C5">
            <w:pPr>
              <w:spacing w:after="0" w:line="240" w:lineRule="auto"/>
              <w:jc w:val="both"/>
              <w:rPr>
                <w:rFonts w:asciiTheme="minorHAnsi" w:hAnsiTheme="minorHAnsi" w:cstheme="minorBidi"/>
                <w:iCs/>
                <w:sz w:val="20"/>
                <w:szCs w:val="20"/>
              </w:rPr>
            </w:pPr>
          </w:p>
          <w:p w14:paraId="0080FE66" w14:textId="77777777" w:rsidR="00047EF8" w:rsidRPr="00F563CD" w:rsidRDefault="00864F83" w:rsidP="00A239C5">
            <w:pPr>
              <w:spacing w:after="0" w:line="240" w:lineRule="auto"/>
              <w:jc w:val="both"/>
              <w:rPr>
                <w:rFonts w:asciiTheme="minorHAnsi" w:hAnsiTheme="minorHAnsi" w:cstheme="minorBidi"/>
                <w:b/>
                <w:bCs/>
                <w:iCs/>
                <w:sz w:val="20"/>
                <w:szCs w:val="20"/>
              </w:rPr>
            </w:pPr>
            <w:r w:rsidRPr="00F563CD">
              <w:rPr>
                <w:rFonts w:asciiTheme="minorHAnsi" w:hAnsiTheme="minorHAnsi" w:cstheme="minorBidi"/>
                <w:b/>
                <w:bCs/>
                <w:iCs/>
                <w:sz w:val="20"/>
                <w:szCs w:val="20"/>
              </w:rPr>
              <w:t>SEKTORSKI CILJEVI:</w:t>
            </w:r>
          </w:p>
          <w:p w14:paraId="6FAC375D" w14:textId="77777777" w:rsidR="00047EF8" w:rsidRPr="00F563CD" w:rsidRDefault="00864F83" w:rsidP="00A239C5">
            <w:pPr>
              <w:numPr>
                <w:ilvl w:val="0"/>
                <w:numId w:val="60"/>
              </w:numPr>
              <w:tabs>
                <w:tab w:val="num" w:pos="720"/>
              </w:tabs>
              <w:spacing w:after="0" w:line="240" w:lineRule="auto"/>
              <w:rPr>
                <w:rFonts w:asciiTheme="minorHAnsi" w:hAnsiTheme="minorHAnsi" w:cs="Arial"/>
                <w:sz w:val="20"/>
                <w:szCs w:val="20"/>
              </w:rPr>
            </w:pPr>
            <w:r w:rsidRPr="00F563CD">
              <w:rPr>
                <w:rFonts w:asciiTheme="minorHAnsi" w:hAnsiTheme="minorHAnsi" w:cs="Arial"/>
                <w:sz w:val="20"/>
                <w:szCs w:val="20"/>
              </w:rPr>
              <w:t>Unapređenje konkurentnosti ICT sektora kroz</w:t>
            </w:r>
          </w:p>
          <w:p w14:paraId="3CD4E059" w14:textId="7FE4DB53" w:rsidR="00047EF8" w:rsidRPr="00F563CD" w:rsidRDefault="00F86ED0" w:rsidP="00A239C5">
            <w:pPr>
              <w:numPr>
                <w:ilvl w:val="0"/>
                <w:numId w:val="60"/>
              </w:numPr>
              <w:tabs>
                <w:tab w:val="num" w:pos="720"/>
              </w:tabs>
              <w:spacing w:after="0" w:line="240" w:lineRule="auto"/>
              <w:rPr>
                <w:rFonts w:asciiTheme="minorHAnsi" w:hAnsiTheme="minorHAnsi" w:cs="Arial"/>
                <w:sz w:val="20"/>
                <w:szCs w:val="20"/>
              </w:rPr>
            </w:pPr>
            <w:r w:rsidRPr="00F563CD">
              <w:rPr>
                <w:rFonts w:asciiTheme="minorHAnsi" w:hAnsiTheme="minorHAnsi" w:cs="Arial"/>
                <w:sz w:val="20"/>
                <w:szCs w:val="20"/>
              </w:rPr>
              <w:t>I</w:t>
            </w:r>
            <w:r w:rsidR="00864F83" w:rsidRPr="00F563CD">
              <w:rPr>
                <w:rFonts w:asciiTheme="minorHAnsi" w:hAnsiTheme="minorHAnsi" w:cs="Arial"/>
                <w:sz w:val="20"/>
                <w:szCs w:val="20"/>
              </w:rPr>
              <w:t>novativne aktivnosti</w:t>
            </w:r>
          </w:p>
          <w:p w14:paraId="4DAF9B8F" w14:textId="4B71073C" w:rsidR="00047EF8" w:rsidRPr="00F563CD" w:rsidRDefault="00F86ED0" w:rsidP="00A239C5">
            <w:pPr>
              <w:numPr>
                <w:ilvl w:val="0"/>
                <w:numId w:val="60"/>
              </w:numPr>
              <w:tabs>
                <w:tab w:val="num" w:pos="720"/>
              </w:tabs>
              <w:spacing w:after="0" w:line="240" w:lineRule="auto"/>
              <w:rPr>
                <w:rFonts w:asciiTheme="minorHAnsi" w:hAnsiTheme="minorHAnsi" w:cstheme="minorBidi"/>
                <w:iCs/>
                <w:sz w:val="20"/>
                <w:szCs w:val="20"/>
              </w:rPr>
            </w:pPr>
            <w:r w:rsidRPr="00F563CD">
              <w:rPr>
                <w:rFonts w:asciiTheme="minorHAnsi" w:hAnsiTheme="minorHAnsi" w:cs="Arial"/>
                <w:sz w:val="20"/>
                <w:szCs w:val="20"/>
              </w:rPr>
              <w:t>J</w:t>
            </w:r>
            <w:r w:rsidR="00864F83" w:rsidRPr="00F563CD">
              <w:rPr>
                <w:rFonts w:asciiTheme="minorHAnsi" w:hAnsiTheme="minorHAnsi" w:cs="Arial"/>
                <w:sz w:val="20"/>
                <w:szCs w:val="20"/>
              </w:rPr>
              <w:t>ačanje digitalne ekonomije</w:t>
            </w:r>
          </w:p>
          <w:p w14:paraId="0DF6EB6A" w14:textId="77777777" w:rsidR="00F86ED0" w:rsidRPr="00F563CD" w:rsidRDefault="00F86ED0" w:rsidP="00F86ED0">
            <w:pPr>
              <w:tabs>
                <w:tab w:val="num" w:pos="720"/>
              </w:tabs>
              <w:spacing w:after="0" w:line="240" w:lineRule="auto"/>
              <w:ind w:left="360"/>
              <w:rPr>
                <w:rFonts w:asciiTheme="minorHAnsi" w:hAnsiTheme="minorHAnsi" w:cstheme="minorBidi"/>
                <w:iCs/>
                <w:sz w:val="20"/>
                <w:szCs w:val="20"/>
              </w:rPr>
            </w:pPr>
          </w:p>
          <w:p w14:paraId="1F469351" w14:textId="77777777" w:rsidR="00047EF8" w:rsidRPr="00F563CD" w:rsidRDefault="00864F83" w:rsidP="00A239C5">
            <w:pPr>
              <w:spacing w:after="0" w:line="240" w:lineRule="auto"/>
              <w:rPr>
                <w:rStyle w:val="Hyperlink"/>
                <w:rFonts w:asciiTheme="minorHAnsi" w:hAnsiTheme="minorHAnsi" w:cs="Arial"/>
                <w:sz w:val="20"/>
              </w:rPr>
            </w:pPr>
            <w:r w:rsidRPr="00F563CD">
              <w:rPr>
                <w:rFonts w:asciiTheme="minorHAnsi" w:hAnsiTheme="minorHAnsi" w:cs="Arial"/>
                <w:sz w:val="20"/>
                <w:szCs w:val="20"/>
              </w:rPr>
              <w:lastRenderedPageBreak/>
              <w:t xml:space="preserve">Link: </w:t>
            </w:r>
            <w:hyperlink r:id="rId35" w:history="1">
              <w:r w:rsidRPr="00F563CD">
                <w:rPr>
                  <w:rStyle w:val="Hyperlink"/>
                  <w:rFonts w:asciiTheme="minorHAnsi" w:hAnsiTheme="minorHAnsi" w:cs="Arial"/>
                  <w:sz w:val="20"/>
                </w:rPr>
                <w:t>https://mna.gov.me/en/ministry/Smart_Specialisation/</w:t>
              </w:r>
            </w:hyperlink>
          </w:p>
          <w:p w14:paraId="64EFA5FF" w14:textId="309A01DF" w:rsidR="00F86ED0" w:rsidRPr="00F563CD" w:rsidRDefault="00F86ED0" w:rsidP="00A239C5">
            <w:pPr>
              <w:spacing w:after="0" w:line="240" w:lineRule="auto"/>
              <w:rPr>
                <w:rFonts w:asciiTheme="minorHAnsi" w:hAnsiTheme="minorHAnsi" w:cstheme="minorBidi"/>
                <w:iCs/>
                <w:sz w:val="20"/>
                <w:szCs w:val="20"/>
              </w:rPr>
            </w:pPr>
          </w:p>
        </w:tc>
      </w:tr>
    </w:tbl>
    <w:p w14:paraId="5CD10B47" w14:textId="77777777" w:rsidR="00047EF8" w:rsidRPr="00F563CD" w:rsidRDefault="00047EF8" w:rsidP="00047EF8">
      <w:pPr>
        <w:spacing w:line="240" w:lineRule="auto"/>
        <w:jc w:val="both"/>
        <w:rPr>
          <w:rFonts w:asciiTheme="minorHAnsi" w:hAnsiTheme="minorHAnsi" w:cstheme="minorBidi"/>
          <w:iCs/>
          <w:sz w:val="20"/>
          <w:szCs w:val="20"/>
        </w:rPr>
      </w:pPr>
    </w:p>
    <w:tbl>
      <w:tblPr>
        <w:tblStyle w:val="GridTable5Dark-Accent21"/>
        <w:tblW w:w="0" w:type="auto"/>
        <w:tblLook w:val="04A0" w:firstRow="1" w:lastRow="0" w:firstColumn="1" w:lastColumn="0" w:noHBand="0" w:noVBand="1"/>
      </w:tblPr>
      <w:tblGrid>
        <w:gridCol w:w="2484"/>
        <w:gridCol w:w="8136"/>
      </w:tblGrid>
      <w:tr w:rsidR="00047EF8" w:rsidRPr="00F563CD" w14:paraId="7249F404" w14:textId="77777777" w:rsidTr="00F86ED0">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538" w:type="dxa"/>
            <w:hideMark/>
          </w:tcPr>
          <w:p w14:paraId="5AAA96B5" w14:textId="77777777" w:rsidR="00047EF8" w:rsidRPr="00F563CD" w:rsidRDefault="00864F83" w:rsidP="00A239C5">
            <w:pPr>
              <w:spacing w:after="0" w:line="240" w:lineRule="auto"/>
              <w:rPr>
                <w:rFonts w:asciiTheme="minorHAnsi" w:hAnsiTheme="minorHAnsi" w:cs="Arial"/>
                <w:sz w:val="20"/>
                <w:szCs w:val="20"/>
              </w:rPr>
            </w:pPr>
            <w:r w:rsidRPr="00F563CD">
              <w:rPr>
                <w:rFonts w:asciiTheme="minorHAnsi" w:hAnsiTheme="minorHAnsi" w:cs="Arial"/>
                <w:color w:val="auto"/>
                <w:sz w:val="20"/>
                <w:szCs w:val="20"/>
              </w:rPr>
              <w:t>Strategije relevantne za oblast energetike</w:t>
            </w:r>
          </w:p>
        </w:tc>
        <w:tc>
          <w:tcPr>
            <w:tcW w:w="8308" w:type="dxa"/>
            <w:hideMark/>
          </w:tcPr>
          <w:p w14:paraId="5D647784" w14:textId="77777777" w:rsidR="00047EF8" w:rsidRPr="00F563CD" w:rsidRDefault="00864F83" w:rsidP="00A239C5">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color w:val="auto"/>
                <w:sz w:val="20"/>
                <w:szCs w:val="20"/>
              </w:rPr>
              <w:t xml:space="preserve">Specifični ciljevi u oblasti energetike koji doprinose tematskom prioritetu 2: Ubrzati prelazak na niskougljeničnu ekonomiju, koja je otporna na klimatske promjene, promovisati prelazak na čistu energiju i evropsko integrisano energetsko tržište </w:t>
            </w:r>
          </w:p>
        </w:tc>
      </w:tr>
      <w:tr w:rsidR="00047EF8" w:rsidRPr="00F563CD" w14:paraId="36AB94A7" w14:textId="77777777" w:rsidTr="00F86ED0">
        <w:trPr>
          <w:cnfStyle w:val="000000100000" w:firstRow="0" w:lastRow="0" w:firstColumn="0" w:lastColumn="0" w:oddVBand="0" w:evenVBand="0" w:oddHBand="1" w:evenHBand="0" w:firstRowFirstColumn="0" w:firstRowLastColumn="0" w:lastRowFirstColumn="0" w:lastRowLastColumn="0"/>
          <w:trHeight w:val="2999"/>
        </w:trPr>
        <w:tc>
          <w:tcPr>
            <w:cnfStyle w:val="001000000000" w:firstRow="0" w:lastRow="0" w:firstColumn="1" w:lastColumn="0" w:oddVBand="0" w:evenVBand="0" w:oddHBand="0" w:evenHBand="0" w:firstRowFirstColumn="0" w:firstRowLastColumn="0" w:lastRowFirstColumn="0" w:lastRowLastColumn="0"/>
            <w:tcW w:w="2538" w:type="dxa"/>
            <w:hideMark/>
          </w:tcPr>
          <w:p w14:paraId="1A234154" w14:textId="77777777" w:rsidR="00047EF8" w:rsidRPr="00F563CD" w:rsidRDefault="00864F83" w:rsidP="00A239C5">
            <w:pPr>
              <w:spacing w:after="0" w:line="240" w:lineRule="auto"/>
              <w:rPr>
                <w:rFonts w:asciiTheme="minorHAnsi" w:hAnsiTheme="minorHAnsi" w:cs="Arial"/>
                <w:b w:val="0"/>
                <w:bCs w:val="0"/>
                <w:sz w:val="20"/>
                <w:szCs w:val="20"/>
              </w:rPr>
            </w:pPr>
            <w:r w:rsidRPr="00F563CD">
              <w:rPr>
                <w:rFonts w:asciiTheme="minorHAnsi" w:hAnsiTheme="minorHAnsi" w:cs="Arial"/>
                <w:color w:val="auto"/>
                <w:sz w:val="20"/>
                <w:szCs w:val="20"/>
              </w:rPr>
              <w:t>Nacionalna strategija u oblasti klimatskih promjena (NSKP) do 2030. godine</w:t>
            </w:r>
          </w:p>
          <w:p w14:paraId="558E015D" w14:textId="77777777" w:rsidR="00047EF8" w:rsidRPr="00F563CD" w:rsidRDefault="00047EF8" w:rsidP="00A239C5">
            <w:pPr>
              <w:spacing w:after="0" w:line="240" w:lineRule="auto"/>
              <w:rPr>
                <w:rFonts w:asciiTheme="minorHAnsi" w:hAnsiTheme="minorHAnsi" w:cs="Arial"/>
                <w:b w:val="0"/>
                <w:bCs w:val="0"/>
                <w:sz w:val="20"/>
                <w:szCs w:val="20"/>
              </w:rPr>
            </w:pPr>
          </w:p>
          <w:p w14:paraId="43D7426C" w14:textId="77777777" w:rsidR="00047EF8" w:rsidRPr="00F563CD" w:rsidRDefault="00047EF8" w:rsidP="00A239C5">
            <w:pPr>
              <w:spacing w:after="0" w:line="240" w:lineRule="auto"/>
              <w:rPr>
                <w:rFonts w:asciiTheme="minorHAnsi" w:hAnsiTheme="minorHAnsi" w:cs="Arial"/>
                <w:b w:val="0"/>
                <w:bCs w:val="0"/>
                <w:sz w:val="20"/>
                <w:szCs w:val="20"/>
              </w:rPr>
            </w:pPr>
          </w:p>
        </w:tc>
        <w:tc>
          <w:tcPr>
            <w:tcW w:w="8308" w:type="dxa"/>
            <w:hideMark/>
          </w:tcPr>
          <w:p w14:paraId="341C09D1" w14:textId="77777777" w:rsidR="00047EF8" w:rsidRPr="00F563CD" w:rsidRDefault="00864F83" w:rsidP="00A239C5">
            <w:pPr>
              <w:numPr>
                <w:ilvl w:val="0"/>
                <w:numId w:val="6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Povećati uštede primarne energije</w:t>
            </w:r>
          </w:p>
          <w:p w14:paraId="32B175F0"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Calibri"/>
                <w:sz w:val="20"/>
                <w:szCs w:val="20"/>
              </w:rPr>
              <w:t>Povećanje energetske</w:t>
            </w:r>
            <w:r w:rsidRPr="00F563CD">
              <w:rPr>
                <w:rFonts w:asciiTheme="minorHAnsi" w:hAnsiTheme="minorHAnsi" w:cs="Arial"/>
                <w:sz w:val="20"/>
                <w:szCs w:val="20"/>
              </w:rPr>
              <w:t xml:space="preserve"> </w:t>
            </w:r>
            <w:r w:rsidRPr="00F563CD">
              <w:rPr>
                <w:rFonts w:asciiTheme="minorHAnsi" w:hAnsiTheme="minorHAnsi" w:cs="Calibri"/>
                <w:sz w:val="20"/>
                <w:szCs w:val="20"/>
              </w:rPr>
              <w:t>efikasnosti u</w:t>
            </w:r>
            <w:r w:rsidRPr="00F563CD">
              <w:rPr>
                <w:rFonts w:asciiTheme="minorHAnsi" w:hAnsiTheme="minorHAnsi" w:cs="Arial"/>
                <w:sz w:val="20"/>
                <w:szCs w:val="20"/>
              </w:rPr>
              <w:t xml:space="preserve"> </w:t>
            </w:r>
            <w:r w:rsidRPr="00F563CD">
              <w:rPr>
                <w:rFonts w:asciiTheme="minorHAnsi" w:hAnsiTheme="minorHAnsi" w:cs="Calibri"/>
                <w:sz w:val="20"/>
                <w:szCs w:val="20"/>
              </w:rPr>
              <w:t>proizvodnji, prenosu i</w:t>
            </w:r>
            <w:r w:rsidRPr="00F563CD">
              <w:rPr>
                <w:rFonts w:asciiTheme="minorHAnsi" w:hAnsiTheme="minorHAnsi" w:cs="Arial"/>
                <w:sz w:val="20"/>
                <w:szCs w:val="20"/>
              </w:rPr>
              <w:t xml:space="preserve"> </w:t>
            </w:r>
            <w:r w:rsidRPr="00F563CD">
              <w:rPr>
                <w:rFonts w:asciiTheme="minorHAnsi" w:hAnsiTheme="minorHAnsi" w:cs="Calibri"/>
                <w:sz w:val="20"/>
                <w:szCs w:val="20"/>
              </w:rPr>
              <w:t>distribuciji električne</w:t>
            </w:r>
            <w:r w:rsidRPr="00F563CD">
              <w:rPr>
                <w:rFonts w:asciiTheme="minorHAnsi" w:hAnsiTheme="minorHAnsi" w:cs="Arial"/>
                <w:sz w:val="20"/>
                <w:szCs w:val="20"/>
              </w:rPr>
              <w:t xml:space="preserve"> </w:t>
            </w:r>
            <w:r w:rsidRPr="00F563CD">
              <w:rPr>
                <w:rFonts w:asciiTheme="minorHAnsi" w:hAnsiTheme="minorHAnsi" w:cs="Calibri"/>
                <w:sz w:val="20"/>
                <w:szCs w:val="20"/>
              </w:rPr>
              <w:t>energije</w:t>
            </w:r>
          </w:p>
          <w:p w14:paraId="5D0637F3"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Calibri"/>
                <w:sz w:val="20"/>
                <w:szCs w:val="20"/>
              </w:rPr>
              <w:t>Povećanje</w:t>
            </w:r>
            <w:r w:rsidRPr="00F563CD">
              <w:rPr>
                <w:rFonts w:asciiTheme="minorHAnsi" w:hAnsiTheme="minorHAnsi" w:cs="Arial"/>
                <w:sz w:val="20"/>
                <w:szCs w:val="20"/>
              </w:rPr>
              <w:t xml:space="preserve"> </w:t>
            </w:r>
            <w:r w:rsidRPr="00F563CD">
              <w:rPr>
                <w:rFonts w:asciiTheme="minorHAnsi" w:hAnsiTheme="minorHAnsi" w:cs="Calibri"/>
                <w:sz w:val="20"/>
                <w:szCs w:val="20"/>
              </w:rPr>
              <w:t>energetske</w:t>
            </w:r>
            <w:r w:rsidRPr="00F563CD">
              <w:rPr>
                <w:rFonts w:asciiTheme="minorHAnsi" w:hAnsiTheme="minorHAnsi" w:cs="Arial"/>
                <w:sz w:val="20"/>
                <w:szCs w:val="20"/>
              </w:rPr>
              <w:t xml:space="preserve"> </w:t>
            </w:r>
            <w:r w:rsidRPr="00F563CD">
              <w:rPr>
                <w:rFonts w:asciiTheme="minorHAnsi" w:hAnsiTheme="minorHAnsi" w:cs="Calibri"/>
                <w:sz w:val="20"/>
                <w:szCs w:val="20"/>
              </w:rPr>
              <w:t>efikasnosti u</w:t>
            </w:r>
            <w:r w:rsidRPr="00F563CD">
              <w:rPr>
                <w:rFonts w:asciiTheme="minorHAnsi" w:hAnsiTheme="minorHAnsi" w:cs="Arial"/>
                <w:sz w:val="20"/>
                <w:szCs w:val="20"/>
              </w:rPr>
              <w:t xml:space="preserve"> </w:t>
            </w:r>
            <w:r w:rsidRPr="00F563CD">
              <w:rPr>
                <w:rFonts w:asciiTheme="minorHAnsi" w:hAnsiTheme="minorHAnsi" w:cs="Calibri"/>
                <w:sz w:val="20"/>
                <w:szCs w:val="20"/>
              </w:rPr>
              <w:t>renoviranim</w:t>
            </w:r>
            <w:r w:rsidRPr="00F563CD">
              <w:rPr>
                <w:rFonts w:asciiTheme="minorHAnsi" w:hAnsiTheme="minorHAnsi" w:cs="Arial"/>
                <w:sz w:val="20"/>
                <w:szCs w:val="20"/>
              </w:rPr>
              <w:t xml:space="preserve"> </w:t>
            </w:r>
            <w:r w:rsidRPr="00F563CD">
              <w:rPr>
                <w:rFonts w:asciiTheme="minorHAnsi" w:hAnsiTheme="minorHAnsi" w:cs="Calibri"/>
                <w:sz w:val="20"/>
                <w:szCs w:val="20"/>
              </w:rPr>
              <w:t>objektima</w:t>
            </w:r>
          </w:p>
          <w:p w14:paraId="529D5538"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Calibri"/>
                <w:sz w:val="20"/>
                <w:szCs w:val="20"/>
              </w:rPr>
              <w:t>Povećanje</w:t>
            </w:r>
            <w:r w:rsidRPr="00F563CD">
              <w:rPr>
                <w:rFonts w:asciiTheme="minorHAnsi" w:hAnsiTheme="minorHAnsi" w:cs="Arial"/>
                <w:sz w:val="20"/>
                <w:szCs w:val="20"/>
              </w:rPr>
              <w:t xml:space="preserve"> </w:t>
            </w:r>
            <w:r w:rsidRPr="00F563CD">
              <w:rPr>
                <w:rFonts w:asciiTheme="minorHAnsi" w:hAnsiTheme="minorHAnsi" w:cs="Calibri"/>
                <w:sz w:val="20"/>
                <w:szCs w:val="20"/>
              </w:rPr>
              <w:t>energetske</w:t>
            </w:r>
            <w:r w:rsidRPr="00F563CD">
              <w:rPr>
                <w:rFonts w:asciiTheme="minorHAnsi" w:hAnsiTheme="minorHAnsi" w:cs="Arial"/>
                <w:sz w:val="20"/>
                <w:szCs w:val="20"/>
              </w:rPr>
              <w:t xml:space="preserve"> </w:t>
            </w:r>
            <w:r w:rsidRPr="00F563CD">
              <w:rPr>
                <w:rFonts w:asciiTheme="minorHAnsi" w:hAnsiTheme="minorHAnsi" w:cs="Calibri"/>
                <w:sz w:val="20"/>
                <w:szCs w:val="20"/>
              </w:rPr>
              <w:t>efikasnosti u</w:t>
            </w:r>
            <w:r w:rsidRPr="00F563CD">
              <w:rPr>
                <w:rFonts w:asciiTheme="minorHAnsi" w:hAnsiTheme="minorHAnsi" w:cs="Arial"/>
                <w:sz w:val="20"/>
                <w:szCs w:val="20"/>
              </w:rPr>
              <w:t xml:space="preserve"> </w:t>
            </w:r>
            <w:r w:rsidRPr="00F563CD">
              <w:rPr>
                <w:rFonts w:asciiTheme="minorHAnsi" w:hAnsiTheme="minorHAnsi" w:cs="Calibri"/>
                <w:sz w:val="20"/>
                <w:szCs w:val="20"/>
              </w:rPr>
              <w:t>svim novim</w:t>
            </w:r>
            <w:r w:rsidRPr="00F563CD">
              <w:rPr>
                <w:rFonts w:asciiTheme="minorHAnsi" w:hAnsiTheme="minorHAnsi" w:cs="Arial"/>
                <w:sz w:val="20"/>
                <w:szCs w:val="20"/>
              </w:rPr>
              <w:t xml:space="preserve"> </w:t>
            </w:r>
            <w:r w:rsidRPr="00F563CD">
              <w:rPr>
                <w:rFonts w:asciiTheme="minorHAnsi" w:hAnsiTheme="minorHAnsi" w:cs="Calibri"/>
                <w:sz w:val="20"/>
                <w:szCs w:val="20"/>
              </w:rPr>
              <w:t>objektima</w:t>
            </w:r>
          </w:p>
          <w:p w14:paraId="78DB2D6A" w14:textId="77777777" w:rsidR="00047EF8" w:rsidRPr="00F563CD" w:rsidRDefault="00864F83" w:rsidP="00A239C5">
            <w:pPr>
              <w:numPr>
                <w:ilvl w:val="0"/>
                <w:numId w:val="6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 xml:space="preserve">Potpuno uvođenje pametnih mreža i pametnog mjerenja </w:t>
            </w:r>
          </w:p>
          <w:p w14:paraId="0B6A472D" w14:textId="77777777" w:rsidR="00047EF8" w:rsidRPr="00F563CD" w:rsidRDefault="00864F83" w:rsidP="00A239C5">
            <w:pPr>
              <w:numPr>
                <w:ilvl w:val="0"/>
                <w:numId w:val="6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Značajna i visoko standardizovana proizvodnja električne energije iz OIE</w:t>
            </w:r>
          </w:p>
          <w:p w14:paraId="07395302" w14:textId="77777777" w:rsidR="00047EF8" w:rsidRPr="00F563CD" w:rsidRDefault="00864F83" w:rsidP="00A239C5">
            <w:pPr>
              <w:numPr>
                <w:ilvl w:val="0"/>
                <w:numId w:val="60"/>
              </w:num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Calibri"/>
                <w:sz w:val="20"/>
                <w:szCs w:val="20"/>
              </w:rPr>
              <w:t>Dekarbonizacija</w:t>
            </w:r>
            <w:r w:rsidRPr="00F563CD">
              <w:rPr>
                <w:rFonts w:asciiTheme="minorHAnsi" w:hAnsiTheme="minorHAnsi" w:cstheme="minorHAnsi"/>
                <w:sz w:val="20"/>
                <w:szCs w:val="20"/>
              </w:rPr>
              <w:t xml:space="preserve"> </w:t>
            </w:r>
            <w:r w:rsidRPr="00F563CD">
              <w:rPr>
                <w:rFonts w:asciiTheme="minorHAnsi" w:hAnsiTheme="minorHAnsi" w:cs="Calibri"/>
                <w:sz w:val="20"/>
                <w:szCs w:val="20"/>
              </w:rPr>
              <w:t>energetskih izvora</w:t>
            </w:r>
            <w:r w:rsidRPr="00F563CD">
              <w:rPr>
                <w:rFonts w:asciiTheme="minorHAnsi" w:hAnsiTheme="minorHAnsi" w:cstheme="minorHAnsi"/>
                <w:sz w:val="20"/>
                <w:szCs w:val="20"/>
              </w:rPr>
              <w:t xml:space="preserve"> </w:t>
            </w:r>
            <w:r w:rsidRPr="00F563CD">
              <w:rPr>
                <w:rFonts w:asciiTheme="minorHAnsi" w:hAnsiTheme="minorHAnsi" w:cs="Calibri"/>
                <w:sz w:val="20"/>
                <w:szCs w:val="20"/>
              </w:rPr>
              <w:t>koji su</w:t>
            </w:r>
            <w:r w:rsidRPr="00F563CD">
              <w:rPr>
                <w:rFonts w:asciiTheme="minorHAnsi" w:hAnsiTheme="minorHAnsi" w:cstheme="minorHAnsi"/>
                <w:sz w:val="20"/>
                <w:szCs w:val="20"/>
              </w:rPr>
              <w:t xml:space="preserve"> </w:t>
            </w:r>
            <w:r w:rsidRPr="00F563CD">
              <w:rPr>
                <w:rFonts w:asciiTheme="minorHAnsi" w:hAnsiTheme="minorHAnsi" w:cs="Calibri"/>
                <w:sz w:val="20"/>
                <w:szCs w:val="20"/>
              </w:rPr>
              <w:t>konkurentni na</w:t>
            </w:r>
            <w:r w:rsidRPr="00F563CD">
              <w:rPr>
                <w:rFonts w:asciiTheme="minorHAnsi" w:hAnsiTheme="minorHAnsi" w:cstheme="minorHAnsi"/>
                <w:sz w:val="20"/>
                <w:szCs w:val="20"/>
              </w:rPr>
              <w:t xml:space="preserve"> </w:t>
            </w:r>
            <w:r w:rsidRPr="00F563CD">
              <w:rPr>
                <w:rFonts w:asciiTheme="minorHAnsi" w:hAnsiTheme="minorHAnsi" w:cs="Calibri"/>
                <w:sz w:val="20"/>
                <w:szCs w:val="20"/>
              </w:rPr>
              <w:t xml:space="preserve">tržištu </w:t>
            </w:r>
          </w:p>
          <w:p w14:paraId="3D32160B"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Visoke energetske uštede u saobraćaju</w:t>
            </w:r>
          </w:p>
          <w:p w14:paraId="4584852E" w14:textId="77777777"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Cs/>
                <w:sz w:val="20"/>
                <w:szCs w:val="20"/>
              </w:rPr>
            </w:pPr>
            <w:r w:rsidRPr="00F563CD">
              <w:rPr>
                <w:rFonts w:asciiTheme="minorHAnsi" w:hAnsiTheme="minorHAnsi" w:cs="Arial"/>
                <w:sz w:val="20"/>
                <w:szCs w:val="20"/>
              </w:rPr>
              <w:t xml:space="preserve">Unapređenje efikasnosti u pomorskom, drumskom, vazdušnom i vandrumskom saobraćaju </w:t>
            </w:r>
          </w:p>
          <w:p w14:paraId="07F5FFBE" w14:textId="0DD70125" w:rsidR="00047EF8" w:rsidRPr="00F563CD" w:rsidRDefault="00864F83" w:rsidP="00A239C5">
            <w:pPr>
              <w:numPr>
                <w:ilvl w:val="0"/>
                <w:numId w:val="60"/>
              </w:numPr>
              <w:tabs>
                <w:tab w:val="num" w:pos="720"/>
              </w:tabs>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theme="minorBidi"/>
                <w:iCs/>
                <w:sz w:val="20"/>
                <w:szCs w:val="20"/>
              </w:rPr>
              <w:t xml:space="preserve">Unaprijeđeno korišćenje informatičkih </w:t>
            </w:r>
            <w:r w:rsidRPr="00F563CD">
              <w:rPr>
                <w:rFonts w:asciiTheme="minorHAnsi" w:hAnsiTheme="minorHAnsi" w:cs="Calibri"/>
                <w:sz w:val="20"/>
                <w:szCs w:val="20"/>
              </w:rPr>
              <w:t>sistema (ICT) za energetiku i saobraćaj, kao i za pametne urbane</w:t>
            </w:r>
            <w:r w:rsidRPr="00F563CD">
              <w:rPr>
                <w:rFonts w:asciiTheme="minorHAnsi" w:hAnsiTheme="minorHAnsi" w:cstheme="minorBidi"/>
                <w:iCs/>
                <w:sz w:val="20"/>
                <w:szCs w:val="20"/>
              </w:rPr>
              <w:t xml:space="preserve"> </w:t>
            </w:r>
            <w:r w:rsidRPr="00F563CD">
              <w:rPr>
                <w:rFonts w:asciiTheme="minorHAnsi" w:hAnsiTheme="minorHAnsi" w:cs="Calibri"/>
                <w:sz w:val="20"/>
                <w:szCs w:val="20"/>
              </w:rPr>
              <w:t>aplikacije</w:t>
            </w:r>
          </w:p>
          <w:p w14:paraId="0C5393C1" w14:textId="77777777" w:rsidR="008639C5" w:rsidRPr="00F563CD" w:rsidRDefault="008639C5" w:rsidP="008639C5">
            <w:pPr>
              <w:tabs>
                <w:tab w:val="num" w:pos="720"/>
              </w:tabs>
              <w:spacing w:after="0" w:line="240" w:lineRule="auto"/>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692994EB" w14:textId="77777777" w:rsidR="00047EF8" w:rsidRPr="00F563CD" w:rsidRDefault="00864F83" w:rsidP="00A239C5">
            <w:pPr>
              <w:spacing w:after="0" w:line="240" w:lineRule="auto"/>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Arial"/>
                <w:sz w:val="20"/>
              </w:rPr>
            </w:pPr>
            <w:r w:rsidRPr="00F563CD">
              <w:rPr>
                <w:rFonts w:asciiTheme="minorHAnsi" w:hAnsiTheme="minorHAnsi" w:cs="Arial"/>
                <w:sz w:val="20"/>
                <w:szCs w:val="20"/>
              </w:rPr>
              <w:t xml:space="preserve">Link: </w:t>
            </w:r>
            <w:hyperlink r:id="rId36" w:history="1">
              <w:r w:rsidRPr="00F563CD">
                <w:rPr>
                  <w:rStyle w:val="Hyperlink"/>
                  <w:rFonts w:asciiTheme="minorHAnsi" w:hAnsiTheme="minorHAnsi" w:cs="Arial"/>
                  <w:sz w:val="20"/>
                </w:rPr>
                <w:t>https://mek.gov.me/en/library/strategije</w:t>
              </w:r>
            </w:hyperlink>
          </w:p>
          <w:p w14:paraId="0360E130" w14:textId="5B47B64D" w:rsidR="00F86ED0" w:rsidRPr="00F563CD" w:rsidRDefault="00F86ED0" w:rsidP="00A239C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047EF8" w:rsidRPr="00F563CD" w14:paraId="56251C36" w14:textId="77777777" w:rsidTr="00F86ED0">
        <w:trPr>
          <w:trHeight w:val="1794"/>
        </w:trPr>
        <w:tc>
          <w:tcPr>
            <w:cnfStyle w:val="001000000000" w:firstRow="0" w:lastRow="0" w:firstColumn="1" w:lastColumn="0" w:oddVBand="0" w:evenVBand="0" w:oddHBand="0" w:evenHBand="0" w:firstRowFirstColumn="0" w:firstRowLastColumn="0" w:lastRowFirstColumn="0" w:lastRowLastColumn="0"/>
            <w:tcW w:w="2538" w:type="dxa"/>
            <w:hideMark/>
          </w:tcPr>
          <w:p w14:paraId="6F729691" w14:textId="77777777" w:rsidR="00047EF8" w:rsidRPr="00F563CD" w:rsidRDefault="00864F83" w:rsidP="00A239C5">
            <w:pPr>
              <w:spacing w:after="0" w:line="240" w:lineRule="auto"/>
              <w:rPr>
                <w:rFonts w:asciiTheme="minorHAnsi" w:hAnsiTheme="minorHAnsi" w:cs="Arial"/>
                <w:b w:val="0"/>
                <w:bCs w:val="0"/>
                <w:sz w:val="20"/>
                <w:szCs w:val="20"/>
              </w:rPr>
            </w:pPr>
            <w:r w:rsidRPr="00F563CD">
              <w:rPr>
                <w:rFonts w:asciiTheme="minorHAnsi" w:hAnsiTheme="minorHAnsi" w:cs="Arial"/>
                <w:color w:val="auto"/>
                <w:sz w:val="20"/>
                <w:szCs w:val="20"/>
              </w:rPr>
              <w:t>Strategija razvoja energetike Crne Gore do 2030. godine</w:t>
            </w:r>
          </w:p>
          <w:p w14:paraId="1A0738F5" w14:textId="77777777" w:rsidR="00047EF8" w:rsidRPr="00F563CD" w:rsidRDefault="00047EF8" w:rsidP="00A239C5">
            <w:pPr>
              <w:spacing w:after="0" w:line="240" w:lineRule="auto"/>
              <w:rPr>
                <w:rFonts w:asciiTheme="minorHAnsi" w:hAnsiTheme="minorHAnsi" w:cs="Arial"/>
                <w:b w:val="0"/>
                <w:bCs w:val="0"/>
                <w:sz w:val="20"/>
                <w:szCs w:val="20"/>
              </w:rPr>
            </w:pPr>
          </w:p>
        </w:tc>
        <w:tc>
          <w:tcPr>
            <w:tcW w:w="8308" w:type="dxa"/>
            <w:hideMark/>
          </w:tcPr>
          <w:p w14:paraId="2220C148" w14:textId="77777777" w:rsidR="00047EF8" w:rsidRPr="00F563CD" w:rsidRDefault="00864F83" w:rsidP="00A239C5">
            <w:pPr>
              <w:numPr>
                <w:ilvl w:val="0"/>
                <w:numId w:val="6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Sigurnost u procesu snabdijevanja energijom: Kontinuirano, sigurno, kvalitetno i raznovrsno snabdijevanje energijom kako bi se isporuke uskladile sa zahtjevima kupaca;</w:t>
            </w:r>
          </w:p>
          <w:p w14:paraId="5DA3BC6C" w14:textId="77777777" w:rsidR="00047EF8" w:rsidRPr="00F563CD" w:rsidRDefault="00864F83" w:rsidP="00A239C5">
            <w:pPr>
              <w:numPr>
                <w:ilvl w:val="0"/>
                <w:numId w:val="6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Razvoj konkurentnog energetskog tržišta: Stvaranje liberalizovanog, nediskriminatornog, konkurentnog i otvorenog energetskog tržišta koje se zasniva na transparentnim uslovima;</w:t>
            </w:r>
          </w:p>
          <w:p w14:paraId="6D807032" w14:textId="44B34047" w:rsidR="00047EF8" w:rsidRPr="00F563CD" w:rsidRDefault="00864F83" w:rsidP="00A239C5">
            <w:pPr>
              <w:numPr>
                <w:ilvl w:val="0"/>
                <w:numId w:val="60"/>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Razvoj održive energije: Stvoriti uslove za razvoja energetike koji se temelji na ubrzanom ali racionalnom korišćenju sopstvenih energetskih resursa uz uvažavanje principa zaštite životne sredine, povećanje energetske efikasnosti (EE) i veće korišćenje obnovljivih izvora energije (OIE), kao i potreba za socio-ekonomskim razvojem Crne Gore.</w:t>
            </w:r>
          </w:p>
          <w:p w14:paraId="2BB5C68D" w14:textId="77777777" w:rsidR="00F86ED0" w:rsidRPr="00F563CD" w:rsidRDefault="00F86ED0" w:rsidP="00F86ED0">
            <w:pPr>
              <w:spacing w:after="0" w:line="240" w:lineRule="auto"/>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3571D14" w14:textId="77777777" w:rsidR="00047EF8" w:rsidRPr="00F563CD" w:rsidRDefault="00864F83" w:rsidP="00A239C5">
            <w:pPr>
              <w:spacing w:after="0" w:line="240" w:lineRule="auto"/>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Arial"/>
                <w:sz w:val="20"/>
              </w:rPr>
            </w:pPr>
            <w:r w:rsidRPr="00F563CD">
              <w:rPr>
                <w:rFonts w:asciiTheme="minorHAnsi" w:hAnsiTheme="minorHAnsi" w:cs="Arial"/>
                <w:sz w:val="20"/>
                <w:szCs w:val="20"/>
              </w:rPr>
              <w:t xml:space="preserve">Link: </w:t>
            </w:r>
            <w:hyperlink r:id="rId37" w:history="1">
              <w:r w:rsidRPr="00F563CD">
                <w:rPr>
                  <w:rStyle w:val="Hyperlink"/>
                  <w:rFonts w:asciiTheme="minorHAnsi" w:hAnsiTheme="minorHAnsi" w:cs="Arial"/>
                  <w:sz w:val="20"/>
                </w:rPr>
                <w:t>https://mek.gov.me/en/library/strategije</w:t>
              </w:r>
            </w:hyperlink>
          </w:p>
          <w:p w14:paraId="735D1CC1" w14:textId="2ECCD6BF" w:rsidR="00F86ED0" w:rsidRPr="00F563CD" w:rsidRDefault="00F86ED0" w:rsidP="00A239C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r w:rsidR="00047EF8" w:rsidRPr="00F563CD" w14:paraId="1E2FCCDC" w14:textId="77777777" w:rsidTr="00F86ED0">
        <w:trPr>
          <w:cnfStyle w:val="000000100000" w:firstRow="0" w:lastRow="0" w:firstColumn="0" w:lastColumn="0" w:oddVBand="0" w:evenVBand="0" w:oddHBand="1" w:evenHBand="0" w:firstRowFirstColumn="0" w:firstRowLastColumn="0" w:lastRowFirstColumn="0" w:lastRowLastColumn="0"/>
          <w:trHeight w:val="1329"/>
        </w:trPr>
        <w:tc>
          <w:tcPr>
            <w:cnfStyle w:val="001000000000" w:firstRow="0" w:lastRow="0" w:firstColumn="1" w:lastColumn="0" w:oddVBand="0" w:evenVBand="0" w:oddHBand="0" w:evenHBand="0" w:firstRowFirstColumn="0" w:firstRowLastColumn="0" w:lastRowFirstColumn="0" w:lastRowLastColumn="0"/>
            <w:tcW w:w="2538" w:type="dxa"/>
            <w:hideMark/>
          </w:tcPr>
          <w:p w14:paraId="68B82672" w14:textId="77777777" w:rsidR="00047EF8" w:rsidRPr="00F563CD" w:rsidRDefault="00864F83" w:rsidP="00A239C5">
            <w:pPr>
              <w:spacing w:after="0" w:line="240" w:lineRule="auto"/>
              <w:rPr>
                <w:rFonts w:asciiTheme="minorHAnsi" w:hAnsiTheme="minorHAnsi" w:cs="Arial"/>
                <w:b w:val="0"/>
                <w:bCs w:val="0"/>
                <w:sz w:val="20"/>
                <w:szCs w:val="20"/>
              </w:rPr>
            </w:pPr>
            <w:r w:rsidRPr="00F563CD">
              <w:rPr>
                <w:rFonts w:asciiTheme="minorHAnsi" w:hAnsiTheme="minorHAnsi" w:cs="Arial"/>
                <w:color w:val="auto"/>
                <w:sz w:val="20"/>
                <w:szCs w:val="20"/>
              </w:rPr>
              <w:t>Akcioni plan energetske efikasnosti za period 2019-2021</w:t>
            </w:r>
          </w:p>
        </w:tc>
        <w:tc>
          <w:tcPr>
            <w:tcW w:w="8308" w:type="dxa"/>
            <w:hideMark/>
          </w:tcPr>
          <w:p w14:paraId="7BA7D3A7" w14:textId="77777777"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Akcioni plan energetske efikasnosti za period 2019 - 2021, koji uključuje opšti cilj za 2020. i godišnji cilj u iznosu od 1% za zgrade koje su u vlasništvu centralnih organa uprave,</w:t>
            </w:r>
          </w:p>
          <w:p w14:paraId="706FB19D" w14:textId="77777777"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 xml:space="preserve">Za opštine:  </w:t>
            </w:r>
          </w:p>
          <w:p w14:paraId="07FDCF4C" w14:textId="232B859B"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w:t>
            </w:r>
            <w:r w:rsidRPr="00F563CD">
              <w:rPr>
                <w:rFonts w:asciiTheme="minorHAnsi" w:hAnsiTheme="minorHAnsi"/>
                <w:bCs/>
                <w:sz w:val="20"/>
                <w:szCs w:val="20"/>
              </w:rPr>
              <w:t>Implementacija mjera poboljšanja EE u javnim komunalnim preduzećima lokalnih samouprava i ostalim javnim kompanijama (strana tražnje)</w:t>
            </w:r>
            <w:r w:rsidRPr="00F563CD">
              <w:rPr>
                <w:rFonts w:asciiTheme="minorHAnsi" w:hAnsiTheme="minorHAnsi"/>
                <w:sz w:val="20"/>
                <w:szCs w:val="20"/>
              </w:rPr>
              <w:t>.</w:t>
            </w:r>
            <w:r w:rsidRPr="00F563CD">
              <w:rPr>
                <w:rFonts w:asciiTheme="minorHAnsi" w:hAnsiTheme="minorHAnsi" w:cs="Arial"/>
                <w:sz w:val="20"/>
                <w:szCs w:val="20"/>
              </w:rPr>
              <w:t>”</w:t>
            </w:r>
          </w:p>
          <w:p w14:paraId="57B15F74" w14:textId="77777777" w:rsidR="00F86ED0" w:rsidRPr="00F563CD" w:rsidRDefault="00F86ED0"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p w14:paraId="7AF6BFAF" w14:textId="77777777" w:rsidR="00047EF8" w:rsidRPr="00F563CD" w:rsidRDefault="00864F83" w:rsidP="00A239C5">
            <w:pPr>
              <w:spacing w:after="0" w:line="240" w:lineRule="auto"/>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Arial"/>
                <w:sz w:val="20"/>
              </w:rPr>
            </w:pPr>
            <w:r w:rsidRPr="00F563CD">
              <w:rPr>
                <w:rFonts w:asciiTheme="minorHAnsi" w:hAnsiTheme="minorHAnsi" w:cs="Arial"/>
                <w:sz w:val="20"/>
                <w:szCs w:val="20"/>
              </w:rPr>
              <w:t xml:space="preserve">Link: </w:t>
            </w:r>
            <w:hyperlink r:id="rId38" w:history="1">
              <w:r w:rsidRPr="00F563CD">
                <w:rPr>
                  <w:rStyle w:val="Hyperlink"/>
                  <w:rFonts w:asciiTheme="minorHAnsi" w:hAnsiTheme="minorHAnsi" w:cs="Arial"/>
                  <w:sz w:val="20"/>
                </w:rPr>
                <w:t>https://mek.gov.me/en/library/strategije</w:t>
              </w:r>
            </w:hyperlink>
          </w:p>
          <w:p w14:paraId="2F064272" w14:textId="1C0B5CE0" w:rsidR="00F86ED0" w:rsidRPr="00F563CD" w:rsidRDefault="00F86ED0" w:rsidP="00A239C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p>
        </w:tc>
      </w:tr>
      <w:tr w:rsidR="00047EF8" w:rsidRPr="00F563CD" w14:paraId="0970AD17" w14:textId="77777777" w:rsidTr="00F86ED0">
        <w:trPr>
          <w:trHeight w:val="548"/>
        </w:trPr>
        <w:tc>
          <w:tcPr>
            <w:cnfStyle w:val="001000000000" w:firstRow="0" w:lastRow="0" w:firstColumn="1" w:lastColumn="0" w:oddVBand="0" w:evenVBand="0" w:oddHBand="0" w:evenHBand="0" w:firstRowFirstColumn="0" w:firstRowLastColumn="0" w:lastRowFirstColumn="0" w:lastRowLastColumn="0"/>
            <w:tcW w:w="2538" w:type="dxa"/>
            <w:hideMark/>
          </w:tcPr>
          <w:p w14:paraId="2AD2C54D" w14:textId="77777777" w:rsidR="00047EF8" w:rsidRPr="00F563CD" w:rsidRDefault="00864F83" w:rsidP="00A239C5">
            <w:pPr>
              <w:spacing w:after="0" w:line="240" w:lineRule="auto"/>
              <w:rPr>
                <w:rFonts w:asciiTheme="minorHAnsi" w:hAnsiTheme="minorHAnsi" w:cs="Arial"/>
                <w:b w:val="0"/>
                <w:bCs w:val="0"/>
                <w:sz w:val="20"/>
                <w:szCs w:val="20"/>
              </w:rPr>
            </w:pPr>
            <w:r w:rsidRPr="00F563CD">
              <w:rPr>
                <w:rFonts w:asciiTheme="minorHAnsi" w:hAnsiTheme="minorHAnsi" w:cs="Arial"/>
                <w:color w:val="auto"/>
                <w:sz w:val="20"/>
                <w:szCs w:val="20"/>
              </w:rPr>
              <w:t>Strategija pametne specijalizacije 2019-2024</w:t>
            </w:r>
          </w:p>
        </w:tc>
        <w:tc>
          <w:tcPr>
            <w:tcW w:w="8308" w:type="dxa"/>
            <w:hideMark/>
          </w:tcPr>
          <w:p w14:paraId="72E7E958" w14:textId="77777777" w:rsidR="00047EF8" w:rsidRPr="00F563CD" w:rsidRDefault="00864F83" w:rsidP="00A239C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 xml:space="preserve">VIZIJA 2024: </w:t>
            </w:r>
            <w:r w:rsidRPr="00F563CD">
              <w:rPr>
                <w:rFonts w:asciiTheme="minorHAnsi" w:hAnsiTheme="minorHAnsi" w:cstheme="minorHAnsi"/>
                <w:sz w:val="20"/>
                <w:szCs w:val="20"/>
              </w:rPr>
              <w:t>Crna Gora je prepoznata kao regionalno energetsko čvorište, sa visokim stepenom iskorišćenosti obnovljivih izvora energije i mineralnih sirovina na principima cirkularne ekonomije i održive životne sredine.</w:t>
            </w:r>
          </w:p>
          <w:p w14:paraId="45EFD505" w14:textId="77777777" w:rsidR="00047EF8" w:rsidRPr="00F563CD" w:rsidRDefault="00864F83" w:rsidP="00A239C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SEKTORSKI CILJEVI:</w:t>
            </w:r>
          </w:p>
          <w:p w14:paraId="1CCC0AFE" w14:textId="77777777" w:rsidR="00047EF8" w:rsidRPr="00F563CD" w:rsidRDefault="00864F83" w:rsidP="00A239C5">
            <w:pPr>
              <w:numPr>
                <w:ilvl w:val="0"/>
                <w:numId w:val="6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F563CD">
              <w:rPr>
                <w:rFonts w:asciiTheme="minorHAnsi" w:hAnsiTheme="minorHAnsi" w:cs="Arial"/>
                <w:sz w:val="20"/>
                <w:szCs w:val="20"/>
              </w:rPr>
              <w:t xml:space="preserve">Unaprijediti inovativnu upotrebu obnovljivih izvora energije </w:t>
            </w:r>
          </w:p>
          <w:p w14:paraId="5ACE7482" w14:textId="6EE648E4" w:rsidR="00047EF8" w:rsidRPr="00F563CD" w:rsidRDefault="00864F83" w:rsidP="00A239C5">
            <w:pPr>
              <w:numPr>
                <w:ilvl w:val="0"/>
                <w:numId w:val="61"/>
              </w:num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563CD">
              <w:rPr>
                <w:rFonts w:asciiTheme="minorHAnsi" w:hAnsiTheme="minorHAnsi" w:cstheme="minorHAnsi"/>
                <w:sz w:val="20"/>
                <w:szCs w:val="20"/>
              </w:rPr>
              <w:t xml:space="preserve">Povećanje inovativnih aktivnosti pri recikliranju i valorizaciji otpada </w:t>
            </w:r>
          </w:p>
          <w:p w14:paraId="13873D14" w14:textId="77777777" w:rsidR="00F86ED0" w:rsidRPr="00F563CD" w:rsidRDefault="00F86ED0" w:rsidP="00F86ED0">
            <w:pPr>
              <w:spacing w:after="0" w:line="240"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5F18CFB" w14:textId="77777777" w:rsidR="00047EF8" w:rsidRPr="00F563CD" w:rsidRDefault="00864F83" w:rsidP="00F86ED0">
            <w:pPr>
              <w:spacing w:after="0" w:line="240" w:lineRule="auto"/>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Arial"/>
                <w:sz w:val="20"/>
              </w:rPr>
            </w:pPr>
            <w:r w:rsidRPr="00F563CD">
              <w:rPr>
                <w:rFonts w:asciiTheme="minorHAnsi" w:hAnsiTheme="minorHAnsi" w:cs="Arial"/>
                <w:sz w:val="20"/>
                <w:szCs w:val="20"/>
              </w:rPr>
              <w:t xml:space="preserve">Link: </w:t>
            </w:r>
            <w:hyperlink r:id="rId39" w:history="1">
              <w:r w:rsidRPr="00F563CD">
                <w:rPr>
                  <w:rStyle w:val="Hyperlink"/>
                  <w:rFonts w:asciiTheme="minorHAnsi" w:hAnsiTheme="minorHAnsi" w:cs="Arial"/>
                  <w:sz w:val="20"/>
                </w:rPr>
                <w:t>https://mna.gov.me/en/ministry/Smart_Specialisation/</w:t>
              </w:r>
            </w:hyperlink>
          </w:p>
          <w:p w14:paraId="3D588EF2" w14:textId="7E3943F8" w:rsidR="008639C5" w:rsidRPr="00F563CD" w:rsidRDefault="008639C5" w:rsidP="00F86ED0">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p>
        </w:tc>
      </w:tr>
    </w:tbl>
    <w:p w14:paraId="205AA453" w14:textId="0A6FF6C8" w:rsidR="00047EF8" w:rsidRPr="00F563CD" w:rsidRDefault="00047EF8" w:rsidP="00047EF8">
      <w:pPr>
        <w:spacing w:line="240" w:lineRule="auto"/>
        <w:jc w:val="both"/>
        <w:rPr>
          <w:rFonts w:asciiTheme="minorHAnsi" w:hAnsiTheme="minorHAnsi" w:cstheme="minorBidi"/>
          <w:i/>
          <w:sz w:val="20"/>
          <w:szCs w:val="20"/>
        </w:rPr>
      </w:pPr>
    </w:p>
    <w:p w14:paraId="505ED67F" w14:textId="77777777" w:rsidR="00047EF8" w:rsidRPr="00F563CD" w:rsidRDefault="00864F83" w:rsidP="00047EF8">
      <w:pPr>
        <w:pStyle w:val="Heading2"/>
        <w:numPr>
          <w:ilvl w:val="0"/>
          <w:numId w:val="28"/>
        </w:numPr>
        <w:rPr>
          <w:rFonts w:asciiTheme="minorHAnsi" w:hAnsiTheme="minorHAnsi" w:cs="Arial"/>
          <w:smallCaps/>
          <w:color w:val="auto"/>
          <w:sz w:val="24"/>
          <w:szCs w:val="24"/>
        </w:rPr>
      </w:pPr>
      <w:bookmarkStart w:id="39" w:name="_Toc91500267"/>
      <w:r w:rsidRPr="00F563CD">
        <w:rPr>
          <w:rFonts w:asciiTheme="minorHAnsi" w:hAnsiTheme="minorHAnsi" w:cs="Arial"/>
          <w:smallCaps/>
          <w:color w:val="auto"/>
          <w:sz w:val="24"/>
          <w:szCs w:val="24"/>
        </w:rPr>
        <w:t>Povezanost strategija zemlje korisnice sa politikom proširenja</w:t>
      </w:r>
      <w:bookmarkEnd w:id="39"/>
      <w:r w:rsidRPr="00F563CD">
        <w:rPr>
          <w:rFonts w:asciiTheme="minorHAnsi" w:hAnsiTheme="minorHAnsi" w:cs="Arial"/>
          <w:smallCaps/>
          <w:color w:val="auto"/>
          <w:sz w:val="24"/>
          <w:szCs w:val="24"/>
        </w:rPr>
        <w:t xml:space="preserve"> </w:t>
      </w:r>
    </w:p>
    <w:p w14:paraId="1B355934" w14:textId="77777777" w:rsidR="00FE2154" w:rsidRDefault="00FE2154" w:rsidP="00047EF8">
      <w:pPr>
        <w:spacing w:line="240" w:lineRule="auto"/>
        <w:jc w:val="both"/>
        <w:rPr>
          <w:rFonts w:asciiTheme="minorHAnsi" w:hAnsiTheme="minorHAnsi" w:cs="Arial"/>
          <w:sz w:val="20"/>
          <w:szCs w:val="20"/>
        </w:rPr>
      </w:pPr>
    </w:p>
    <w:p w14:paraId="7D36023C" w14:textId="769DB4FE" w:rsidR="00047EF8" w:rsidRPr="00F563CD" w:rsidRDefault="00864F83" w:rsidP="00047EF8">
      <w:pPr>
        <w:spacing w:line="240" w:lineRule="auto"/>
        <w:jc w:val="both"/>
        <w:rPr>
          <w:rFonts w:asciiTheme="minorHAnsi" w:hAnsiTheme="minorHAnsi" w:cstheme="minorBidi"/>
          <w:b/>
          <w:bCs/>
          <w:i/>
          <w:iCs/>
          <w:sz w:val="20"/>
          <w:szCs w:val="20"/>
        </w:rPr>
      </w:pPr>
      <w:r w:rsidRPr="00F563CD">
        <w:rPr>
          <w:rFonts w:asciiTheme="minorHAnsi" w:hAnsiTheme="minorHAnsi" w:cstheme="minorBidi"/>
          <w:b/>
          <w:bCs/>
          <w:i/>
          <w:iCs/>
          <w:sz w:val="20"/>
          <w:szCs w:val="20"/>
        </w:rPr>
        <w:lastRenderedPageBreak/>
        <w:t>Tematski prioritet 1: Životna sredina i klimatske promjene</w:t>
      </w:r>
    </w:p>
    <w:p w14:paraId="1C00AD49" w14:textId="2CE8A0BB" w:rsidR="00047EF8" w:rsidRPr="00F563CD" w:rsidRDefault="00864F83" w:rsidP="00047EF8">
      <w:pPr>
        <w:spacing w:line="240" w:lineRule="auto"/>
        <w:jc w:val="both"/>
        <w:rPr>
          <w:rFonts w:asciiTheme="minorHAnsi" w:eastAsia="Calibri" w:hAnsiTheme="minorHAnsi" w:cs="Calibri"/>
          <w:color w:val="000000" w:themeColor="text1"/>
          <w:sz w:val="20"/>
          <w:szCs w:val="20"/>
        </w:rPr>
      </w:pPr>
      <w:r w:rsidRPr="00F563CD">
        <w:rPr>
          <w:rFonts w:asciiTheme="minorHAnsi" w:eastAsia="Calibri" w:hAnsiTheme="minorHAnsi" w:cs="Calibri"/>
          <w:color w:val="000000" w:themeColor="text1"/>
          <w:sz w:val="20"/>
          <w:szCs w:val="20"/>
        </w:rPr>
        <w:t xml:space="preserve">Nacionalne sektorske i horizontalne strategije relevatne su za primjenu </w:t>
      </w:r>
      <w:r w:rsidRPr="00F563CD">
        <w:rPr>
          <w:rFonts w:asciiTheme="minorHAnsi" w:eastAsia="Calibri" w:hAnsiTheme="minorHAnsi" w:cs="Calibri"/>
          <w:b/>
          <w:color w:val="000000" w:themeColor="text1"/>
          <w:sz w:val="20"/>
          <w:szCs w:val="20"/>
        </w:rPr>
        <w:t>politike proširenja EU 2020</w:t>
      </w:r>
      <w:r w:rsidRPr="00F563CD">
        <w:rPr>
          <w:rFonts w:asciiTheme="minorHAnsi" w:eastAsia="Calibri" w:hAnsiTheme="minorHAnsi" w:cs="Calibri"/>
          <w:color w:val="000000" w:themeColor="text1"/>
          <w:sz w:val="20"/>
          <w:szCs w:val="20"/>
        </w:rPr>
        <w:t xml:space="preserve">, u kojoj se navodi da je u najvećem broju oblasti odrađen značajan posao na usklađivanju i pripremi za implementaciju pravne tekovine EU, i stoga u predstojećem periodu, Crna Gora treba da se usredsredi na dodatno osnaživanje administrativnih kapaciteta za sprovođenje pravne tekovine EU i da rješava ključna pitanja koja su prepoznata u </w:t>
      </w:r>
      <w:r w:rsidRPr="00F563CD">
        <w:rPr>
          <w:rFonts w:asciiTheme="minorHAnsi" w:eastAsia="Calibri" w:hAnsiTheme="minorHAnsi" w:cs="Calibri"/>
          <w:b/>
          <w:color w:val="000000" w:themeColor="text1"/>
          <w:sz w:val="20"/>
          <w:szCs w:val="20"/>
        </w:rPr>
        <w:t>Iz</w:t>
      </w:r>
      <w:r w:rsidR="00F86ED0" w:rsidRPr="00F563CD">
        <w:rPr>
          <w:rFonts w:asciiTheme="minorHAnsi" w:eastAsia="Calibri" w:hAnsiTheme="minorHAnsi" w:cs="Calibri"/>
          <w:b/>
          <w:color w:val="000000" w:themeColor="text1"/>
          <w:sz w:val="20"/>
          <w:szCs w:val="20"/>
        </w:rPr>
        <w:t xml:space="preserve">vještaju EK za Crnu Goru za </w:t>
      </w:r>
      <w:r w:rsidR="00D46B1E" w:rsidRPr="00F563CD">
        <w:rPr>
          <w:rFonts w:asciiTheme="minorHAnsi" w:eastAsia="Calibri" w:hAnsiTheme="minorHAnsi" w:cs="Calibri"/>
          <w:b/>
          <w:color w:val="000000" w:themeColor="text1"/>
          <w:sz w:val="20"/>
          <w:szCs w:val="20"/>
        </w:rPr>
        <w:t>2021</w:t>
      </w:r>
      <w:r w:rsidRPr="00F563CD">
        <w:rPr>
          <w:rFonts w:asciiTheme="minorHAnsi" w:eastAsia="Calibri" w:hAnsiTheme="minorHAnsi" w:cs="Calibri"/>
          <w:b/>
          <w:color w:val="000000" w:themeColor="text1"/>
          <w:sz w:val="20"/>
          <w:szCs w:val="20"/>
        </w:rPr>
        <w:t>.</w:t>
      </w:r>
      <w:r w:rsidRPr="00F563CD">
        <w:rPr>
          <w:rFonts w:asciiTheme="minorHAnsi" w:eastAsia="Calibri" w:hAnsiTheme="minorHAnsi" w:cs="Calibri"/>
          <w:color w:val="000000" w:themeColor="text1"/>
          <w:sz w:val="20"/>
          <w:szCs w:val="20"/>
        </w:rPr>
        <w:t xml:space="preserve"> godinu.</w:t>
      </w:r>
    </w:p>
    <w:p w14:paraId="61049C2A" w14:textId="77777777" w:rsidR="00047EF8" w:rsidRPr="00F563CD" w:rsidRDefault="00864F83" w:rsidP="00047EF8">
      <w:pPr>
        <w:spacing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b/>
          <w:sz w:val="20"/>
          <w:szCs w:val="20"/>
        </w:rPr>
        <w:t xml:space="preserve">Akcioni plan za ispunjavanje završnih mjerila u Poglavlju 27 </w:t>
      </w:r>
      <w:r w:rsidRPr="00F563CD">
        <w:rPr>
          <w:rFonts w:asciiTheme="minorHAnsi" w:eastAsiaTheme="minorEastAsia" w:hAnsiTheme="minorHAnsi" w:cstheme="minorBidi"/>
          <w:sz w:val="20"/>
          <w:szCs w:val="20"/>
        </w:rPr>
        <w:t xml:space="preserve">usvojen je u februaru 2021. godine i sadrži plan aktivnosti za osam završnih mjerila, koje je Crna Gora u obavezi da ispuni kako bi u predstojećem periodu dostigla nivo unutrašnje spremnosti za privremeno zatvaranje ovog poglavlja. Ovim Akcionim planom definisane su aktivnosti koje je neophodno realizovati kako bi se ispunile i preostale obaveze predviđene Nacionalnom strategijom i Akcionim planom za </w:t>
      </w:r>
      <w:r w:rsidRPr="00F563CD">
        <w:rPr>
          <w:rFonts w:asciiTheme="minorHAnsi" w:hAnsiTheme="minorHAnsi" w:cs="Arial"/>
          <w:sz w:val="20"/>
          <w:szCs w:val="20"/>
        </w:rPr>
        <w:t xml:space="preserve">transpoziciju, implementaciju i primjenu pravne tekovine EU u oblasti životne sredine i klimatskih promjena, tj. Akcionim planom uz Strategiju (početna mjerila), koji više nije na snazi, a odnosio se na period od jula 2016 do jula 2020. godine, tj. obaveze koje proizilaze iz Pregovaračke pozicije za Poglavlje 27, koju je Vlada Crne Gore usvojila u februaru 2018. godine. Predviđene intervencije usklađene su sa razvojem događaja na nivou EU u oblastima kao što je </w:t>
      </w:r>
      <w:r w:rsidRPr="00F563CD">
        <w:rPr>
          <w:rFonts w:asciiTheme="minorHAnsi" w:hAnsiTheme="minorHAnsi" w:cs="Arial"/>
          <w:b/>
          <w:sz w:val="20"/>
          <w:szCs w:val="20"/>
        </w:rPr>
        <w:t xml:space="preserve">Evropski zeleni dogovor </w:t>
      </w:r>
      <w:r w:rsidRPr="00F563CD">
        <w:rPr>
          <w:rFonts w:asciiTheme="minorHAnsi" w:hAnsiTheme="minorHAnsi" w:cs="Arial"/>
          <w:sz w:val="20"/>
          <w:szCs w:val="20"/>
        </w:rPr>
        <w:t xml:space="preserve">i relevantne su u kontekstu pristupanja EU i pregovaranja u okviru Poglavlja 27. Relevantni dokument u kojem su predstavljene vladine politike koje se odnose na integraciju u EU jeste </w:t>
      </w:r>
      <w:r w:rsidRPr="00F563CD">
        <w:rPr>
          <w:rFonts w:asciiTheme="minorHAnsi" w:hAnsiTheme="minorHAnsi" w:cs="Arial"/>
          <w:b/>
          <w:sz w:val="20"/>
          <w:szCs w:val="20"/>
        </w:rPr>
        <w:t>Program pristupanja Crne Gore u Evropsku uniju za period 2020-2022</w:t>
      </w:r>
      <w:r w:rsidRPr="00F563CD">
        <w:rPr>
          <w:rFonts w:asciiTheme="minorHAnsi" w:hAnsiTheme="minorHAnsi" w:cs="Arial"/>
          <w:sz w:val="20"/>
          <w:szCs w:val="20"/>
        </w:rPr>
        <w:t>.</w:t>
      </w:r>
    </w:p>
    <w:p w14:paraId="08E7DE83" w14:textId="77777777" w:rsidR="00047EF8" w:rsidRPr="00F563CD" w:rsidRDefault="00864F83" w:rsidP="00047EF8">
      <w:pPr>
        <w:spacing w:before="100" w:beforeAutospacing="1" w:after="100" w:afterAutospacing="1" w:line="240" w:lineRule="auto"/>
        <w:jc w:val="both"/>
        <w:rPr>
          <w:rFonts w:asciiTheme="minorHAnsi" w:hAnsiTheme="minorHAnsi" w:cstheme="minorHAnsi"/>
          <w:sz w:val="20"/>
          <w:szCs w:val="20"/>
          <w:lang w:eastAsia="en-US"/>
        </w:rPr>
      </w:pPr>
      <w:r w:rsidRPr="00F563CD">
        <w:rPr>
          <w:rFonts w:asciiTheme="minorHAnsi" w:eastAsia="Calibri" w:hAnsiTheme="minorHAnsi" w:cstheme="minorHAnsi"/>
          <w:color w:val="000000" w:themeColor="text1"/>
          <w:sz w:val="20"/>
          <w:szCs w:val="20"/>
        </w:rPr>
        <w:t>Smjernice za implementaciju Zelene agende za Zapadni Balkan obuhvataju akcije u okviru pet stubova. To su</w:t>
      </w:r>
      <w:r w:rsidRPr="00F563CD">
        <w:rPr>
          <w:rFonts w:asciiTheme="minorHAnsi" w:eastAsia="Calibri" w:hAnsiTheme="minorHAnsi" w:cstheme="minorHAnsi"/>
          <w:sz w:val="20"/>
          <w:szCs w:val="20"/>
        </w:rPr>
        <w:t xml:space="preserve"> (</w:t>
      </w:r>
      <w:r w:rsidRPr="00F563CD">
        <w:rPr>
          <w:rFonts w:asciiTheme="minorHAnsi" w:eastAsia="Calibri" w:hAnsiTheme="minorHAnsi" w:cstheme="minorHAnsi"/>
          <w:sz w:val="20"/>
          <w:szCs w:val="20"/>
          <w:u w:val="single"/>
        </w:rPr>
        <w:t>i</w:t>
      </w:r>
      <w:r w:rsidRPr="00F563CD">
        <w:rPr>
          <w:rFonts w:asciiTheme="minorHAnsi" w:eastAsia="Calibri" w:hAnsiTheme="minorHAnsi" w:cstheme="minorHAnsi"/>
          <w:sz w:val="20"/>
          <w:szCs w:val="20"/>
        </w:rPr>
        <w:t xml:space="preserve">) </w:t>
      </w:r>
      <w:r w:rsidRPr="00F563CD">
        <w:rPr>
          <w:rFonts w:asciiTheme="minorHAnsi" w:hAnsiTheme="minorHAnsi" w:cstheme="minorHAnsi"/>
          <w:sz w:val="20"/>
          <w:szCs w:val="20"/>
          <w:lang w:eastAsia="en-US"/>
        </w:rPr>
        <w:t>klimatska akcija, uključujući dekarbonizaciju, energetiku i mobilnost</w:t>
      </w:r>
      <w:r w:rsidRPr="00F563CD">
        <w:rPr>
          <w:rFonts w:asciiTheme="minorHAnsi" w:eastAsia="Calibri" w:hAnsiTheme="minorHAnsi" w:cstheme="minorHAnsi"/>
          <w:sz w:val="20"/>
          <w:szCs w:val="20"/>
        </w:rPr>
        <w:t>, (</w:t>
      </w:r>
      <w:r w:rsidRPr="00F563CD">
        <w:rPr>
          <w:rFonts w:asciiTheme="minorHAnsi" w:eastAsia="Calibri" w:hAnsiTheme="minorHAnsi" w:cstheme="minorHAnsi"/>
          <w:sz w:val="20"/>
          <w:szCs w:val="20"/>
          <w:u w:val="single"/>
        </w:rPr>
        <w:t>ii</w:t>
      </w:r>
      <w:r w:rsidRPr="00F563CD">
        <w:rPr>
          <w:rFonts w:asciiTheme="minorHAnsi" w:eastAsia="Calibri" w:hAnsiTheme="minorHAnsi" w:cstheme="minorHAnsi"/>
          <w:sz w:val="20"/>
          <w:szCs w:val="20"/>
        </w:rPr>
        <w:t xml:space="preserve">) </w:t>
      </w:r>
      <w:r w:rsidRPr="00F563CD">
        <w:rPr>
          <w:rFonts w:asciiTheme="minorHAnsi" w:hAnsiTheme="minorHAnsi" w:cstheme="minorHAnsi"/>
          <w:sz w:val="20"/>
          <w:szCs w:val="20"/>
          <w:lang w:eastAsia="en-US"/>
        </w:rPr>
        <w:t xml:space="preserve">cirkularna ekonomija, s posebnim osvrtom na otpad, recikliranje, održivu proizvodnju i efikasnu upotrebu resursa, </w:t>
      </w:r>
      <w:r w:rsidRPr="00F563CD">
        <w:rPr>
          <w:rFonts w:asciiTheme="minorHAnsi" w:eastAsia="Calibri" w:hAnsiTheme="minorHAnsi" w:cstheme="minorHAnsi"/>
          <w:sz w:val="20"/>
          <w:szCs w:val="20"/>
        </w:rPr>
        <w:t>(</w:t>
      </w:r>
      <w:r w:rsidRPr="00F563CD">
        <w:rPr>
          <w:rFonts w:asciiTheme="minorHAnsi" w:eastAsia="Calibri" w:hAnsiTheme="minorHAnsi" w:cstheme="minorHAnsi"/>
          <w:sz w:val="20"/>
          <w:szCs w:val="20"/>
          <w:u w:val="single"/>
        </w:rPr>
        <w:t>iii</w:t>
      </w:r>
      <w:r w:rsidRPr="00F563CD">
        <w:rPr>
          <w:rFonts w:asciiTheme="minorHAnsi" w:eastAsia="Calibri" w:hAnsiTheme="minorHAnsi" w:cstheme="minorHAnsi"/>
          <w:sz w:val="20"/>
          <w:szCs w:val="20"/>
        </w:rPr>
        <w:t xml:space="preserve">), </w:t>
      </w:r>
      <w:r w:rsidRPr="00F563CD">
        <w:rPr>
          <w:rFonts w:asciiTheme="minorHAnsi" w:hAnsiTheme="minorHAnsi" w:cstheme="minorHAnsi"/>
          <w:sz w:val="20"/>
          <w:szCs w:val="20"/>
          <w:lang w:eastAsia="en-US"/>
        </w:rPr>
        <w:t>biodiverzitet, čiji je cilj zaštita i obnavljanje prirodnog bogatstva regiona</w:t>
      </w:r>
      <w:r w:rsidRPr="00F563CD">
        <w:rPr>
          <w:rFonts w:asciiTheme="minorHAnsi" w:eastAsia="Calibri" w:hAnsiTheme="minorHAnsi" w:cstheme="minorHAnsi"/>
          <w:sz w:val="20"/>
          <w:szCs w:val="20"/>
        </w:rPr>
        <w:t>, (</w:t>
      </w:r>
      <w:r w:rsidRPr="00F563CD">
        <w:rPr>
          <w:rFonts w:asciiTheme="minorHAnsi" w:eastAsia="Calibri" w:hAnsiTheme="minorHAnsi" w:cstheme="minorHAnsi"/>
          <w:sz w:val="20"/>
          <w:szCs w:val="20"/>
          <w:u w:val="single"/>
        </w:rPr>
        <w:t>iv</w:t>
      </w:r>
      <w:r w:rsidRPr="00F563CD">
        <w:rPr>
          <w:rFonts w:asciiTheme="minorHAnsi" w:eastAsia="Calibri" w:hAnsiTheme="minorHAnsi" w:cstheme="minorHAnsi"/>
          <w:sz w:val="20"/>
          <w:szCs w:val="20"/>
        </w:rPr>
        <w:t xml:space="preserve">) </w:t>
      </w:r>
      <w:r w:rsidRPr="00F563CD">
        <w:rPr>
          <w:rFonts w:asciiTheme="minorHAnsi" w:hAnsiTheme="minorHAnsi" w:cstheme="minorHAnsi"/>
          <w:sz w:val="20"/>
          <w:szCs w:val="20"/>
          <w:lang w:eastAsia="en-US"/>
        </w:rPr>
        <w:t>borba protiv zagađenja vazduha, vode i zemljišta i</w:t>
      </w:r>
      <w:r w:rsidRPr="00F563CD">
        <w:rPr>
          <w:rFonts w:asciiTheme="minorHAnsi" w:eastAsia="Calibri" w:hAnsiTheme="minorHAnsi" w:cstheme="minorHAnsi"/>
          <w:sz w:val="20"/>
          <w:szCs w:val="20"/>
        </w:rPr>
        <w:t xml:space="preserve"> (</w:t>
      </w:r>
      <w:r w:rsidRPr="00F563CD">
        <w:rPr>
          <w:rFonts w:asciiTheme="minorHAnsi" w:eastAsia="Calibri" w:hAnsiTheme="minorHAnsi" w:cstheme="minorHAnsi"/>
          <w:sz w:val="20"/>
          <w:szCs w:val="20"/>
          <w:u w:val="single"/>
        </w:rPr>
        <w:t>v</w:t>
      </w:r>
      <w:r w:rsidRPr="00F563CD">
        <w:rPr>
          <w:rFonts w:asciiTheme="minorHAnsi" w:eastAsia="Calibri" w:hAnsiTheme="minorHAnsi" w:cstheme="minorHAnsi"/>
          <w:sz w:val="20"/>
          <w:szCs w:val="20"/>
        </w:rPr>
        <w:t>)</w:t>
      </w:r>
      <w:r w:rsidRPr="00F563CD">
        <w:rPr>
          <w:rFonts w:asciiTheme="minorHAnsi" w:hAnsiTheme="minorHAnsi" w:cstheme="minorHAnsi"/>
          <w:sz w:val="20"/>
          <w:szCs w:val="20"/>
          <w:lang w:eastAsia="en-US"/>
        </w:rPr>
        <w:t xml:space="preserve"> održiva ruralna područja i lanci za proizvodnju hrane. Nacionalne horizontalne i sektorske strategije usaglašene su sa Zelenom agendom i podupiru njenu implementaciju, naročito u okviru stubova 1,2,3, i 4.</w:t>
      </w:r>
    </w:p>
    <w:p w14:paraId="4250069B" w14:textId="79911C86" w:rsidR="00047EF8" w:rsidRPr="00F563CD" w:rsidRDefault="00864F83" w:rsidP="00FE2154">
      <w:pPr>
        <w:spacing w:after="100" w:afterAutospacing="1" w:line="240" w:lineRule="auto"/>
        <w:jc w:val="both"/>
        <w:rPr>
          <w:rFonts w:asciiTheme="minorHAnsi" w:hAnsiTheme="minorHAnsi" w:cstheme="minorHAnsi"/>
          <w:sz w:val="20"/>
          <w:szCs w:val="20"/>
          <w:lang w:eastAsia="en-US"/>
        </w:rPr>
      </w:pPr>
      <w:r w:rsidRPr="00F563CD">
        <w:rPr>
          <w:rFonts w:asciiTheme="minorHAnsi" w:hAnsiTheme="minorHAnsi" w:cstheme="minorHAnsi"/>
          <w:sz w:val="20"/>
          <w:szCs w:val="20"/>
          <w:lang w:eastAsia="en-US"/>
        </w:rPr>
        <w:t xml:space="preserve">Nacionalne sektorske strategije su usaglašene i sa </w:t>
      </w:r>
      <w:r w:rsidRPr="00F563CD">
        <w:rPr>
          <w:rFonts w:asciiTheme="minorHAnsi" w:hAnsiTheme="minorHAnsi" w:cstheme="minorHAnsi"/>
          <w:b/>
          <w:sz w:val="20"/>
          <w:szCs w:val="20"/>
          <w:lang w:eastAsia="en-US"/>
        </w:rPr>
        <w:t>Ekonomskim i investicionim planom za Zapadni Balkan</w:t>
      </w:r>
      <w:r w:rsidRPr="00F563CD">
        <w:rPr>
          <w:rFonts w:asciiTheme="minorHAnsi" w:hAnsiTheme="minorHAnsi" w:cstheme="minorHAnsi"/>
          <w:sz w:val="20"/>
          <w:szCs w:val="20"/>
          <w:lang w:eastAsia="en-US"/>
        </w:rPr>
        <w:t xml:space="preserve">, koji ima za cilj da podstakne dugoročni razvoj regiona, kao i zelenu i digitalnu transformaciju, da osnaži ekonomsku regionalnu saradnju i ekonomski razvoj, i obezbijedi podršku reformama koje su neophodne na putu ka EU. </w:t>
      </w:r>
      <w:r w:rsidRPr="00F563CD">
        <w:rPr>
          <w:rFonts w:asciiTheme="minorHAnsi" w:eastAsia="Calibri" w:hAnsiTheme="minorHAnsi" w:cs="Calibri"/>
          <w:sz w:val="20"/>
          <w:szCs w:val="20"/>
        </w:rPr>
        <w:t xml:space="preserve">Nacionalne strategije doprinose sprovođenju preporuka iz Izvještaja o napretku za Crnu Goru za </w:t>
      </w:r>
      <w:r w:rsidR="007840BE" w:rsidRPr="00F563CD">
        <w:rPr>
          <w:rFonts w:asciiTheme="minorHAnsi" w:eastAsia="Calibri" w:hAnsiTheme="minorHAnsi" w:cs="Calibri"/>
          <w:sz w:val="20"/>
          <w:szCs w:val="20"/>
        </w:rPr>
        <w:t>2021</w:t>
      </w:r>
      <w:r w:rsidRPr="00F563CD">
        <w:rPr>
          <w:rFonts w:asciiTheme="minorHAnsi" w:eastAsia="Calibri" w:hAnsiTheme="minorHAnsi" w:cs="Calibri"/>
          <w:sz w:val="20"/>
          <w:szCs w:val="20"/>
        </w:rPr>
        <w:t>. godinu, u dijelu koji se odnosi na Poglavlje 27, a u kojima se navodi da Crna Gora treba značajno da intenzivira svoje aktivnosti u oblasti zelene tranzicije i da ostane usredsređena na sljedeće:</w:t>
      </w:r>
    </w:p>
    <w:p w14:paraId="131A38EF" w14:textId="77777777" w:rsidR="00047EF8" w:rsidRPr="00F563CD" w:rsidRDefault="00864F83" w:rsidP="007840BE">
      <w:pPr>
        <w:pStyle w:val="ListParagraph"/>
        <w:numPr>
          <w:ilvl w:val="0"/>
          <w:numId w:val="63"/>
        </w:numPr>
        <w:autoSpaceDE w:val="0"/>
        <w:autoSpaceDN w:val="0"/>
        <w:adjustRightInd w:val="0"/>
        <w:spacing w:after="0" w:line="240" w:lineRule="auto"/>
        <w:jc w:val="both"/>
        <w:rPr>
          <w:rFonts w:asciiTheme="minorHAnsi" w:hAnsiTheme="minorHAnsi" w:cstheme="minorHAnsi"/>
          <w:iCs/>
          <w:sz w:val="20"/>
          <w:szCs w:val="20"/>
        </w:rPr>
      </w:pPr>
      <w:r w:rsidRPr="00F563CD">
        <w:rPr>
          <w:rFonts w:asciiTheme="minorHAnsi" w:hAnsiTheme="minorHAnsi" w:cstheme="minorHAnsi"/>
          <w:iCs/>
          <w:sz w:val="20"/>
          <w:szCs w:val="20"/>
        </w:rPr>
        <w:t>valjanu implementaciju Nacionalne strategije za transponovanje, implementaciju i sprovođenje pravne tekovine EU u oblasti životne sredine i klimatskih promjena, naročito u sektorima otpada, voda i zaštite prirode;</w:t>
      </w:r>
    </w:p>
    <w:p w14:paraId="7006ED62" w14:textId="77777777" w:rsidR="00047EF8" w:rsidRPr="00F563CD" w:rsidRDefault="00864F83" w:rsidP="007840BE">
      <w:pPr>
        <w:pStyle w:val="ListParagraph"/>
        <w:numPr>
          <w:ilvl w:val="0"/>
          <w:numId w:val="63"/>
        </w:numPr>
        <w:autoSpaceDE w:val="0"/>
        <w:autoSpaceDN w:val="0"/>
        <w:adjustRightInd w:val="0"/>
        <w:spacing w:after="0" w:line="240" w:lineRule="auto"/>
        <w:jc w:val="both"/>
        <w:rPr>
          <w:rFonts w:asciiTheme="minorHAnsi" w:hAnsiTheme="minorHAnsi" w:cstheme="minorHAnsi"/>
          <w:iCs/>
          <w:sz w:val="20"/>
          <w:szCs w:val="20"/>
        </w:rPr>
      </w:pPr>
      <w:r w:rsidRPr="00F563CD">
        <w:rPr>
          <w:rFonts w:asciiTheme="minorHAnsi" w:hAnsiTheme="minorHAnsi" w:cstheme="minorHAnsi"/>
          <w:iCs/>
          <w:sz w:val="20"/>
          <w:szCs w:val="20"/>
        </w:rPr>
        <w:t>preduzimanje urgentnih mjera za očuvanje i poboljšanje ekološke vrijednosti zaštićenih područja i potencijalnih lokacija u okviru projekta Natura 2000, kao što su Ulcinjska solana, Skadarsko jezero, rijeka Tara i ostali riječni tokovi;</w:t>
      </w:r>
    </w:p>
    <w:p w14:paraId="7105AD8D" w14:textId="5D77F954" w:rsidR="00047EF8" w:rsidRPr="00F563CD" w:rsidRDefault="00864F83" w:rsidP="007840BE">
      <w:pPr>
        <w:pStyle w:val="ListParagraph"/>
        <w:numPr>
          <w:ilvl w:val="0"/>
          <w:numId w:val="63"/>
        </w:numPr>
        <w:spacing w:line="240" w:lineRule="auto"/>
        <w:jc w:val="both"/>
        <w:rPr>
          <w:rFonts w:asciiTheme="minorHAnsi" w:eastAsia="Calibri" w:hAnsiTheme="minorHAnsi" w:cstheme="minorHAnsi"/>
          <w:sz w:val="20"/>
          <w:szCs w:val="20"/>
        </w:rPr>
      </w:pPr>
      <w:r w:rsidRPr="00F563CD">
        <w:rPr>
          <w:rFonts w:asciiTheme="minorHAnsi" w:hAnsiTheme="minorHAnsi" w:cstheme="minorHAnsi"/>
          <w:iCs/>
          <w:sz w:val="20"/>
          <w:szCs w:val="20"/>
        </w:rPr>
        <w:t>izradu Nacionalnog energetskog i klimatskog plana u skladu sa preporukama Energetske zajednice.</w:t>
      </w:r>
    </w:p>
    <w:p w14:paraId="01DFDF15" w14:textId="77777777" w:rsidR="00047EF8" w:rsidRPr="00F563CD" w:rsidRDefault="00864F83" w:rsidP="007840BE">
      <w:pPr>
        <w:spacing w:line="240" w:lineRule="auto"/>
        <w:jc w:val="both"/>
        <w:rPr>
          <w:rFonts w:asciiTheme="minorHAnsi" w:hAnsiTheme="minorHAnsi" w:cstheme="minorBidi"/>
          <w:b/>
          <w:bCs/>
          <w:i/>
          <w:iCs/>
          <w:sz w:val="20"/>
          <w:szCs w:val="20"/>
        </w:rPr>
      </w:pPr>
      <w:r w:rsidRPr="00F563CD">
        <w:rPr>
          <w:rFonts w:asciiTheme="minorHAnsi" w:hAnsiTheme="minorHAnsi" w:cstheme="minorBidi"/>
          <w:b/>
          <w:bCs/>
          <w:i/>
          <w:iCs/>
          <w:sz w:val="20"/>
          <w:szCs w:val="20"/>
        </w:rPr>
        <w:t>Tematski prioritet 2: Saobraćaj, digitalna ekonomija i društvo, i energetika</w:t>
      </w:r>
    </w:p>
    <w:p w14:paraId="047DC8A1" w14:textId="77777777" w:rsidR="00047EF8" w:rsidRPr="00F563CD" w:rsidRDefault="00864F83" w:rsidP="007840BE">
      <w:pPr>
        <w:spacing w:after="0" w:line="240" w:lineRule="auto"/>
        <w:jc w:val="both"/>
        <w:rPr>
          <w:rFonts w:asciiTheme="minorHAnsi" w:eastAsia="Calibri" w:hAnsiTheme="minorHAnsi" w:cs="Calibri"/>
          <w:color w:val="000000" w:themeColor="text1"/>
          <w:sz w:val="20"/>
          <w:szCs w:val="20"/>
        </w:rPr>
      </w:pPr>
      <w:r w:rsidRPr="00F563CD">
        <w:rPr>
          <w:rFonts w:asciiTheme="minorHAnsi" w:eastAsia="Calibri" w:hAnsiTheme="minorHAnsi" w:cs="Calibri"/>
          <w:color w:val="000000" w:themeColor="text1"/>
          <w:sz w:val="20"/>
          <w:szCs w:val="20"/>
        </w:rPr>
        <w:t xml:space="preserve">U kontekstu saobraćaja, digitalne ekonomije i društva, i energetike, nacionalne sektorske i horizontalne startegije su relevantne i za implementaciju </w:t>
      </w:r>
      <w:r w:rsidRPr="00F563CD">
        <w:rPr>
          <w:rFonts w:asciiTheme="minorHAnsi" w:eastAsia="Calibri" w:hAnsiTheme="minorHAnsi" w:cs="Calibri"/>
          <w:b/>
          <w:color w:val="000000" w:themeColor="text1"/>
          <w:sz w:val="20"/>
          <w:szCs w:val="20"/>
        </w:rPr>
        <w:t>politike proširenja EU 2020</w:t>
      </w:r>
      <w:r w:rsidRPr="00F563CD">
        <w:rPr>
          <w:rFonts w:asciiTheme="minorHAnsi" w:eastAsia="Calibri" w:hAnsiTheme="minorHAnsi" w:cs="Calibri"/>
          <w:color w:val="000000" w:themeColor="text1"/>
          <w:sz w:val="20"/>
          <w:szCs w:val="20"/>
        </w:rPr>
        <w:t>, preciznije:</w:t>
      </w:r>
    </w:p>
    <w:p w14:paraId="68866B1B" w14:textId="77777777" w:rsidR="00047EF8" w:rsidRPr="00F563CD" w:rsidRDefault="00864F83" w:rsidP="007840BE">
      <w:pPr>
        <w:pStyle w:val="ListParagraph"/>
        <w:numPr>
          <w:ilvl w:val="0"/>
          <w:numId w:val="64"/>
        </w:numPr>
        <w:spacing w:after="0" w:line="240" w:lineRule="auto"/>
        <w:jc w:val="both"/>
        <w:rPr>
          <w:rFonts w:asciiTheme="minorHAnsi" w:hAnsiTheme="minorHAnsi" w:cs="Arial"/>
          <w:sz w:val="20"/>
          <w:szCs w:val="20"/>
        </w:rPr>
      </w:pPr>
      <w:r w:rsidRPr="00F563CD">
        <w:rPr>
          <w:rFonts w:asciiTheme="minorHAnsi" w:hAnsiTheme="minorHAnsi" w:cs="Arial"/>
          <w:b/>
          <w:sz w:val="20"/>
          <w:szCs w:val="20"/>
        </w:rPr>
        <w:t>Strategija za Zapadni Balkan</w:t>
      </w:r>
      <w:r w:rsidRPr="00F563CD">
        <w:rPr>
          <w:rFonts w:asciiTheme="minorHAnsi" w:hAnsiTheme="minorHAnsi" w:cs="Arial"/>
          <w:sz w:val="20"/>
          <w:szCs w:val="20"/>
        </w:rPr>
        <w:t xml:space="preserve">, prije svega </w:t>
      </w:r>
      <w:r w:rsidRPr="00F563CD">
        <w:rPr>
          <w:rFonts w:asciiTheme="minorHAnsi" w:hAnsiTheme="minorHAnsi" w:cs="Arial"/>
          <w:b/>
          <w:sz w:val="20"/>
          <w:szCs w:val="20"/>
        </w:rPr>
        <w:t xml:space="preserve">agenda povezivanja, zelena i digitalna agenda </w:t>
      </w:r>
      <w:r w:rsidRPr="00F563CD">
        <w:rPr>
          <w:rFonts w:asciiTheme="minorHAnsi" w:hAnsiTheme="minorHAnsi" w:cs="Arial"/>
          <w:sz w:val="20"/>
          <w:szCs w:val="20"/>
        </w:rPr>
        <w:t>koje su njom predviđene:</w:t>
      </w:r>
    </w:p>
    <w:p w14:paraId="07C7D87F" w14:textId="77777777" w:rsidR="00047EF8" w:rsidRPr="00F563CD" w:rsidRDefault="00864F83" w:rsidP="007840BE">
      <w:pPr>
        <w:pStyle w:val="ListParagraph"/>
        <w:numPr>
          <w:ilvl w:val="1"/>
          <w:numId w:val="64"/>
        </w:numPr>
        <w:spacing w:after="0" w:line="240" w:lineRule="auto"/>
        <w:jc w:val="both"/>
        <w:rPr>
          <w:rFonts w:asciiTheme="minorHAnsi" w:hAnsiTheme="minorHAnsi" w:cs="Arial"/>
          <w:sz w:val="20"/>
          <w:szCs w:val="20"/>
        </w:rPr>
      </w:pPr>
      <w:r w:rsidRPr="00F563CD">
        <w:rPr>
          <w:rFonts w:asciiTheme="minorHAnsi" w:hAnsiTheme="minorHAnsi" w:cs="Arial"/>
          <w:sz w:val="20"/>
          <w:szCs w:val="20"/>
        </w:rPr>
        <w:t xml:space="preserve">Uvezanost sa agendom povezivanja: </w:t>
      </w:r>
      <w:r w:rsidRPr="00F563CD">
        <w:rPr>
          <w:rFonts w:asciiTheme="minorHAnsi" w:hAnsiTheme="minorHAnsi" w:cstheme="minorBidi"/>
          <w:iCs/>
          <w:sz w:val="20"/>
          <w:szCs w:val="20"/>
        </w:rPr>
        <w:t>Unaprijediti pametni, održivi, inkluzivni, bezbjedni saobraćaj, i ukloniti uska grla u infrastukturama glavnih mreža, pri čemu se primjena ITS-a i održiva saobraćajna sredstva smatraju ključnim prioritetima;</w:t>
      </w:r>
    </w:p>
    <w:p w14:paraId="18C947B2" w14:textId="77777777" w:rsidR="00047EF8" w:rsidRPr="00F563CD" w:rsidRDefault="00864F83" w:rsidP="007840BE">
      <w:pPr>
        <w:pStyle w:val="ListParagraph"/>
        <w:numPr>
          <w:ilvl w:val="1"/>
          <w:numId w:val="64"/>
        </w:numPr>
        <w:spacing w:after="0" w:line="240" w:lineRule="auto"/>
        <w:jc w:val="both"/>
        <w:rPr>
          <w:rFonts w:asciiTheme="minorHAnsi" w:hAnsiTheme="minorHAnsi" w:cs="Arial"/>
          <w:sz w:val="20"/>
          <w:szCs w:val="20"/>
        </w:rPr>
      </w:pPr>
      <w:r w:rsidRPr="00F563CD">
        <w:rPr>
          <w:rFonts w:asciiTheme="minorHAnsi" w:hAnsiTheme="minorHAnsi" w:cs="Arial"/>
          <w:sz w:val="20"/>
          <w:szCs w:val="20"/>
        </w:rPr>
        <w:t>Uvezanost sa zelenom agendom: Ubrzati prelazak na niskougljeničnu ekonomiju i promovisati prelazak na čistu energiju i evropsko integrisano energetsko tržište;</w:t>
      </w:r>
    </w:p>
    <w:p w14:paraId="7CD03D0B" w14:textId="77777777" w:rsidR="00047EF8" w:rsidRPr="00F563CD" w:rsidRDefault="00864F83" w:rsidP="007840BE">
      <w:pPr>
        <w:pStyle w:val="ListParagraph"/>
        <w:numPr>
          <w:ilvl w:val="1"/>
          <w:numId w:val="64"/>
        </w:numPr>
        <w:spacing w:after="0"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 xml:space="preserve">Uvezanost sa digitalnom </w:t>
      </w:r>
      <w:proofErr w:type="gramStart"/>
      <w:r w:rsidRPr="00F563CD">
        <w:rPr>
          <w:rFonts w:asciiTheme="minorHAnsi" w:hAnsiTheme="minorHAnsi" w:cs="Arial"/>
          <w:sz w:val="20"/>
          <w:szCs w:val="20"/>
          <w:lang w:val="fr-BE"/>
        </w:rPr>
        <w:t>agendom:</w:t>
      </w:r>
      <w:proofErr w:type="gramEnd"/>
      <w:r w:rsidRPr="00F563CD">
        <w:rPr>
          <w:rFonts w:asciiTheme="minorHAnsi" w:hAnsiTheme="minorHAnsi" w:cs="Arial"/>
          <w:sz w:val="20"/>
          <w:szCs w:val="20"/>
          <w:lang w:val="fr-BE"/>
        </w:rPr>
        <w:t xml:space="preserve"> Podržati digitalizaciju ekonomije kroz investicije u digitalnu infrastrukturu.</w:t>
      </w:r>
    </w:p>
    <w:p w14:paraId="5BC2D6D7" w14:textId="77777777" w:rsidR="00047EF8" w:rsidRPr="00F563CD" w:rsidRDefault="00047EF8" w:rsidP="00047EF8">
      <w:pPr>
        <w:pStyle w:val="ListParagraph"/>
        <w:spacing w:after="0" w:line="240" w:lineRule="auto"/>
        <w:ind w:left="1440"/>
        <w:jc w:val="both"/>
        <w:rPr>
          <w:rFonts w:asciiTheme="minorHAnsi" w:hAnsiTheme="minorHAnsi" w:cs="Arial"/>
          <w:sz w:val="20"/>
          <w:szCs w:val="20"/>
          <w:lang w:val="fr-BE"/>
        </w:rPr>
      </w:pPr>
    </w:p>
    <w:p w14:paraId="5CB8DC15" w14:textId="77777777" w:rsidR="00047EF8" w:rsidRPr="00F563CD" w:rsidRDefault="00864F83" w:rsidP="00047EF8">
      <w:pPr>
        <w:pStyle w:val="ListParagraph"/>
        <w:numPr>
          <w:ilvl w:val="0"/>
          <w:numId w:val="64"/>
        </w:numPr>
        <w:spacing w:after="0" w:line="240" w:lineRule="auto"/>
        <w:jc w:val="both"/>
        <w:rPr>
          <w:rFonts w:asciiTheme="minorHAnsi" w:hAnsiTheme="minorHAnsi" w:cs="Arial"/>
          <w:sz w:val="20"/>
          <w:szCs w:val="20"/>
          <w:lang w:val="fr-BE"/>
        </w:rPr>
      </w:pPr>
      <w:r w:rsidRPr="00F563CD">
        <w:rPr>
          <w:rFonts w:asciiTheme="minorHAnsi" w:hAnsiTheme="minorHAnsi" w:cs="Arial"/>
          <w:b/>
          <w:sz w:val="20"/>
          <w:szCs w:val="20"/>
          <w:lang w:val="fr-BE"/>
        </w:rPr>
        <w:t xml:space="preserve">Saopštenje o politici proširenja EU za </w:t>
      </w:r>
      <w:proofErr w:type="gramStart"/>
      <w:r w:rsidRPr="00F563CD">
        <w:rPr>
          <w:rFonts w:asciiTheme="minorHAnsi" w:hAnsiTheme="minorHAnsi" w:cs="Arial"/>
          <w:b/>
          <w:sz w:val="20"/>
          <w:szCs w:val="20"/>
          <w:lang w:val="fr-BE"/>
        </w:rPr>
        <w:t>2019</w:t>
      </w:r>
      <w:r w:rsidRPr="00F563CD">
        <w:rPr>
          <w:rFonts w:asciiTheme="minorHAnsi" w:hAnsiTheme="minorHAnsi" w:cs="Arial"/>
          <w:sz w:val="20"/>
          <w:szCs w:val="20"/>
          <w:lang w:val="fr-BE"/>
        </w:rPr>
        <w:t>;</w:t>
      </w:r>
      <w:proofErr w:type="gramEnd"/>
      <w:r w:rsidRPr="00F563CD">
        <w:rPr>
          <w:rFonts w:asciiTheme="minorHAnsi" w:hAnsiTheme="minorHAnsi" w:cs="Arial"/>
          <w:sz w:val="20"/>
          <w:szCs w:val="20"/>
          <w:lang w:val="fr-BE"/>
        </w:rPr>
        <w:t xml:space="preserve"> gdje se jasno navodi da se očekuje dodatni napredak u pogledu unapređenja mjera bezbjednosti i ITS-a, odnosno da ,,Kašnjenja u sprovođenju velikih infrastrukturnih projekata ukazuju na ograničene kapacitete za povlačenje sredstava.’’ U dijelu koji se tiče energetike, ukazuje se na potrebu za usklađivanjem sa unutrašnjim energetskim tržištem EU i promovisanjem niskougljenične ekonomije. Kada je u </w:t>
      </w:r>
      <w:r w:rsidRPr="00F563CD">
        <w:rPr>
          <w:rFonts w:asciiTheme="minorHAnsi" w:hAnsiTheme="minorHAnsi" w:cs="Arial"/>
          <w:sz w:val="20"/>
          <w:szCs w:val="20"/>
          <w:lang w:val="fr-BE"/>
        </w:rPr>
        <w:lastRenderedPageBreak/>
        <w:t xml:space="preserve">pitanju digitalna ekonomija, Strategija razvoja informacionog društva Crne Gore doprinosi stvaranju preduslova u pogledu IT povezanosti i bezbjednosti, a u cilju razvoja digitalne ekonomije u Crnoj Gori. </w:t>
      </w:r>
    </w:p>
    <w:p w14:paraId="3ADFF3A3" w14:textId="77777777" w:rsidR="00047EF8" w:rsidRPr="00F563CD" w:rsidRDefault="00864F83" w:rsidP="00047EF8">
      <w:pPr>
        <w:pStyle w:val="ListParagraph"/>
        <w:numPr>
          <w:ilvl w:val="0"/>
          <w:numId w:val="64"/>
        </w:numPr>
        <w:spacing w:after="0" w:line="240" w:lineRule="auto"/>
        <w:jc w:val="both"/>
        <w:rPr>
          <w:rFonts w:asciiTheme="minorHAnsi" w:hAnsiTheme="minorHAnsi" w:cstheme="minorHAnsi"/>
          <w:sz w:val="20"/>
          <w:szCs w:val="20"/>
          <w:lang w:val="fr-BE"/>
        </w:rPr>
      </w:pPr>
      <w:r w:rsidRPr="00F563CD">
        <w:rPr>
          <w:rFonts w:asciiTheme="minorHAnsi" w:hAnsiTheme="minorHAnsi" w:cs="Arial"/>
          <w:b/>
          <w:sz w:val="20"/>
          <w:szCs w:val="20"/>
          <w:lang w:val="fr-BE"/>
        </w:rPr>
        <w:t>Ugovor o osnivanju transportne zajednice</w:t>
      </w:r>
      <w:r w:rsidRPr="00F563CD">
        <w:rPr>
          <w:rFonts w:asciiTheme="minorHAnsi" w:hAnsiTheme="minorHAnsi" w:cs="Arial"/>
          <w:sz w:val="20"/>
          <w:szCs w:val="20"/>
          <w:lang w:val="fr-BE"/>
        </w:rPr>
        <w:t xml:space="preserve">, koji progresivnu integraciju u transportno tržište EU definiše putem tehničkih standarda, interoperabilnosti, bezbjednosti, sigurnosti i upravljanja saobraćajem, u i kojem je posebno naglašen značaj izgradnje kapaciteta i </w:t>
      </w:r>
      <w:r w:rsidRPr="00F563CD">
        <w:rPr>
          <w:rFonts w:asciiTheme="minorHAnsi" w:hAnsiTheme="minorHAnsi" w:cstheme="minorHAnsi"/>
          <w:sz w:val="20"/>
          <w:szCs w:val="20"/>
          <w:lang w:val="fr-BE"/>
        </w:rPr>
        <w:t xml:space="preserve">pravne tekovine. </w:t>
      </w:r>
    </w:p>
    <w:p w14:paraId="3C927E2B" w14:textId="77777777" w:rsidR="00047EF8" w:rsidRPr="00F563CD" w:rsidRDefault="00864F83" w:rsidP="00047EF8">
      <w:pPr>
        <w:pStyle w:val="ListParagraph"/>
        <w:numPr>
          <w:ilvl w:val="0"/>
          <w:numId w:val="64"/>
        </w:numPr>
        <w:spacing w:after="0" w:line="240" w:lineRule="auto"/>
        <w:jc w:val="both"/>
        <w:rPr>
          <w:rFonts w:asciiTheme="minorHAnsi" w:hAnsiTheme="minorHAnsi" w:cstheme="minorHAnsi"/>
          <w:sz w:val="20"/>
          <w:szCs w:val="20"/>
          <w:lang w:val="fr-BE"/>
        </w:rPr>
      </w:pPr>
      <w:r w:rsidRPr="00F563CD">
        <w:rPr>
          <w:rFonts w:asciiTheme="minorHAnsi" w:hAnsiTheme="minorHAnsi" w:cstheme="minorHAnsi"/>
          <w:b/>
          <w:sz w:val="20"/>
          <w:szCs w:val="20"/>
          <w:lang w:val="fr-BE"/>
        </w:rPr>
        <w:t>Program pristupanja Crne Gore Evropskoj uniji 2020-</w:t>
      </w:r>
      <w:proofErr w:type="gramStart"/>
      <w:r w:rsidRPr="00F563CD">
        <w:rPr>
          <w:rFonts w:asciiTheme="minorHAnsi" w:hAnsiTheme="minorHAnsi" w:cstheme="minorHAnsi"/>
          <w:b/>
          <w:sz w:val="20"/>
          <w:szCs w:val="20"/>
          <w:lang w:val="fr-BE"/>
        </w:rPr>
        <w:t>2022</w:t>
      </w:r>
      <w:r w:rsidRPr="00F563CD">
        <w:rPr>
          <w:rFonts w:asciiTheme="minorHAnsi" w:hAnsiTheme="minorHAnsi" w:cstheme="minorHAnsi"/>
          <w:sz w:val="20"/>
          <w:szCs w:val="20"/>
          <w:lang w:val="fr-BE"/>
        </w:rPr>
        <w:t>;</w:t>
      </w:r>
      <w:proofErr w:type="gramEnd"/>
      <w:r w:rsidRPr="00F563CD">
        <w:rPr>
          <w:rFonts w:asciiTheme="minorHAnsi" w:hAnsiTheme="minorHAnsi" w:cstheme="minorHAnsi"/>
          <w:sz w:val="20"/>
          <w:szCs w:val="20"/>
          <w:lang w:val="fr-BE"/>
        </w:rPr>
        <w:t xml:space="preserve"> prije svega u sljedećim djelovima:</w:t>
      </w:r>
    </w:p>
    <w:p w14:paraId="5AFF1C2C" w14:textId="77777777" w:rsidR="00047EF8" w:rsidRPr="00F563CD" w:rsidRDefault="00864F83" w:rsidP="00047EF8">
      <w:pPr>
        <w:pStyle w:val="ListParagraph"/>
        <w:numPr>
          <w:ilvl w:val="1"/>
          <w:numId w:val="64"/>
        </w:numPr>
        <w:spacing w:after="0" w:line="240" w:lineRule="auto"/>
        <w:jc w:val="both"/>
        <w:rPr>
          <w:rFonts w:asciiTheme="minorHAnsi" w:hAnsiTheme="minorHAnsi" w:cstheme="minorHAnsi"/>
          <w:sz w:val="20"/>
          <w:szCs w:val="20"/>
          <w:lang w:val="fr-BE"/>
        </w:rPr>
      </w:pPr>
      <w:r w:rsidRPr="00F563CD">
        <w:rPr>
          <w:rFonts w:asciiTheme="minorHAnsi" w:hAnsiTheme="minorHAnsi" w:cstheme="minorHAnsi"/>
          <w:sz w:val="20"/>
          <w:szCs w:val="20"/>
          <w:lang w:val="fr-BE"/>
        </w:rPr>
        <w:t xml:space="preserve">Poglavlje 14 Saobraćajna politika, intervencije su predviđene </w:t>
      </w:r>
      <w:r w:rsidRPr="00F563CD">
        <w:rPr>
          <w:rFonts w:asciiTheme="minorHAnsi" w:hAnsiTheme="minorHAnsi" w:cstheme="minorHAnsi"/>
          <w:color w:val="000000"/>
          <w:sz w:val="20"/>
          <w:szCs w:val="20"/>
          <w:lang w:val="fr-BE"/>
        </w:rPr>
        <w:t>Akcionim planom za sprovođenje Strategije razvoja saobraćaja 2019-2035 i različitim podsektorima u obasti saobraćaja, i shodno tome implicira osnaživanje njihovih glavnih institucija i organa u pogledu kapaciteta, zakonodavnog okvira i procesa.</w:t>
      </w:r>
    </w:p>
    <w:p w14:paraId="07E8BB0D" w14:textId="77777777" w:rsidR="00047EF8" w:rsidRPr="00F563CD" w:rsidRDefault="00864F83" w:rsidP="00047EF8">
      <w:pPr>
        <w:pStyle w:val="ListParagraph"/>
        <w:numPr>
          <w:ilvl w:val="1"/>
          <w:numId w:val="64"/>
        </w:numPr>
        <w:spacing w:after="0" w:line="240" w:lineRule="auto"/>
        <w:jc w:val="both"/>
        <w:rPr>
          <w:rFonts w:asciiTheme="minorHAnsi" w:hAnsiTheme="minorHAnsi"/>
          <w:sz w:val="20"/>
          <w:szCs w:val="20"/>
        </w:rPr>
      </w:pPr>
      <w:r w:rsidRPr="00F563CD">
        <w:rPr>
          <w:rFonts w:asciiTheme="minorHAnsi" w:hAnsiTheme="minorHAnsi" w:cs="Arial"/>
          <w:sz w:val="20"/>
          <w:szCs w:val="20"/>
        </w:rPr>
        <w:t xml:space="preserve">Poglavlje 15 Energetika, intervencije su usklađene sa Strategijom razvoja energetike Crne Gore do 2030. godine. </w:t>
      </w:r>
    </w:p>
    <w:p w14:paraId="065C86E4" w14:textId="77777777" w:rsidR="00047EF8" w:rsidRPr="00F563CD" w:rsidRDefault="00864F83" w:rsidP="00047EF8">
      <w:pPr>
        <w:pStyle w:val="ListParagraph"/>
        <w:numPr>
          <w:ilvl w:val="1"/>
          <w:numId w:val="64"/>
        </w:numPr>
        <w:spacing w:after="0" w:line="240" w:lineRule="auto"/>
        <w:jc w:val="both"/>
        <w:rPr>
          <w:rFonts w:asciiTheme="minorHAnsi" w:hAnsiTheme="minorHAnsi" w:cs="Arial"/>
          <w:sz w:val="20"/>
          <w:szCs w:val="20"/>
        </w:rPr>
      </w:pPr>
      <w:r w:rsidRPr="00F563CD">
        <w:rPr>
          <w:rFonts w:asciiTheme="minorHAnsi" w:hAnsiTheme="minorHAnsi" w:cs="Arial"/>
          <w:sz w:val="20"/>
          <w:szCs w:val="20"/>
        </w:rPr>
        <w:t>Poglavlje 10 Informatičko društvo i mediji, k</w:t>
      </w:r>
      <w:r w:rsidRPr="00F563CD">
        <w:rPr>
          <w:rFonts w:asciiTheme="minorHAnsi" w:hAnsiTheme="minorHAnsi"/>
          <w:sz w:val="20"/>
          <w:szCs w:val="20"/>
        </w:rPr>
        <w:t>ljučna pitanja u okviru oblasti elektronskih komunikacija su: širokopojasni pristup Internetu, standardizacija, interkonekcija, tržište i analiza tržišta, univerzalne usluge i prava korisnika, pitanja privatnosti, digitalizacija i politika radio spektra. Ključna pitanja u okviru oblasti usluga informatičkog društva su: elektronska uprava, informatička bezbjednost, elektronsko zdravstvo, elektronski potpis, javni sektor, elektronska trgovina.</w:t>
      </w:r>
    </w:p>
    <w:p w14:paraId="26AF8FE7" w14:textId="77777777" w:rsidR="00047EF8" w:rsidRPr="00F563CD" w:rsidRDefault="00864F83" w:rsidP="00047EF8">
      <w:pPr>
        <w:pStyle w:val="ListParagraph"/>
        <w:numPr>
          <w:ilvl w:val="0"/>
          <w:numId w:val="64"/>
        </w:numPr>
        <w:spacing w:after="0" w:line="240" w:lineRule="auto"/>
        <w:jc w:val="both"/>
        <w:rPr>
          <w:rFonts w:asciiTheme="minorHAnsi" w:hAnsiTheme="minorHAnsi" w:cs="Arial"/>
          <w:sz w:val="20"/>
          <w:szCs w:val="20"/>
        </w:rPr>
      </w:pPr>
      <w:r w:rsidRPr="00F563CD">
        <w:rPr>
          <w:rFonts w:asciiTheme="minorHAnsi" w:hAnsiTheme="minorHAnsi" w:cs="Arial"/>
          <w:b/>
          <w:sz w:val="20"/>
          <w:szCs w:val="20"/>
        </w:rPr>
        <w:t>Program ekonomskih reformi (PER) 2019-2021</w:t>
      </w:r>
      <w:r w:rsidRPr="00F563CD">
        <w:rPr>
          <w:rFonts w:asciiTheme="minorHAnsi" w:hAnsiTheme="minorHAnsi" w:cs="Arial"/>
          <w:sz w:val="20"/>
          <w:szCs w:val="20"/>
        </w:rPr>
        <w:t xml:space="preserve">; gdje se energetsko tržište i održivi i zeleni transport navode kao ključ ekonomskog razvoja Crne Gore (prioritetne reformske mjere 2 i 3). Kada je u pitanju digitalna ekonomija, PER-om je predviđena prioritetna reformska mjera 12: </w:t>
      </w:r>
      <w:r w:rsidRPr="00F563CD">
        <w:rPr>
          <w:rFonts w:asciiTheme="minorHAnsi" w:hAnsiTheme="minorHAnsi"/>
          <w:sz w:val="20"/>
          <w:szCs w:val="20"/>
        </w:rPr>
        <w:t>Unapređenje zakonodavnog/regulatornog okvira u cilju smanjenja troškova postavljanja elektronskih komunikacionih mreža velike brzine.</w:t>
      </w:r>
    </w:p>
    <w:p w14:paraId="383057CD" w14:textId="41AF8F2F" w:rsidR="00047EF8" w:rsidRPr="00F563CD" w:rsidRDefault="00864F83" w:rsidP="00047EF8">
      <w:pPr>
        <w:pStyle w:val="ListParagraph"/>
        <w:numPr>
          <w:ilvl w:val="0"/>
          <w:numId w:val="64"/>
        </w:numPr>
        <w:spacing w:after="0" w:line="240" w:lineRule="auto"/>
        <w:jc w:val="both"/>
        <w:rPr>
          <w:rFonts w:asciiTheme="minorHAnsi" w:hAnsiTheme="minorHAnsi" w:cs="Arial"/>
          <w:sz w:val="20"/>
          <w:szCs w:val="20"/>
        </w:rPr>
      </w:pPr>
      <w:r w:rsidRPr="00F563CD">
        <w:rPr>
          <w:rFonts w:asciiTheme="minorHAnsi" w:hAnsiTheme="minorHAnsi" w:cs="Arial"/>
          <w:b/>
          <w:sz w:val="20"/>
          <w:szCs w:val="20"/>
        </w:rPr>
        <w:t>Sporazum o stabilizaciji i pridruživanju</w:t>
      </w:r>
      <w:r w:rsidRPr="00F563CD">
        <w:rPr>
          <w:rFonts w:asciiTheme="minorHAnsi" w:hAnsiTheme="minorHAnsi" w:cs="Arial"/>
          <w:sz w:val="20"/>
          <w:szCs w:val="20"/>
        </w:rPr>
        <w:t xml:space="preserve">, član 18 prema kojem su strane </w:t>
      </w:r>
      <w:proofErr w:type="gramStart"/>
      <w:r w:rsidR="002F04F9" w:rsidRPr="00F563CD">
        <w:rPr>
          <w:rFonts w:asciiTheme="minorHAnsi" w:hAnsiTheme="minorHAnsi" w:cs="Arial"/>
          <w:sz w:val="20"/>
          <w:szCs w:val="20"/>
        </w:rPr>
        <w:t>dužne ,,da</w:t>
      </w:r>
      <w:proofErr w:type="gramEnd"/>
      <w:r w:rsidRPr="00F563CD">
        <w:rPr>
          <w:rFonts w:asciiTheme="minorHAnsi" w:hAnsiTheme="minorHAnsi" w:cs="Arial"/>
          <w:sz w:val="20"/>
          <w:szCs w:val="20"/>
        </w:rPr>
        <w:t xml:space="preserve"> sarađuju u dijelu implementacije i primjene propisa koji se odnose na bezbjednost u drumskom saobraćaju, a naročito u dijelu koji se odnosi na saobraćajne dozvole i mjere za smanjivanje broja saobraćajnih nezgoda.’’ Prema članu 7, razvoj i unapređenje željezničkog i kombinovanog transporta jeste sredstvo koje može obezbijediti da se u budućnosti veliki dio bilateralnog i tranzitnog saobraćaja kroz Crnu Goru sprovodi pod ekološki prihvatljivim uslovima. Ovaj dokument takođe potvrđuje da ova vrsta podrške zahtijeva postupno izgrađivanje zakonodavstva koje će biti u skladu sa pravnom tekovinom Unije i istovremeno održivo, jer podrazumijeva izgradnju kapaciteta koji će omogućiti apsorpciju pomoći. U dijelu koji se odnosi na energetiku (član 109), SSP predviđa postupnu integraciju Crne Gore u evropsko energetsko tržište. U dijelu digitalne ekonomije, član 105 obuhvata opšte ciljeve, u vidu pripreme cjelokupnog crnogorskog društva za digitalno doba, privlačenja investicija i uspostavljanja interoperabilnosti mreža i usluga.</w:t>
      </w:r>
    </w:p>
    <w:p w14:paraId="0714E435" w14:textId="77777777" w:rsidR="008639C5" w:rsidRPr="00F563CD" w:rsidRDefault="008639C5" w:rsidP="008639C5">
      <w:pPr>
        <w:pStyle w:val="ListParagraph"/>
        <w:spacing w:after="0" w:line="240" w:lineRule="auto"/>
        <w:jc w:val="both"/>
        <w:rPr>
          <w:rFonts w:asciiTheme="minorHAnsi" w:hAnsiTheme="minorHAnsi" w:cs="Arial"/>
          <w:sz w:val="20"/>
          <w:szCs w:val="20"/>
        </w:rPr>
      </w:pPr>
    </w:p>
    <w:p w14:paraId="31A526DE" w14:textId="3162A567" w:rsidR="00047EF8" w:rsidRDefault="00864F83" w:rsidP="00047EF8">
      <w:pPr>
        <w:pStyle w:val="Heading2"/>
        <w:numPr>
          <w:ilvl w:val="0"/>
          <w:numId w:val="28"/>
        </w:numPr>
        <w:spacing w:line="240" w:lineRule="auto"/>
        <w:rPr>
          <w:rFonts w:asciiTheme="minorHAnsi" w:hAnsiTheme="minorHAnsi" w:cs="Arial"/>
          <w:smallCaps/>
          <w:color w:val="auto"/>
          <w:sz w:val="24"/>
          <w:szCs w:val="24"/>
        </w:rPr>
      </w:pPr>
      <w:bookmarkStart w:id="40" w:name="_Toc91500268"/>
      <w:r w:rsidRPr="00F563CD">
        <w:rPr>
          <w:rFonts w:asciiTheme="minorHAnsi" w:hAnsiTheme="minorHAnsi" w:cs="Arial"/>
          <w:smallCaps/>
          <w:color w:val="auto"/>
          <w:sz w:val="24"/>
          <w:szCs w:val="24"/>
        </w:rPr>
        <w:t>Sektorska analiza</w:t>
      </w:r>
      <w:bookmarkEnd w:id="40"/>
    </w:p>
    <w:p w14:paraId="3070340A" w14:textId="77777777" w:rsidR="00FE2154" w:rsidRPr="00FE2154" w:rsidRDefault="00FE2154" w:rsidP="00FE2154">
      <w:pPr>
        <w:spacing w:after="0"/>
      </w:pPr>
    </w:p>
    <w:p w14:paraId="27D0F2DC" w14:textId="77777777" w:rsidR="00047EF8" w:rsidRPr="00F563CD" w:rsidRDefault="00864F83" w:rsidP="00047EF8">
      <w:pPr>
        <w:spacing w:line="240" w:lineRule="auto"/>
        <w:jc w:val="both"/>
        <w:rPr>
          <w:rFonts w:asciiTheme="minorHAnsi" w:hAnsiTheme="minorHAnsi" w:cstheme="minorBidi"/>
          <w:b/>
          <w:bCs/>
          <w:iCs/>
          <w:sz w:val="20"/>
          <w:szCs w:val="20"/>
        </w:rPr>
      </w:pPr>
      <w:r w:rsidRPr="00F563CD">
        <w:rPr>
          <w:rFonts w:asciiTheme="minorHAnsi" w:hAnsiTheme="minorHAnsi" w:cstheme="minorBidi"/>
          <w:b/>
          <w:bCs/>
          <w:iCs/>
          <w:sz w:val="20"/>
          <w:szCs w:val="20"/>
        </w:rPr>
        <w:t>Tematski prioritet 1: Životna sredina i klimatske promjene</w:t>
      </w:r>
    </w:p>
    <w:p w14:paraId="16019E18" w14:textId="77777777" w:rsidR="00047EF8" w:rsidRPr="00F563CD" w:rsidRDefault="00864F83" w:rsidP="00047EF8">
      <w:pPr>
        <w:spacing w:after="0" w:line="240" w:lineRule="auto"/>
        <w:jc w:val="both"/>
        <w:rPr>
          <w:rFonts w:asciiTheme="minorHAnsi" w:hAnsiTheme="minorHAnsi" w:cs="Arial"/>
          <w:sz w:val="20"/>
          <w:szCs w:val="20"/>
        </w:rPr>
      </w:pPr>
      <w:r w:rsidRPr="00F563CD">
        <w:rPr>
          <w:rFonts w:asciiTheme="minorHAnsi" w:hAnsiTheme="minorHAnsi" w:cs="Arial"/>
          <w:sz w:val="20"/>
          <w:szCs w:val="20"/>
        </w:rPr>
        <w:t>Sektor koji se odnosi na životnu sredinu i klimatsku akciju u procesu je usvajanja sektorskog pristupa, sudeći po jednom broju tekućih aktivnosti, npr. izrada strategija će doprinijeti jačanju sektorskog pristupa. Sve u svemu, sektor koji se odnosi na životnu sredinu i klimatsku akciju unapređuje se u smislu sektorskog pristupa, ali još uvijek postoje određene praznine koje treba popuniti. Tekuće programiranje predstavlja priliku za popunjavanje ovih praznina kako bi se napravio pomak ka sektorskoj politici životne sredine i klimatske akcije koja je konzistentija, koherentija i bolje koordinisana.</w:t>
      </w:r>
    </w:p>
    <w:p w14:paraId="571AACB9" w14:textId="77777777" w:rsidR="00047EF8" w:rsidRPr="00F563CD" w:rsidRDefault="00047EF8" w:rsidP="00047EF8">
      <w:pPr>
        <w:spacing w:after="0" w:line="240" w:lineRule="auto"/>
        <w:jc w:val="both"/>
        <w:rPr>
          <w:rFonts w:asciiTheme="minorHAnsi" w:hAnsiTheme="minorHAnsi" w:cs="Arial"/>
          <w:sz w:val="20"/>
          <w:szCs w:val="20"/>
        </w:rPr>
      </w:pPr>
    </w:p>
    <w:p w14:paraId="35612347" w14:textId="77777777" w:rsidR="00047EF8" w:rsidRPr="00F563CD" w:rsidRDefault="00864F83" w:rsidP="00047EF8">
      <w:pPr>
        <w:spacing w:after="0" w:line="240" w:lineRule="auto"/>
        <w:jc w:val="both"/>
        <w:rPr>
          <w:rFonts w:asciiTheme="minorHAnsi" w:hAnsiTheme="minorHAnsi" w:cs="Arial"/>
          <w:sz w:val="20"/>
          <w:szCs w:val="20"/>
        </w:rPr>
      </w:pPr>
      <w:r w:rsidRPr="00F563CD">
        <w:rPr>
          <w:rFonts w:asciiTheme="minorHAnsi" w:hAnsiTheme="minorHAnsi" w:cs="Arial"/>
          <w:sz w:val="20"/>
          <w:szCs w:val="20"/>
        </w:rPr>
        <w:t>Nacionalna strategija za održivi razvoj Crne Gore do 2030. godine je sveobuhvatna strategija za sektor životne sredine i klimatske akcije; osim toga, i Akcioni plan za ispunjavanje završnih mjerila u Poglavlju 27 ima značajnu ulogu u definisanju programa aktivnosti za sprovođenje obaveza u dijelu aproksimacije crnogorskog zakonodavstva u oblasti životne sredine sa pravnom tekovinom EU.</w:t>
      </w:r>
    </w:p>
    <w:p w14:paraId="6A932E1C" w14:textId="77777777" w:rsidR="00047EF8" w:rsidRPr="00F563CD" w:rsidRDefault="00047EF8" w:rsidP="00047EF8">
      <w:pPr>
        <w:spacing w:after="0" w:line="240" w:lineRule="auto"/>
        <w:jc w:val="both"/>
        <w:rPr>
          <w:rFonts w:asciiTheme="minorHAnsi" w:hAnsiTheme="minorHAnsi" w:cs="Arial"/>
          <w:sz w:val="20"/>
          <w:szCs w:val="20"/>
        </w:rPr>
      </w:pPr>
    </w:p>
    <w:p w14:paraId="2B5CE7C7" w14:textId="77777777" w:rsidR="00047EF8" w:rsidRPr="00F563CD" w:rsidRDefault="00864F83" w:rsidP="00047EF8">
      <w:pPr>
        <w:spacing w:after="0" w:line="240" w:lineRule="auto"/>
        <w:jc w:val="both"/>
        <w:rPr>
          <w:rFonts w:asciiTheme="minorHAnsi" w:hAnsiTheme="minorHAnsi" w:cs="Arial"/>
          <w:sz w:val="20"/>
          <w:szCs w:val="20"/>
        </w:rPr>
      </w:pPr>
      <w:r w:rsidRPr="00F563CD">
        <w:rPr>
          <w:rFonts w:asciiTheme="minorHAnsi" w:hAnsiTheme="minorHAnsi" w:cs="Arial"/>
          <w:sz w:val="20"/>
          <w:szCs w:val="20"/>
        </w:rPr>
        <w:t>Vlada Crne Gore je 18. februara 2021. godine usvojila Akcioni plan za ispunjavanje završnih mjerila u Poglavlju 27. Akcionim planom su predviđene i aktivnosti koje treba preduzeti u cilju realizacije preostalih obaveza iz Nacionalne strategije za transpoziciju, implementaciju i primjenu pravne tekovine EU, obaveza koje proizilaze iz Pregovaračke pozicije za Poglavlje 27, koju je Vlada Crne Gore usvojila u februaru 2018. godine. Akcioni plan sadrži 251 aktivnost, za 10 potpoglavlja u okviru Poglavlja 27.</w:t>
      </w:r>
    </w:p>
    <w:p w14:paraId="26347D95" w14:textId="77777777" w:rsidR="00047EF8" w:rsidRPr="00F563CD" w:rsidRDefault="00047EF8" w:rsidP="00047EF8">
      <w:pPr>
        <w:spacing w:after="0" w:line="240" w:lineRule="auto"/>
        <w:jc w:val="both"/>
        <w:rPr>
          <w:rFonts w:asciiTheme="minorHAnsi" w:hAnsiTheme="minorHAnsi" w:cs="Arial"/>
          <w:sz w:val="20"/>
          <w:szCs w:val="20"/>
          <w:highlight w:val="green"/>
        </w:rPr>
      </w:pPr>
    </w:p>
    <w:p w14:paraId="46C29120" w14:textId="77777777" w:rsidR="00047EF8" w:rsidRPr="00F563CD" w:rsidRDefault="00864F83" w:rsidP="00047EF8">
      <w:pPr>
        <w:spacing w:after="0" w:line="240" w:lineRule="auto"/>
        <w:jc w:val="both"/>
        <w:rPr>
          <w:rFonts w:asciiTheme="minorHAnsi" w:hAnsiTheme="minorHAnsi" w:cs="Arial"/>
          <w:sz w:val="20"/>
          <w:szCs w:val="20"/>
        </w:rPr>
      </w:pPr>
      <w:r w:rsidRPr="00F563CD">
        <w:rPr>
          <w:rFonts w:asciiTheme="minorHAnsi" w:hAnsiTheme="minorHAnsi" w:cs="Arial"/>
          <w:sz w:val="20"/>
          <w:szCs w:val="20"/>
        </w:rPr>
        <w:t xml:space="preserve">Podsektorske strategije su dobro razrađene, trenutno su u fazi revizije/nacrta, i uključuju procjene u pogledu sredstava koja su potrebna za njihovu implementaciju. Međutim, u oblasti upravljanja otpadom, EU u Zajedničkoj poziciji poziva Crnu Goru </w:t>
      </w:r>
      <w:proofErr w:type="gramStart"/>
      <w:r w:rsidRPr="00F563CD">
        <w:rPr>
          <w:rFonts w:asciiTheme="minorHAnsi" w:hAnsiTheme="minorHAnsi" w:cs="Arial"/>
          <w:sz w:val="20"/>
          <w:szCs w:val="20"/>
        </w:rPr>
        <w:t>da ,,dodatno</w:t>
      </w:r>
      <w:proofErr w:type="gramEnd"/>
      <w:r w:rsidRPr="00F563CD">
        <w:rPr>
          <w:rFonts w:asciiTheme="minorHAnsi" w:hAnsiTheme="minorHAnsi" w:cs="Arial"/>
          <w:sz w:val="20"/>
          <w:szCs w:val="20"/>
        </w:rPr>
        <w:t xml:space="preserve"> pojasni svoju strukturu za upravljanje otpadom’’. Budući da usklađivanje sa pravnom tekovinom u oblasti životne </w:t>
      </w:r>
      <w:r w:rsidRPr="00F563CD">
        <w:rPr>
          <w:rFonts w:asciiTheme="minorHAnsi" w:hAnsiTheme="minorHAnsi" w:cs="Arial"/>
          <w:sz w:val="20"/>
          <w:szCs w:val="20"/>
        </w:rPr>
        <w:lastRenderedPageBreak/>
        <w:t>sredine i klimatskih promjena podrazumijeva visoke troškove, Crna Gora treba da obezbijedi odgovarajuća finansijska sredstva, ali i da predvidi određenu usklađenost između dostupnosti finansijskih sredstava i planiranog vremenskog okvira za usklađivanje i imlementaciju zakonodavstva. Crna Gora treba da stvori uslove da se proces usklađivanja zakonodavstva završi do datuma pristupanja. Posebnu pažnju treba posvetiti pravcima razvoja na nivou EU i na međunarodnom nivou, kako bi se i kod politike koja se odnosi na životnu sredinu i klimatsku promjenu uzela u obzir dimenzija rodne ravnopravnosti, kao i jednak doprinos svih žena i muškaraca nacionalnim aktivnostima koje unapređuju održivi razvoj. U administraciji postoje institucije nadležne za razvoj, implementaciju i primjenu politike životne sredine i klimatske akcije, međutim njihove kapacitete treba značajno unaprijediti. Administrativni i kadrovski kapaciteti za oblast životne sredine su nedovoljni, i na lokalnom i na nacionalnom nivou, ali i u cijelom sektoru za životnu sredinu i klimatsku akciju. Činjenica da se nadležna ministarstva, Agencija za zaštitu životne sredine i Uprava za inspekcijske poslove oslanjanju na privremene kadrove i pripravnike, da imaju veliki odliv kadra, kao i ograničena finansijska sredstva, i dalje izaziva zabrinutost, posebno imajući u vidu sveukupne institucionalne kapacitete za efektivnu implementaciju i primjenu pravne tekovine.</w:t>
      </w:r>
    </w:p>
    <w:p w14:paraId="314643DB" w14:textId="77777777" w:rsidR="00047EF8" w:rsidRPr="00F563CD" w:rsidRDefault="00047EF8" w:rsidP="00047EF8">
      <w:pPr>
        <w:spacing w:after="0" w:line="240" w:lineRule="auto"/>
        <w:jc w:val="both"/>
        <w:rPr>
          <w:rFonts w:asciiTheme="minorHAnsi" w:hAnsiTheme="minorHAnsi" w:cs="Arial"/>
          <w:sz w:val="20"/>
          <w:szCs w:val="20"/>
        </w:rPr>
      </w:pPr>
    </w:p>
    <w:p w14:paraId="6FA5EA1E" w14:textId="77777777" w:rsidR="00047EF8" w:rsidRPr="00F563CD" w:rsidRDefault="00864F83" w:rsidP="00047EF8">
      <w:pPr>
        <w:spacing w:after="0" w:line="240" w:lineRule="auto"/>
        <w:jc w:val="both"/>
        <w:rPr>
          <w:rFonts w:asciiTheme="minorHAnsi" w:hAnsiTheme="minorHAnsi" w:cs="Arial"/>
          <w:sz w:val="20"/>
          <w:szCs w:val="20"/>
        </w:rPr>
      </w:pPr>
      <w:r w:rsidRPr="00F563CD">
        <w:rPr>
          <w:rFonts w:asciiTheme="minorHAnsi" w:hAnsiTheme="minorHAnsi" w:cs="Arial"/>
          <w:sz w:val="20"/>
          <w:szCs w:val="20"/>
        </w:rPr>
        <w:t>Potrebno je uložiti značajan trud u konsolidaciju administrativnih kapaciteta za sektor životne sredine i klimatske akcije. Crna Gora treba da obezbijedi adekvatan kadar, obuke i opremu, kao i opštu usklađenost između planova za usklađivanje i planiranog vremenskog okvira za jačanje kapaciteta. Potrebna je jasnija podjela nadležnosti između relevantnih ministarstava (Ministarstvo ekologije, prostornog planiranja i urbanizma, Ministarstvo poljoprivrede, šumarstva i vodoprivrede, Ministarstvo zdravlja, Ministarstvo ekonomskog razvoja, Ministarstvo unutrašnjih poslova, Ministarstvo kapitalnih investicija i Ministarstvo finansija i socijalnog staranja) i drugih nadležnih institucija (kao što je nacionalna Agencija za zaštitu životne sredine, Uprava za inspekcijske poslove, itd), uz bolje definisanu nadležnost lokalnih organa i efikasniju koordinaciju između ovih institucija.</w:t>
      </w:r>
    </w:p>
    <w:p w14:paraId="4B137EA1" w14:textId="77777777" w:rsidR="00047EF8" w:rsidRPr="00F563CD" w:rsidRDefault="00864F83" w:rsidP="00047EF8">
      <w:pPr>
        <w:spacing w:after="0" w:line="240" w:lineRule="auto"/>
        <w:jc w:val="both"/>
        <w:rPr>
          <w:rFonts w:asciiTheme="minorHAnsi" w:hAnsiTheme="minorHAnsi" w:cs="Arial"/>
          <w:sz w:val="20"/>
          <w:szCs w:val="20"/>
        </w:rPr>
      </w:pPr>
      <w:r w:rsidRPr="00F563CD">
        <w:rPr>
          <w:rFonts w:asciiTheme="minorHAnsi" w:hAnsiTheme="minorHAnsi" w:cs="Arial"/>
          <w:sz w:val="20"/>
          <w:szCs w:val="20"/>
        </w:rPr>
        <w:t xml:space="preserve">U prethodnih nekoliko godina, Crna Gora je napravila značajan pomak u dijelu monitoringa životne sredine. Agencija za zaštitu životne sredine preuzela je kontrolu nad velikim dijelom aktivnosti monitoringa i uložila je dodatne napore da osnaži različite mreže monitoringa i da ih organizuje u skladu sa najnovijom međunarodnom praksom. Potrebne su i izmjene kojima će se unaprijediti funkcionisanje ovih mreža. </w:t>
      </w:r>
    </w:p>
    <w:p w14:paraId="45EDB889" w14:textId="77777777" w:rsidR="00047EF8" w:rsidRPr="00F563CD" w:rsidRDefault="00864F83" w:rsidP="00047EF8">
      <w:pPr>
        <w:spacing w:after="0" w:line="240" w:lineRule="auto"/>
        <w:jc w:val="both"/>
        <w:rPr>
          <w:rFonts w:asciiTheme="minorHAnsi" w:hAnsiTheme="minorHAnsi" w:cs="Arial"/>
          <w:sz w:val="20"/>
          <w:szCs w:val="20"/>
        </w:rPr>
      </w:pPr>
      <w:r w:rsidRPr="00F563CD">
        <w:rPr>
          <w:rFonts w:asciiTheme="minorHAnsi" w:hAnsiTheme="minorHAnsi" w:cs="Arial"/>
          <w:sz w:val="20"/>
          <w:szCs w:val="20"/>
        </w:rPr>
        <w:t>Aktivnosti monitoringa se sprovode u skladu sa godišnjim programima za monitoring, koje u većini slučajeva priprema Agencija za zaštitu životne sredine, i koji se dostavljaju Vladi na saglasnost. Umanjivanje sredstava se odražava na aktivnosti monitoringa-budžet predviđen za monitoring je u periodu između 2009. i 2012. godine umanjen gotovo za polovinu, pri čemu su smanjenja najosjetnija u programima za monitoring zemljišta, radioaktivnosti, morskog ekosistema, buke. Izuzev u 2011, budžet predviđen za monitoring kvaliteta vazduha ostaje stabilan. Shodno Zakonu o životnoj sredini, Agencija za zaštitu životne sredine nadležna je za pripremu izvještaja o stanju životne sredine, kao i za dostavljanje potrebnih izvještaja na zahtjev međunarodnih institucija.</w:t>
      </w:r>
    </w:p>
    <w:p w14:paraId="4BCD35A3" w14:textId="77777777" w:rsidR="00047EF8" w:rsidRPr="00F563CD" w:rsidRDefault="00047EF8" w:rsidP="00047EF8">
      <w:pPr>
        <w:spacing w:after="0" w:line="240" w:lineRule="auto"/>
        <w:jc w:val="both"/>
        <w:rPr>
          <w:rFonts w:asciiTheme="minorHAnsi" w:hAnsiTheme="minorHAnsi" w:cs="Arial"/>
          <w:sz w:val="20"/>
          <w:szCs w:val="20"/>
          <w:highlight w:val="green"/>
        </w:rPr>
      </w:pPr>
    </w:p>
    <w:p w14:paraId="1A8F8E33" w14:textId="77777777" w:rsidR="00047EF8" w:rsidRPr="00F563CD" w:rsidRDefault="00864F83" w:rsidP="00047EF8">
      <w:pPr>
        <w:autoSpaceDE w:val="0"/>
        <w:autoSpaceDN w:val="0"/>
        <w:adjustRightInd w:val="0"/>
        <w:spacing w:after="0" w:line="240" w:lineRule="auto"/>
        <w:jc w:val="both"/>
        <w:rPr>
          <w:rFonts w:asciiTheme="minorHAnsi" w:hAnsiTheme="minorHAnsi" w:cs="Arial"/>
          <w:sz w:val="20"/>
          <w:szCs w:val="20"/>
          <w:highlight w:val="green"/>
        </w:rPr>
      </w:pPr>
      <w:r w:rsidRPr="00F563CD">
        <w:rPr>
          <w:rFonts w:asciiTheme="minorHAnsi" w:hAnsiTheme="minorHAnsi" w:cs="Arial"/>
          <w:sz w:val="20"/>
          <w:szCs w:val="20"/>
        </w:rPr>
        <w:t xml:space="preserve">Agencija </w:t>
      </w:r>
      <w:r w:rsidRPr="00F563CD">
        <w:rPr>
          <w:rFonts w:asciiTheme="minorHAnsi" w:hAnsiTheme="minorHAnsi" w:cstheme="minorHAnsi"/>
          <w:sz w:val="20"/>
          <w:szCs w:val="20"/>
        </w:rPr>
        <w:t xml:space="preserve">takođe ima brojne nadležnosti u dijelu zaštite prirode, koje su predviđene Zakonom o zaštiti prirode. Akcioni plan za ispunjavanje završnih mjerila u Poglavlju 27 sadrži 72 mjere za zaštitu prirode, i obuhvata </w:t>
      </w:r>
      <w:r w:rsidRPr="00F563CD">
        <w:rPr>
          <w:rFonts w:asciiTheme="minorHAnsi" w:hAnsiTheme="minorHAnsi" w:cstheme="minorHAnsi"/>
          <w:bCs/>
          <w:sz w:val="20"/>
          <w:szCs w:val="20"/>
        </w:rPr>
        <w:t xml:space="preserve">spisak predloženih lokacija Natura 2000,  uključujući i morska staništa i vrste, utvrđivanje planova za monitoring staništa i vrsta u skladu sa zahtjevima Direktiva o pticama i staništima, aktivnosti izgradnje kapaciteta, uspostavljanje baze podataka u oblasti biodiverziteta, određene mjere koje se odnose na upravljanje ulcinjskom Solanom, uspostavljanje sistema za upravljanje invazivnim stranim vrstama, kao i infrastrukture za odgovarajuće postupanje prema povrijeđenim vrstama i vrstama koje su u stanju očuvanosti. U predstojećem periodu, sve navedene aktivnosti predstavljaju prioritet u procesu implementacije, kako bi se realizovao </w:t>
      </w:r>
      <w:r w:rsidRPr="00F563CD">
        <w:rPr>
          <w:rFonts w:asciiTheme="minorHAnsi" w:hAnsiTheme="minorHAnsi" w:cstheme="minorHAnsi"/>
          <w:sz w:val="20"/>
          <w:szCs w:val="20"/>
        </w:rPr>
        <w:t xml:space="preserve">Akcioni plan za ispunjavanje završnih mjerila u Poglavlju 27. </w:t>
      </w:r>
    </w:p>
    <w:p w14:paraId="104F0828" w14:textId="77777777" w:rsidR="00047EF8" w:rsidRPr="00F563CD" w:rsidRDefault="00864F83" w:rsidP="00047EF8">
      <w:pPr>
        <w:spacing w:after="0" w:line="240" w:lineRule="auto"/>
        <w:jc w:val="both"/>
        <w:rPr>
          <w:rFonts w:asciiTheme="minorHAnsi" w:hAnsiTheme="minorHAnsi" w:cs="Arial"/>
          <w:sz w:val="20"/>
          <w:szCs w:val="20"/>
          <w:lang w:val="fr-BE"/>
        </w:rPr>
      </w:pPr>
      <w:r w:rsidRPr="00F563CD">
        <w:rPr>
          <w:rFonts w:asciiTheme="minorHAnsi" w:hAnsiTheme="minorHAnsi" w:cs="Arial"/>
          <w:sz w:val="20"/>
          <w:szCs w:val="20"/>
        </w:rPr>
        <w:t xml:space="preserve">Uspostavljeni su mehanizmi sektorske koordinacije i koordinacije donatorske podrške, ali je neophodno osnažiti njihove kapacitete za efikasnu koordinaciju, kako internu (unutar institucija koje su relevantne za sektor životne sredine i klimatske akcije), tako i eksternu (s ostalim donatorima). Na operativnom nivou, glavni mehanizam sektorske koordinacije jeste radna grupa za Poglavlje 27 koju je uspostavila Vlada, i koju čini 61 član - iz državnih organa, s univerziteta, iz NVO, Unije slobodnih sindikata, Unije poslodavaca. </w:t>
      </w:r>
      <w:r w:rsidRPr="00F563CD">
        <w:rPr>
          <w:rFonts w:asciiTheme="minorHAnsi" w:hAnsiTheme="minorHAnsi" w:cs="Arial"/>
          <w:sz w:val="20"/>
          <w:szCs w:val="20"/>
          <w:lang w:val="fr-BE"/>
        </w:rPr>
        <w:t xml:space="preserve">Paraleleno sa tim, uspostavljena je i radna grupa za programiranje perspektive IPA 2014-2020. Kratkoročno/srednjoročno gledano, unutrašnji kapaciteti predstavnika radne grupe za sektor životne sredine treba da budu konsolidovani u smislu upravljanja i pripreme procesa programiranja i strateškog planiranja. </w:t>
      </w:r>
    </w:p>
    <w:p w14:paraId="42F8A0E7" w14:textId="77777777" w:rsidR="00047EF8" w:rsidRPr="00F563CD" w:rsidRDefault="00047EF8" w:rsidP="00047EF8">
      <w:pPr>
        <w:spacing w:after="0" w:line="240" w:lineRule="auto"/>
        <w:jc w:val="both"/>
        <w:rPr>
          <w:rFonts w:asciiTheme="minorHAnsi" w:hAnsiTheme="minorHAnsi" w:cs="Arial"/>
          <w:sz w:val="20"/>
          <w:szCs w:val="20"/>
          <w:lang w:val="fr-BE"/>
        </w:rPr>
      </w:pPr>
    </w:p>
    <w:p w14:paraId="57418480" w14:textId="479E0B3B" w:rsidR="00047EF8" w:rsidRDefault="00864F83" w:rsidP="00047EF8">
      <w:pPr>
        <w:spacing w:after="0"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Centralni organ za koordinaciju na nacionalnom nivou jeste Nacionalni savjet za održivi razvoj. Koordinacija donatorske podrške u sektoru životne sredine odvija se nekoliko puta godišnje. Koordinaciju donatorske podrške na centralnom nivou sprovodi Generalni direktorat za ekonomsku diplomatiju i kulturnu saradnju u MVP. Osim toga, baza podataka za infrastrukturne projekte treba prvenstveno da se oslanja na jedinstvenu listu prioritetnih infrastrukturnih projekata koju NIK utvrđuje kroz ZIO.</w:t>
      </w:r>
    </w:p>
    <w:p w14:paraId="1521B60C" w14:textId="77777777" w:rsidR="00FE2154" w:rsidRPr="00F563CD" w:rsidRDefault="00FE2154" w:rsidP="00047EF8">
      <w:pPr>
        <w:spacing w:after="0" w:line="240" w:lineRule="auto"/>
        <w:jc w:val="both"/>
        <w:rPr>
          <w:rFonts w:asciiTheme="minorHAnsi" w:hAnsiTheme="minorHAnsi" w:cs="Arial"/>
          <w:sz w:val="20"/>
          <w:szCs w:val="20"/>
          <w:lang w:val="fr-BE"/>
        </w:rPr>
      </w:pPr>
    </w:p>
    <w:p w14:paraId="09BAC0A8" w14:textId="1D95E65A" w:rsidR="00047EF8" w:rsidRPr="00F563CD" w:rsidRDefault="00047EF8" w:rsidP="00047EF8">
      <w:pPr>
        <w:spacing w:after="0"/>
        <w:rPr>
          <w:rFonts w:asciiTheme="minorHAnsi" w:hAnsiTheme="minorHAnsi" w:cs="Arial"/>
          <w:sz w:val="20"/>
          <w:szCs w:val="20"/>
          <w:highlight w:val="green"/>
          <w:lang w:val="fr-BE"/>
        </w:rPr>
      </w:pPr>
    </w:p>
    <w:p w14:paraId="5C7D927E" w14:textId="77777777" w:rsidR="00047EF8" w:rsidRPr="00F563CD" w:rsidRDefault="00864F83" w:rsidP="00047EF8">
      <w:pPr>
        <w:spacing w:line="240" w:lineRule="auto"/>
        <w:jc w:val="both"/>
        <w:rPr>
          <w:rFonts w:asciiTheme="minorHAnsi" w:hAnsiTheme="minorHAnsi" w:cstheme="minorBidi"/>
          <w:b/>
          <w:bCs/>
          <w:i/>
          <w:iCs/>
          <w:sz w:val="20"/>
          <w:szCs w:val="20"/>
        </w:rPr>
      </w:pPr>
      <w:r w:rsidRPr="00F563CD">
        <w:rPr>
          <w:rFonts w:asciiTheme="minorHAnsi" w:hAnsiTheme="minorHAnsi" w:cstheme="minorBidi"/>
          <w:b/>
          <w:bCs/>
          <w:i/>
          <w:iCs/>
          <w:sz w:val="20"/>
          <w:szCs w:val="20"/>
        </w:rPr>
        <w:lastRenderedPageBreak/>
        <w:t>Tematski prioritet 2: Saobraćaj, digitalna ekonomija i društvo, i energetika</w:t>
      </w:r>
    </w:p>
    <w:p w14:paraId="5869E515" w14:textId="77777777" w:rsidR="00047EF8" w:rsidRPr="00F563CD" w:rsidRDefault="00864F83" w:rsidP="00047EF8">
      <w:pPr>
        <w:spacing w:line="240" w:lineRule="auto"/>
        <w:jc w:val="both"/>
        <w:rPr>
          <w:rFonts w:asciiTheme="minorHAnsi" w:hAnsiTheme="minorHAnsi" w:cstheme="minorBidi"/>
          <w:b/>
          <w:bCs/>
          <w:iCs/>
          <w:sz w:val="20"/>
          <w:szCs w:val="20"/>
        </w:rPr>
      </w:pPr>
      <w:r w:rsidRPr="00F563CD">
        <w:rPr>
          <w:rFonts w:asciiTheme="minorHAnsi" w:hAnsiTheme="minorHAnsi" w:cstheme="minorBidi"/>
          <w:b/>
          <w:bCs/>
          <w:iCs/>
          <w:sz w:val="20"/>
          <w:szCs w:val="20"/>
        </w:rPr>
        <w:t>Kriterijumi za procjenu sektorskog pristupa u oblasti saobraćaja:</w:t>
      </w:r>
    </w:p>
    <w:p w14:paraId="71863363"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 xml:space="preserve">Sektor saobraćaja je u načelu unaprijeđen u dijelu sektorskog pristupa, iako još uvijek postoje određene praznine. IPA III predstavlja priliku za popunjavanje </w:t>
      </w:r>
      <w:r w:rsidRPr="00F563CD">
        <w:rPr>
          <w:rFonts w:asciiTheme="minorHAnsi" w:hAnsiTheme="minorHAnsi" w:cs="Arial"/>
          <w:sz w:val="20"/>
          <w:szCs w:val="20"/>
        </w:rPr>
        <w:t>ovih praznina kako bi se napravio pomak ka sektorskoj saobraćajnoj politici koja je konzistentija, koherentija i bolje koordinisana. U nastavku su navedene određene preporuke koje treba uzeti u obzir kako bi bilo moguće napraviti određeni napredak:</w:t>
      </w:r>
    </w:p>
    <w:p w14:paraId="446E5839"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Strategija razvoja saobraćaja (SRS) je najreferentnija strategija u sektoru saobraćaja, koja se dalje razrađuje kroz teme kao što su multimodalnost i inteligentni transportni sistemi. U dijelu koji se odnosi na investicije u infrastrukturu, ovu strategiju dopunjava jedinstvena lista prioritetnih infrastrukturnih projekata.</w:t>
      </w:r>
    </w:p>
    <w:p w14:paraId="583B54E7"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Kako bi se mogao uspostaviti koherentan strateški okvir, sve podstrategije koje se odnose na određena prevozna sredstva i propratni akcioni planovi treba da budu usaglašeni sa SRS, i da odgovaraju relevantnim potrebama koje su pokrivene jedinstvenom listom, po sistemu od dna prema vrhu (</w:t>
      </w:r>
      <w:r w:rsidRPr="00F563CD">
        <w:rPr>
          <w:rFonts w:asciiTheme="minorHAnsi" w:hAnsiTheme="minorHAnsi" w:cstheme="minorBidi"/>
          <w:i/>
          <w:iCs/>
          <w:sz w:val="20"/>
          <w:szCs w:val="20"/>
        </w:rPr>
        <w:t>bottom up</w:t>
      </w:r>
      <w:r w:rsidRPr="00F563CD">
        <w:rPr>
          <w:rFonts w:asciiTheme="minorHAnsi" w:hAnsiTheme="minorHAnsi" w:cstheme="minorBidi"/>
          <w:iCs/>
          <w:sz w:val="20"/>
          <w:szCs w:val="20"/>
        </w:rPr>
        <w:t xml:space="preserve">). Akcioni planovi treba da obuhvate prioritizaciju izabranih projekata, koji će biti klasifikovani u okviru identifikovanih mjera/prioriteta. Nakon što je završen proces prioritizacije koji se zasniva na višekriterijumskoj analizi koja se primjenjuje u okviru ZIO, potrebno je ne samo planiranje intervencija za glavne projekte, već su potrebni i pokazatelji fiskalnog prostora za finansiranje projekata koji su preliminarno izabrani. Ovo je potrebno dodatno razraditi. U tom kontekstu je izrađen sveobuhvatni Akcioni plan 2021-2022 za implementaciju SRS 2019-2035 i trenutno je u fazi odobravanja. Osim toga, sprovodi se nekoliko akcija u okviru Mape puta za zrelost projekata radi pokretanja inicijalnih studija koje se odnose na multimodalnu platformu u luci Bar i izradu Akcionog plana s inicijativama koje će biti finansirane u okviru ITS-a. </w:t>
      </w:r>
    </w:p>
    <w:p w14:paraId="773505B8" w14:textId="77777777" w:rsidR="00047EF8" w:rsidRPr="00F563CD" w:rsidRDefault="00864F83" w:rsidP="00047EF8">
      <w:pPr>
        <w:spacing w:before="120" w:after="120"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 xml:space="preserve">Kada je u pitanju institucionalni kontekst, Vlada Crne Gore se u ovom sektoru još uvijek suočava s izazovima u pogledu administrativnih kapaciteta, što je uzrokovano odlivom kadrova (naročito u Upravi javnih radova), oslanjanjem na privremene kadrove i nedostatkom kompetencija u samoj administraciji. Svi ovi faktori ometaju implementaciju sektorskih politika, projekata i reformi. Međutim, uspostavljanjem Direktorata za međunarodnu saradnju i fondove EU i njegovom reorganizacijom, ovo pitanje se na određeni način rješava u okviru Ministarstva kapitalnih investicija-saobraćaja. U načelu je potrebno preduzeti značajne aktivnosti u cilju izgrađivanja kapaciteta. I dalje je neophodna podrška u jačanju institucija kroz aktivnosti izgradnje kapaciteta, kako bi se obezbijedio prenos znanja, obučavanje, usmjeravanje i unapređenje vještina u procesu programiranja, identifikacije, formulisanja predloga, raspisivanja tendera, implementacije, monitoringa i evaluacije IPA projekata u oblasti saobraćaja. Potrebne su i određene komplementarne vještine kako bi se pristupilo integrisanim projektima u okviru prozora Održivo povezivanje i zelena agenda. </w:t>
      </w:r>
    </w:p>
    <w:p w14:paraId="482961F3" w14:textId="77777777" w:rsidR="00047EF8" w:rsidRPr="00F563CD" w:rsidRDefault="00864F83" w:rsidP="00047EF8">
      <w:pPr>
        <w:spacing w:before="120" w:after="120"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 xml:space="preserve">Kroz perspektive IPA I i IPA II, nekoliko finansijskih alokacija je opredijeljeno za podršku usklađivanju zakonodavstva u oblasti saobraćaja sa pravnom tekovinom EU, prije svega u oblastima kao što su bezbjednost i sigurnost. Očekuje se da će reformski proces u oblasti saobraćaja biti dodatno unaprijeđen, kroz unapređenje zakonodavnog i institucionalnog sistema, podršku ratifikaciji konvencija, protokola i međunarodnih sporazuma. U okviru pristupnog procesa, obavezna je podrška usaglašavanju postojećeg nacionalnog zakonodavstva s pravnom tekovinom EU, i trenutno se takva podrška obezbjeđuje kroz TA za CB u okviru određenih transportnih modaliteta. Crna Gora je naročito posvećeno radila na uspostavljanju reformskog okvira kroz zakon o intermodalnosti koji je usvojen 2014. godine, međutim sa gotovo nepostojećim setom mjera za aproksimaciju s EU zakonodavstvom u odnosu na predviđene standarde. Takođe, nema značajnog zakonodavnog napretka u odnosu na transpoziciju ITS-a, izuzev u dijelu nadzora pomorskog saobraćaja (VTMIS) i pripremnih aktivnosti </w:t>
      </w:r>
      <w:r w:rsidRPr="00F563CD">
        <w:rPr>
          <w:rFonts w:asciiTheme="minorHAnsi" w:hAnsiTheme="minorHAnsi"/>
          <w:sz w:val="20"/>
          <w:szCs w:val="20"/>
        </w:rPr>
        <w:t>za uvođenje ERTMS tehnologije u određene sekcije željezničke mreže. Usklađivanje koje se od Crne Gore zahtijeva u ovim oblastima realizovaće se u bliskoj saradnji, sinhronizaciji i potpunoj sinergiji za Sekretarijatom transportne zajednice. Očekuje se da će ova aktivnost dopuniti ono što se trenutno sprovodi u okviru projekta tehničke podrške za IPA 2017 i da će popuniti i posljednje preostale praznine u procesu harmonizacije zakonodavstva u određenim podoblastima: željeznica (finalizacija procesa implementacije tehničke specifikacije intermodalnosti, koja se u najvećem dijelu odnosi na bezbjednost i interoperabilnost (</w:t>
      </w:r>
      <w:r w:rsidRPr="00F563CD">
        <w:rPr>
          <w:rFonts w:asciiTheme="minorHAnsi" w:hAnsiTheme="minorHAnsi" w:cstheme="minorBidi"/>
          <w:iCs/>
          <w:sz w:val="20"/>
          <w:szCs w:val="20"/>
        </w:rPr>
        <w:t>ERTMS) ili doprinos otvaranju željezničkog tržišta kako bi se time olakšao ulazak za nove operatere), bezbjednost putne infrastrukture (u naše zakonodavstvo treba prenijeti dodatne direktive/regulative u oblasti bezbjednosti na putevima, i pripremiti nacrt nekoliko podzakonskih akata za sprovođenje direktive 2014/40 koja se odnosi na ITS), drumski saobraćaj (nove direktive/regulative koje se primarno bave pitanjem komodalnosti, zakonodavstvo EU koje je koherentnije, fragmentacija jedinstvenog tržišta, odgovarajuća infrastruktura za dekarbonizaciju, ključni principi za saobraćaj budućnosti, itd), pomorski saobraćaj (preostale praznine koje se odnose na zaštitu mora od zagađivanja i pomorsku bezbjednost, primjenu pravnih akata EU (direktive/ regulative, odluke/smjernice) koji su relevantni za Strategiju EU o zaštiti biodiverziteta do 2030),</w:t>
      </w:r>
      <w:r w:rsidRPr="00F563CD">
        <w:rPr>
          <w:rFonts w:asciiTheme="minorHAnsi" w:hAnsiTheme="minorHAnsi" w:cstheme="minorBidi"/>
          <w:b/>
          <w:bCs/>
          <w:iCs/>
          <w:sz w:val="20"/>
          <w:szCs w:val="20"/>
        </w:rPr>
        <w:t xml:space="preserve"> </w:t>
      </w:r>
      <w:r w:rsidRPr="00F563CD">
        <w:rPr>
          <w:rFonts w:asciiTheme="minorHAnsi" w:hAnsiTheme="minorHAnsi" w:cstheme="minorBidi"/>
          <w:iCs/>
          <w:sz w:val="20"/>
          <w:szCs w:val="20"/>
        </w:rPr>
        <w:t xml:space="preserve">vazdušni saobraćaj (prenos novih direktiva u naše zakonodavstvo/regulative u oblasti bezbjednosti </w:t>
      </w:r>
      <w:r w:rsidRPr="00F563CD">
        <w:rPr>
          <w:rFonts w:asciiTheme="minorHAnsi" w:hAnsiTheme="minorHAnsi" w:cstheme="minorBidi"/>
          <w:iCs/>
          <w:sz w:val="20"/>
          <w:szCs w:val="20"/>
        </w:rPr>
        <w:lastRenderedPageBreak/>
        <w:t>civilnog vazduhoplovstva, sertifikacija pilota od strane trećih država i zakonodavstvo o operaterima drona ili nove smjernice od ICAO), intermodalnost (prije svega zakonodavni okvir koji se odnosi  na izgradnju intermodalnih terminala).</w:t>
      </w:r>
    </w:p>
    <w:p w14:paraId="769F75B9"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Kada su u pitanju mehanizmi sektorske koordinacije i koordinacije donatorske podrške, osim izgradnje i jačanja kapaciteta sektorske radne grupe za saobraćaj, kao glavnog instrumenta za sektorsku koordinaciju, potrebno je i što efikasnije koristiti i znanje i informacije koje na centralnom nivou prikuplja Kancelarija nipaka, odnosno centralna jedinica za koordinaciju donatorske podrške u okviru Generalnog direktorata za ekonomsku diplomatiju u kulturnu saradnju- MVP.</w:t>
      </w:r>
    </w:p>
    <w:p w14:paraId="2CF73433" w14:textId="5E688FFE" w:rsidR="00047EF8" w:rsidRPr="00F563CD" w:rsidRDefault="00864F83" w:rsidP="007840BE">
      <w:pPr>
        <w:pStyle w:val="HTMLPreformatted"/>
        <w:jc w:val="both"/>
        <w:rPr>
          <w:rFonts w:asciiTheme="minorHAnsi" w:hAnsiTheme="minorHAnsi" w:cstheme="minorHAnsi"/>
        </w:rPr>
      </w:pPr>
      <w:r w:rsidRPr="00F563CD">
        <w:rPr>
          <w:rFonts w:asciiTheme="minorHAnsi" w:hAnsiTheme="minorHAnsi" w:cstheme="minorHAnsi"/>
          <w:iCs/>
        </w:rPr>
        <w:t xml:space="preserve">U načelu, očekuje se da će biti definisana Mapa puta za zrelost projekata, koja će uključivati projekte definisane kroz investicije u infrastrukturu, predviđene jedinstvenom listom prioritetnih projekata. Potrebni su značajni pomaci u ovoj oblasti. </w:t>
      </w:r>
      <w:r w:rsidRPr="00F563CD">
        <w:rPr>
          <w:rFonts w:asciiTheme="minorHAnsi" w:hAnsiTheme="minorHAnsi" w:cstheme="minorHAnsi"/>
        </w:rPr>
        <w:t>Konkretno, u vezi sa planiranjem i neophodnim putem koji može da obezbijedi da se investicije u saobraćaj, životnu sredinu, digitalizaciju i energiju pravilno rešavaju, ne samo sa stanovišta relevantnosti, već sa stanovišta spremnosti i zrelosti projekata. U tom smislu će od ključnog značaja biti prioritizacija u okviru jedinstvene liste, ZIO aplikacija i mehanizmi koordinacije sa vodećim inicijativama u okviru EIP-a, kako bi se omogućio podsticaj za saradnju sa relevantnim međunarodnim finansijskim institucijama i drugim donatorima.</w:t>
      </w:r>
    </w:p>
    <w:p w14:paraId="6C68DADD" w14:textId="77777777" w:rsidR="007840BE" w:rsidRPr="00F563CD" w:rsidRDefault="007840BE" w:rsidP="007840BE">
      <w:pPr>
        <w:pStyle w:val="HTMLPreformatted"/>
        <w:jc w:val="both"/>
        <w:rPr>
          <w:rFonts w:asciiTheme="minorHAnsi" w:hAnsiTheme="minorHAnsi" w:cstheme="minorHAnsi"/>
        </w:rPr>
      </w:pPr>
    </w:p>
    <w:p w14:paraId="229A521C" w14:textId="77777777" w:rsidR="00047EF8" w:rsidRPr="00F563CD" w:rsidRDefault="00864F83" w:rsidP="00047EF8">
      <w:pPr>
        <w:spacing w:line="240" w:lineRule="auto"/>
        <w:jc w:val="both"/>
        <w:rPr>
          <w:rFonts w:asciiTheme="minorHAnsi" w:hAnsiTheme="minorHAnsi" w:cstheme="minorBidi"/>
          <w:b/>
          <w:bCs/>
          <w:iCs/>
          <w:sz w:val="20"/>
          <w:szCs w:val="20"/>
        </w:rPr>
      </w:pPr>
      <w:r w:rsidRPr="00F563CD">
        <w:rPr>
          <w:rFonts w:asciiTheme="minorHAnsi" w:hAnsiTheme="minorHAnsi" w:cstheme="minorBidi"/>
          <w:b/>
          <w:bCs/>
          <w:iCs/>
          <w:sz w:val="20"/>
          <w:szCs w:val="20"/>
        </w:rPr>
        <w:t>Kriterijumi za procjenu sektorskog pristupa u oblasti energetike:</w:t>
      </w:r>
    </w:p>
    <w:p w14:paraId="154CBDE3"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Tokom prethodnog perioda, u perspektivi 2014-2020, sektor energetike nije bio prihvatljiv za finansiranje u skladu sa Strategijskim dokumentom Crne Gore. Novi programski period 2021-2027 predstavlja priliku da se osnaži sektorski pristup u oblasti energetike, i što je još važnije, da se uspostavi sinergija sa sektorom saobraćaja i ICT, u okviru tematskog prioriteta 2. Dobro definisane nacionalne sektorske politike i/ili strategije koje su usaglašene sa pravnom tekovinom EU: Nacionalna strategija u oblasti klimatskih promjena do 2030, Strategija razvoja energetike do 2030, Nacionalna strategija održivog razvoja do 2030, i Akcioni plan energetske efikasnosti Crne Gore za period 2019-2021.</w:t>
      </w:r>
    </w:p>
    <w:p w14:paraId="3C1D6C68"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 xml:space="preserve">Kao članica Energetske zajednice i kandidat za članstvo u Evropskoj uniji, Crna Gora usklađuje svoju politiku i zakonodavstvo u oblasti energetike sa politikom i zakonodavstvom EU u oblasti energetike i energetske efikasnosti. U skladu sa politikom i zakonodavstvom EU, Crna Gora intenzivno radi na pripremi prvog nacionalnog energetskog i klimatskog plana. Ovaj strateški dokument obuhvata ciljeve Crne Gore koji se odnose na smanjivanje emisije gasova s efektom staklene bašte, energiju iz obnovljivih izvora i energetsku efikasnost, kao i pregled politika i mjera koje se odnose na postizanje definisanih ciljeva. </w:t>
      </w:r>
    </w:p>
    <w:p w14:paraId="4FD49B6F"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 xml:space="preserve">U skladu sa svojom obavezom da sprovede proces dekarbonizacije i zelene tranzicije, Crna Gora namjerava da u predstojećem periodu postupno obustavlja proizvodnju struje iz uglja u Termoelektrani Pljevlja. Ako se ima u vidu da ova Termoelektrana realizuje 40% ukupne proizvodnje struje u Crnoj Gori na godišnjem nivou, sasvim je očigledan značaj ovog postrojenja za snabdijevanje električnom energijom u Crnoj Gori, kao i za stabilnost i pouzdanost elektroenergetskog sistema. Osim toga, ova elektrana je od posebnog značaja za područje opštine Pljevlja, od koje, kao i od rudnika uglja u Pljevljima, umnogome zavisi egzistencija stanovništva. Stoga će Crna Gora nastojati da stvori uslove za pravednu energetsku tranziciju, i stanovništvu sa područja Pljevalja omogući adekvatne uslove za život i rad. U tom smislu, razmatra se mogućnost postepenog pretvaranja Termoelektrane u postrojenje za čuvanje energije, koje bi koristilo obnovljive izvore energije i po potrebi ih isporučivalo elektroenergetskom sistemu. </w:t>
      </w:r>
    </w:p>
    <w:p w14:paraId="2A5BE05F"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 xml:space="preserve">Crna Gora ima značajne potencijale u oblasti obnovljivih izvora energije, od kojih su najznačajniji: hidropotencijal, solarna energija, potencijal vjetra i biomase. U Crnoj Gori postoji i veliki potecijal za štednju energije kroz primjenu različitih mjera za energetsku efikasnost. Osim toga, od ključnog značaja za razvoj energetskog sektora i ukupan ekonomski razvoj Crne Gore jeste i uvezivanje sa susjednim elektroenergetskim sistemima. </w:t>
      </w:r>
    </w:p>
    <w:p w14:paraId="21BB5755"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Kako bi obezbijedila dovoljne količine električne energije i iskoristila raspoložive potencijale obnovljivih izvora energije, i kako bi sprovela postupak zelene tranzicije, Crna Gora trenutno realizuje projekte izgradnje prostrojenja za proizvodnju električne energije iz obnovljivih izvora, kao što je hidropotencijal, potencijal vjetra i solarna energija. Trenutno se provode aktivnosti u okviru sljedećih projekata: hidroelektrana Komarnica (instalisane snage od 172MW), vjetroelektrana Gvozd (54.6 MW), vjetroelektrana Brajići (100.8 MW), solarna elektrana Briska gora (u prvoj fazi, planirana izgradnja elektrane sa kapacitetom od 50 MW). Uz to, Crna Gora radi na stvaranju uslova za realizaciju projekta izgradnje solarne elektrane Velje Brdo (50 MW), u blizini Podgorice.</w:t>
      </w:r>
    </w:p>
    <w:p w14:paraId="2B1221E9"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Jaka vodeća institucija s odgovarajućim kapacitetom sada je inkorporirana u Ministarstvo kapitalnih investicija.</w:t>
      </w:r>
    </w:p>
    <w:p w14:paraId="71ABACCD"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Arial"/>
          <w:sz w:val="20"/>
          <w:szCs w:val="20"/>
        </w:rPr>
        <w:lastRenderedPageBreak/>
        <w:t>Sektorska koordinacija i koordinacija donatorske podrške: Uspostavljeni su mehanizmi sektorske koordinacije i koordinacije donatorske podrške, ali je neophodno osnažiti njihove kapacitete za efikasnu koordinaciju, kako internu (unutar institucija koje su relevatne za tematski prioritet 2), tako i eksternu (s ostalim donatorima).</w:t>
      </w:r>
    </w:p>
    <w:p w14:paraId="62112769" w14:textId="77777777" w:rsidR="00047EF8" w:rsidRPr="00F563CD" w:rsidRDefault="00864F83" w:rsidP="00047EF8">
      <w:pPr>
        <w:spacing w:line="240" w:lineRule="auto"/>
        <w:jc w:val="both"/>
        <w:rPr>
          <w:rFonts w:asciiTheme="minorHAnsi" w:hAnsiTheme="minorHAnsi" w:cstheme="minorBidi"/>
          <w:b/>
          <w:bCs/>
          <w:iCs/>
          <w:sz w:val="20"/>
          <w:szCs w:val="20"/>
        </w:rPr>
      </w:pPr>
      <w:r w:rsidRPr="00F563CD">
        <w:rPr>
          <w:rFonts w:asciiTheme="minorHAnsi" w:hAnsiTheme="minorHAnsi" w:cstheme="minorBidi"/>
          <w:b/>
          <w:bCs/>
          <w:iCs/>
          <w:sz w:val="20"/>
          <w:szCs w:val="20"/>
        </w:rPr>
        <w:t>Kriterijumi za procjenu sektorskog pristupa u oblasti digitalne ekonomije i društva:</w:t>
      </w:r>
    </w:p>
    <w:p w14:paraId="4721D98F"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Dobro definisane sektorske politike i/ili strategije koje su usaglašene sa pravnom tekovinom EU: Strategija pametne specijalizacije 2019-2024, Strategija razvoja informacionog društva Crne Gore 2020, Strategija digitalne transformacije 2021-2025 i Strategija sajber bezbjednosti Crne Gore 2018-2021.</w:t>
      </w:r>
    </w:p>
    <w:p w14:paraId="78A42ACC"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 xml:space="preserve">Vodeće institucije s odgovarajućim kapacitetom: </w:t>
      </w:r>
    </w:p>
    <w:p w14:paraId="4D0ACADF" w14:textId="77777777" w:rsidR="00047EF8" w:rsidRPr="00F563CD" w:rsidRDefault="00864F83" w:rsidP="00047EF8">
      <w:pPr>
        <w:pStyle w:val="ListParagraph"/>
        <w:numPr>
          <w:ilvl w:val="0"/>
          <w:numId w:val="65"/>
        </w:num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Ministarstvo javne uprave, digitalnog društva i medija – Direktorat za elektronsku upravu (Digitalna ekonomija)</w:t>
      </w:r>
    </w:p>
    <w:p w14:paraId="3215A31B" w14:textId="77777777" w:rsidR="00047EF8" w:rsidRPr="00F563CD" w:rsidRDefault="00864F83" w:rsidP="00047EF8">
      <w:pPr>
        <w:pStyle w:val="ListParagraph"/>
        <w:numPr>
          <w:ilvl w:val="0"/>
          <w:numId w:val="65"/>
        </w:numPr>
        <w:spacing w:line="240" w:lineRule="auto"/>
        <w:jc w:val="both"/>
        <w:rPr>
          <w:rFonts w:asciiTheme="minorHAnsi" w:hAnsiTheme="minorHAnsi" w:cstheme="minorBidi"/>
          <w:iCs/>
          <w:sz w:val="20"/>
          <w:szCs w:val="20"/>
        </w:rPr>
      </w:pPr>
      <w:r w:rsidRPr="00F563CD">
        <w:rPr>
          <w:rFonts w:asciiTheme="minorHAnsi" w:hAnsiTheme="minorHAnsi" w:cstheme="minorBidi"/>
          <w:iCs/>
          <w:sz w:val="20"/>
          <w:szCs w:val="20"/>
        </w:rPr>
        <w:t>Ministarstvo ekonomskog razvoja– Direktorat za elektronske komunikacije, poštansku djelatnost i radio-spektar.</w:t>
      </w:r>
    </w:p>
    <w:p w14:paraId="031F1156" w14:textId="77777777" w:rsidR="00047EF8" w:rsidRPr="00F563CD" w:rsidRDefault="00864F83" w:rsidP="00047EF8">
      <w:pPr>
        <w:spacing w:line="240" w:lineRule="auto"/>
        <w:jc w:val="both"/>
        <w:rPr>
          <w:rFonts w:asciiTheme="minorHAnsi" w:hAnsiTheme="minorHAnsi" w:cstheme="minorBidi"/>
          <w:iCs/>
          <w:sz w:val="20"/>
          <w:szCs w:val="20"/>
        </w:rPr>
      </w:pPr>
      <w:r w:rsidRPr="00F563CD">
        <w:rPr>
          <w:rFonts w:asciiTheme="minorHAnsi" w:hAnsiTheme="minorHAnsi" w:cs="Arial"/>
          <w:sz w:val="20"/>
          <w:szCs w:val="20"/>
        </w:rPr>
        <w:t>Sektorska koordinacija i koordinacija donatorske podrške: Uspostavljeni su mehanizmi sektorske koordinacije i koordinacije donatorske podrške, ali je neophodno osnažiti njihove kapacitete za efikasnu koordinaciju, kako internu (unutar institucija koje su relevatne za tematski prioritet 2), tako i eksternu (s ostalim donatorima).</w:t>
      </w:r>
    </w:p>
    <w:p w14:paraId="59289499" w14:textId="6D7960E9" w:rsidR="008639C5" w:rsidRPr="00F563CD" w:rsidRDefault="00864F83" w:rsidP="00047EF8">
      <w:pPr>
        <w:spacing w:before="120" w:after="120" w:line="280" w:lineRule="atLeast"/>
        <w:jc w:val="both"/>
        <w:rPr>
          <w:rFonts w:asciiTheme="minorHAnsi" w:hAnsiTheme="minorHAnsi" w:cstheme="minorBidi"/>
          <w:iCs/>
          <w:sz w:val="20"/>
          <w:szCs w:val="20"/>
        </w:rPr>
      </w:pPr>
      <w:r w:rsidRPr="00F563CD">
        <w:rPr>
          <w:rFonts w:asciiTheme="minorHAnsi" w:hAnsiTheme="minorHAnsi" w:cstheme="minorBidi"/>
          <w:iCs/>
          <w:sz w:val="20"/>
          <w:szCs w:val="20"/>
        </w:rPr>
        <w:t>Aktivnosti za potrebe izgradnje kapaciteta zahtijevaju holistički pristup koji uključuje i tematske prioritete koji se odnose na saobraćaj, energetiku i digitalnu ekonomiju. Osim toga, očekuje se da će značajni tehnički kapaciteti biti usmjereni na pripremu za strukturne fondove, što podrazumijeva prije svega institucionalno ustrojstvo, programiranje, sprovođenje i monitoring budućih ESI fondova.</w:t>
      </w:r>
    </w:p>
    <w:p w14:paraId="53BA23B9" w14:textId="77777777" w:rsidR="00047EF8" w:rsidRPr="00F563CD" w:rsidRDefault="00864F83" w:rsidP="00047EF8">
      <w:pPr>
        <w:pStyle w:val="Heading2"/>
        <w:numPr>
          <w:ilvl w:val="0"/>
          <w:numId w:val="28"/>
        </w:numPr>
        <w:rPr>
          <w:rFonts w:asciiTheme="minorHAnsi" w:hAnsiTheme="minorHAnsi" w:cs="Arial"/>
          <w:smallCaps/>
          <w:color w:val="auto"/>
          <w:sz w:val="24"/>
          <w:szCs w:val="24"/>
        </w:rPr>
      </w:pPr>
      <w:r w:rsidRPr="00F563CD">
        <w:rPr>
          <w:rFonts w:asciiTheme="minorHAnsi" w:hAnsiTheme="minorHAnsi" w:cs="Arial"/>
          <w:smallCaps/>
          <w:color w:val="auto"/>
          <w:sz w:val="24"/>
          <w:szCs w:val="24"/>
        </w:rPr>
        <w:t xml:space="preserve"> </w:t>
      </w:r>
      <w:bookmarkStart w:id="41" w:name="_Toc91500269"/>
      <w:r w:rsidRPr="00F563CD">
        <w:rPr>
          <w:rFonts w:asciiTheme="minorHAnsi" w:hAnsiTheme="minorHAnsi" w:cs="Arial"/>
          <w:smallCaps/>
          <w:color w:val="auto"/>
          <w:sz w:val="24"/>
          <w:szCs w:val="24"/>
        </w:rPr>
        <w:t>povezanost sektorskih strategija sa regionalnim i globalnim strategijama</w:t>
      </w:r>
      <w:bookmarkEnd w:id="41"/>
    </w:p>
    <w:p w14:paraId="26F9433B" w14:textId="5802DA0E" w:rsidR="00047EF8" w:rsidRPr="00F563CD" w:rsidRDefault="00864F83" w:rsidP="00047EF8">
      <w:pPr>
        <w:spacing w:after="0"/>
        <w:jc w:val="both"/>
        <w:rPr>
          <w:rFonts w:asciiTheme="minorHAnsi" w:hAnsiTheme="minorHAnsi"/>
          <w:sz w:val="20"/>
          <w:szCs w:val="20"/>
        </w:rPr>
      </w:pPr>
      <w:r w:rsidRPr="00F563CD">
        <w:rPr>
          <w:rFonts w:asciiTheme="minorHAnsi" w:hAnsiTheme="minorHAnsi"/>
          <w:sz w:val="20"/>
          <w:szCs w:val="20"/>
        </w:rPr>
        <w:t xml:space="preserve">Tabela niže sadrži informacije o uvezanosti nacionalnih strategija i regionalnih i globalnih strategija: </w:t>
      </w:r>
    </w:p>
    <w:p w14:paraId="00743543" w14:textId="77777777" w:rsidR="008639C5" w:rsidRPr="00F563CD" w:rsidRDefault="008639C5" w:rsidP="00047EF8">
      <w:pPr>
        <w:spacing w:after="0"/>
        <w:jc w:val="both"/>
        <w:rPr>
          <w:rFonts w:asciiTheme="minorHAnsi" w:hAnsiTheme="minorHAnsi"/>
          <w:sz w:val="20"/>
          <w:szCs w:val="20"/>
        </w:rPr>
      </w:pPr>
    </w:p>
    <w:tbl>
      <w:tblPr>
        <w:tblStyle w:val="GridTable5Dark-Accent51"/>
        <w:tblW w:w="0" w:type="auto"/>
        <w:tblLook w:val="04A0" w:firstRow="1" w:lastRow="0" w:firstColumn="1" w:lastColumn="0" w:noHBand="0" w:noVBand="1"/>
      </w:tblPr>
      <w:tblGrid>
        <w:gridCol w:w="1744"/>
        <w:gridCol w:w="1104"/>
        <w:gridCol w:w="1453"/>
        <w:gridCol w:w="844"/>
        <w:gridCol w:w="2315"/>
        <w:gridCol w:w="1337"/>
        <w:gridCol w:w="1823"/>
      </w:tblGrid>
      <w:tr w:rsidR="00047EF8" w:rsidRPr="00F563CD" w14:paraId="4E30B55C" w14:textId="77777777" w:rsidTr="00A23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right w:val="single" w:sz="4" w:space="0" w:color="FFFFFF" w:themeColor="background1"/>
            </w:tcBorders>
            <w:shd w:val="clear" w:color="auto" w:fill="948A54" w:themeFill="background2" w:themeFillShade="80"/>
          </w:tcPr>
          <w:p w14:paraId="4394EBCD" w14:textId="77777777" w:rsidR="00047EF8" w:rsidRPr="00F563CD" w:rsidRDefault="00864F83" w:rsidP="00A239C5">
            <w:pPr>
              <w:rPr>
                <w:rFonts w:asciiTheme="minorHAnsi" w:hAnsiTheme="minorHAnsi"/>
                <w:sz w:val="20"/>
                <w:szCs w:val="20"/>
              </w:rPr>
            </w:pPr>
            <w:r w:rsidRPr="00F563CD">
              <w:rPr>
                <w:rFonts w:asciiTheme="minorHAnsi" w:hAnsiTheme="minorHAnsi"/>
                <w:color w:val="auto"/>
                <w:sz w:val="20"/>
                <w:szCs w:val="20"/>
              </w:rPr>
              <w:t xml:space="preserve">Specifični ciljevi </w:t>
            </w:r>
          </w:p>
        </w:tc>
        <w:tc>
          <w:tcPr>
            <w:tcW w:w="0" w:type="auto"/>
            <w:tcBorders>
              <w:left w:val="single" w:sz="4" w:space="0" w:color="FFFFFF" w:themeColor="background1"/>
              <w:bottom w:val="single" w:sz="4" w:space="0" w:color="FFFFFF" w:themeColor="background1"/>
              <w:right w:val="single" w:sz="4" w:space="0" w:color="FFFFFF" w:themeColor="background1"/>
            </w:tcBorders>
            <w:shd w:val="clear" w:color="auto" w:fill="948A54" w:themeFill="background2" w:themeFillShade="80"/>
          </w:tcPr>
          <w:p w14:paraId="4326E83F" w14:textId="77777777" w:rsidR="00047EF8" w:rsidRPr="00F563CD" w:rsidRDefault="00864F83" w:rsidP="00A239C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color w:val="auto"/>
                <w:sz w:val="20"/>
                <w:szCs w:val="20"/>
              </w:rPr>
              <w:t>Strategije EU</w:t>
            </w:r>
          </w:p>
        </w:tc>
        <w:tc>
          <w:tcPr>
            <w:tcW w:w="0" w:type="auto"/>
            <w:gridSpan w:val="2"/>
            <w:tcBorders>
              <w:left w:val="single" w:sz="4" w:space="0" w:color="FFFFFF" w:themeColor="background1"/>
              <w:bottom w:val="single" w:sz="4" w:space="0" w:color="FFFFFF" w:themeColor="background1"/>
              <w:right w:val="single" w:sz="4" w:space="0" w:color="FFFFFF" w:themeColor="background1"/>
            </w:tcBorders>
            <w:shd w:val="clear" w:color="auto" w:fill="948A54" w:themeFill="background2" w:themeFillShade="80"/>
          </w:tcPr>
          <w:p w14:paraId="46A88B62" w14:textId="77777777" w:rsidR="00047EF8" w:rsidRPr="00F563CD" w:rsidRDefault="00864F83" w:rsidP="00A239C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color w:val="auto"/>
                <w:sz w:val="20"/>
                <w:szCs w:val="20"/>
              </w:rPr>
              <w:t>Regionalne strategije</w:t>
            </w:r>
          </w:p>
        </w:tc>
        <w:tc>
          <w:tcPr>
            <w:tcW w:w="0" w:type="auto"/>
            <w:gridSpan w:val="2"/>
            <w:tcBorders>
              <w:left w:val="single" w:sz="4" w:space="0" w:color="FFFFFF" w:themeColor="background1"/>
              <w:bottom w:val="single" w:sz="4" w:space="0" w:color="FFFFFF" w:themeColor="background1"/>
              <w:right w:val="single" w:sz="4" w:space="0" w:color="FFFFFF" w:themeColor="background1"/>
            </w:tcBorders>
            <w:shd w:val="clear" w:color="auto" w:fill="948A54" w:themeFill="background2" w:themeFillShade="80"/>
          </w:tcPr>
          <w:p w14:paraId="4AF807EA" w14:textId="77777777" w:rsidR="00047EF8" w:rsidRPr="00F563CD" w:rsidRDefault="00864F83" w:rsidP="00A239C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color w:val="auto"/>
                <w:sz w:val="20"/>
                <w:szCs w:val="20"/>
              </w:rPr>
              <w:t>Nacionalne strategije</w:t>
            </w:r>
          </w:p>
        </w:tc>
        <w:tc>
          <w:tcPr>
            <w:tcW w:w="0" w:type="auto"/>
            <w:tcBorders>
              <w:left w:val="single" w:sz="4" w:space="0" w:color="FFFFFF" w:themeColor="background1"/>
              <w:bottom w:val="single" w:sz="4" w:space="0" w:color="FFFFFF" w:themeColor="background1"/>
            </w:tcBorders>
            <w:shd w:val="clear" w:color="auto" w:fill="948A54" w:themeFill="background2" w:themeFillShade="80"/>
          </w:tcPr>
          <w:p w14:paraId="285489A1" w14:textId="77777777" w:rsidR="00047EF8" w:rsidRPr="00F563CD" w:rsidRDefault="00864F83" w:rsidP="00A239C5">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color w:val="auto"/>
                <w:sz w:val="20"/>
                <w:szCs w:val="20"/>
              </w:rPr>
              <w:t>Vrsta intervencije</w:t>
            </w:r>
          </w:p>
        </w:tc>
      </w:tr>
      <w:tr w:rsidR="008639C5" w:rsidRPr="00F563CD" w14:paraId="31442955" w14:textId="77777777" w:rsidTr="0086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tcBorders>
            <w:shd w:val="clear" w:color="auto" w:fill="92D050"/>
          </w:tcPr>
          <w:p w14:paraId="3DAA7C63" w14:textId="77777777" w:rsidR="00047EF8" w:rsidRPr="00F563CD" w:rsidRDefault="00864F83" w:rsidP="00A239C5">
            <w:pPr>
              <w:spacing w:after="0"/>
              <w:rPr>
                <w:rFonts w:asciiTheme="minorHAnsi" w:hAnsiTheme="minorHAnsi"/>
                <w:sz w:val="20"/>
                <w:szCs w:val="20"/>
              </w:rPr>
            </w:pPr>
            <w:r w:rsidRPr="00F563CD">
              <w:rPr>
                <w:rFonts w:asciiTheme="minorHAnsi" w:hAnsiTheme="minorHAnsi"/>
                <w:color w:val="auto"/>
                <w:sz w:val="20"/>
                <w:szCs w:val="20"/>
              </w:rPr>
              <w:t>Životna sredina i klimatske promjene:</w:t>
            </w:r>
          </w:p>
          <w:p w14:paraId="5072C65E" w14:textId="77777777" w:rsidR="00047EF8" w:rsidRPr="00F563CD" w:rsidRDefault="00864F83" w:rsidP="00A239C5">
            <w:pPr>
              <w:spacing w:after="0"/>
              <w:rPr>
                <w:rFonts w:asciiTheme="minorHAnsi" w:hAnsiTheme="minorHAnsi"/>
                <w:sz w:val="20"/>
                <w:szCs w:val="20"/>
              </w:rPr>
            </w:pPr>
            <w:r w:rsidRPr="00F563CD">
              <w:rPr>
                <w:rFonts w:asciiTheme="minorHAnsi" w:hAnsiTheme="minorHAnsi" w:cstheme="minorBidi"/>
                <w:iCs/>
                <w:color w:val="auto"/>
                <w:sz w:val="20"/>
                <w:szCs w:val="20"/>
              </w:rPr>
              <w:t>obezbijediti podršku zaštiti životne sredine, unaprijediti njen kvalitet i pružiti odgovarajući doprinos akcijama i politikama u borbi protiv klimatskih promjena, kako bi se ubrzao prelazak na niskougljeničnu ekonomiju.</w:t>
            </w:r>
          </w:p>
        </w:tc>
        <w:tc>
          <w:tcPr>
            <w:tcW w:w="0" w:type="auto"/>
            <w:tcBorders>
              <w:top w:val="single" w:sz="4" w:space="0" w:color="FFFFFF" w:themeColor="background1"/>
            </w:tcBorders>
            <w:shd w:val="clear" w:color="auto" w:fill="92D050"/>
          </w:tcPr>
          <w:p w14:paraId="5E30ED45" w14:textId="77777777" w:rsidR="00047EF8" w:rsidRPr="00F563CD" w:rsidRDefault="00864F83" w:rsidP="00A239C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Evropski zeleni dogovor</w:t>
            </w:r>
          </w:p>
        </w:tc>
        <w:tc>
          <w:tcPr>
            <w:tcW w:w="1490" w:type="dxa"/>
            <w:tcBorders>
              <w:top w:val="single" w:sz="4" w:space="0" w:color="FFFFFF" w:themeColor="background1"/>
            </w:tcBorders>
            <w:shd w:val="clear" w:color="auto" w:fill="92D050"/>
          </w:tcPr>
          <w:p w14:paraId="160B6A34" w14:textId="77777777" w:rsidR="00047EF8" w:rsidRPr="00F563CD" w:rsidRDefault="00864F83" w:rsidP="00A239C5">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 xml:space="preserve">Zelena agenda za Zapadni Balkan </w:t>
            </w:r>
          </w:p>
        </w:tc>
        <w:tc>
          <w:tcPr>
            <w:tcW w:w="902" w:type="dxa"/>
            <w:vMerge w:val="restart"/>
            <w:tcBorders>
              <w:top w:val="single" w:sz="4" w:space="0" w:color="FFFFFF" w:themeColor="background1"/>
            </w:tcBorders>
            <w:shd w:val="clear" w:color="auto" w:fill="E5DFEC" w:themeFill="accent4" w:themeFillTint="33"/>
            <w:textDirection w:val="tbRl"/>
          </w:tcPr>
          <w:p w14:paraId="4EF60337" w14:textId="77777777" w:rsidR="00047EF8" w:rsidRPr="00F563CD" w:rsidRDefault="00864F83" w:rsidP="008639C5">
            <w:pPr>
              <w:pStyle w:val="ListParagraph"/>
              <w:numPr>
                <w:ilvl w:val="0"/>
                <w:numId w:val="106"/>
              </w:numPr>
              <w:spacing w:after="0"/>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Ekonomski i investicioni  plan (EIP)  za Zapadni Balkan</w:t>
            </w:r>
          </w:p>
        </w:tc>
        <w:tc>
          <w:tcPr>
            <w:tcW w:w="2428" w:type="dxa"/>
            <w:tcBorders>
              <w:top w:val="single" w:sz="4" w:space="0" w:color="FFFFFF" w:themeColor="background1"/>
            </w:tcBorders>
            <w:shd w:val="clear" w:color="auto" w:fill="92D050"/>
          </w:tcPr>
          <w:p w14:paraId="4EE622E8" w14:textId="77777777" w:rsidR="00047EF8" w:rsidRPr="00F563CD" w:rsidRDefault="00864F83" w:rsidP="008639C5">
            <w:pPr>
              <w:pStyle w:val="ListParagraph"/>
              <w:numPr>
                <w:ilvl w:val="0"/>
                <w:numId w:val="67"/>
              </w:numPr>
              <w:tabs>
                <w:tab w:val="clear" w:pos="720"/>
                <w:tab w:val="num" w:pos="381"/>
              </w:tabs>
              <w:spacing w:after="0"/>
              <w:ind w:left="97" w:hanging="9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 xml:space="preserve">Akcioni plan za ispunjavanje završnih mjerila u Poglavlju 27 </w:t>
            </w:r>
          </w:p>
          <w:p w14:paraId="6DD5F485" w14:textId="77777777" w:rsidR="00047EF8" w:rsidRPr="00F563CD" w:rsidRDefault="00864F83" w:rsidP="008639C5">
            <w:pPr>
              <w:pStyle w:val="ListParagraph"/>
              <w:numPr>
                <w:ilvl w:val="0"/>
                <w:numId w:val="67"/>
              </w:numPr>
              <w:tabs>
                <w:tab w:val="clear" w:pos="720"/>
                <w:tab w:val="num" w:pos="381"/>
              </w:tabs>
              <w:spacing w:after="0"/>
              <w:ind w:left="97" w:hanging="9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Životna sredina i klimatske promjene</w:t>
            </w:r>
          </w:p>
          <w:p w14:paraId="44129524" w14:textId="77777777" w:rsidR="00047EF8" w:rsidRPr="00F563CD" w:rsidRDefault="00864F83" w:rsidP="00A239C5">
            <w:pPr>
              <w:pStyle w:val="ListParagraph"/>
              <w:numPr>
                <w:ilvl w:val="0"/>
                <w:numId w:val="67"/>
              </w:numPr>
              <w:tabs>
                <w:tab w:val="clear" w:pos="720"/>
                <w:tab w:val="num" w:pos="381"/>
              </w:tabs>
              <w:spacing w:after="0"/>
              <w:ind w:left="97" w:hanging="9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Nacionalna strategija</w:t>
            </w:r>
            <w:r w:rsidRPr="00F563CD">
              <w:rPr>
                <w:rFonts w:asciiTheme="minorHAnsi" w:hAnsiTheme="minorHAnsi"/>
                <w:i/>
                <w:iCs/>
              </w:rPr>
              <w:t xml:space="preserve"> </w:t>
            </w:r>
            <w:r w:rsidRPr="00F563CD">
              <w:rPr>
                <w:rFonts w:asciiTheme="minorHAnsi" w:hAnsiTheme="minorHAnsi"/>
                <w:sz w:val="20"/>
                <w:szCs w:val="20"/>
              </w:rPr>
              <w:t>aproksimacije u oblasti životne sredine (NEAS)</w:t>
            </w:r>
          </w:p>
          <w:p w14:paraId="17F0659D" w14:textId="77777777" w:rsidR="00047EF8" w:rsidRPr="00F563CD" w:rsidRDefault="00864F83" w:rsidP="00A239C5">
            <w:pPr>
              <w:pStyle w:val="ListParagraph"/>
              <w:numPr>
                <w:ilvl w:val="0"/>
                <w:numId w:val="67"/>
              </w:numPr>
              <w:tabs>
                <w:tab w:val="clear" w:pos="720"/>
                <w:tab w:val="num" w:pos="381"/>
              </w:tabs>
              <w:spacing w:after="0"/>
              <w:ind w:left="97" w:hanging="9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Nacionalna strategija biodiverziteta</w:t>
            </w:r>
          </w:p>
          <w:p w14:paraId="7C770236" w14:textId="77777777" w:rsidR="00047EF8" w:rsidRPr="00F563CD" w:rsidRDefault="00864F83" w:rsidP="00A239C5">
            <w:pPr>
              <w:pStyle w:val="ListParagraph"/>
              <w:numPr>
                <w:ilvl w:val="0"/>
                <w:numId w:val="67"/>
              </w:numPr>
              <w:tabs>
                <w:tab w:val="clear" w:pos="720"/>
                <w:tab w:val="num" w:pos="381"/>
              </w:tabs>
              <w:spacing w:after="0"/>
              <w:ind w:left="97" w:hanging="9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Nacionalna strategija upravljanja hemikalijama</w:t>
            </w:r>
          </w:p>
          <w:p w14:paraId="7C9CCB13" w14:textId="77777777" w:rsidR="00047EF8" w:rsidRPr="00F563CD" w:rsidRDefault="00864F83" w:rsidP="00A239C5">
            <w:pPr>
              <w:pStyle w:val="ListParagraph"/>
              <w:numPr>
                <w:ilvl w:val="0"/>
                <w:numId w:val="67"/>
              </w:numPr>
              <w:tabs>
                <w:tab w:val="clear" w:pos="720"/>
                <w:tab w:val="num" w:pos="381"/>
              </w:tabs>
              <w:spacing w:after="0"/>
              <w:ind w:left="97" w:hanging="9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 xml:space="preserve">Strategija za smanjenje rizika od katastrofa Crne Gore </w:t>
            </w:r>
          </w:p>
          <w:p w14:paraId="262782AD" w14:textId="77777777" w:rsidR="00047EF8" w:rsidRPr="00F563CD" w:rsidRDefault="00864F83" w:rsidP="00A239C5">
            <w:pPr>
              <w:pStyle w:val="ListParagraph"/>
              <w:numPr>
                <w:ilvl w:val="0"/>
                <w:numId w:val="67"/>
              </w:numPr>
              <w:tabs>
                <w:tab w:val="clear" w:pos="720"/>
                <w:tab w:val="num" w:pos="381"/>
              </w:tabs>
              <w:spacing w:after="0"/>
              <w:ind w:left="97" w:hanging="9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 xml:space="preserve">Nacionalna strategija u oblasti klimatskih promjena do 2030. godine </w:t>
            </w:r>
          </w:p>
          <w:p w14:paraId="54CCFA8B" w14:textId="77777777" w:rsidR="00047EF8" w:rsidRPr="00F563CD" w:rsidRDefault="00864F83" w:rsidP="00A239C5">
            <w:pPr>
              <w:pStyle w:val="ListParagraph"/>
              <w:numPr>
                <w:ilvl w:val="0"/>
                <w:numId w:val="67"/>
              </w:numPr>
              <w:tabs>
                <w:tab w:val="clear" w:pos="720"/>
                <w:tab w:val="num" w:pos="381"/>
              </w:tabs>
              <w:spacing w:after="0"/>
              <w:ind w:left="97" w:hanging="9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lastRenderedPageBreak/>
              <w:t xml:space="preserve">Master Plan upravljanja otpadnim vodama </w:t>
            </w:r>
          </w:p>
          <w:p w14:paraId="56B47C37" w14:textId="77777777" w:rsidR="00047EF8" w:rsidRPr="00F563CD" w:rsidRDefault="00864F83" w:rsidP="00A239C5">
            <w:pPr>
              <w:pStyle w:val="ListParagraph"/>
              <w:numPr>
                <w:ilvl w:val="0"/>
                <w:numId w:val="67"/>
              </w:numPr>
              <w:tabs>
                <w:tab w:val="clear" w:pos="720"/>
                <w:tab w:val="num" w:pos="381"/>
              </w:tabs>
              <w:spacing w:after="0"/>
              <w:ind w:left="97" w:hanging="97"/>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 xml:space="preserve">Strategija upravljanja otpadom </w:t>
            </w:r>
          </w:p>
        </w:tc>
        <w:tc>
          <w:tcPr>
            <w:tcW w:w="1355" w:type="dxa"/>
            <w:vMerge w:val="restart"/>
            <w:tcBorders>
              <w:top w:val="single" w:sz="4" w:space="0" w:color="FFFFFF" w:themeColor="background1"/>
            </w:tcBorders>
            <w:shd w:val="clear" w:color="auto" w:fill="E5DFEC" w:themeFill="accent4" w:themeFillTint="33"/>
            <w:textDirection w:val="tbRl"/>
          </w:tcPr>
          <w:p w14:paraId="650E1C06" w14:textId="77777777" w:rsidR="00047EF8" w:rsidRPr="00F563CD" w:rsidRDefault="00864F83" w:rsidP="00A239C5">
            <w:pPr>
              <w:pStyle w:val="ListParagraph"/>
              <w:numPr>
                <w:ilvl w:val="0"/>
                <w:numId w:val="66"/>
              </w:numPr>
              <w:spacing w:after="0" w:line="240"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lastRenderedPageBreak/>
              <w:t xml:space="preserve">Program ekonomskih reformi Crne Gore </w:t>
            </w:r>
          </w:p>
          <w:p w14:paraId="69560E69" w14:textId="30BB30AE" w:rsidR="00047EF8" w:rsidRPr="00F563CD" w:rsidRDefault="00864F83" w:rsidP="00A239C5">
            <w:pPr>
              <w:pStyle w:val="ListParagraph"/>
              <w:numPr>
                <w:ilvl w:val="0"/>
                <w:numId w:val="66"/>
              </w:numPr>
              <w:spacing w:after="0" w:line="240"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fr-BE"/>
              </w:rPr>
            </w:pPr>
            <w:r w:rsidRPr="00F563CD">
              <w:rPr>
                <w:rFonts w:asciiTheme="minorHAnsi" w:hAnsiTheme="minorHAnsi"/>
                <w:sz w:val="20"/>
                <w:szCs w:val="20"/>
                <w:lang w:val="fr-BE"/>
              </w:rPr>
              <w:t>Program prist</w:t>
            </w:r>
            <w:r w:rsidR="008639C5" w:rsidRPr="00F563CD">
              <w:rPr>
                <w:rFonts w:asciiTheme="minorHAnsi" w:hAnsiTheme="minorHAnsi"/>
                <w:sz w:val="20"/>
                <w:szCs w:val="20"/>
                <w:lang w:val="fr-BE"/>
              </w:rPr>
              <w:t>upanja CG</w:t>
            </w:r>
            <w:r w:rsidR="002F04F9" w:rsidRPr="00F563CD">
              <w:rPr>
                <w:rFonts w:asciiTheme="minorHAnsi" w:hAnsiTheme="minorHAnsi"/>
                <w:sz w:val="20"/>
                <w:szCs w:val="20"/>
                <w:lang w:val="fr-BE"/>
              </w:rPr>
              <w:t xml:space="preserve"> EU </w:t>
            </w:r>
            <w:r w:rsidRPr="00F563CD">
              <w:rPr>
                <w:rFonts w:asciiTheme="minorHAnsi" w:hAnsiTheme="minorHAnsi"/>
                <w:sz w:val="20"/>
                <w:szCs w:val="20"/>
                <w:lang w:val="fr-BE"/>
              </w:rPr>
              <w:t>2020 – 2022</w:t>
            </w:r>
          </w:p>
          <w:p w14:paraId="2573B221" w14:textId="77777777" w:rsidR="00047EF8" w:rsidRPr="00F563CD" w:rsidRDefault="00864F83" w:rsidP="00A239C5">
            <w:pPr>
              <w:pStyle w:val="ListParagraph"/>
              <w:numPr>
                <w:ilvl w:val="0"/>
                <w:numId w:val="66"/>
              </w:numPr>
              <w:spacing w:after="0" w:line="240"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Nacionalna strategija održivog razvoja do 2030.</w:t>
            </w:r>
          </w:p>
          <w:p w14:paraId="6285699D" w14:textId="77777777" w:rsidR="00047EF8" w:rsidRPr="00F563CD" w:rsidRDefault="00864F83" w:rsidP="00A239C5">
            <w:pPr>
              <w:pStyle w:val="ListParagraph"/>
              <w:numPr>
                <w:ilvl w:val="0"/>
                <w:numId w:val="66"/>
              </w:numPr>
              <w:spacing w:after="0" w:line="240" w:lineRule="auto"/>
              <w:ind w:right="113"/>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Pravci razvoja Crne Gore 2018-2021</w:t>
            </w:r>
          </w:p>
        </w:tc>
        <w:tc>
          <w:tcPr>
            <w:tcW w:w="0" w:type="auto"/>
            <w:tcBorders>
              <w:top w:val="single" w:sz="4" w:space="0" w:color="FFFFFF" w:themeColor="background1"/>
            </w:tcBorders>
            <w:shd w:val="clear" w:color="auto" w:fill="92D050"/>
          </w:tcPr>
          <w:p w14:paraId="33318CC5" w14:textId="77777777"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1.1. Pravna tekovina EU u oblasti životne sredine i politike koje se odnose na klimatsku akciju u Crnoj Gori</w:t>
            </w:r>
          </w:p>
          <w:p w14:paraId="0EF22827" w14:textId="77777777"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1.2. Infrastruktura za vodosnabdijevanje i odvođenje otpadnih voda na opštinskom nivou</w:t>
            </w:r>
          </w:p>
          <w:p w14:paraId="7AFB17B0" w14:textId="77777777"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1.4. Infrastruktura i pravna tekovina koji su relevantni za upravljanje vodama u Crnoj Gori</w:t>
            </w:r>
          </w:p>
          <w:p w14:paraId="0DC8ABA2" w14:textId="77777777"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1.5. Infrastruktura i pravna tekovina koji su relevantni za upravljanje otpadom u Crnoj Gori</w:t>
            </w:r>
          </w:p>
          <w:p w14:paraId="666D2085" w14:textId="77777777"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lastRenderedPageBreak/>
              <w:t>1.6. Infrastruktura za vodosnabdijevanje i odvođenje otpadnih voda na opštinskom nivou II.</w:t>
            </w:r>
          </w:p>
          <w:p w14:paraId="038570C7" w14:textId="77777777" w:rsidR="00047EF8" w:rsidRPr="00F563CD" w:rsidRDefault="00864F83" w:rsidP="00A239C5">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1.7. Infrastruktura u oblasti zaštite prirode i ostale aktivnosti na nivou Crne Gore koje su relevantne za pravnu tekovinu u ovoj oblasti.</w:t>
            </w:r>
          </w:p>
        </w:tc>
      </w:tr>
      <w:tr w:rsidR="008639C5" w:rsidRPr="00F563CD" w14:paraId="0EF77CD2" w14:textId="77777777" w:rsidTr="008639C5">
        <w:tc>
          <w:tcPr>
            <w:cnfStyle w:val="001000000000" w:firstRow="0" w:lastRow="0" w:firstColumn="1" w:lastColumn="0" w:oddVBand="0" w:evenVBand="0" w:oddHBand="0" w:evenHBand="0" w:firstRowFirstColumn="0" w:firstRowLastColumn="0" w:lastRowFirstColumn="0" w:lastRowLastColumn="0"/>
            <w:tcW w:w="0" w:type="auto"/>
          </w:tcPr>
          <w:p w14:paraId="1EF26DB5" w14:textId="77777777" w:rsidR="00047EF8" w:rsidRPr="00F563CD" w:rsidRDefault="00864F83" w:rsidP="00A239C5">
            <w:pPr>
              <w:rPr>
                <w:rFonts w:asciiTheme="minorHAnsi" w:hAnsiTheme="minorHAnsi"/>
                <w:sz w:val="20"/>
                <w:szCs w:val="20"/>
              </w:rPr>
            </w:pPr>
            <w:r w:rsidRPr="00F563CD">
              <w:rPr>
                <w:rFonts w:asciiTheme="minorHAnsi" w:hAnsiTheme="minorHAnsi"/>
                <w:sz w:val="20"/>
                <w:szCs w:val="20"/>
              </w:rPr>
              <w:lastRenderedPageBreak/>
              <w:t xml:space="preserve">Saobraćaj: </w:t>
            </w:r>
            <w:r w:rsidRPr="00F563CD">
              <w:rPr>
                <w:rFonts w:asciiTheme="minorHAnsi" w:hAnsiTheme="minorHAnsi" w:cstheme="minorBidi"/>
                <w:iCs/>
                <w:sz w:val="20"/>
                <w:szCs w:val="20"/>
              </w:rPr>
              <w:t>Unaprijediti pametni, održivi, inkluzivni, bezbjedni saobraćaj, i ukloniti uska grla u infrastukturama glavnih mreža</w:t>
            </w:r>
          </w:p>
        </w:tc>
        <w:tc>
          <w:tcPr>
            <w:tcW w:w="0" w:type="auto"/>
          </w:tcPr>
          <w:p w14:paraId="55678BB3" w14:textId="77777777" w:rsidR="00047EF8" w:rsidRPr="00F563CD" w:rsidRDefault="00864F83" w:rsidP="00A239C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Tent-T mreža</w:t>
            </w:r>
          </w:p>
          <w:p w14:paraId="00672ECB" w14:textId="77777777" w:rsidR="00047EF8" w:rsidRPr="00F563CD" w:rsidRDefault="00047EF8" w:rsidP="00A239C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490" w:type="dxa"/>
          </w:tcPr>
          <w:p w14:paraId="117AD048" w14:textId="77777777" w:rsidR="00047EF8" w:rsidRPr="00F563CD" w:rsidRDefault="00864F83" w:rsidP="00A239C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BE"/>
              </w:rPr>
            </w:pPr>
            <w:r w:rsidRPr="00F563CD">
              <w:rPr>
                <w:rFonts w:asciiTheme="minorHAnsi" w:hAnsiTheme="minorHAnsi"/>
                <w:sz w:val="20"/>
                <w:szCs w:val="20"/>
                <w:lang w:val="fr-BE"/>
              </w:rPr>
              <w:t xml:space="preserve">Agenda povezivanja za Zapadni Balkan </w:t>
            </w:r>
          </w:p>
        </w:tc>
        <w:tc>
          <w:tcPr>
            <w:tcW w:w="902" w:type="dxa"/>
            <w:vMerge/>
            <w:shd w:val="clear" w:color="auto" w:fill="E5DFEC" w:themeFill="accent4" w:themeFillTint="33"/>
            <w:textDirection w:val="tbRl"/>
          </w:tcPr>
          <w:p w14:paraId="2F9505EB" w14:textId="77777777" w:rsidR="00047EF8" w:rsidRPr="00F563CD" w:rsidRDefault="00047EF8" w:rsidP="00A239C5">
            <w:pPr>
              <w:ind w:left="113"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BE"/>
              </w:rPr>
            </w:pPr>
          </w:p>
        </w:tc>
        <w:tc>
          <w:tcPr>
            <w:tcW w:w="2428" w:type="dxa"/>
          </w:tcPr>
          <w:p w14:paraId="0310CD37" w14:textId="77777777" w:rsidR="00047EF8" w:rsidRPr="00F563CD" w:rsidRDefault="00864F83" w:rsidP="00A239C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cstheme="minorBidi"/>
                <w:bCs/>
                <w:iCs/>
                <w:sz w:val="20"/>
                <w:szCs w:val="20"/>
              </w:rPr>
              <w:t>Strategija razvoja saobraćaja za period 2019-2030</w:t>
            </w:r>
          </w:p>
        </w:tc>
        <w:tc>
          <w:tcPr>
            <w:tcW w:w="1355" w:type="dxa"/>
            <w:vMerge/>
            <w:shd w:val="clear" w:color="auto" w:fill="E5DFEC" w:themeFill="accent4" w:themeFillTint="33"/>
            <w:textDirection w:val="tbRl"/>
          </w:tcPr>
          <w:p w14:paraId="369D6F8D" w14:textId="77777777" w:rsidR="00047EF8" w:rsidRPr="00F563CD" w:rsidRDefault="00047EF8" w:rsidP="00A239C5">
            <w:pPr>
              <w:pStyle w:val="ListParagraph"/>
              <w:numPr>
                <w:ilvl w:val="0"/>
                <w:numId w:val="66"/>
              </w:numPr>
              <w:spacing w:after="0" w:line="240" w:lineRule="auto"/>
              <w:ind w:right="113"/>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0" w:type="auto"/>
          </w:tcPr>
          <w:p w14:paraId="50CD5362" w14:textId="77777777" w:rsidR="00047EF8" w:rsidRPr="00F563CD" w:rsidRDefault="00864F83" w:rsidP="00A239C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2.1. Podsticanje održive povezanosti i zelene ekonomije Crne Gore</w:t>
            </w:r>
          </w:p>
          <w:p w14:paraId="7004BB4D" w14:textId="77777777" w:rsidR="00047EF8" w:rsidRPr="00F563CD" w:rsidRDefault="00047EF8" w:rsidP="00A239C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00927DF9" w14:textId="77777777" w:rsidR="00047EF8" w:rsidRPr="00F563CD" w:rsidRDefault="00864F83" w:rsidP="00A239C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2.4. Integrisana podrška  unapređenju efikasnosti,  učinkovitosti i  pametne mobilnosti u okviru  saobraćajne mreže</w:t>
            </w:r>
          </w:p>
        </w:tc>
      </w:tr>
      <w:tr w:rsidR="008639C5" w:rsidRPr="00F563CD" w14:paraId="37702A94" w14:textId="77777777" w:rsidTr="0086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C0504D" w:themeFill="accent2"/>
          </w:tcPr>
          <w:p w14:paraId="477C4314" w14:textId="77777777" w:rsidR="00047EF8" w:rsidRPr="00F563CD" w:rsidRDefault="00864F83" w:rsidP="00A239C5">
            <w:pPr>
              <w:rPr>
                <w:rFonts w:asciiTheme="minorHAnsi" w:hAnsiTheme="minorHAnsi"/>
                <w:sz w:val="20"/>
                <w:szCs w:val="20"/>
              </w:rPr>
            </w:pPr>
            <w:r w:rsidRPr="00F563CD">
              <w:rPr>
                <w:rFonts w:asciiTheme="minorHAnsi" w:hAnsiTheme="minorHAnsi"/>
                <w:sz w:val="20"/>
                <w:szCs w:val="20"/>
              </w:rPr>
              <w:t xml:space="preserve">Energetika: </w:t>
            </w:r>
            <w:r w:rsidRPr="00F563CD">
              <w:rPr>
                <w:rFonts w:asciiTheme="minorHAnsi" w:hAnsiTheme="minorHAnsi" w:cs="Arial"/>
                <w:sz w:val="20"/>
                <w:szCs w:val="20"/>
              </w:rPr>
              <w:t>Ubrzati prelazak na niskougljeničnu ekonomiju i promovisati prelazak na čistu energiju i evropsko integrisano energetsko tržište</w:t>
            </w:r>
          </w:p>
          <w:p w14:paraId="052643DA" w14:textId="77777777" w:rsidR="00047EF8" w:rsidRPr="00F563CD" w:rsidRDefault="00047EF8" w:rsidP="00A239C5">
            <w:pPr>
              <w:rPr>
                <w:rFonts w:asciiTheme="minorHAnsi" w:hAnsiTheme="minorHAnsi"/>
                <w:sz w:val="20"/>
                <w:szCs w:val="20"/>
              </w:rPr>
            </w:pPr>
          </w:p>
        </w:tc>
        <w:tc>
          <w:tcPr>
            <w:tcW w:w="0" w:type="auto"/>
            <w:shd w:val="clear" w:color="auto" w:fill="C0504D" w:themeFill="accent2"/>
          </w:tcPr>
          <w:p w14:paraId="2805BB71" w14:textId="77777777" w:rsidR="00047EF8" w:rsidRPr="00F563CD" w:rsidRDefault="00864F83" w:rsidP="00A239C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Evropski zeleni dogovor</w:t>
            </w:r>
          </w:p>
        </w:tc>
        <w:tc>
          <w:tcPr>
            <w:tcW w:w="1490" w:type="dxa"/>
            <w:shd w:val="clear" w:color="auto" w:fill="C0504D" w:themeFill="accent2"/>
          </w:tcPr>
          <w:p w14:paraId="7EF4AF32" w14:textId="77777777" w:rsidR="00047EF8" w:rsidRPr="00F563CD" w:rsidRDefault="00864F83" w:rsidP="00A239C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Zelena agenda za Zapadni Balkan</w:t>
            </w:r>
          </w:p>
        </w:tc>
        <w:tc>
          <w:tcPr>
            <w:tcW w:w="902" w:type="dxa"/>
            <w:vMerge/>
            <w:shd w:val="clear" w:color="auto" w:fill="E5DFEC" w:themeFill="accent4" w:themeFillTint="33"/>
          </w:tcPr>
          <w:p w14:paraId="0BF20681" w14:textId="77777777" w:rsidR="00047EF8" w:rsidRPr="00F563CD" w:rsidRDefault="00047EF8" w:rsidP="00A239C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428" w:type="dxa"/>
            <w:shd w:val="clear" w:color="auto" w:fill="C0504D" w:themeFill="accent2"/>
          </w:tcPr>
          <w:p w14:paraId="5EF047B9" w14:textId="77777777" w:rsidR="00047EF8" w:rsidRPr="00F563CD" w:rsidRDefault="00864F83" w:rsidP="00A239C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Strategija razvoja energetike Crne Gore do 2030. godine</w:t>
            </w:r>
          </w:p>
          <w:p w14:paraId="42FC5B46" w14:textId="77777777" w:rsidR="00047EF8" w:rsidRPr="00F563CD" w:rsidRDefault="00864F83" w:rsidP="00A239C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Strategija niskougljeničnog razvoja (planirana u okviru IPA 2021)</w:t>
            </w:r>
          </w:p>
        </w:tc>
        <w:tc>
          <w:tcPr>
            <w:tcW w:w="1355" w:type="dxa"/>
            <w:vMerge/>
            <w:shd w:val="clear" w:color="auto" w:fill="E5DFEC" w:themeFill="accent4" w:themeFillTint="33"/>
          </w:tcPr>
          <w:p w14:paraId="664668D0" w14:textId="77777777" w:rsidR="00047EF8" w:rsidRPr="00F563CD" w:rsidRDefault="00047EF8" w:rsidP="00A239C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0" w:type="auto"/>
            <w:shd w:val="clear" w:color="auto" w:fill="C0504D" w:themeFill="accent2"/>
          </w:tcPr>
          <w:p w14:paraId="362FF258" w14:textId="77777777" w:rsidR="00047EF8" w:rsidRPr="00F563CD" w:rsidRDefault="00864F83" w:rsidP="00A239C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 xml:space="preserve">1.3. Unaprijediti energetsku efikasnost </w:t>
            </w:r>
          </w:p>
          <w:p w14:paraId="6870DA54" w14:textId="77777777" w:rsidR="00047EF8" w:rsidRPr="00F563CD" w:rsidRDefault="00864F83" w:rsidP="00A239C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u crnogorskim opštinama.</w:t>
            </w:r>
          </w:p>
          <w:p w14:paraId="4C74C9D7" w14:textId="77777777" w:rsidR="00047EF8" w:rsidRPr="00F563CD" w:rsidRDefault="00047EF8" w:rsidP="00A239C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8639C5" w:rsidRPr="00F563CD" w14:paraId="14527D67" w14:textId="77777777" w:rsidTr="008639C5">
        <w:tc>
          <w:tcPr>
            <w:cnfStyle w:val="001000000000" w:firstRow="0" w:lastRow="0" w:firstColumn="1" w:lastColumn="0" w:oddVBand="0" w:evenVBand="0" w:oddHBand="0" w:evenHBand="0" w:firstRowFirstColumn="0" w:firstRowLastColumn="0" w:lastRowFirstColumn="0" w:lastRowLastColumn="0"/>
            <w:tcW w:w="0" w:type="auto"/>
            <w:shd w:val="clear" w:color="auto" w:fill="4F81BD" w:themeFill="accent1"/>
          </w:tcPr>
          <w:p w14:paraId="651E31B3" w14:textId="77777777" w:rsidR="00047EF8" w:rsidRPr="00F563CD" w:rsidRDefault="00864F83" w:rsidP="00A239C5">
            <w:pPr>
              <w:rPr>
                <w:rFonts w:asciiTheme="minorHAnsi" w:hAnsiTheme="minorHAnsi"/>
                <w:sz w:val="20"/>
                <w:szCs w:val="20"/>
              </w:rPr>
            </w:pPr>
            <w:r w:rsidRPr="00F563CD">
              <w:rPr>
                <w:rFonts w:asciiTheme="minorHAnsi" w:hAnsiTheme="minorHAnsi"/>
                <w:sz w:val="20"/>
                <w:szCs w:val="20"/>
              </w:rPr>
              <w:t xml:space="preserve">Digitalna ekonomija:  </w:t>
            </w:r>
            <w:r w:rsidRPr="00F563CD">
              <w:rPr>
                <w:rFonts w:asciiTheme="minorHAnsi" w:hAnsiTheme="minorHAnsi" w:cs="Arial"/>
                <w:sz w:val="20"/>
                <w:szCs w:val="20"/>
              </w:rPr>
              <w:t xml:space="preserve">Podržati digitalizaciju ekonomije kroz investicije u </w:t>
            </w:r>
            <w:r w:rsidRPr="00F563CD">
              <w:rPr>
                <w:rFonts w:asciiTheme="minorHAnsi" w:hAnsiTheme="minorHAnsi" w:cs="Arial"/>
                <w:sz w:val="20"/>
                <w:szCs w:val="20"/>
              </w:rPr>
              <w:lastRenderedPageBreak/>
              <w:t>digitalnu infrastrukturu ;</w:t>
            </w:r>
          </w:p>
        </w:tc>
        <w:tc>
          <w:tcPr>
            <w:tcW w:w="0" w:type="auto"/>
            <w:shd w:val="clear" w:color="auto" w:fill="4F81BD" w:themeFill="accent1"/>
          </w:tcPr>
          <w:p w14:paraId="52659A3C" w14:textId="77777777" w:rsidR="00047EF8" w:rsidRPr="00F563CD" w:rsidRDefault="00864F83" w:rsidP="00A239C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lastRenderedPageBreak/>
              <w:t>Digitalna strategija EU</w:t>
            </w:r>
          </w:p>
        </w:tc>
        <w:tc>
          <w:tcPr>
            <w:tcW w:w="1490" w:type="dxa"/>
            <w:shd w:val="clear" w:color="auto" w:fill="4F81BD" w:themeFill="accent1"/>
          </w:tcPr>
          <w:p w14:paraId="1EDAD374" w14:textId="77777777" w:rsidR="00047EF8" w:rsidRPr="00F563CD" w:rsidRDefault="00864F83" w:rsidP="00A239C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Digitalna agenda za Zapadni Balkan</w:t>
            </w:r>
          </w:p>
        </w:tc>
        <w:tc>
          <w:tcPr>
            <w:tcW w:w="902" w:type="dxa"/>
            <w:vMerge/>
            <w:shd w:val="clear" w:color="auto" w:fill="E5DFEC" w:themeFill="accent4" w:themeFillTint="33"/>
          </w:tcPr>
          <w:p w14:paraId="4BEED2F2" w14:textId="77777777" w:rsidR="00047EF8" w:rsidRPr="00F563CD" w:rsidRDefault="00047EF8" w:rsidP="00A239C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2428" w:type="dxa"/>
            <w:shd w:val="clear" w:color="auto" w:fill="4F81BD" w:themeFill="accent1"/>
          </w:tcPr>
          <w:p w14:paraId="241F6488" w14:textId="77777777" w:rsidR="00047EF8" w:rsidRPr="00F563CD" w:rsidRDefault="00864F83" w:rsidP="00A239C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Strategija razvoja informacionog društva</w:t>
            </w:r>
          </w:p>
        </w:tc>
        <w:tc>
          <w:tcPr>
            <w:tcW w:w="1355" w:type="dxa"/>
            <w:vMerge/>
            <w:shd w:val="clear" w:color="auto" w:fill="E5DFEC" w:themeFill="accent4" w:themeFillTint="33"/>
          </w:tcPr>
          <w:p w14:paraId="63608E58" w14:textId="77777777" w:rsidR="00047EF8" w:rsidRPr="00F563CD" w:rsidRDefault="00047EF8" w:rsidP="00A239C5">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0" w:type="auto"/>
            <w:shd w:val="clear" w:color="auto" w:fill="4F81BD" w:themeFill="accent1"/>
          </w:tcPr>
          <w:p w14:paraId="0A41B71D" w14:textId="77777777" w:rsidR="00047EF8" w:rsidRPr="00F563CD" w:rsidRDefault="00864F83" w:rsidP="00A239C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 xml:space="preserve">2.3. Unaprijediti digitalnu ekonomiju i digitalno društvo u Crnoj Gori. Ova akcija podrazumijeva </w:t>
            </w:r>
            <w:r w:rsidRPr="00F563CD">
              <w:rPr>
                <w:rFonts w:asciiTheme="minorHAnsi" w:hAnsiTheme="minorHAnsi"/>
                <w:sz w:val="20"/>
                <w:szCs w:val="20"/>
              </w:rPr>
              <w:lastRenderedPageBreak/>
              <w:t>sljedeće oblasti podrške:</w:t>
            </w:r>
          </w:p>
          <w:p w14:paraId="161A91A7" w14:textId="77777777" w:rsidR="00047EF8" w:rsidRPr="00F563CD" w:rsidRDefault="00864F83" w:rsidP="00A239C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 xml:space="preserve">2.2. Izgradnja kapaciteta i usklađivanje u oblasti saobraćaja, digitalne ekonomije i društva i energetike  </w:t>
            </w:r>
          </w:p>
        </w:tc>
      </w:tr>
      <w:tr w:rsidR="008639C5" w:rsidRPr="00F563CD" w14:paraId="45CEDEB0" w14:textId="77777777" w:rsidTr="0086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ABF8F" w:themeFill="accent6" w:themeFillTint="99"/>
          </w:tcPr>
          <w:p w14:paraId="3BA181B4" w14:textId="77777777" w:rsidR="00047EF8" w:rsidRPr="00F563CD" w:rsidRDefault="00864F83" w:rsidP="00A239C5">
            <w:pPr>
              <w:rPr>
                <w:rFonts w:asciiTheme="minorHAnsi" w:hAnsiTheme="minorHAnsi"/>
                <w:sz w:val="20"/>
                <w:szCs w:val="20"/>
              </w:rPr>
            </w:pPr>
            <w:r w:rsidRPr="00F563CD">
              <w:rPr>
                <w:rFonts w:asciiTheme="minorHAnsi" w:hAnsiTheme="minorHAnsi"/>
                <w:sz w:val="20"/>
                <w:szCs w:val="20"/>
              </w:rPr>
              <w:lastRenderedPageBreak/>
              <w:t xml:space="preserve">Horizontalno za tematski prioritet 2: Saobraćaj, digitalna ekonomija i društvo, i energetika  </w:t>
            </w:r>
          </w:p>
        </w:tc>
        <w:tc>
          <w:tcPr>
            <w:tcW w:w="0" w:type="auto"/>
            <w:shd w:val="clear" w:color="auto" w:fill="FABF8F" w:themeFill="accent6" w:themeFillTint="99"/>
          </w:tcPr>
          <w:p w14:paraId="3DF9B374" w14:textId="77777777" w:rsidR="00047EF8" w:rsidRPr="00F563CD" w:rsidRDefault="00864F83" w:rsidP="00A239C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Sve</w:t>
            </w:r>
          </w:p>
        </w:tc>
        <w:tc>
          <w:tcPr>
            <w:tcW w:w="1490" w:type="dxa"/>
            <w:shd w:val="clear" w:color="auto" w:fill="FABF8F" w:themeFill="accent6" w:themeFillTint="99"/>
          </w:tcPr>
          <w:p w14:paraId="2F66338C" w14:textId="77777777" w:rsidR="00047EF8" w:rsidRPr="00F563CD" w:rsidRDefault="00864F83" w:rsidP="00A239C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Sve</w:t>
            </w:r>
          </w:p>
        </w:tc>
        <w:tc>
          <w:tcPr>
            <w:tcW w:w="902" w:type="dxa"/>
            <w:shd w:val="clear" w:color="auto" w:fill="FABF8F" w:themeFill="accent6" w:themeFillTint="99"/>
          </w:tcPr>
          <w:p w14:paraId="7ED4437E" w14:textId="77777777" w:rsidR="00047EF8" w:rsidRPr="00F563CD" w:rsidRDefault="00047EF8" w:rsidP="00A239C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428" w:type="dxa"/>
            <w:shd w:val="clear" w:color="auto" w:fill="FABF8F" w:themeFill="accent6" w:themeFillTint="99"/>
          </w:tcPr>
          <w:p w14:paraId="302E3D79" w14:textId="77777777" w:rsidR="00047EF8" w:rsidRPr="00F563CD" w:rsidRDefault="00864F83" w:rsidP="00A239C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Sve</w:t>
            </w:r>
          </w:p>
        </w:tc>
        <w:tc>
          <w:tcPr>
            <w:tcW w:w="1355" w:type="dxa"/>
            <w:shd w:val="clear" w:color="auto" w:fill="FABF8F" w:themeFill="accent6" w:themeFillTint="99"/>
          </w:tcPr>
          <w:p w14:paraId="78F918CE" w14:textId="77777777" w:rsidR="00047EF8" w:rsidRPr="00F563CD" w:rsidRDefault="00047EF8" w:rsidP="00A239C5">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0" w:type="auto"/>
            <w:shd w:val="clear" w:color="auto" w:fill="FABF8F" w:themeFill="accent6" w:themeFillTint="99"/>
          </w:tcPr>
          <w:p w14:paraId="07398C7A" w14:textId="77777777" w:rsidR="00047EF8" w:rsidRPr="00F563CD" w:rsidRDefault="00864F83" w:rsidP="00A239C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F563CD">
              <w:rPr>
                <w:rFonts w:asciiTheme="minorHAnsi" w:hAnsiTheme="minorHAnsi"/>
                <w:sz w:val="20"/>
                <w:szCs w:val="20"/>
              </w:rPr>
              <w:t xml:space="preserve">2.2. Izgradnja kapaciteta i usklađivanje u oblasti saobraćaja, digitalne ekonomije i društva, i energetike  </w:t>
            </w:r>
          </w:p>
        </w:tc>
      </w:tr>
    </w:tbl>
    <w:p w14:paraId="790FA5FC" w14:textId="0E5EC3DA" w:rsidR="00047EF8" w:rsidRPr="00F563CD" w:rsidRDefault="00047EF8" w:rsidP="00047EF8">
      <w:pPr>
        <w:spacing w:after="0"/>
        <w:jc w:val="both"/>
        <w:rPr>
          <w:rFonts w:asciiTheme="minorHAnsi" w:hAnsiTheme="minorHAnsi"/>
          <w:i/>
          <w:iCs/>
          <w:sz w:val="20"/>
          <w:szCs w:val="20"/>
          <w:highlight w:val="green"/>
        </w:rPr>
      </w:pPr>
    </w:p>
    <w:p w14:paraId="685FA53D" w14:textId="77777777" w:rsidR="00047EF8" w:rsidRPr="00F563CD" w:rsidRDefault="00864F83" w:rsidP="008639C5">
      <w:pPr>
        <w:pStyle w:val="Heading3"/>
        <w:spacing w:line="240" w:lineRule="auto"/>
        <w:rPr>
          <w:rFonts w:asciiTheme="minorHAnsi" w:hAnsiTheme="minorHAnsi" w:cs="Arial"/>
        </w:rPr>
      </w:pPr>
      <w:bookmarkStart w:id="42" w:name="_Toc91500270"/>
      <w:r w:rsidRPr="00F563CD">
        <w:rPr>
          <w:rFonts w:asciiTheme="minorHAnsi" w:hAnsiTheme="minorHAnsi" w:cs="Arial"/>
          <w:color w:val="auto"/>
          <w:sz w:val="22"/>
          <w:szCs w:val="22"/>
        </w:rPr>
        <w:t>DIO 2 – PRIORITETI, CILJEVI I AKCIJE U OKVIRU IPA III PODRŠKE</w:t>
      </w:r>
      <w:bookmarkEnd w:id="42"/>
    </w:p>
    <w:p w14:paraId="3852F631" w14:textId="77777777" w:rsidR="00047EF8" w:rsidRPr="00F563CD" w:rsidRDefault="00864F83" w:rsidP="008639C5">
      <w:pPr>
        <w:pStyle w:val="Heading2"/>
        <w:numPr>
          <w:ilvl w:val="0"/>
          <w:numId w:val="29"/>
        </w:numPr>
        <w:spacing w:line="240" w:lineRule="auto"/>
        <w:rPr>
          <w:rFonts w:asciiTheme="minorHAnsi" w:hAnsiTheme="minorHAnsi" w:cs="Arial"/>
          <w:smallCaps/>
          <w:color w:val="auto"/>
          <w:sz w:val="24"/>
          <w:szCs w:val="24"/>
        </w:rPr>
      </w:pPr>
      <w:bookmarkStart w:id="43" w:name="_Toc91500271"/>
      <w:r w:rsidRPr="00F563CD">
        <w:rPr>
          <w:rFonts w:asciiTheme="minorHAnsi" w:hAnsiTheme="minorHAnsi" w:cs="Arial"/>
          <w:smallCaps/>
          <w:color w:val="auto"/>
          <w:sz w:val="24"/>
          <w:szCs w:val="24"/>
        </w:rPr>
        <w:t>proces konsultacija</w:t>
      </w:r>
      <w:bookmarkEnd w:id="43"/>
    </w:p>
    <w:p w14:paraId="61BB9841" w14:textId="4B451D02" w:rsidR="00047EF8" w:rsidRPr="00F563CD" w:rsidRDefault="00864F83" w:rsidP="008639C5">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Vidjeti sekciju Proces konsultacija u Dijelu 1. Radionice 2, 3, 4 i 5 bile su posvećene određenim sektorima i usredređene na identifikaciju prioriteta, ciljeva i akcija u okviru perspektive IPA III, za period 2021-2024, sa posebnim fokusom na programiranju za IPA 2021 i IPA 2022.</w:t>
      </w:r>
    </w:p>
    <w:p w14:paraId="3576B855" w14:textId="77777777" w:rsidR="008639C5" w:rsidRPr="00F563CD" w:rsidRDefault="008639C5" w:rsidP="008639C5">
      <w:pPr>
        <w:spacing w:line="240" w:lineRule="auto"/>
        <w:jc w:val="both"/>
        <w:rPr>
          <w:rFonts w:asciiTheme="minorHAnsi" w:hAnsiTheme="minorHAnsi"/>
          <w:sz w:val="20"/>
          <w:szCs w:val="20"/>
          <w:lang w:val="fr-BE"/>
        </w:rPr>
      </w:pPr>
    </w:p>
    <w:p w14:paraId="74CCE960" w14:textId="77777777" w:rsidR="00047EF8" w:rsidRPr="00F563CD" w:rsidRDefault="00864F83" w:rsidP="008639C5">
      <w:pPr>
        <w:pStyle w:val="Heading2"/>
        <w:numPr>
          <w:ilvl w:val="0"/>
          <w:numId w:val="29"/>
        </w:numPr>
        <w:spacing w:line="240" w:lineRule="auto"/>
        <w:rPr>
          <w:rFonts w:asciiTheme="minorHAnsi" w:hAnsiTheme="minorHAnsi" w:cs="Arial"/>
          <w:smallCaps/>
          <w:color w:val="auto"/>
          <w:sz w:val="24"/>
          <w:szCs w:val="24"/>
        </w:rPr>
      </w:pPr>
      <w:bookmarkStart w:id="44" w:name="_Toc91500272"/>
      <w:r w:rsidRPr="00F563CD">
        <w:rPr>
          <w:rFonts w:asciiTheme="minorHAnsi" w:hAnsiTheme="minorHAnsi" w:cs="Arial"/>
          <w:smallCaps/>
          <w:color w:val="auto"/>
          <w:sz w:val="24"/>
          <w:szCs w:val="24"/>
        </w:rPr>
        <w:t>Ključni tematski prioriteti</w:t>
      </w:r>
      <w:bookmarkEnd w:id="44"/>
    </w:p>
    <w:p w14:paraId="7421FA10" w14:textId="77777777" w:rsidR="00047EF8" w:rsidRPr="00F563CD" w:rsidRDefault="00864F83" w:rsidP="008639C5">
      <w:pPr>
        <w:spacing w:line="240" w:lineRule="auto"/>
        <w:jc w:val="both"/>
        <w:rPr>
          <w:rFonts w:asciiTheme="minorHAnsi" w:hAnsiTheme="minorHAnsi"/>
          <w:sz w:val="20"/>
          <w:szCs w:val="20"/>
        </w:rPr>
      </w:pPr>
      <w:r w:rsidRPr="00F563CD">
        <w:rPr>
          <w:rFonts w:asciiTheme="minorHAnsi" w:hAnsiTheme="minorHAnsi"/>
          <w:sz w:val="20"/>
          <w:szCs w:val="20"/>
        </w:rPr>
        <w:t>Određene akcije definisane su za program IPA 2021, 2022, 2023 i 2024, u okviru tematskih prioriteta koji se odnose na Prozor 3:</w:t>
      </w:r>
    </w:p>
    <w:p w14:paraId="5683311F" w14:textId="77777777" w:rsidR="00047EF8" w:rsidRPr="00F563CD" w:rsidRDefault="00864F83" w:rsidP="008639C5">
      <w:pPr>
        <w:pStyle w:val="ListParagraph"/>
        <w:numPr>
          <w:ilvl w:val="0"/>
          <w:numId w:val="68"/>
        </w:numPr>
        <w:spacing w:line="240" w:lineRule="auto"/>
        <w:jc w:val="both"/>
        <w:rPr>
          <w:rFonts w:asciiTheme="minorHAnsi" w:hAnsiTheme="minorHAnsi"/>
          <w:sz w:val="20"/>
          <w:szCs w:val="20"/>
        </w:rPr>
      </w:pPr>
      <w:r w:rsidRPr="00F563CD">
        <w:rPr>
          <w:rFonts w:asciiTheme="minorHAnsi" w:hAnsiTheme="minorHAnsi"/>
          <w:sz w:val="20"/>
          <w:szCs w:val="20"/>
        </w:rPr>
        <w:t>Tematski prioritet 1: Životna sredina i klimatske promjene;</w:t>
      </w:r>
    </w:p>
    <w:p w14:paraId="02004F1A" w14:textId="739AFB57" w:rsidR="00047EF8" w:rsidRPr="00F563CD" w:rsidRDefault="00864F83" w:rsidP="008639C5">
      <w:pPr>
        <w:pStyle w:val="ListParagraph"/>
        <w:numPr>
          <w:ilvl w:val="0"/>
          <w:numId w:val="68"/>
        </w:numPr>
        <w:spacing w:line="240" w:lineRule="auto"/>
        <w:jc w:val="both"/>
        <w:rPr>
          <w:rFonts w:asciiTheme="minorHAnsi" w:hAnsiTheme="minorHAnsi"/>
          <w:sz w:val="20"/>
          <w:szCs w:val="20"/>
        </w:rPr>
      </w:pPr>
      <w:r w:rsidRPr="00F563CD">
        <w:rPr>
          <w:rFonts w:asciiTheme="minorHAnsi" w:hAnsiTheme="minorHAnsi"/>
          <w:sz w:val="20"/>
          <w:szCs w:val="20"/>
        </w:rPr>
        <w:t xml:space="preserve">Tematski prioritet 2: Saobraćaj, digitalna ekonomija i društvo, i energetika; </w:t>
      </w:r>
    </w:p>
    <w:p w14:paraId="1BA92075" w14:textId="77777777" w:rsidR="008639C5" w:rsidRPr="00F563CD" w:rsidRDefault="008639C5" w:rsidP="008639C5">
      <w:pPr>
        <w:pStyle w:val="ListParagraph"/>
        <w:spacing w:line="240" w:lineRule="auto"/>
        <w:jc w:val="both"/>
        <w:rPr>
          <w:rFonts w:asciiTheme="minorHAnsi" w:hAnsiTheme="minorHAnsi"/>
          <w:sz w:val="20"/>
          <w:szCs w:val="20"/>
        </w:rPr>
      </w:pPr>
    </w:p>
    <w:p w14:paraId="60E74DF1" w14:textId="1CE5C50E" w:rsidR="00047EF8" w:rsidRPr="00F563CD" w:rsidRDefault="00864F83" w:rsidP="008639C5">
      <w:pPr>
        <w:pStyle w:val="Heading2"/>
        <w:numPr>
          <w:ilvl w:val="0"/>
          <w:numId w:val="29"/>
        </w:numPr>
        <w:spacing w:line="240" w:lineRule="auto"/>
        <w:rPr>
          <w:rFonts w:asciiTheme="minorHAnsi" w:hAnsiTheme="minorHAnsi" w:cs="Arial"/>
          <w:smallCaps/>
          <w:color w:val="auto"/>
          <w:sz w:val="24"/>
          <w:szCs w:val="24"/>
        </w:rPr>
      </w:pPr>
      <w:bookmarkStart w:id="45" w:name="_Toc91500273"/>
      <w:r w:rsidRPr="00F563CD">
        <w:rPr>
          <w:rFonts w:asciiTheme="minorHAnsi" w:hAnsiTheme="minorHAnsi" w:cs="Arial"/>
          <w:smallCaps/>
          <w:color w:val="auto"/>
          <w:sz w:val="24"/>
          <w:szCs w:val="24"/>
        </w:rPr>
        <w:t>Lista akcija predloženih za IPA III podršku, za period 2021 – 2024</w:t>
      </w:r>
      <w:bookmarkEnd w:id="45"/>
    </w:p>
    <w:p w14:paraId="35C56714" w14:textId="77777777" w:rsidR="008639C5" w:rsidRPr="00F563CD" w:rsidRDefault="008639C5" w:rsidP="008639C5">
      <w:pPr>
        <w:spacing w:line="240" w:lineRule="auto"/>
        <w:rPr>
          <w:rFonts w:asciiTheme="minorHAnsi" w:hAnsiTheme="minorHAnsi"/>
        </w:rPr>
      </w:pPr>
    </w:p>
    <w:p w14:paraId="50F3889A" w14:textId="591BEABA" w:rsidR="008639C5" w:rsidRPr="00F563CD" w:rsidRDefault="00864F83" w:rsidP="008639C5">
      <w:pPr>
        <w:pStyle w:val="Heading4"/>
        <w:spacing w:line="240" w:lineRule="auto"/>
        <w:jc w:val="center"/>
        <w:rPr>
          <w:rFonts w:asciiTheme="minorHAnsi" w:hAnsiTheme="minorHAnsi" w:cs="Arial"/>
          <w:i w:val="0"/>
          <w:color w:val="auto"/>
          <w:szCs w:val="22"/>
        </w:rPr>
      </w:pPr>
      <w:r w:rsidRPr="00F563CD">
        <w:rPr>
          <w:rFonts w:asciiTheme="minorHAnsi" w:hAnsiTheme="minorHAnsi" w:cs="Arial"/>
          <w:i w:val="0"/>
          <w:color w:val="auto"/>
          <w:szCs w:val="22"/>
        </w:rPr>
        <w:t xml:space="preserve">PROGRAMSKA GODINA 2021 </w:t>
      </w:r>
    </w:p>
    <w:p w14:paraId="10FDA73A" w14:textId="77777777" w:rsidR="00047EF8" w:rsidRPr="00F563CD" w:rsidRDefault="00864F83" w:rsidP="008639C5">
      <w:pPr>
        <w:spacing w:before="120" w:after="120" w:line="240" w:lineRule="auto"/>
        <w:rPr>
          <w:rFonts w:asciiTheme="minorHAnsi" w:hAnsiTheme="minorHAnsi" w:cs="Arial"/>
          <w:b/>
          <w:bCs/>
          <w:i/>
          <w:iCs/>
        </w:rPr>
      </w:pPr>
      <w:r w:rsidRPr="00F563CD">
        <w:rPr>
          <w:rFonts w:asciiTheme="minorHAnsi" w:eastAsia="Calibri" w:hAnsiTheme="minorHAnsi" w:cs="Calibri"/>
          <w:b/>
          <w:bCs/>
          <w:i/>
          <w:iCs/>
          <w:sz w:val="20"/>
          <w:szCs w:val="20"/>
        </w:rPr>
        <w:t>Tematski prioritet 1: Životna sredina i klimatske promjene</w:t>
      </w:r>
    </w:p>
    <w:p w14:paraId="6E0504FB" w14:textId="77777777" w:rsidR="00047EF8" w:rsidRPr="00F563CD" w:rsidRDefault="00864F83" w:rsidP="008639C5">
      <w:pPr>
        <w:spacing w:after="120" w:line="240" w:lineRule="auto"/>
        <w:jc w:val="both"/>
        <w:rPr>
          <w:rFonts w:asciiTheme="minorHAnsi" w:hAnsiTheme="minorHAnsi"/>
          <w:sz w:val="20"/>
          <w:szCs w:val="20"/>
        </w:rPr>
      </w:pPr>
      <w:r w:rsidRPr="00F563CD">
        <w:rPr>
          <w:rFonts w:asciiTheme="minorHAnsi" w:hAnsiTheme="minorHAnsi"/>
          <w:b/>
          <w:bCs/>
          <w:sz w:val="20"/>
          <w:szCs w:val="20"/>
        </w:rPr>
        <w:t>1.1. Pravna tekovina relevantna za aktivnosti u oblasti životne sredine i politike klimatske akcije u Crnoj Gori</w:t>
      </w:r>
      <w:r w:rsidRPr="00F563CD">
        <w:rPr>
          <w:rFonts w:asciiTheme="minorHAnsi" w:hAnsiTheme="minorHAnsi"/>
          <w:sz w:val="20"/>
          <w:szCs w:val="20"/>
        </w:rPr>
        <w:t>.  Ova akcija ima za cilj da obezbijedi podršku Crnoj Gori kroz doprinos razvoju tehničkih kapaciteta za zaštitu životne sredine, unapređenje njenog kvaliteta i doprinos politikama za borbu protiv klimatskih promjena, ubrzanje prelaska na niskougljeničnu ekonomiju. Ova akcija će podržati implementaciju i primjenu pravne tekovine EU u oblasti životne sredine i klimatskih promjena, shodno načelima koja proizilaze iz pregovaračkog procesa za Poglavlje 27. Ova akcija će doprinijeti unapređenju administrativnih kapaciteta i drugih aktivnosti koje su predviđene Akcionim planom za ispunjavanje završnih mjerila u Poglavlju 27, kako bi se u konačnom ispunila završna mjerila predviđena Zajedničkom pozicijom EU za Poglavlje 27, uz poseban naglasak na sljedećim podsektorima: horizontalno zakonodavstvo, kvalitet vazduha, zaštita prirode (naročito u području mreže Natura 2000), industrijska zagađenja, upravljanje hemikalijama, buka, civilna zaštita, klimatska promjena, strateško planiranje i proces implementacije u oblasti životne sredine.</w:t>
      </w:r>
    </w:p>
    <w:p w14:paraId="519CF1C4" w14:textId="77777777" w:rsidR="00047EF8" w:rsidRPr="00F563CD" w:rsidRDefault="00864F83" w:rsidP="008639C5">
      <w:pPr>
        <w:spacing w:after="0" w:line="240" w:lineRule="auto"/>
        <w:jc w:val="both"/>
        <w:rPr>
          <w:rFonts w:asciiTheme="minorHAnsi" w:hAnsiTheme="minorHAnsi"/>
          <w:b/>
          <w:bCs/>
          <w:i/>
          <w:iCs/>
        </w:rPr>
      </w:pPr>
      <w:r w:rsidRPr="00F563CD">
        <w:rPr>
          <w:rFonts w:asciiTheme="minorHAnsi" w:eastAsia="Calibri" w:hAnsiTheme="minorHAnsi" w:cs="Calibri"/>
          <w:b/>
          <w:bCs/>
          <w:i/>
          <w:iCs/>
          <w:sz w:val="20"/>
          <w:szCs w:val="20"/>
        </w:rPr>
        <w:lastRenderedPageBreak/>
        <w:t xml:space="preserve">Tematski prioritet 2: Saobraćaj, digitalna ekonomija i društvo, i energetika </w:t>
      </w:r>
    </w:p>
    <w:p w14:paraId="0CF3CB4A" w14:textId="77777777" w:rsidR="00047EF8" w:rsidRPr="00F563CD" w:rsidRDefault="00864F83" w:rsidP="008639C5">
      <w:pPr>
        <w:spacing w:before="120" w:after="120" w:line="240" w:lineRule="auto"/>
        <w:jc w:val="both"/>
        <w:rPr>
          <w:rFonts w:asciiTheme="minorHAnsi" w:hAnsiTheme="minorHAnsi"/>
          <w:sz w:val="20"/>
          <w:szCs w:val="20"/>
        </w:rPr>
      </w:pPr>
      <w:r w:rsidRPr="00F563CD">
        <w:rPr>
          <w:rFonts w:asciiTheme="minorHAnsi" w:hAnsiTheme="minorHAnsi"/>
          <w:b/>
          <w:bCs/>
          <w:sz w:val="20"/>
          <w:szCs w:val="20"/>
        </w:rPr>
        <w:t>2.1. Podrška održivoj povezanosti i zelenoj ekonomiji u Crnoj Gori.</w:t>
      </w:r>
    </w:p>
    <w:p w14:paraId="7FCA9C9D" w14:textId="77777777" w:rsidR="00047EF8" w:rsidRPr="00F563CD" w:rsidRDefault="00864F83" w:rsidP="008639C5">
      <w:pPr>
        <w:spacing w:before="120" w:after="120" w:line="240" w:lineRule="auto"/>
        <w:jc w:val="both"/>
        <w:rPr>
          <w:rFonts w:asciiTheme="minorHAnsi" w:hAnsiTheme="minorHAnsi"/>
          <w:sz w:val="20"/>
          <w:szCs w:val="20"/>
        </w:rPr>
      </w:pPr>
      <w:r w:rsidRPr="00F563CD">
        <w:rPr>
          <w:rFonts w:asciiTheme="minorHAnsi" w:hAnsiTheme="minorHAnsi"/>
          <w:sz w:val="20"/>
          <w:szCs w:val="20"/>
        </w:rPr>
        <w:t>Specifični ciljevi predviđeni ovom akcijom podrazumijevaju modernizaciju saobraćajne infrastrukture na željezničkoj pruzi Bar-Beograd (dionica Podgorica – Golubovci), unaprijediti učinkovitost i efikasnost nacionalnog saobraćajnog sistema kroz određene akcije koje su usmjerene na unapređenje parametara pomorske sigurnosti, unaprijediti i razvijati svijest o e-mobilnosti i električnim automobilima, i dodatno uskladiti nacionalno zakonodavstvo sa pravnom tekovinom EU u oblasti saobraćaja, izrgaditi kapacitete institucija koje su nadležne za oblast saobraćaja, uključujući i listu zrelih projekata, koja treba da bude dodatno unaprijeđena. Očekuje se da će u okviru ove akcije biti postignuti sljedeći rezultati:</w:t>
      </w:r>
    </w:p>
    <w:p w14:paraId="1AE71EDC" w14:textId="77777777" w:rsidR="00047EF8" w:rsidRPr="00F563CD" w:rsidRDefault="00864F83" w:rsidP="008639C5">
      <w:pPr>
        <w:pStyle w:val="ListParagraph"/>
        <w:numPr>
          <w:ilvl w:val="0"/>
          <w:numId w:val="69"/>
        </w:numPr>
        <w:spacing w:before="120" w:after="120" w:line="240" w:lineRule="auto"/>
        <w:jc w:val="both"/>
        <w:rPr>
          <w:rFonts w:asciiTheme="minorHAnsi" w:hAnsiTheme="minorHAnsi"/>
          <w:sz w:val="20"/>
          <w:szCs w:val="20"/>
        </w:rPr>
      </w:pPr>
      <w:r w:rsidRPr="00F563CD">
        <w:rPr>
          <w:rFonts w:asciiTheme="minorHAnsi" w:hAnsiTheme="minorHAnsi"/>
          <w:sz w:val="20"/>
          <w:szCs w:val="20"/>
        </w:rPr>
        <w:t>Modernizovana dionica Podgorica-Golubovci na željezničkoj pruzi (405+89 km do 415+40 km)</w:t>
      </w:r>
    </w:p>
    <w:p w14:paraId="2F97A016" w14:textId="77777777" w:rsidR="00047EF8" w:rsidRPr="00F563CD" w:rsidRDefault="00864F83" w:rsidP="008639C5">
      <w:pPr>
        <w:pStyle w:val="ListParagraph"/>
        <w:numPr>
          <w:ilvl w:val="0"/>
          <w:numId w:val="69"/>
        </w:numPr>
        <w:spacing w:before="120" w:after="120" w:line="240" w:lineRule="auto"/>
        <w:jc w:val="both"/>
        <w:rPr>
          <w:rFonts w:asciiTheme="minorHAnsi" w:hAnsiTheme="minorHAnsi"/>
          <w:sz w:val="20"/>
          <w:szCs w:val="20"/>
        </w:rPr>
      </w:pPr>
      <w:r w:rsidRPr="00F563CD">
        <w:rPr>
          <w:rFonts w:asciiTheme="minorHAnsi" w:hAnsiTheme="minorHAnsi"/>
          <w:sz w:val="20"/>
          <w:szCs w:val="20"/>
        </w:rPr>
        <w:t>Sanacija mosta 96 (412+06 km)</w:t>
      </w:r>
    </w:p>
    <w:p w14:paraId="66E52E60" w14:textId="77777777" w:rsidR="00047EF8" w:rsidRPr="00F563CD" w:rsidRDefault="00864F83" w:rsidP="008639C5">
      <w:pPr>
        <w:pStyle w:val="ListParagraph"/>
        <w:numPr>
          <w:ilvl w:val="0"/>
          <w:numId w:val="69"/>
        </w:numPr>
        <w:spacing w:before="120" w:after="120" w:line="240" w:lineRule="auto"/>
        <w:jc w:val="both"/>
        <w:rPr>
          <w:rFonts w:asciiTheme="minorHAnsi" w:hAnsiTheme="minorHAnsi"/>
          <w:sz w:val="20"/>
          <w:szCs w:val="20"/>
        </w:rPr>
      </w:pPr>
      <w:r w:rsidRPr="00F563CD">
        <w:rPr>
          <w:rFonts w:asciiTheme="minorHAnsi" w:hAnsiTheme="minorHAnsi"/>
          <w:sz w:val="20"/>
          <w:szCs w:val="20"/>
        </w:rPr>
        <w:t>Rekonstrukcija stanice Golubovci (415,4-416,2km)</w:t>
      </w:r>
    </w:p>
    <w:p w14:paraId="01311689" w14:textId="77777777" w:rsidR="00047EF8" w:rsidRPr="00F563CD" w:rsidRDefault="00864F83" w:rsidP="008639C5">
      <w:pPr>
        <w:pStyle w:val="ListParagraph"/>
        <w:numPr>
          <w:ilvl w:val="0"/>
          <w:numId w:val="69"/>
        </w:numPr>
        <w:spacing w:before="120" w:after="120" w:line="240" w:lineRule="auto"/>
        <w:jc w:val="both"/>
        <w:rPr>
          <w:rFonts w:asciiTheme="minorHAnsi" w:hAnsiTheme="minorHAnsi"/>
          <w:sz w:val="20"/>
          <w:szCs w:val="20"/>
        </w:rPr>
      </w:pPr>
      <w:r w:rsidRPr="00F563CD">
        <w:rPr>
          <w:rFonts w:asciiTheme="minorHAnsi" w:hAnsiTheme="minorHAnsi"/>
          <w:sz w:val="20"/>
          <w:szCs w:val="20"/>
        </w:rPr>
        <w:t xml:space="preserve">Unaprijediti mjere pomorske sigurnosti </w:t>
      </w:r>
    </w:p>
    <w:p w14:paraId="533A2A55" w14:textId="77777777" w:rsidR="00047EF8" w:rsidRPr="00F563CD" w:rsidRDefault="00864F83" w:rsidP="008639C5">
      <w:pPr>
        <w:pStyle w:val="ListParagraph"/>
        <w:numPr>
          <w:ilvl w:val="0"/>
          <w:numId w:val="69"/>
        </w:numPr>
        <w:spacing w:before="120" w:after="120" w:line="240" w:lineRule="auto"/>
        <w:jc w:val="both"/>
        <w:rPr>
          <w:rFonts w:asciiTheme="minorHAnsi" w:hAnsiTheme="minorHAnsi"/>
          <w:sz w:val="20"/>
          <w:szCs w:val="20"/>
        </w:rPr>
      </w:pPr>
      <w:r w:rsidRPr="00F563CD">
        <w:rPr>
          <w:rFonts w:asciiTheme="minorHAnsi" w:hAnsiTheme="minorHAnsi"/>
          <w:sz w:val="20"/>
          <w:szCs w:val="20"/>
        </w:rPr>
        <w:t>Utvrditi crne tačke i prioritizovati ih kao opasne dionice</w:t>
      </w:r>
    </w:p>
    <w:p w14:paraId="7976F14B" w14:textId="77777777" w:rsidR="00047EF8" w:rsidRPr="00F563CD" w:rsidRDefault="00864F83" w:rsidP="008639C5">
      <w:pPr>
        <w:pStyle w:val="ListParagraph"/>
        <w:numPr>
          <w:ilvl w:val="0"/>
          <w:numId w:val="69"/>
        </w:numPr>
        <w:spacing w:before="120" w:after="120" w:line="240" w:lineRule="auto"/>
        <w:jc w:val="both"/>
        <w:rPr>
          <w:rFonts w:asciiTheme="minorHAnsi" w:hAnsiTheme="minorHAnsi"/>
          <w:sz w:val="20"/>
          <w:szCs w:val="20"/>
        </w:rPr>
      </w:pPr>
      <w:r w:rsidRPr="00F563CD">
        <w:rPr>
          <w:rFonts w:asciiTheme="minorHAnsi" w:hAnsiTheme="minorHAnsi"/>
          <w:sz w:val="20"/>
          <w:szCs w:val="20"/>
        </w:rPr>
        <w:t>Promovisati e-mobilnost i električna vozila</w:t>
      </w:r>
    </w:p>
    <w:p w14:paraId="6313BD8F" w14:textId="77777777" w:rsidR="00047EF8" w:rsidRPr="00F563CD" w:rsidRDefault="00864F83" w:rsidP="008639C5">
      <w:pPr>
        <w:pStyle w:val="ListParagraph"/>
        <w:numPr>
          <w:ilvl w:val="0"/>
          <w:numId w:val="69"/>
        </w:numPr>
        <w:spacing w:before="120" w:after="120" w:line="240" w:lineRule="auto"/>
        <w:jc w:val="both"/>
        <w:rPr>
          <w:rFonts w:asciiTheme="minorHAnsi" w:hAnsiTheme="minorHAnsi"/>
          <w:sz w:val="20"/>
          <w:szCs w:val="20"/>
        </w:rPr>
      </w:pPr>
      <w:r w:rsidRPr="00F563CD">
        <w:rPr>
          <w:rFonts w:asciiTheme="minorHAnsi" w:hAnsiTheme="minorHAnsi"/>
          <w:sz w:val="20"/>
          <w:szCs w:val="20"/>
        </w:rPr>
        <w:t>Unaprijediti kapacitete za monitoring i upravljanje kod institucija koje su nadležne za sveukupno sprovođenje saobraćajnih politika, a prije svega Inspekcije za drumski sobraćaj.</w:t>
      </w:r>
    </w:p>
    <w:p w14:paraId="075C05C6" w14:textId="77777777" w:rsidR="00047EF8" w:rsidRPr="00F563CD" w:rsidRDefault="00864F83" w:rsidP="008639C5">
      <w:pPr>
        <w:pStyle w:val="ListParagraph"/>
        <w:numPr>
          <w:ilvl w:val="0"/>
          <w:numId w:val="69"/>
        </w:numPr>
        <w:spacing w:before="120" w:after="120" w:line="240" w:lineRule="auto"/>
        <w:jc w:val="both"/>
        <w:rPr>
          <w:rFonts w:asciiTheme="minorHAnsi" w:hAnsiTheme="minorHAnsi"/>
          <w:sz w:val="20"/>
          <w:szCs w:val="20"/>
        </w:rPr>
      </w:pPr>
      <w:r w:rsidRPr="00F563CD">
        <w:rPr>
          <w:rFonts w:asciiTheme="minorHAnsi" w:hAnsiTheme="minorHAnsi"/>
          <w:sz w:val="20"/>
          <w:szCs w:val="20"/>
        </w:rPr>
        <w:t xml:space="preserve">Dalja upotreba sistema podrške za pripremu projekata kako bi se dobili zreli projekti, spremni za finansiranje </w:t>
      </w:r>
    </w:p>
    <w:p w14:paraId="705622D7" w14:textId="77777777" w:rsidR="00047EF8" w:rsidRPr="00F563CD" w:rsidRDefault="00864F83" w:rsidP="008639C5">
      <w:pPr>
        <w:pStyle w:val="ListParagraph"/>
        <w:numPr>
          <w:ilvl w:val="0"/>
          <w:numId w:val="69"/>
        </w:numPr>
        <w:spacing w:before="120" w:after="120" w:line="240" w:lineRule="auto"/>
        <w:jc w:val="both"/>
        <w:rPr>
          <w:rFonts w:asciiTheme="minorHAnsi" w:hAnsiTheme="minorHAnsi"/>
          <w:sz w:val="20"/>
          <w:szCs w:val="20"/>
        </w:rPr>
      </w:pPr>
      <w:r w:rsidRPr="00F563CD">
        <w:rPr>
          <w:rFonts w:asciiTheme="minorHAnsi" w:hAnsiTheme="minorHAnsi"/>
          <w:sz w:val="20"/>
          <w:szCs w:val="20"/>
        </w:rPr>
        <w:t>Preostale praznine u nacionalnom zakonodavstvu i strategijama usklađene sa pravnom tekovinom EU u oblasti saobraćaja</w:t>
      </w:r>
    </w:p>
    <w:p w14:paraId="33838EDD" w14:textId="77777777" w:rsidR="00047EF8" w:rsidRPr="00F563CD" w:rsidRDefault="00047EF8" w:rsidP="00047EF8">
      <w:pPr>
        <w:spacing w:before="120" w:after="120" w:line="240" w:lineRule="auto"/>
        <w:jc w:val="both"/>
        <w:rPr>
          <w:rFonts w:asciiTheme="minorHAnsi" w:hAnsiTheme="minorHAnsi"/>
          <w:sz w:val="20"/>
          <w:szCs w:val="20"/>
        </w:rPr>
      </w:pPr>
    </w:p>
    <w:p w14:paraId="590C7865" w14:textId="77777777" w:rsidR="00047EF8" w:rsidRPr="00F563CD" w:rsidRDefault="00864F83" w:rsidP="00047EF8">
      <w:pPr>
        <w:pStyle w:val="Heading4"/>
        <w:keepNext w:val="0"/>
        <w:keepLines w:val="0"/>
        <w:widowControl w:val="0"/>
        <w:jc w:val="center"/>
        <w:rPr>
          <w:rFonts w:asciiTheme="minorHAnsi" w:hAnsiTheme="minorHAnsi" w:cs="Arial"/>
          <w:i w:val="0"/>
          <w:color w:val="auto"/>
          <w:szCs w:val="22"/>
        </w:rPr>
      </w:pPr>
      <w:r w:rsidRPr="00F563CD">
        <w:rPr>
          <w:rFonts w:asciiTheme="minorHAnsi" w:hAnsiTheme="minorHAnsi" w:cs="Arial"/>
        </w:rPr>
        <w:t xml:space="preserve"> </w:t>
      </w:r>
      <w:r w:rsidRPr="00F563CD">
        <w:rPr>
          <w:rFonts w:asciiTheme="minorHAnsi" w:hAnsiTheme="minorHAnsi" w:cs="Arial"/>
          <w:i w:val="0"/>
          <w:color w:val="auto"/>
          <w:szCs w:val="22"/>
        </w:rPr>
        <w:t>PROGRAMSKA GODINA 2022</w:t>
      </w:r>
    </w:p>
    <w:p w14:paraId="4E7398CD" w14:textId="77777777" w:rsidR="00047EF8" w:rsidRPr="00F563CD" w:rsidRDefault="00864F83" w:rsidP="00047EF8">
      <w:pPr>
        <w:spacing w:after="0" w:line="240" w:lineRule="auto"/>
        <w:jc w:val="both"/>
        <w:rPr>
          <w:rFonts w:asciiTheme="minorHAnsi" w:eastAsia="Calibri" w:hAnsiTheme="minorHAnsi" w:cs="Calibri"/>
          <w:b/>
          <w:bCs/>
          <w:i/>
          <w:iCs/>
          <w:sz w:val="20"/>
          <w:szCs w:val="20"/>
        </w:rPr>
      </w:pPr>
      <w:r w:rsidRPr="00F563CD">
        <w:rPr>
          <w:rFonts w:asciiTheme="minorHAnsi" w:eastAsia="Calibri" w:hAnsiTheme="minorHAnsi" w:cs="Calibri"/>
          <w:b/>
          <w:bCs/>
          <w:i/>
          <w:iCs/>
          <w:sz w:val="20"/>
          <w:szCs w:val="20"/>
        </w:rPr>
        <w:t>Tematski prioritet 1: Životna sredina i klimatske promjene</w:t>
      </w:r>
    </w:p>
    <w:p w14:paraId="43B9CFB5" w14:textId="77777777" w:rsidR="00047EF8" w:rsidRPr="00F563CD" w:rsidRDefault="00864F83" w:rsidP="00047EF8">
      <w:p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b/>
          <w:bCs/>
          <w:sz w:val="20"/>
          <w:szCs w:val="20"/>
        </w:rPr>
        <w:t xml:space="preserve">1.2. </w:t>
      </w:r>
      <w:r w:rsidRPr="00F563CD">
        <w:rPr>
          <w:rFonts w:asciiTheme="minorHAnsi" w:hAnsiTheme="minorHAnsi"/>
          <w:b/>
          <w:sz w:val="20"/>
          <w:szCs w:val="20"/>
        </w:rPr>
        <w:t xml:space="preserve">Infrastruktura za vodosnabdijevanje i odvođenje otpadnih voda na opštinskom nivou I. </w:t>
      </w:r>
      <w:r w:rsidRPr="00F563CD">
        <w:rPr>
          <w:rFonts w:asciiTheme="minorHAnsi" w:hAnsiTheme="minorHAnsi"/>
          <w:sz w:val="20"/>
          <w:szCs w:val="20"/>
        </w:rPr>
        <w:t xml:space="preserve">Ova akcija ima za cilj da Crnoj Gori pruži podršku u procesu implementacije Plana uz </w:t>
      </w:r>
      <w:r w:rsidRPr="00F563CD">
        <w:rPr>
          <w:rFonts w:asciiTheme="minorHAnsi" w:hAnsiTheme="minorHAnsi" w:cstheme="minorBidi"/>
          <w:bCs/>
          <w:iCs/>
          <w:sz w:val="20"/>
          <w:szCs w:val="20"/>
        </w:rPr>
        <w:t xml:space="preserve">Nacionalnu strategiju aproksimacije za životnu sredinu u oblasti upravljanja otpadnim vodama, pa samim tim i aproksimacije sa Direktivom o prečišćavanju voda. Ova akcija će pomoći Crnoj Gori da unaprijedi infrastrukturu upravljanja vodama u skladu sa Master planom za upravljanje otpadnim vodama </w:t>
      </w:r>
      <w:r w:rsidRPr="00F563CD">
        <w:rPr>
          <w:rFonts w:asciiTheme="minorHAnsi" w:eastAsiaTheme="minorEastAsia" w:hAnsiTheme="minorHAnsi" w:cstheme="minorBidi"/>
          <w:sz w:val="20"/>
          <w:szCs w:val="20"/>
        </w:rPr>
        <w:t xml:space="preserve">2018-2035 i </w:t>
      </w:r>
      <w:r w:rsidRPr="00F563CD">
        <w:rPr>
          <w:rFonts w:asciiTheme="minorHAnsi" w:hAnsiTheme="minorHAnsi" w:cstheme="minorBidi"/>
          <w:bCs/>
          <w:iCs/>
          <w:sz w:val="20"/>
          <w:szCs w:val="20"/>
        </w:rPr>
        <w:t>Planom za upravljanje komunalnim otpadnim vodama 2020-2035. Ova akcija će omogućiti podršku za razvoj infrastrukture upravljanja vodama na tri lokacije: Rožaje, Kolašin i Mojkovac.</w:t>
      </w:r>
    </w:p>
    <w:p w14:paraId="4A62276C" w14:textId="77777777" w:rsidR="00047EF8" w:rsidRPr="00F563CD" w:rsidRDefault="00864F83" w:rsidP="00047EF8">
      <w:pPr>
        <w:spacing w:before="120" w:after="0" w:line="240" w:lineRule="auto"/>
        <w:jc w:val="both"/>
        <w:rPr>
          <w:rFonts w:asciiTheme="minorHAnsi" w:eastAsiaTheme="minorEastAsia" w:hAnsiTheme="minorHAnsi" w:cstheme="minorBidi"/>
          <w:b/>
          <w:bCs/>
          <w:sz w:val="20"/>
          <w:szCs w:val="20"/>
        </w:rPr>
      </w:pPr>
      <w:r w:rsidRPr="00F563CD">
        <w:rPr>
          <w:rFonts w:asciiTheme="minorHAnsi" w:eastAsiaTheme="minorEastAsia" w:hAnsiTheme="minorHAnsi" w:cstheme="minorBidi"/>
          <w:b/>
          <w:bCs/>
          <w:sz w:val="20"/>
          <w:szCs w:val="20"/>
        </w:rPr>
        <w:t xml:space="preserve">1.3. Podrška energetskoj efikasnosti u crnogorskim opštinama. </w:t>
      </w:r>
    </w:p>
    <w:p w14:paraId="3C433DC3" w14:textId="6A8721D9" w:rsidR="00047EF8" w:rsidRPr="00F563CD" w:rsidRDefault="00864F83" w:rsidP="00047EF8">
      <w:pPr>
        <w:spacing w:before="120" w:after="0" w:line="240" w:lineRule="auto"/>
        <w:jc w:val="both"/>
        <w:rPr>
          <w:rFonts w:asciiTheme="minorHAnsi" w:eastAsiaTheme="minorEastAsia" w:hAnsiTheme="minorHAnsi" w:cstheme="minorBidi"/>
          <w:bCs/>
          <w:sz w:val="20"/>
          <w:szCs w:val="20"/>
        </w:rPr>
      </w:pPr>
      <w:r w:rsidRPr="00F563CD">
        <w:rPr>
          <w:rFonts w:asciiTheme="minorHAnsi" w:eastAsiaTheme="minorEastAsia" w:hAnsiTheme="minorHAnsi" w:cstheme="minorBidi"/>
          <w:bCs/>
          <w:sz w:val="20"/>
          <w:szCs w:val="20"/>
        </w:rPr>
        <w:t xml:space="preserve">Specifičnim ciljevima u okviru ove akcije podstiče se uključivanje opština u implementaciju projekata u oblasti energetske efikasnosti, kao i unapređenje kvaliteta opštinskih službi kroz sprovođenje mjera energetske efikasnosti. Opštine će, kroz kombinaciju grant šema i kredita od međunarodnih finansijskih institucija, dobiti podršku za unapređenje energetske efikasnosti u njihovim postrojenjima, i time će umanjiti potrošnju energije i emisije gasova s efektom staklene bašte. </w:t>
      </w:r>
    </w:p>
    <w:p w14:paraId="7AA53C93" w14:textId="77777777" w:rsidR="00047EF8" w:rsidRPr="00F563CD" w:rsidRDefault="00864F83" w:rsidP="00047EF8">
      <w:pPr>
        <w:spacing w:before="120" w:after="0" w:line="240" w:lineRule="auto"/>
        <w:jc w:val="both"/>
        <w:rPr>
          <w:rFonts w:asciiTheme="minorHAnsi" w:eastAsia="Calibri" w:hAnsiTheme="minorHAnsi" w:cs="Calibri"/>
          <w:i/>
          <w:iCs/>
          <w:sz w:val="20"/>
          <w:szCs w:val="20"/>
        </w:rPr>
      </w:pPr>
      <w:r w:rsidRPr="00F563CD">
        <w:rPr>
          <w:rFonts w:asciiTheme="minorHAnsi" w:eastAsia="Calibri" w:hAnsiTheme="minorHAnsi" w:cs="Calibri"/>
          <w:b/>
          <w:bCs/>
          <w:i/>
          <w:iCs/>
          <w:sz w:val="20"/>
          <w:szCs w:val="20"/>
        </w:rPr>
        <w:t>Tematski prioritet 2: Saobraćaj, digitalna ekonomija i društvo, i energetika</w:t>
      </w:r>
    </w:p>
    <w:p w14:paraId="36BED554" w14:textId="27E9B8A4" w:rsidR="00047EF8" w:rsidRPr="00F563CD" w:rsidRDefault="00864F83" w:rsidP="008639C5">
      <w:p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    /</w:t>
      </w:r>
    </w:p>
    <w:p w14:paraId="520AD82C" w14:textId="77777777" w:rsidR="00047EF8" w:rsidRPr="00F563CD" w:rsidRDefault="00864F83" w:rsidP="00047EF8">
      <w:pPr>
        <w:pStyle w:val="Heading4"/>
        <w:jc w:val="center"/>
        <w:rPr>
          <w:rFonts w:asciiTheme="minorHAnsi" w:hAnsiTheme="minorHAnsi" w:cs="Arial"/>
          <w:i w:val="0"/>
          <w:color w:val="auto"/>
          <w:szCs w:val="22"/>
        </w:rPr>
      </w:pPr>
      <w:r w:rsidRPr="00F563CD">
        <w:rPr>
          <w:rFonts w:asciiTheme="minorHAnsi" w:hAnsiTheme="minorHAnsi"/>
        </w:rPr>
        <w:t xml:space="preserve"> </w:t>
      </w:r>
      <w:r w:rsidRPr="00F563CD">
        <w:rPr>
          <w:rFonts w:asciiTheme="minorHAnsi" w:hAnsiTheme="minorHAnsi" w:cs="Arial"/>
          <w:i w:val="0"/>
          <w:color w:val="auto"/>
          <w:szCs w:val="22"/>
        </w:rPr>
        <w:t>PROGRAMSKE GODINE 2023 I 2024</w:t>
      </w:r>
    </w:p>
    <w:p w14:paraId="0513F5F7" w14:textId="77777777" w:rsidR="00047EF8" w:rsidRPr="00F563CD" w:rsidRDefault="00047EF8" w:rsidP="00FE2154">
      <w:pPr>
        <w:spacing w:after="0" w:line="240" w:lineRule="auto"/>
        <w:rPr>
          <w:rFonts w:asciiTheme="minorHAnsi" w:hAnsiTheme="minorHAnsi"/>
        </w:rPr>
      </w:pPr>
    </w:p>
    <w:p w14:paraId="69CFC05F" w14:textId="77777777" w:rsidR="00047EF8" w:rsidRPr="00F563CD" w:rsidRDefault="00864F83" w:rsidP="00047EF8">
      <w:pPr>
        <w:spacing w:after="0" w:line="240" w:lineRule="auto"/>
        <w:jc w:val="both"/>
        <w:rPr>
          <w:rFonts w:asciiTheme="minorHAnsi" w:eastAsia="Calibri" w:hAnsiTheme="minorHAnsi" w:cs="Calibri"/>
          <w:b/>
          <w:bCs/>
          <w:i/>
          <w:iCs/>
          <w:sz w:val="20"/>
          <w:szCs w:val="20"/>
        </w:rPr>
      </w:pPr>
      <w:r w:rsidRPr="00F563CD">
        <w:rPr>
          <w:rFonts w:asciiTheme="minorHAnsi" w:eastAsia="Calibri" w:hAnsiTheme="minorHAnsi" w:cs="Calibri"/>
          <w:b/>
          <w:bCs/>
          <w:i/>
          <w:iCs/>
          <w:sz w:val="20"/>
          <w:szCs w:val="20"/>
        </w:rPr>
        <w:t>Tematski prioritet 1: Životna sredina i klimatske promjene</w:t>
      </w:r>
    </w:p>
    <w:p w14:paraId="6213ECD4" w14:textId="77777777" w:rsidR="00047EF8" w:rsidRPr="00F563CD" w:rsidRDefault="00864F83" w:rsidP="00047EF8">
      <w:pPr>
        <w:spacing w:before="120" w:after="120" w:line="240" w:lineRule="auto"/>
        <w:jc w:val="both"/>
        <w:rPr>
          <w:rFonts w:asciiTheme="minorHAnsi" w:eastAsiaTheme="minorEastAsia" w:hAnsiTheme="minorHAnsi" w:cstheme="minorBidi"/>
          <w:b/>
          <w:bCs/>
          <w:sz w:val="20"/>
          <w:szCs w:val="20"/>
        </w:rPr>
      </w:pPr>
      <w:r w:rsidRPr="00F563CD">
        <w:rPr>
          <w:rFonts w:asciiTheme="minorHAnsi" w:eastAsiaTheme="minorEastAsia" w:hAnsiTheme="minorHAnsi" w:cstheme="minorBidi"/>
          <w:b/>
          <w:bCs/>
          <w:sz w:val="20"/>
          <w:szCs w:val="20"/>
        </w:rPr>
        <w:t>1.4. Infrastruktura i aktivnosti koje su relevatne za pravnu tekovinu EU, a kojima se pruža podrška upravljanju vodama u Crnoj Gori</w:t>
      </w:r>
    </w:p>
    <w:p w14:paraId="31716592" w14:textId="77777777" w:rsidR="00047EF8" w:rsidRPr="00F563CD" w:rsidRDefault="00864F83" w:rsidP="00047EF8">
      <w:p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Specifičnim ciljevima u okviru ove akcije biće omogućena podrška za implementaciju planova upravljanja vodama rječnog sliva i unapređenje monitoringa pomorskih ekosistema kroz sprovođenje nestrukturnih i strukturnih mjera, i biće obezbijeđena dugoročna održiva infrastruktura za zaštitu od poplava.</w:t>
      </w:r>
    </w:p>
    <w:p w14:paraId="665262BC" w14:textId="77777777" w:rsidR="00047EF8" w:rsidRPr="00F563CD" w:rsidRDefault="00864F83" w:rsidP="00047EF8">
      <w:pPr>
        <w:spacing w:after="0" w:line="240" w:lineRule="auto"/>
        <w:jc w:val="both"/>
        <w:rPr>
          <w:rFonts w:asciiTheme="minorHAnsi" w:eastAsia="Calibri" w:hAnsiTheme="minorHAnsi" w:cs="Calibri"/>
          <w:sz w:val="20"/>
          <w:szCs w:val="20"/>
        </w:rPr>
      </w:pPr>
      <w:r w:rsidRPr="00F563CD">
        <w:rPr>
          <w:rFonts w:asciiTheme="minorHAnsi" w:hAnsiTheme="minorHAnsi"/>
          <w:sz w:val="20"/>
          <w:szCs w:val="20"/>
        </w:rPr>
        <w:t xml:space="preserve">Očekuje se da će u okviru ove akcije biti postignuti sljedeći rezultati </w:t>
      </w:r>
      <w:r w:rsidRPr="00F563CD">
        <w:rPr>
          <w:rFonts w:asciiTheme="minorHAnsi" w:eastAsia="Calibri" w:hAnsiTheme="minorHAnsi" w:cs="Calibri"/>
          <w:sz w:val="20"/>
          <w:szCs w:val="20"/>
        </w:rPr>
        <w:t xml:space="preserve">(ukupni budžet: 7.000.000 €): </w:t>
      </w:r>
    </w:p>
    <w:p w14:paraId="01A2B831" w14:textId="77777777" w:rsidR="00047EF8" w:rsidRPr="00F563CD" w:rsidRDefault="00864F83" w:rsidP="00047EF8">
      <w:pPr>
        <w:pStyle w:val="ListParagraph"/>
        <w:numPr>
          <w:ilvl w:val="0"/>
          <w:numId w:val="70"/>
        </w:num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Realizovani planovi za upravljanje vodama riječnog sliva, i uspostavljen funkcionalan informacioni sistem o vodama;</w:t>
      </w:r>
    </w:p>
    <w:p w14:paraId="5A80E6DF" w14:textId="77777777" w:rsidR="00047EF8" w:rsidRPr="00F563CD" w:rsidRDefault="00864F83" w:rsidP="00047EF8">
      <w:pPr>
        <w:pStyle w:val="ListParagraph"/>
        <w:numPr>
          <w:ilvl w:val="0"/>
          <w:numId w:val="70"/>
        </w:num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Oprema za institucije nadležne za sektor voda (Institut za hidrometeorologiju i seizmologiju, Uprava za vode, Institut za javno zdravlje, Zavod za geološka istraživanja, Ministarstvo ekologije, prostornog planiranja i urbanizma);</w:t>
      </w:r>
    </w:p>
    <w:p w14:paraId="1E25E643" w14:textId="77777777" w:rsidR="00047EF8" w:rsidRPr="00F563CD" w:rsidRDefault="00864F83" w:rsidP="00047EF8">
      <w:pPr>
        <w:pStyle w:val="ListParagraph"/>
        <w:numPr>
          <w:ilvl w:val="0"/>
          <w:numId w:val="70"/>
        </w:num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Rekonstrukcija nasipa u skladu sa tehničkim specifikacijama i predviđenim troškovima, potrebnim dozvolama i usaglašenim zahtjevima.</w:t>
      </w:r>
    </w:p>
    <w:p w14:paraId="2EFF50D6" w14:textId="77777777" w:rsidR="00047EF8" w:rsidRPr="00F563CD" w:rsidRDefault="00864F83" w:rsidP="00047EF8">
      <w:pPr>
        <w:spacing w:before="120" w:after="120" w:line="240" w:lineRule="auto"/>
        <w:jc w:val="both"/>
        <w:rPr>
          <w:rFonts w:asciiTheme="minorHAnsi" w:eastAsiaTheme="minorEastAsia" w:hAnsiTheme="minorHAnsi" w:cstheme="minorBidi"/>
          <w:b/>
          <w:bCs/>
          <w:sz w:val="20"/>
          <w:szCs w:val="20"/>
        </w:rPr>
      </w:pPr>
      <w:r w:rsidRPr="00F563CD">
        <w:rPr>
          <w:rFonts w:asciiTheme="minorHAnsi" w:eastAsiaTheme="minorEastAsia" w:hAnsiTheme="minorHAnsi" w:cstheme="minorBidi"/>
          <w:b/>
          <w:bCs/>
          <w:sz w:val="20"/>
          <w:szCs w:val="20"/>
        </w:rPr>
        <w:lastRenderedPageBreak/>
        <w:t xml:space="preserve">1.5. Infrastruktura i aktivnosti koje su relevatne za pravnu tekovinu EU u oblasti upravljanja otpadom </w:t>
      </w:r>
    </w:p>
    <w:p w14:paraId="13CCF9F0" w14:textId="77777777" w:rsidR="00047EF8" w:rsidRPr="00F563CD" w:rsidRDefault="00864F83" w:rsidP="00047EF8">
      <w:p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Specifičnim ciljevima u okviru ove akcije predviđeno je unapređenje postupka odvojenog prikupljanja otpada u Podgorici i Kolašinu, unapređenje postupka upravljanja biološkim otpadom za Podgoricu, Cetinje i Danilovgrad.</w:t>
      </w:r>
    </w:p>
    <w:p w14:paraId="399D17A6" w14:textId="77777777" w:rsidR="00047EF8" w:rsidRPr="00F563CD" w:rsidRDefault="00864F83" w:rsidP="00047EF8">
      <w:pPr>
        <w:spacing w:after="0" w:line="240" w:lineRule="auto"/>
        <w:jc w:val="both"/>
        <w:rPr>
          <w:rFonts w:asciiTheme="minorHAnsi" w:hAnsiTheme="minorHAnsi"/>
          <w:sz w:val="20"/>
          <w:szCs w:val="20"/>
        </w:rPr>
      </w:pPr>
      <w:r w:rsidRPr="00F563CD">
        <w:rPr>
          <w:rFonts w:asciiTheme="minorHAnsi" w:hAnsiTheme="minorHAnsi"/>
          <w:sz w:val="20"/>
          <w:szCs w:val="20"/>
        </w:rPr>
        <w:t>Očekuje se da će ovom akcijom biti postignuti sljedeći rezultati:</w:t>
      </w:r>
    </w:p>
    <w:p w14:paraId="5AA0FC44" w14:textId="77777777" w:rsidR="00047EF8" w:rsidRPr="00F563CD" w:rsidRDefault="00864F83" w:rsidP="00047EF8">
      <w:pPr>
        <w:pStyle w:val="ListParagraph"/>
        <w:numPr>
          <w:ilvl w:val="0"/>
          <w:numId w:val="103"/>
        </w:num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Unaprijeđeni kapaciteti za upravljanje otpadom;</w:t>
      </w:r>
    </w:p>
    <w:p w14:paraId="6CFAA90C" w14:textId="77777777" w:rsidR="00047EF8" w:rsidRPr="00F563CD" w:rsidRDefault="00864F83" w:rsidP="00047EF8">
      <w:pPr>
        <w:pStyle w:val="ListParagraph"/>
        <w:numPr>
          <w:ilvl w:val="0"/>
          <w:numId w:val="70"/>
        </w:num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Postupak odvojenog prikupljanja otpada u Podgorici i Kolašinu;</w:t>
      </w:r>
    </w:p>
    <w:p w14:paraId="67342439" w14:textId="77777777" w:rsidR="00047EF8" w:rsidRPr="00F563CD" w:rsidRDefault="00864F83" w:rsidP="00047EF8">
      <w:pPr>
        <w:pStyle w:val="ListParagraph"/>
        <w:numPr>
          <w:ilvl w:val="0"/>
          <w:numId w:val="70"/>
        </w:num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Izgrađeno postrojenje za kompostiranje organskog otpada.</w:t>
      </w:r>
    </w:p>
    <w:p w14:paraId="565E8A14" w14:textId="77777777" w:rsidR="00047EF8" w:rsidRPr="00F563CD" w:rsidRDefault="00047EF8" w:rsidP="00047EF8">
      <w:pPr>
        <w:pStyle w:val="ListParagraph"/>
        <w:spacing w:after="0" w:line="240" w:lineRule="auto"/>
        <w:ind w:left="360"/>
        <w:jc w:val="both"/>
        <w:rPr>
          <w:rFonts w:asciiTheme="minorHAnsi" w:eastAsia="Calibri" w:hAnsiTheme="minorHAnsi" w:cs="Calibri"/>
          <w:sz w:val="20"/>
          <w:szCs w:val="20"/>
        </w:rPr>
      </w:pPr>
    </w:p>
    <w:p w14:paraId="03E40646" w14:textId="77777777" w:rsidR="00047EF8" w:rsidRPr="00F563CD" w:rsidRDefault="00864F83" w:rsidP="00047EF8">
      <w:pPr>
        <w:pStyle w:val="ListParagraph"/>
        <w:numPr>
          <w:ilvl w:val="0"/>
          <w:numId w:val="23"/>
        </w:numPr>
        <w:spacing w:before="120" w:after="0" w:line="240" w:lineRule="auto"/>
        <w:jc w:val="both"/>
        <w:rPr>
          <w:rFonts w:asciiTheme="minorHAnsi" w:eastAsia="Calibri" w:hAnsiTheme="minorHAnsi" w:cs="Calibri"/>
          <w:sz w:val="20"/>
          <w:szCs w:val="20"/>
        </w:rPr>
      </w:pPr>
      <w:r w:rsidRPr="00F563CD">
        <w:rPr>
          <w:rFonts w:asciiTheme="minorHAnsi" w:eastAsiaTheme="minorEastAsia" w:hAnsiTheme="minorHAnsi" w:cstheme="minorBidi"/>
          <w:b/>
          <w:bCs/>
          <w:sz w:val="20"/>
          <w:szCs w:val="20"/>
        </w:rPr>
        <w:t xml:space="preserve">1.6. </w:t>
      </w:r>
      <w:r w:rsidRPr="00F563CD">
        <w:rPr>
          <w:rFonts w:asciiTheme="minorHAnsi" w:hAnsiTheme="minorHAnsi"/>
          <w:b/>
          <w:sz w:val="20"/>
          <w:szCs w:val="20"/>
        </w:rPr>
        <w:t xml:space="preserve">Infrastruktura za vodosnabdijevanje i odvođenje otpadnih voda na opštinskom nivou </w:t>
      </w:r>
      <w:r w:rsidRPr="00F563CD">
        <w:rPr>
          <w:rFonts w:asciiTheme="minorHAnsi" w:eastAsiaTheme="minorEastAsia" w:hAnsiTheme="minorHAnsi" w:cstheme="minorBidi"/>
          <w:b/>
          <w:bCs/>
          <w:sz w:val="20"/>
          <w:szCs w:val="20"/>
        </w:rPr>
        <w:t>II</w:t>
      </w:r>
      <w:r w:rsidRPr="00F563CD">
        <w:rPr>
          <w:rFonts w:asciiTheme="minorHAnsi" w:eastAsiaTheme="minorEastAsia" w:hAnsiTheme="minorHAnsi" w:cstheme="minorBidi"/>
          <w:sz w:val="20"/>
          <w:szCs w:val="20"/>
        </w:rPr>
        <w:t xml:space="preserve">. </w:t>
      </w:r>
      <w:r w:rsidRPr="00F563CD">
        <w:rPr>
          <w:rFonts w:asciiTheme="minorHAnsi" w:hAnsiTheme="minorHAnsi"/>
          <w:sz w:val="20"/>
          <w:szCs w:val="20"/>
        </w:rPr>
        <w:t xml:space="preserve">Ova akcija ima za cilj da Crnoj Gori pruži podršku u procesu implementacije Plana uz </w:t>
      </w:r>
      <w:r w:rsidRPr="00F563CD">
        <w:rPr>
          <w:rFonts w:asciiTheme="minorHAnsi" w:hAnsiTheme="minorHAnsi" w:cstheme="minorBidi"/>
          <w:bCs/>
          <w:iCs/>
          <w:sz w:val="20"/>
          <w:szCs w:val="20"/>
        </w:rPr>
        <w:t>Nacionalnu strategiju aproksimacije za životnu sredinu u oblasti upravljanja otpadnim vodama, pa samim tim i aproksimacije sa Direktivom o prečišćavanju voda.</w:t>
      </w:r>
      <w:r w:rsidRPr="00F563CD">
        <w:rPr>
          <w:rFonts w:asciiTheme="minorHAnsi" w:eastAsiaTheme="minorEastAsia" w:hAnsiTheme="minorHAnsi" w:cstheme="minorBidi"/>
          <w:sz w:val="20"/>
          <w:szCs w:val="20"/>
        </w:rPr>
        <w:t xml:space="preserve"> </w:t>
      </w:r>
      <w:r w:rsidRPr="00F563CD">
        <w:rPr>
          <w:rFonts w:asciiTheme="minorHAnsi" w:hAnsiTheme="minorHAnsi" w:cstheme="minorBidi"/>
          <w:bCs/>
          <w:iCs/>
          <w:sz w:val="20"/>
          <w:szCs w:val="20"/>
        </w:rPr>
        <w:t xml:space="preserve">Ova akcija će pomoći Crnoj Gori da unaprijedi infrastrukturu upravljanja vodama u skladu sa Master planom za upravljanje otpadnim vodama </w:t>
      </w:r>
      <w:r w:rsidRPr="00F563CD">
        <w:rPr>
          <w:rFonts w:asciiTheme="minorHAnsi" w:eastAsiaTheme="minorEastAsia" w:hAnsiTheme="minorHAnsi" w:cstheme="minorBidi"/>
          <w:sz w:val="20"/>
          <w:szCs w:val="20"/>
        </w:rPr>
        <w:t xml:space="preserve">2018-2035 i </w:t>
      </w:r>
      <w:r w:rsidRPr="00F563CD">
        <w:rPr>
          <w:rFonts w:asciiTheme="minorHAnsi" w:hAnsiTheme="minorHAnsi" w:cstheme="minorBidi"/>
          <w:bCs/>
          <w:iCs/>
          <w:sz w:val="20"/>
          <w:szCs w:val="20"/>
        </w:rPr>
        <w:t xml:space="preserve">Planom za upravljanje komunalnim otpadnim vodama 2020-2035. Ova akcija će omogućiti podršku za razvoj infrastrukture upravljanja vodama na četiri lokacije: </w:t>
      </w:r>
      <w:r w:rsidRPr="00F563CD">
        <w:rPr>
          <w:rFonts w:asciiTheme="minorHAnsi" w:eastAsiaTheme="minorEastAsia" w:hAnsiTheme="minorHAnsi" w:cstheme="minorBidi"/>
          <w:sz w:val="20"/>
          <w:szCs w:val="20"/>
        </w:rPr>
        <w:t xml:space="preserve">Podgorica, </w:t>
      </w:r>
      <w:r w:rsidRPr="00F563CD">
        <w:rPr>
          <w:rFonts w:asciiTheme="minorHAnsi" w:eastAsia="Calibri" w:hAnsiTheme="minorHAnsi" w:cs="Calibri"/>
          <w:sz w:val="20"/>
          <w:szCs w:val="20"/>
        </w:rPr>
        <w:t>Plejvlja</w:t>
      </w:r>
      <w:r w:rsidRPr="00F563CD">
        <w:rPr>
          <w:rFonts w:asciiTheme="minorHAnsi" w:eastAsiaTheme="minorEastAsia" w:hAnsiTheme="minorHAnsi" w:cstheme="minorBidi"/>
          <w:sz w:val="20"/>
          <w:szCs w:val="20"/>
        </w:rPr>
        <w:t xml:space="preserve">, </w:t>
      </w:r>
      <w:r w:rsidRPr="00F563CD">
        <w:rPr>
          <w:rFonts w:asciiTheme="minorHAnsi" w:eastAsia="Calibri" w:hAnsiTheme="minorHAnsi" w:cs="Calibri"/>
          <w:sz w:val="20"/>
          <w:szCs w:val="20"/>
        </w:rPr>
        <w:t>Bijelo Polje</w:t>
      </w:r>
      <w:r w:rsidRPr="00F563CD">
        <w:rPr>
          <w:rFonts w:asciiTheme="minorHAnsi" w:eastAsiaTheme="minorEastAsia" w:hAnsiTheme="minorHAnsi" w:cstheme="minorBidi"/>
          <w:sz w:val="20"/>
          <w:szCs w:val="20"/>
        </w:rPr>
        <w:t xml:space="preserve"> and </w:t>
      </w:r>
      <w:r w:rsidRPr="00F563CD">
        <w:rPr>
          <w:rFonts w:asciiTheme="minorHAnsi" w:eastAsia="Calibri" w:hAnsiTheme="minorHAnsi" w:cs="Calibri"/>
          <w:sz w:val="20"/>
          <w:szCs w:val="20"/>
        </w:rPr>
        <w:t>Žabljak</w:t>
      </w:r>
      <w:r w:rsidRPr="00F563CD">
        <w:rPr>
          <w:rFonts w:asciiTheme="minorHAnsi" w:eastAsiaTheme="minorEastAsia" w:hAnsiTheme="minorHAnsi" w:cstheme="minorBidi"/>
          <w:sz w:val="20"/>
          <w:szCs w:val="20"/>
        </w:rPr>
        <w:t>. Realizacija ovih aktivnosti je inicijalno bila planirana u okviru IPA 2021, međutim zbog budžetskih ograničenja, EK je sugerisala da se iste odlože za period 20</w:t>
      </w:r>
      <w:r w:rsidRPr="00F563CD">
        <w:rPr>
          <w:rFonts w:asciiTheme="minorHAnsi" w:eastAsia="Calibri" w:hAnsiTheme="minorHAnsi" w:cs="Calibri"/>
          <w:sz w:val="20"/>
          <w:szCs w:val="20"/>
        </w:rPr>
        <w:t xml:space="preserve">23/24 (ukupan budžet: 13.550.000 €): </w:t>
      </w:r>
    </w:p>
    <w:p w14:paraId="5DD15936" w14:textId="77777777" w:rsidR="00047EF8" w:rsidRPr="00F563CD" w:rsidRDefault="00864F83" w:rsidP="00047EF8">
      <w:pPr>
        <w:pStyle w:val="ListParagraph"/>
        <w:numPr>
          <w:ilvl w:val="0"/>
          <w:numId w:val="70"/>
        </w:num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Pljevlja: rekonstrukcija </w:t>
      </w:r>
      <w:r w:rsidRPr="00F563CD">
        <w:rPr>
          <w:rFonts w:asciiTheme="minorHAnsi" w:hAnsiTheme="minorHAnsi"/>
          <w:sz w:val="20"/>
          <w:szCs w:val="20"/>
        </w:rPr>
        <w:t xml:space="preserve">postrojenja za pripremu pitke </w:t>
      </w:r>
      <w:proofErr w:type="gramStart"/>
      <w:r w:rsidRPr="00F563CD">
        <w:rPr>
          <w:rFonts w:asciiTheme="minorHAnsi" w:hAnsiTheme="minorHAnsi"/>
          <w:sz w:val="20"/>
          <w:szCs w:val="20"/>
        </w:rPr>
        <w:t>vode ,,Pliješ</w:t>
      </w:r>
      <w:proofErr w:type="gramEnd"/>
      <w:r w:rsidRPr="00F563CD">
        <w:rPr>
          <w:rFonts w:asciiTheme="minorHAnsi" w:hAnsiTheme="minorHAnsi"/>
          <w:sz w:val="20"/>
          <w:szCs w:val="20"/>
        </w:rPr>
        <w:t>’’ i glavnog cjevovoda od brda Pliješ do grada, visoke i niske zone i izgradnja postrojenja za pripremu pitke vode „Breznica“ i „Bogiševac“;</w:t>
      </w:r>
    </w:p>
    <w:p w14:paraId="435845C8" w14:textId="77777777" w:rsidR="00047EF8" w:rsidRPr="00F563CD" w:rsidRDefault="00864F83" w:rsidP="00047EF8">
      <w:pPr>
        <w:pStyle w:val="ListParagraph"/>
        <w:numPr>
          <w:ilvl w:val="0"/>
          <w:numId w:val="70"/>
        </w:numPr>
        <w:spacing w:after="0" w:line="240" w:lineRule="auto"/>
        <w:jc w:val="both"/>
        <w:rPr>
          <w:rFonts w:asciiTheme="minorHAnsi" w:eastAsia="Calibri" w:hAnsiTheme="minorHAnsi" w:cs="Calibri"/>
          <w:sz w:val="20"/>
          <w:szCs w:val="20"/>
        </w:rPr>
      </w:pPr>
      <w:r w:rsidRPr="00F563CD">
        <w:rPr>
          <w:rFonts w:asciiTheme="minorHAnsi" w:hAnsiTheme="minorHAnsi"/>
          <w:sz w:val="20"/>
          <w:szCs w:val="20"/>
        </w:rPr>
        <w:t>Izgradnja</w:t>
      </w:r>
      <w:r w:rsidRPr="00F563CD">
        <w:rPr>
          <w:rStyle w:val="Emphasis"/>
          <w:rFonts w:asciiTheme="minorHAnsi" w:hAnsiTheme="minorHAnsi"/>
          <w:sz w:val="20"/>
          <w:szCs w:val="20"/>
        </w:rPr>
        <w:t xml:space="preserve"> cjevovoda</w:t>
      </w:r>
      <w:r w:rsidRPr="00F563CD">
        <w:rPr>
          <w:rFonts w:asciiTheme="minorHAnsi" w:hAnsiTheme="minorHAnsi"/>
          <w:sz w:val="20"/>
          <w:szCs w:val="20"/>
        </w:rPr>
        <w:t xml:space="preserve"> za vodosnabdijevanje </w:t>
      </w:r>
      <w:r w:rsidRPr="00F563CD">
        <w:rPr>
          <w:rStyle w:val="Emphasis"/>
          <w:rFonts w:asciiTheme="minorHAnsi" w:hAnsiTheme="minorHAnsi"/>
          <w:sz w:val="20"/>
          <w:szCs w:val="20"/>
        </w:rPr>
        <w:t>Vrelo Bistrice</w:t>
      </w:r>
      <w:r w:rsidRPr="00F563CD">
        <w:rPr>
          <w:rFonts w:asciiTheme="minorHAnsi" w:hAnsiTheme="minorHAnsi"/>
          <w:i/>
          <w:sz w:val="20"/>
          <w:szCs w:val="20"/>
        </w:rPr>
        <w:t xml:space="preserve"> </w:t>
      </w:r>
      <w:r w:rsidRPr="00F563CD">
        <w:rPr>
          <w:rFonts w:asciiTheme="minorHAnsi" w:hAnsiTheme="minorHAnsi"/>
          <w:sz w:val="20"/>
          <w:szCs w:val="20"/>
        </w:rPr>
        <w:t xml:space="preserve">- Rezervoar </w:t>
      </w:r>
      <w:r w:rsidRPr="00F563CD">
        <w:rPr>
          <w:rStyle w:val="Emphasis"/>
          <w:rFonts w:asciiTheme="minorHAnsi" w:hAnsiTheme="minorHAnsi"/>
          <w:sz w:val="20"/>
          <w:szCs w:val="20"/>
        </w:rPr>
        <w:t>Pobrnjica, opština Bijelo Polje;</w:t>
      </w:r>
    </w:p>
    <w:p w14:paraId="2C79E957" w14:textId="77777777" w:rsidR="00047EF8" w:rsidRPr="00F563CD" w:rsidRDefault="00864F83" w:rsidP="00047EF8">
      <w:pPr>
        <w:pStyle w:val="ListParagraph"/>
        <w:numPr>
          <w:ilvl w:val="0"/>
          <w:numId w:val="70"/>
        </w:num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Unapređenje sistema za prečišćavanje otpadnih voda na Žabljaku- radovi i nadgledanje radova;</w:t>
      </w:r>
    </w:p>
    <w:p w14:paraId="5BF986B8" w14:textId="77777777" w:rsidR="00047EF8" w:rsidRPr="00F563CD" w:rsidRDefault="00864F83" w:rsidP="00047EF8">
      <w:pPr>
        <w:pStyle w:val="ListParagraph"/>
        <w:numPr>
          <w:ilvl w:val="0"/>
          <w:numId w:val="70"/>
        </w:num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II faza izgradnje postrojenja za prečišćavanje otpadnih voda u opštini Žabljak;</w:t>
      </w:r>
    </w:p>
    <w:p w14:paraId="0EB23210" w14:textId="77777777" w:rsidR="00047EF8" w:rsidRPr="00F563CD" w:rsidRDefault="00864F83" w:rsidP="00047EF8">
      <w:pPr>
        <w:pStyle w:val="ListParagraph"/>
        <w:numPr>
          <w:ilvl w:val="0"/>
          <w:numId w:val="70"/>
        </w:num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Podgorica: Operativni monitoring vodosnabdijevanja kako bi se smanjili gubici vode</w:t>
      </w:r>
    </w:p>
    <w:p w14:paraId="653754E5" w14:textId="77777777" w:rsidR="00047EF8" w:rsidRPr="00F563CD" w:rsidRDefault="00864F83" w:rsidP="00047EF8">
      <w:pPr>
        <w:pStyle w:val="ListParagraph"/>
        <w:spacing w:after="0" w:line="240" w:lineRule="auto"/>
        <w:ind w:left="360"/>
        <w:jc w:val="both"/>
        <w:rPr>
          <w:rFonts w:asciiTheme="minorHAnsi" w:eastAsia="Calibri" w:hAnsiTheme="minorHAnsi" w:cs="Calibri"/>
          <w:sz w:val="20"/>
          <w:szCs w:val="20"/>
        </w:rPr>
      </w:pPr>
      <w:r w:rsidRPr="00F563CD">
        <w:rPr>
          <w:rFonts w:asciiTheme="minorHAnsi" w:hAnsiTheme="minorHAnsi" w:cstheme="minorBidi"/>
          <w:bCs/>
          <w:iCs/>
          <w:sz w:val="20"/>
          <w:szCs w:val="20"/>
        </w:rPr>
        <w:t>: Rožaje, Kolašin i Mojkovac.</w:t>
      </w:r>
    </w:p>
    <w:p w14:paraId="16C0C12A" w14:textId="77777777" w:rsidR="00047EF8" w:rsidRPr="00F563CD" w:rsidRDefault="00047EF8" w:rsidP="00047EF8">
      <w:pPr>
        <w:spacing w:after="0"/>
        <w:jc w:val="both"/>
        <w:rPr>
          <w:rFonts w:asciiTheme="minorHAnsi" w:eastAsia="Calibri" w:hAnsiTheme="minorHAnsi" w:cs="Calibri"/>
          <w:sz w:val="20"/>
          <w:szCs w:val="20"/>
          <w:highlight w:val="green"/>
        </w:rPr>
      </w:pPr>
    </w:p>
    <w:p w14:paraId="7BBF3847" w14:textId="77777777" w:rsidR="00047EF8" w:rsidRPr="00F563CD" w:rsidRDefault="00864F83" w:rsidP="00047EF8">
      <w:pPr>
        <w:spacing w:before="120" w:after="0" w:line="240" w:lineRule="auto"/>
        <w:jc w:val="both"/>
        <w:rPr>
          <w:rFonts w:asciiTheme="minorHAnsi" w:eastAsiaTheme="minorEastAsia" w:hAnsiTheme="minorHAnsi" w:cstheme="minorBidi"/>
          <w:b/>
          <w:bCs/>
          <w:sz w:val="20"/>
          <w:szCs w:val="20"/>
        </w:rPr>
      </w:pPr>
      <w:r w:rsidRPr="00F563CD">
        <w:rPr>
          <w:rFonts w:asciiTheme="minorHAnsi" w:eastAsiaTheme="minorEastAsia" w:hAnsiTheme="minorHAnsi" w:cstheme="minorBidi"/>
          <w:b/>
          <w:bCs/>
          <w:sz w:val="20"/>
          <w:szCs w:val="20"/>
        </w:rPr>
        <w:t>1.7. Infrastruktura za zaštitu prirode i aktivnosti koje su relevantne za pravnu tekovinu u ovoj oblasti</w:t>
      </w:r>
    </w:p>
    <w:p w14:paraId="71DEFBB1" w14:textId="77777777" w:rsidR="00047EF8" w:rsidRPr="00F563CD" w:rsidRDefault="00864F83" w:rsidP="00047EF8">
      <w:p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 xml:space="preserve">Specifični ciljevi ove akcije uključuju: </w:t>
      </w:r>
    </w:p>
    <w:p w14:paraId="126AB7E7" w14:textId="77777777" w:rsidR="00047EF8" w:rsidRPr="00F563CD" w:rsidRDefault="00864F83" w:rsidP="00047EF8">
      <w:pPr>
        <w:pStyle w:val="ListParagraph"/>
        <w:numPr>
          <w:ilvl w:val="0"/>
          <w:numId w:val="23"/>
        </w:num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Unapređenje administrativnih kapaciteta za sprovođenje pravne tekovine EU i međunarodnog Protokola za zaštitu prirode</w:t>
      </w:r>
    </w:p>
    <w:p w14:paraId="231DE379" w14:textId="77777777" w:rsidR="00047EF8" w:rsidRPr="00F563CD" w:rsidRDefault="00864F83" w:rsidP="00047EF8">
      <w:pPr>
        <w:pStyle w:val="ListParagraph"/>
        <w:numPr>
          <w:ilvl w:val="0"/>
          <w:numId w:val="23"/>
        </w:num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Unapređenje administrativnih kapaciteta za sprovođenje pravne tekovine EU u oblasti meteoroloških mjerenja</w:t>
      </w:r>
    </w:p>
    <w:p w14:paraId="4CAC6888" w14:textId="77777777" w:rsidR="00047EF8" w:rsidRPr="00F563CD" w:rsidRDefault="00864F83" w:rsidP="00047EF8">
      <w:pPr>
        <w:pStyle w:val="ListParagraph"/>
        <w:numPr>
          <w:ilvl w:val="0"/>
          <w:numId w:val="23"/>
        </w:num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Uspostavljanje fizičke infrastrukture za zaštitu prirode kako bi se ispunili zahtjevi predviđeni acquis-jem i međunarodnim konvencijama</w:t>
      </w:r>
    </w:p>
    <w:p w14:paraId="0D32FF81" w14:textId="77777777" w:rsidR="00047EF8" w:rsidRPr="00F563CD" w:rsidRDefault="00864F83" w:rsidP="00047EF8">
      <w:pPr>
        <w:pStyle w:val="ListParagraph"/>
        <w:numPr>
          <w:ilvl w:val="0"/>
          <w:numId w:val="23"/>
        </w:num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Pružanje dodatne podrške uspostavljanju mreže Natura 2000 (uključujući morski dio)</w:t>
      </w:r>
    </w:p>
    <w:p w14:paraId="7880A006" w14:textId="77777777" w:rsidR="00047EF8" w:rsidRPr="00F563CD" w:rsidRDefault="00864F83" w:rsidP="00047EF8">
      <w:pPr>
        <w:pStyle w:val="ListParagraph"/>
        <w:numPr>
          <w:ilvl w:val="0"/>
          <w:numId w:val="23"/>
        </w:num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Pružanje dodatne podrške upravljanju invazivnim stranim vrstama, sa posebnim naglaskom na unapređenju znanja o distribuciji, pripremi potrebnih dokumenata (akcionih planova), uspostavljanju baze podataka i aktivnostima informisanja, kako bi se uspostavila baza za buduće aktivnosti upravljanja i monitoringa.</w:t>
      </w:r>
    </w:p>
    <w:p w14:paraId="7987EDCD" w14:textId="77777777" w:rsidR="00047EF8" w:rsidRPr="00F563CD" w:rsidRDefault="00864F83" w:rsidP="00047EF8">
      <w:pPr>
        <w:spacing w:before="120" w:after="0" w:line="240" w:lineRule="auto"/>
        <w:ind w:firstLine="360"/>
        <w:jc w:val="both"/>
        <w:rPr>
          <w:rFonts w:asciiTheme="minorHAnsi" w:eastAsiaTheme="minorEastAsia" w:hAnsiTheme="minorHAnsi" w:cstheme="minorBidi"/>
          <w:b/>
          <w:bCs/>
          <w:sz w:val="20"/>
          <w:szCs w:val="20"/>
        </w:rPr>
      </w:pPr>
      <w:r w:rsidRPr="00F563CD">
        <w:rPr>
          <w:rFonts w:asciiTheme="minorHAnsi" w:eastAsiaTheme="minorEastAsia" w:hAnsiTheme="minorHAnsi" w:cstheme="minorBidi"/>
          <w:b/>
          <w:bCs/>
          <w:sz w:val="20"/>
          <w:szCs w:val="20"/>
        </w:rPr>
        <w:t>Akcijom je predviđeno sljedeće:</w:t>
      </w:r>
    </w:p>
    <w:p w14:paraId="6EBAD9C4" w14:textId="77777777" w:rsidR="00047EF8" w:rsidRPr="00F563CD" w:rsidRDefault="00864F83" w:rsidP="00047EF8">
      <w:pPr>
        <w:pStyle w:val="ListParagraph"/>
        <w:numPr>
          <w:ilvl w:val="0"/>
          <w:numId w:val="71"/>
        </w:numPr>
        <w:spacing w:before="120" w:after="0" w:line="240" w:lineRule="auto"/>
        <w:jc w:val="both"/>
        <w:rPr>
          <w:rFonts w:asciiTheme="minorHAnsi" w:eastAsiaTheme="minorEastAsia" w:hAnsiTheme="minorHAnsi" w:cstheme="minorHAnsi"/>
          <w:sz w:val="20"/>
          <w:szCs w:val="20"/>
        </w:rPr>
      </w:pPr>
      <w:r w:rsidRPr="00F563CD">
        <w:rPr>
          <w:rFonts w:asciiTheme="minorHAnsi" w:eastAsiaTheme="minorEastAsia" w:hAnsiTheme="minorHAnsi" w:cstheme="minorBidi"/>
          <w:sz w:val="20"/>
          <w:szCs w:val="20"/>
        </w:rPr>
        <w:t>Obuke i izgradnja kapaciteta za primjenu Nagoja protokola, Direktive o pticama i Direktive o staništima, propisa o invazivnim stranim vrstama, propisa koji se odnose na drvo i FLEGT, CITES konvencije, Direktive 83/129/EEZ (</w:t>
      </w:r>
      <w:r w:rsidRPr="00F563CD">
        <w:rPr>
          <w:rFonts w:asciiTheme="minorHAnsi" w:hAnsiTheme="minorHAnsi"/>
          <w:sz w:val="20"/>
          <w:szCs w:val="20"/>
        </w:rPr>
        <w:t>uvoz i trgovinu proizvodima svih morskih sisara obuhvaćenih izrazom foke</w:t>
      </w:r>
      <w:r w:rsidRPr="00F563CD">
        <w:rPr>
          <w:rFonts w:asciiTheme="minorHAnsi" w:eastAsiaTheme="minorEastAsia" w:hAnsiTheme="minorHAnsi" w:cstheme="minorBidi"/>
          <w:sz w:val="20"/>
          <w:szCs w:val="20"/>
        </w:rPr>
        <w:t>)</w:t>
      </w:r>
    </w:p>
    <w:p w14:paraId="11411DA1" w14:textId="77777777" w:rsidR="00047EF8" w:rsidRPr="00F563CD" w:rsidRDefault="00864F83" w:rsidP="00047EF8">
      <w:pPr>
        <w:pStyle w:val="ListParagraph"/>
        <w:numPr>
          <w:ilvl w:val="0"/>
          <w:numId w:val="71"/>
        </w:numPr>
        <w:spacing w:before="120" w:after="0" w:line="240" w:lineRule="auto"/>
        <w:jc w:val="both"/>
        <w:rPr>
          <w:rFonts w:asciiTheme="minorHAnsi" w:eastAsiaTheme="minorEastAsia" w:hAnsiTheme="minorHAnsi" w:cstheme="minorHAnsi"/>
          <w:sz w:val="20"/>
          <w:szCs w:val="20"/>
        </w:rPr>
      </w:pPr>
      <w:r w:rsidRPr="00F563CD">
        <w:rPr>
          <w:rFonts w:asciiTheme="minorHAnsi" w:eastAsiaTheme="minorEastAsia" w:hAnsiTheme="minorHAnsi" w:cstheme="minorHAnsi"/>
          <w:sz w:val="20"/>
          <w:szCs w:val="20"/>
        </w:rPr>
        <w:t xml:space="preserve">Regulativa 1007/2009 (o trgovini proizvodima od foke), Protokol za </w:t>
      </w:r>
      <w:r w:rsidRPr="00F563CD">
        <w:rPr>
          <w:rFonts w:asciiTheme="minorHAnsi" w:hAnsiTheme="minorHAnsi" w:cstheme="minorHAnsi"/>
          <w:sz w:val="20"/>
          <w:szCs w:val="20"/>
        </w:rPr>
        <w:t>prekogranične transmisije zagađivača vazduha na velikim udaljenostima u Evropi</w:t>
      </w:r>
      <w:r w:rsidRPr="00F563CD">
        <w:rPr>
          <w:rFonts w:asciiTheme="minorHAnsi" w:eastAsiaTheme="minorEastAsia" w:hAnsiTheme="minorHAnsi" w:cstheme="minorHAnsi"/>
          <w:sz w:val="20"/>
          <w:szCs w:val="20"/>
        </w:rPr>
        <w:t xml:space="preserve"> (EMEP)</w:t>
      </w:r>
    </w:p>
    <w:p w14:paraId="0A1A72D9" w14:textId="77777777" w:rsidR="00047EF8" w:rsidRPr="00F563CD" w:rsidRDefault="00864F83" w:rsidP="00047EF8">
      <w:pPr>
        <w:pStyle w:val="ListParagraph"/>
        <w:numPr>
          <w:ilvl w:val="0"/>
          <w:numId w:val="71"/>
        </w:num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Isporuka opreme za meteorološke potrebe (meteorološki radar (C-band)) i civilnu zaštitu.</w:t>
      </w:r>
    </w:p>
    <w:p w14:paraId="33B49BA4" w14:textId="77777777" w:rsidR="00047EF8" w:rsidRPr="00F563CD" w:rsidRDefault="00864F83" w:rsidP="00047EF8">
      <w:pPr>
        <w:pStyle w:val="ListParagraph"/>
        <w:numPr>
          <w:ilvl w:val="0"/>
          <w:numId w:val="71"/>
        </w:num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Infrastruktura za zaštitu prirode:</w:t>
      </w:r>
    </w:p>
    <w:p w14:paraId="32C3ADE2" w14:textId="77777777" w:rsidR="00047EF8" w:rsidRPr="00F563CD" w:rsidRDefault="00864F83" w:rsidP="00047EF8">
      <w:pPr>
        <w:pStyle w:val="ListParagraph"/>
        <w:numPr>
          <w:ilvl w:val="2"/>
          <w:numId w:val="66"/>
        </w:num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Prihvatilište za životinje (CITES konvencija) uspostavljeno i u potpunosti funkcionalno, uključujući i opremu za transfer životinja</w:t>
      </w:r>
    </w:p>
    <w:p w14:paraId="17F27FA3" w14:textId="77777777" w:rsidR="00047EF8" w:rsidRPr="00F563CD" w:rsidRDefault="00864F83" w:rsidP="00047EF8">
      <w:pPr>
        <w:pStyle w:val="ListParagraph"/>
        <w:numPr>
          <w:ilvl w:val="2"/>
          <w:numId w:val="66"/>
        </w:num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Uspostavljen Park prirode rijeka Zeta: centar za posjetioce, avanturistički park i lokaliteti za posjetioce i nabavljena oprema za upravnike drugih zaštićenih područja (PE ‘’Morsko Dobro’’, ulcinjska Solana i ostala prirodna područja u Crnoj Gori</w:t>
      </w:r>
    </w:p>
    <w:p w14:paraId="4D173D19" w14:textId="77777777" w:rsidR="00047EF8" w:rsidRPr="00F563CD" w:rsidRDefault="00864F83" w:rsidP="00047EF8">
      <w:pPr>
        <w:pStyle w:val="ListParagraph"/>
        <w:numPr>
          <w:ilvl w:val="2"/>
          <w:numId w:val="66"/>
        </w:num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Dodatna podrška uspostavljanju mreže Natura 2000 (uključujući i morski dio), i</w:t>
      </w:r>
    </w:p>
    <w:p w14:paraId="0F8FBA5B" w14:textId="77777777" w:rsidR="00047EF8" w:rsidRPr="00F563CD" w:rsidRDefault="00864F83" w:rsidP="00047EF8">
      <w:pPr>
        <w:pStyle w:val="ListParagraph"/>
        <w:numPr>
          <w:ilvl w:val="2"/>
          <w:numId w:val="66"/>
        </w:numPr>
        <w:spacing w:before="120" w:after="0" w:line="240" w:lineRule="auto"/>
        <w:jc w:val="both"/>
        <w:rPr>
          <w:rFonts w:asciiTheme="minorHAnsi" w:eastAsiaTheme="minorEastAsia" w:hAnsiTheme="minorHAnsi" w:cstheme="minorBidi"/>
          <w:sz w:val="20"/>
          <w:szCs w:val="20"/>
        </w:rPr>
      </w:pPr>
      <w:r w:rsidRPr="00F563CD">
        <w:rPr>
          <w:rFonts w:asciiTheme="minorHAnsi" w:eastAsiaTheme="minorEastAsia" w:hAnsiTheme="minorHAnsi" w:cstheme="minorBidi"/>
          <w:sz w:val="20"/>
          <w:szCs w:val="20"/>
        </w:rPr>
        <w:t>Upravljanje invazivnim stranim vrstama, sa posebnim naglaskom na unapređenju znanja o distribuciji, pripremi potrebnih dokumenata (akcionih planova), uspostavljanju baze podataka i aktivnostima informisanja, kako bi se uspostavila baza za buduće aktivnosti upravljanja i monitoringa.</w:t>
      </w:r>
    </w:p>
    <w:p w14:paraId="17ECF979" w14:textId="77777777" w:rsidR="00047EF8" w:rsidRPr="00F563CD" w:rsidRDefault="00047EF8" w:rsidP="00047EF8">
      <w:pPr>
        <w:spacing w:before="120" w:after="0" w:line="240" w:lineRule="auto"/>
        <w:ind w:left="720"/>
        <w:jc w:val="both"/>
        <w:rPr>
          <w:rFonts w:asciiTheme="minorHAnsi" w:eastAsiaTheme="minorEastAsia" w:hAnsiTheme="minorHAnsi" w:cstheme="minorBidi"/>
          <w:b/>
          <w:bCs/>
          <w:sz w:val="20"/>
          <w:szCs w:val="20"/>
          <w:highlight w:val="green"/>
        </w:rPr>
      </w:pPr>
    </w:p>
    <w:p w14:paraId="792B4436" w14:textId="77777777" w:rsidR="00047EF8" w:rsidRPr="00F563CD" w:rsidRDefault="00864F83" w:rsidP="00047EF8">
      <w:pPr>
        <w:spacing w:after="0"/>
        <w:jc w:val="both"/>
        <w:rPr>
          <w:rFonts w:asciiTheme="minorHAnsi" w:eastAsia="Calibri" w:hAnsiTheme="minorHAnsi" w:cs="Calibri"/>
          <w:b/>
          <w:bCs/>
          <w:i/>
          <w:iCs/>
          <w:sz w:val="20"/>
          <w:szCs w:val="20"/>
        </w:rPr>
      </w:pPr>
      <w:r w:rsidRPr="00F563CD">
        <w:rPr>
          <w:rFonts w:asciiTheme="minorHAnsi" w:eastAsia="Calibri" w:hAnsiTheme="minorHAnsi" w:cs="Calibri"/>
          <w:b/>
          <w:bCs/>
          <w:i/>
          <w:iCs/>
          <w:sz w:val="20"/>
          <w:szCs w:val="20"/>
        </w:rPr>
        <w:t>Tematski prioritet 2: Saobraćaj, digitalna ekonomija i društvo i energetika</w:t>
      </w:r>
    </w:p>
    <w:p w14:paraId="0BE4C0BC" w14:textId="77777777" w:rsidR="00047EF8" w:rsidRPr="00F563CD" w:rsidRDefault="00864F83" w:rsidP="00047EF8">
      <w:pPr>
        <w:spacing w:before="120" w:after="120" w:line="240" w:lineRule="auto"/>
        <w:jc w:val="both"/>
        <w:rPr>
          <w:rFonts w:asciiTheme="minorHAnsi" w:eastAsiaTheme="minorEastAsia" w:hAnsiTheme="minorHAnsi" w:cstheme="minorBidi"/>
          <w:b/>
          <w:bCs/>
          <w:sz w:val="20"/>
          <w:szCs w:val="20"/>
        </w:rPr>
      </w:pPr>
      <w:r w:rsidRPr="00F563CD">
        <w:rPr>
          <w:rFonts w:asciiTheme="minorHAnsi" w:eastAsiaTheme="minorEastAsia" w:hAnsiTheme="minorHAnsi" w:cstheme="minorBidi"/>
          <w:b/>
          <w:bCs/>
          <w:sz w:val="20"/>
          <w:szCs w:val="20"/>
        </w:rPr>
        <w:t xml:space="preserve">2.2. Izgradnja kapaciteta i usaglašenost u oblasti </w:t>
      </w:r>
      <w:r w:rsidRPr="00F563CD">
        <w:rPr>
          <w:rFonts w:asciiTheme="minorHAnsi" w:eastAsia="Calibri" w:hAnsiTheme="minorHAnsi" w:cs="Calibri"/>
          <w:b/>
          <w:bCs/>
          <w:iCs/>
          <w:sz w:val="20"/>
          <w:szCs w:val="20"/>
        </w:rPr>
        <w:t>saobraćaja, digitalne ekonomije i društva, i energetike</w:t>
      </w:r>
    </w:p>
    <w:p w14:paraId="61C29C2D" w14:textId="77777777" w:rsidR="00047EF8" w:rsidRPr="00F563CD" w:rsidRDefault="00864F83" w:rsidP="00047EF8">
      <w:pPr>
        <w:spacing w:before="120" w:after="120" w:line="240" w:lineRule="auto"/>
        <w:jc w:val="both"/>
        <w:rPr>
          <w:rFonts w:asciiTheme="minorHAnsi" w:hAnsiTheme="minorHAnsi"/>
          <w:sz w:val="20"/>
          <w:szCs w:val="20"/>
        </w:rPr>
      </w:pPr>
      <w:r w:rsidRPr="00F563CD">
        <w:rPr>
          <w:rFonts w:asciiTheme="minorHAnsi" w:hAnsiTheme="minorHAnsi"/>
          <w:sz w:val="20"/>
          <w:szCs w:val="20"/>
        </w:rPr>
        <w:t xml:space="preserve">U predstojećem periodu kapaciteti treba da budu posebno osnaženi, jer je u tome ključ uspjeha u procesu planiranja. Cilj ovog ugovora jeste da se obezbijedi podrška procesu prenosa pravne tekovine, da se izgrade institucionalni kapaciteti za strateško planiranje, sprovođenje i primjenu pravne tekovine EU, u skladu sa nacionalnim i regionalnim strategijama koje definišu politike </w:t>
      </w:r>
      <w:r w:rsidRPr="00F563CD">
        <w:rPr>
          <w:rFonts w:asciiTheme="minorHAnsi" w:eastAsiaTheme="minorEastAsia" w:hAnsiTheme="minorHAnsi" w:cstheme="minorBidi"/>
          <w:bCs/>
          <w:sz w:val="20"/>
          <w:szCs w:val="20"/>
        </w:rPr>
        <w:t xml:space="preserve">u oblasti </w:t>
      </w:r>
      <w:r w:rsidRPr="00F563CD">
        <w:rPr>
          <w:rFonts w:asciiTheme="minorHAnsi" w:eastAsia="Calibri" w:hAnsiTheme="minorHAnsi" w:cs="Calibri"/>
          <w:bCs/>
          <w:iCs/>
          <w:sz w:val="20"/>
          <w:szCs w:val="20"/>
        </w:rPr>
        <w:t>saobraćaja, digitalne ekonomije i društva, i energetike:</w:t>
      </w:r>
    </w:p>
    <w:p w14:paraId="01EE46D0" w14:textId="77777777" w:rsidR="00047EF8" w:rsidRPr="00F563CD" w:rsidRDefault="00864F83" w:rsidP="00047EF8">
      <w:pPr>
        <w:spacing w:before="120" w:after="120" w:line="240" w:lineRule="auto"/>
        <w:jc w:val="both"/>
        <w:rPr>
          <w:rFonts w:asciiTheme="minorHAnsi" w:hAnsiTheme="minorHAnsi"/>
          <w:sz w:val="20"/>
          <w:szCs w:val="20"/>
        </w:rPr>
      </w:pPr>
      <w:r w:rsidRPr="00F563CD">
        <w:rPr>
          <w:rFonts w:asciiTheme="minorHAnsi" w:hAnsiTheme="minorHAnsi"/>
          <w:sz w:val="20"/>
          <w:szCs w:val="20"/>
        </w:rPr>
        <w:t>Predviđene akcije uključuju sljedeće:</w:t>
      </w:r>
    </w:p>
    <w:p w14:paraId="2D1F5296" w14:textId="77777777" w:rsidR="00047EF8" w:rsidRPr="00F563CD" w:rsidRDefault="00864F83" w:rsidP="00047EF8">
      <w:pPr>
        <w:pStyle w:val="ListParagraph"/>
        <w:numPr>
          <w:ilvl w:val="0"/>
          <w:numId w:val="66"/>
        </w:numPr>
        <w:spacing w:before="120" w:after="120" w:line="240" w:lineRule="auto"/>
        <w:jc w:val="both"/>
        <w:rPr>
          <w:rFonts w:asciiTheme="minorHAnsi" w:hAnsiTheme="minorHAnsi"/>
          <w:sz w:val="20"/>
          <w:szCs w:val="20"/>
        </w:rPr>
      </w:pPr>
      <w:r w:rsidRPr="00F563CD">
        <w:rPr>
          <w:rFonts w:asciiTheme="minorHAnsi" w:hAnsiTheme="minorHAnsi"/>
          <w:sz w:val="20"/>
          <w:szCs w:val="20"/>
        </w:rPr>
        <w:t xml:space="preserve">Posebnu tehničku podršku za izgradnju kapaciteta (obuke, treninzi, studijske posjete, softver i IT alate, smjernice i priručnike), </w:t>
      </w:r>
    </w:p>
    <w:p w14:paraId="25B000BD" w14:textId="77777777" w:rsidR="00047EF8" w:rsidRPr="00F563CD" w:rsidRDefault="00864F83" w:rsidP="00047EF8">
      <w:pPr>
        <w:pStyle w:val="ListParagraph"/>
        <w:numPr>
          <w:ilvl w:val="0"/>
          <w:numId w:val="66"/>
        </w:numPr>
        <w:spacing w:before="120" w:after="120" w:line="240" w:lineRule="auto"/>
        <w:jc w:val="both"/>
        <w:rPr>
          <w:rFonts w:asciiTheme="minorHAnsi" w:hAnsiTheme="minorHAnsi"/>
          <w:sz w:val="20"/>
          <w:szCs w:val="20"/>
        </w:rPr>
      </w:pPr>
      <w:r w:rsidRPr="00F563CD">
        <w:rPr>
          <w:rFonts w:asciiTheme="minorHAnsi" w:hAnsiTheme="minorHAnsi"/>
          <w:sz w:val="20"/>
          <w:szCs w:val="20"/>
        </w:rPr>
        <w:t xml:space="preserve">Usklađivanje zakonodavstva (priprema nacrta /usaglašavanje primarnog, i prije svega sekundarnog zakonodavstva) </w:t>
      </w:r>
    </w:p>
    <w:p w14:paraId="6C191EA3" w14:textId="77777777" w:rsidR="00047EF8" w:rsidRPr="00F563CD" w:rsidRDefault="00864F83" w:rsidP="00047EF8">
      <w:pPr>
        <w:pStyle w:val="ListParagraph"/>
        <w:numPr>
          <w:ilvl w:val="0"/>
          <w:numId w:val="66"/>
        </w:numPr>
        <w:spacing w:before="120" w:after="120" w:line="240" w:lineRule="auto"/>
        <w:jc w:val="both"/>
        <w:rPr>
          <w:rFonts w:asciiTheme="minorHAnsi" w:hAnsiTheme="minorHAnsi"/>
          <w:sz w:val="20"/>
          <w:szCs w:val="20"/>
        </w:rPr>
      </w:pPr>
      <w:r w:rsidRPr="00F563CD">
        <w:rPr>
          <w:rFonts w:asciiTheme="minorHAnsi" w:hAnsiTheme="minorHAnsi"/>
          <w:sz w:val="20"/>
          <w:szCs w:val="20"/>
        </w:rPr>
        <w:t>Strateško planiranje (studije, nacionalne strategije, DSIP, IPA programiranje), itd.</w:t>
      </w:r>
    </w:p>
    <w:p w14:paraId="1AB9341A" w14:textId="77777777" w:rsidR="00047EF8" w:rsidRPr="00F563CD" w:rsidRDefault="00047EF8" w:rsidP="00047EF8">
      <w:pPr>
        <w:pStyle w:val="ListParagraph"/>
        <w:spacing w:before="120" w:after="120" w:line="240" w:lineRule="auto"/>
        <w:ind w:left="360"/>
        <w:jc w:val="both"/>
        <w:rPr>
          <w:rFonts w:asciiTheme="minorHAnsi" w:hAnsiTheme="minorHAnsi"/>
          <w:sz w:val="20"/>
          <w:szCs w:val="20"/>
        </w:rPr>
      </w:pPr>
    </w:p>
    <w:p w14:paraId="4E1077AD" w14:textId="77777777" w:rsidR="00047EF8" w:rsidRPr="00F563CD" w:rsidRDefault="00864F83" w:rsidP="00047EF8">
      <w:pPr>
        <w:spacing w:before="120" w:after="120" w:line="240" w:lineRule="auto"/>
        <w:jc w:val="both"/>
        <w:rPr>
          <w:rFonts w:asciiTheme="minorHAnsi" w:hAnsiTheme="minorHAnsi"/>
          <w:sz w:val="20"/>
          <w:szCs w:val="20"/>
        </w:rPr>
      </w:pPr>
      <w:r w:rsidRPr="00F563CD">
        <w:rPr>
          <w:rFonts w:asciiTheme="minorHAnsi" w:hAnsiTheme="minorHAnsi"/>
          <w:b/>
          <w:bCs/>
          <w:sz w:val="20"/>
          <w:szCs w:val="20"/>
        </w:rPr>
        <w:t>2.3. Unapređenje digitalne ekonomije i digitalnog društva u Crnoj Gori</w:t>
      </w:r>
      <w:r w:rsidRPr="00F563CD">
        <w:rPr>
          <w:rFonts w:asciiTheme="minorHAnsi" w:hAnsiTheme="minorHAnsi"/>
          <w:sz w:val="20"/>
          <w:szCs w:val="20"/>
        </w:rPr>
        <w:t>. Ova akcija predviđa tri oblasti podrške:</w:t>
      </w:r>
    </w:p>
    <w:p w14:paraId="68CC0475" w14:textId="77777777" w:rsidR="00047EF8" w:rsidRPr="00F563CD" w:rsidRDefault="00864F83" w:rsidP="00047EF8">
      <w:pPr>
        <w:spacing w:before="120" w:after="120" w:line="240" w:lineRule="auto"/>
        <w:ind w:left="720"/>
        <w:jc w:val="both"/>
        <w:rPr>
          <w:rFonts w:asciiTheme="minorHAnsi" w:hAnsiTheme="minorHAnsi"/>
          <w:b/>
          <w:bCs/>
          <w:sz w:val="20"/>
          <w:szCs w:val="20"/>
        </w:rPr>
      </w:pPr>
      <w:r w:rsidRPr="00F563CD">
        <w:rPr>
          <w:rFonts w:asciiTheme="minorHAnsi" w:hAnsiTheme="minorHAnsi"/>
          <w:b/>
          <w:bCs/>
          <w:sz w:val="20"/>
          <w:szCs w:val="20"/>
        </w:rPr>
        <w:t xml:space="preserve">A. Razvoj pametnih gradova u Crnoj Gori </w:t>
      </w:r>
    </w:p>
    <w:p w14:paraId="75D3E9D2" w14:textId="3A86D501" w:rsidR="00047EF8" w:rsidRPr="00F563CD" w:rsidRDefault="00864F83" w:rsidP="00047EF8">
      <w:pPr>
        <w:spacing w:before="120" w:after="120" w:line="240" w:lineRule="auto"/>
        <w:ind w:left="720"/>
        <w:jc w:val="both"/>
        <w:rPr>
          <w:rFonts w:asciiTheme="minorHAnsi" w:hAnsiTheme="minorHAnsi"/>
          <w:sz w:val="20"/>
          <w:szCs w:val="20"/>
        </w:rPr>
      </w:pPr>
      <w:r w:rsidRPr="00F563CD">
        <w:rPr>
          <w:rFonts w:asciiTheme="minorHAnsi" w:hAnsiTheme="minorHAnsi"/>
          <w:sz w:val="20"/>
          <w:szCs w:val="20"/>
        </w:rPr>
        <w:t>Stvaranje zajedničke platforme pametnih gradova za crnogorske opštine, upotrebom zajedničke taksonomije, koja će omogućiti interoperabilnost i prilagodljivost. Posebno je značajno da se utvrde zajednički principi i standardi za pametne gradove, koji će biti zasnovani na standardima EU, kako bi se omogućila operativnost podataka i usluga. Prilagođavanje međunarodnim standardima obezbijediće principe i specifične zahtjeve za definisanje, identifikaciju, optimizaciju i harmonizaciju zajedničke infrastrukture za mjerenje učinka, i pružiće smjernice za analizu, uključujući i inteligentnost, interoperabilnost, sinergiju, otpornost, bezbjednost, i sigu</w:t>
      </w:r>
      <w:r w:rsidR="008639C5" w:rsidRPr="00F563CD">
        <w:rPr>
          <w:rFonts w:asciiTheme="minorHAnsi" w:hAnsiTheme="minorHAnsi"/>
          <w:sz w:val="20"/>
          <w:szCs w:val="20"/>
        </w:rPr>
        <w:t>rnost zajedničke infrastrukture</w:t>
      </w:r>
      <w:r w:rsidRPr="00F563CD">
        <w:rPr>
          <w:rFonts w:asciiTheme="minorHAnsi" w:hAnsiTheme="minorHAnsi"/>
          <w:sz w:val="20"/>
          <w:szCs w:val="20"/>
        </w:rPr>
        <w:t>:</w:t>
      </w:r>
    </w:p>
    <w:p w14:paraId="5DBE1E04" w14:textId="77777777" w:rsidR="00047EF8" w:rsidRPr="00F563CD" w:rsidRDefault="00864F83" w:rsidP="00047EF8">
      <w:pPr>
        <w:spacing w:before="120" w:after="120" w:line="240" w:lineRule="auto"/>
        <w:ind w:left="720"/>
        <w:jc w:val="both"/>
        <w:rPr>
          <w:rFonts w:asciiTheme="minorHAnsi" w:hAnsiTheme="minorHAnsi"/>
          <w:b/>
          <w:bCs/>
          <w:sz w:val="20"/>
          <w:szCs w:val="20"/>
        </w:rPr>
      </w:pPr>
      <w:r w:rsidRPr="00F563CD">
        <w:rPr>
          <w:rFonts w:asciiTheme="minorHAnsi" w:hAnsiTheme="minorHAnsi"/>
          <w:b/>
          <w:bCs/>
          <w:sz w:val="20"/>
          <w:szCs w:val="20"/>
        </w:rPr>
        <w:t>B. Primjena širokopojasne mreže u ruralnim područjima</w:t>
      </w:r>
    </w:p>
    <w:p w14:paraId="61925BB0" w14:textId="77777777" w:rsidR="00047EF8" w:rsidRPr="00F563CD" w:rsidRDefault="00864F83" w:rsidP="00047EF8">
      <w:pPr>
        <w:spacing w:before="120" w:after="120" w:line="240" w:lineRule="auto"/>
        <w:ind w:left="720"/>
        <w:jc w:val="both"/>
        <w:rPr>
          <w:rFonts w:asciiTheme="minorHAnsi" w:hAnsiTheme="minorHAnsi"/>
          <w:sz w:val="20"/>
          <w:szCs w:val="20"/>
        </w:rPr>
      </w:pPr>
      <w:r w:rsidRPr="00F563CD">
        <w:rPr>
          <w:rFonts w:asciiTheme="minorHAnsi" w:hAnsiTheme="minorHAnsi"/>
          <w:sz w:val="20"/>
          <w:szCs w:val="20"/>
        </w:rPr>
        <w:t>Primjena IT infrastrukture za visokokvalitetni pristup internetu, pretežno u ruralnim područjima, kako bi se izbjegli propusti na tržištu. Za ovu mrežu važi načelo neutralnosti (dostupna je različitim IT operaterima). Investicije se sprovode u skladu sa budućim Nacionalnim planom za razvoj nove generacije širokopojasnih mreža, kojim je definisana vrsta infrastrukture koja se uspostavlja u područjima za koja učesnici na tržištu ne pokazuju komercijalni interes u vidu investicija, kao i studija izvodljivosti i analiza isplativosti za pojedinačna područja.</w:t>
      </w:r>
    </w:p>
    <w:p w14:paraId="46D45FC8" w14:textId="77777777" w:rsidR="00047EF8" w:rsidRPr="00F563CD" w:rsidRDefault="00864F83" w:rsidP="00047EF8">
      <w:pPr>
        <w:spacing w:before="120" w:after="120" w:line="240" w:lineRule="auto"/>
        <w:ind w:left="720"/>
        <w:jc w:val="both"/>
        <w:rPr>
          <w:rFonts w:asciiTheme="minorHAnsi" w:hAnsiTheme="minorHAnsi"/>
          <w:b/>
          <w:bCs/>
          <w:sz w:val="20"/>
          <w:szCs w:val="20"/>
          <w:lang w:val="fr-BE"/>
        </w:rPr>
      </w:pPr>
      <w:r w:rsidRPr="00F563CD">
        <w:rPr>
          <w:rFonts w:asciiTheme="minorHAnsi" w:hAnsiTheme="minorHAnsi"/>
          <w:b/>
          <w:bCs/>
          <w:sz w:val="20"/>
          <w:szCs w:val="20"/>
          <w:lang w:val="fr-BE"/>
        </w:rPr>
        <w:t>C. Projekat digitalizacije radija u Crnoj Gori</w:t>
      </w:r>
    </w:p>
    <w:p w14:paraId="5C6B4443" w14:textId="7E2410C4" w:rsidR="00047EF8" w:rsidRPr="00F563CD" w:rsidRDefault="00864F83" w:rsidP="00047EF8">
      <w:pPr>
        <w:spacing w:before="120" w:after="120" w:line="240" w:lineRule="auto"/>
        <w:ind w:left="720"/>
        <w:jc w:val="both"/>
        <w:rPr>
          <w:rFonts w:asciiTheme="minorHAnsi" w:hAnsiTheme="minorHAnsi"/>
          <w:sz w:val="20"/>
          <w:szCs w:val="20"/>
          <w:lang w:val="fr-BE"/>
        </w:rPr>
      </w:pPr>
      <w:r w:rsidRPr="00F563CD">
        <w:rPr>
          <w:rFonts w:asciiTheme="minorHAnsi" w:hAnsiTheme="minorHAnsi"/>
          <w:sz w:val="20"/>
          <w:szCs w:val="20"/>
          <w:lang w:val="fr-BE"/>
        </w:rPr>
        <w:t xml:space="preserve">Ova intervencija predstavlja podršku za digitalno radio emitovanje (DAB) na teritoriji cijele Crne Gore, i omogućava da se mogućnosti novih tehnologija koriste na cijeloj teritoriji i da se prevaziđu ograničenja postojećeg FM sistema u pogledu dostupnosti izvora radio frekvencije u opsegu 87.5-108 MHz, koji jeste efikasan, međutim, njegov potencijal je </w:t>
      </w:r>
      <w:r w:rsidR="008639C5" w:rsidRPr="00F563CD">
        <w:rPr>
          <w:rFonts w:asciiTheme="minorHAnsi" w:hAnsiTheme="minorHAnsi"/>
          <w:sz w:val="20"/>
          <w:szCs w:val="20"/>
          <w:lang w:val="fr-BE"/>
        </w:rPr>
        <w:t>u potpunosti</w:t>
      </w:r>
      <w:r w:rsidRPr="00F563CD">
        <w:rPr>
          <w:rFonts w:asciiTheme="minorHAnsi" w:hAnsiTheme="minorHAnsi"/>
          <w:sz w:val="20"/>
          <w:szCs w:val="20"/>
          <w:lang w:val="fr-BE"/>
        </w:rPr>
        <w:t xml:space="preserve"> iskorišćen. IPA III će omogućiti podršku za prvu digitalnu radio mrežu koja će imati nacionalnu pokrivenost, što će prije svega donijeti koristi ruralnim područjima, gdje se uticaj privatnih inicijativa može osjetiti isključivo uz podršku javnosti (slabljenje tržišta).</w:t>
      </w:r>
    </w:p>
    <w:p w14:paraId="1A26988E" w14:textId="77777777" w:rsidR="00047EF8" w:rsidRPr="00F563CD" w:rsidRDefault="00864F83" w:rsidP="00047EF8">
      <w:pPr>
        <w:spacing w:before="120" w:after="120" w:line="240" w:lineRule="auto"/>
        <w:jc w:val="both"/>
        <w:rPr>
          <w:rFonts w:asciiTheme="minorHAnsi" w:eastAsiaTheme="minorEastAsia" w:hAnsiTheme="minorHAnsi" w:cstheme="minorBidi"/>
          <w:b/>
          <w:bCs/>
          <w:sz w:val="20"/>
          <w:szCs w:val="20"/>
          <w:lang w:val="fr-BE"/>
        </w:rPr>
      </w:pPr>
      <w:r w:rsidRPr="00F563CD">
        <w:rPr>
          <w:rFonts w:asciiTheme="minorHAnsi" w:eastAsiaTheme="minorEastAsia" w:hAnsiTheme="minorHAnsi" w:cstheme="minorBidi"/>
          <w:b/>
          <w:bCs/>
          <w:sz w:val="20"/>
          <w:szCs w:val="20"/>
          <w:lang w:val="fr-BE"/>
        </w:rPr>
        <w:t xml:space="preserve">2.4. Integrisana podrška unapređenju efikasnosti, učinkovitosti i pametnoj mobilnosti u okviru saobraćajne mreže </w:t>
      </w:r>
    </w:p>
    <w:p w14:paraId="55B74DBC" w14:textId="77777777" w:rsidR="00047EF8" w:rsidRPr="00F563CD" w:rsidRDefault="00864F83" w:rsidP="00047EF8">
      <w:pPr>
        <w:spacing w:after="120" w:line="240" w:lineRule="auto"/>
        <w:jc w:val="both"/>
        <w:rPr>
          <w:rFonts w:asciiTheme="minorHAnsi" w:hAnsiTheme="minorHAnsi"/>
          <w:sz w:val="20"/>
          <w:szCs w:val="20"/>
          <w:lang w:val="fr-BE"/>
        </w:rPr>
      </w:pPr>
      <w:r w:rsidRPr="00F563CD">
        <w:rPr>
          <w:rFonts w:asciiTheme="minorHAnsi" w:hAnsiTheme="minorHAnsi"/>
          <w:sz w:val="20"/>
          <w:szCs w:val="20"/>
          <w:lang w:val="fr-BE"/>
        </w:rPr>
        <w:t>Nastavak modernizacije željezničke pruge Vrbnica-Bar, u skladu sa prethodnim investicijama u okviru IPA podrške, dodatne nacionalne kontribucije i druge donatorske podrške za radove koji su i tokom prethodnih godina izvođeni duž pruge. Očekuje se da će biti izabrana dionica koja se smatra najprioritetnijim i najzrelijim projektom i da će, u pogledu modernizacije i standarda bezbjednosti, isti biti sproveden u skladu sa Euronorm standardima koji podrazumijevaju fazno izvođenje. Imajući u vidu rezultate Euronorm studije, očekuje se da će biti sprovedena studija izvodljivosti za ovaj izuzetno značajan koridor TENT-Route 4 Bar-Beograd. Ovo će definitivno doprinijeti izbjegavanju fragmentacije i unapređenju prioritizacije investicija na željezničkoj mreži, a u cilju održivosti projekata u okviru relevantne vodeće inicijative EIP-a. ITS aktivnosti nastaju kao rezultat realizacije akcionog plana uz Mapu puta za Crnu Goru. Biće izabrane najznačajnije aktivnosti kao što su centar za kontrolu drumskog saobraćaja u Podgorici ili ITS mjere urbane mobilnosti, koje su integrisane u pristup pametnih gradova koji za Crnu Goru.</w:t>
      </w:r>
    </w:p>
    <w:p w14:paraId="742E1071" w14:textId="77777777" w:rsidR="00047EF8" w:rsidRPr="00F563CD" w:rsidRDefault="00864F83" w:rsidP="00047EF8">
      <w:pPr>
        <w:spacing w:after="120"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Mjere za bezbjednost i sigurnost drumskog saobraćaja u tunelima biće unaprijeđene rješavanjem/umanjivanjem glavnih identifikovanih crnih tački u tunelima Ivica, Lokve i Budoš. Aktivnosti sanacije u ovim tunelima smatraće se integrisanim programom, uključujući ITS opremu za sprečavanje nezgoda na putevima, kontrolu brzine i informisanje o vremenskim uslovima, unapređenje mjera bezbjednosti u skladu s EU standardima, promovisanje energetske efikasnosti zamjenom </w:t>
      </w:r>
      <w:r w:rsidRPr="00F563CD">
        <w:rPr>
          <w:rFonts w:asciiTheme="minorHAnsi" w:hAnsiTheme="minorHAnsi"/>
          <w:sz w:val="20"/>
          <w:szCs w:val="20"/>
          <w:lang w:val="fr-BE"/>
        </w:rPr>
        <w:lastRenderedPageBreak/>
        <w:t>postojećeg sistema rasvjete LED tehnologijom, i dodatne aktivnosti u borbi protiv klimatskih promjena, koje uključuju i kontrolne stanice kamiona.</w:t>
      </w:r>
    </w:p>
    <w:p w14:paraId="2639B584" w14:textId="77777777" w:rsidR="00047EF8" w:rsidRPr="00F563CD" w:rsidRDefault="00864F83" w:rsidP="00047EF8">
      <w:pPr>
        <w:spacing w:after="120" w:line="240" w:lineRule="auto"/>
        <w:jc w:val="both"/>
        <w:rPr>
          <w:rFonts w:asciiTheme="minorHAnsi" w:hAnsiTheme="minorHAnsi"/>
          <w:sz w:val="20"/>
          <w:szCs w:val="20"/>
          <w:lang w:val="fr-BE"/>
        </w:rPr>
      </w:pPr>
      <w:r w:rsidRPr="00F563CD">
        <w:rPr>
          <w:rFonts w:asciiTheme="minorHAnsi" w:hAnsiTheme="minorHAnsi"/>
          <w:sz w:val="20"/>
          <w:szCs w:val="20"/>
          <w:lang w:val="fr-BE"/>
        </w:rPr>
        <w:t>Potrebno je promovisati e-mobilnost i vozila sa niskim emisijama. UNDP će u potpunosti preuzeti koordinaciju nad ovim aktivnostima, kroz program za e-mobilnost, koji se finansira kroz Zeleni klimatski fond za Crnu Goru. Aktivnosti podrazumijevaju podršku uspostavljanju regulatornog okvira i promovisanje, nacionalnu strategiju za e-mobilnost i izgradnju kapaciteta u instistucijama koje su uključene u oblast e-mobilnosti.</w:t>
      </w:r>
    </w:p>
    <w:p w14:paraId="721ECDFE" w14:textId="63AEE5BC" w:rsidR="00047EF8" w:rsidRPr="00F563CD" w:rsidRDefault="00047EF8" w:rsidP="00047EF8">
      <w:pPr>
        <w:spacing w:after="120" w:line="240" w:lineRule="auto"/>
        <w:jc w:val="both"/>
        <w:rPr>
          <w:rFonts w:asciiTheme="minorHAnsi" w:hAnsiTheme="minorHAnsi"/>
          <w:sz w:val="20"/>
          <w:szCs w:val="20"/>
          <w:lang w:val="fr-BE"/>
        </w:rPr>
      </w:pPr>
    </w:p>
    <w:p w14:paraId="22D16F67" w14:textId="77777777" w:rsidR="00047EF8" w:rsidRPr="00F563CD" w:rsidRDefault="00864F83" w:rsidP="00047EF8">
      <w:pPr>
        <w:pStyle w:val="Heading2"/>
        <w:numPr>
          <w:ilvl w:val="0"/>
          <w:numId w:val="29"/>
        </w:numPr>
        <w:spacing w:before="0"/>
        <w:rPr>
          <w:rFonts w:asciiTheme="minorHAnsi" w:hAnsiTheme="minorHAnsi" w:cs="Arial"/>
          <w:smallCaps/>
          <w:color w:val="auto"/>
          <w:sz w:val="24"/>
          <w:szCs w:val="24"/>
        </w:rPr>
      </w:pPr>
      <w:bookmarkStart w:id="46" w:name="_Toc91500274"/>
      <w:r w:rsidRPr="00F563CD">
        <w:rPr>
          <w:rFonts w:asciiTheme="minorHAnsi" w:hAnsiTheme="minorHAnsi" w:cs="Arial"/>
          <w:smallCaps/>
          <w:color w:val="auto"/>
          <w:sz w:val="24"/>
          <w:szCs w:val="24"/>
        </w:rPr>
        <w:t>Indikativni budžet i plan sprovođenja za period 2021-2024</w:t>
      </w:r>
      <w:bookmarkEnd w:id="4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88"/>
        <w:gridCol w:w="5075"/>
      </w:tblGrid>
      <w:tr w:rsidR="00047EF8" w:rsidRPr="00F563CD" w14:paraId="389D2D2B" w14:textId="77777777" w:rsidTr="00A239C5">
        <w:trPr>
          <w:trHeight w:val="626"/>
        </w:trPr>
        <w:tc>
          <w:tcPr>
            <w:tcW w:w="3510" w:type="dxa"/>
            <w:shd w:val="clear" w:color="auto" w:fill="auto"/>
          </w:tcPr>
          <w:p w14:paraId="57AB8C12" w14:textId="77777777" w:rsidR="00047EF8" w:rsidRPr="00F563CD" w:rsidRDefault="00047EF8" w:rsidP="00A239C5">
            <w:pPr>
              <w:spacing w:before="120" w:after="120" w:line="240" w:lineRule="auto"/>
              <w:jc w:val="center"/>
              <w:rPr>
                <w:rFonts w:asciiTheme="minorHAnsi" w:hAnsiTheme="minorHAnsi" w:cs="Arial"/>
                <w:sz w:val="20"/>
              </w:rPr>
            </w:pPr>
          </w:p>
        </w:tc>
        <w:tc>
          <w:tcPr>
            <w:tcW w:w="1588" w:type="dxa"/>
            <w:shd w:val="clear" w:color="auto" w:fill="auto"/>
          </w:tcPr>
          <w:p w14:paraId="6B297D95" w14:textId="77777777" w:rsidR="00047EF8" w:rsidRPr="00F563CD" w:rsidRDefault="00864F83" w:rsidP="00A239C5">
            <w:pPr>
              <w:spacing w:before="120" w:after="120" w:line="240" w:lineRule="auto"/>
              <w:ind w:left="-105" w:right="-109"/>
              <w:jc w:val="center"/>
              <w:rPr>
                <w:rFonts w:asciiTheme="minorHAnsi" w:hAnsiTheme="minorHAnsi" w:cs="Arial"/>
                <w:b/>
                <w:bCs/>
                <w:sz w:val="20"/>
                <w:szCs w:val="20"/>
              </w:rPr>
            </w:pPr>
            <w:r w:rsidRPr="00F563CD">
              <w:rPr>
                <w:rFonts w:asciiTheme="minorHAnsi" w:hAnsiTheme="minorHAnsi" w:cs="Arial"/>
                <w:b/>
                <w:bCs/>
                <w:sz w:val="20"/>
                <w:szCs w:val="20"/>
              </w:rPr>
              <w:t>Indikativni budžet (EUR)</w:t>
            </w:r>
          </w:p>
        </w:tc>
        <w:tc>
          <w:tcPr>
            <w:tcW w:w="5075" w:type="dxa"/>
          </w:tcPr>
          <w:p w14:paraId="31C39E50" w14:textId="77777777" w:rsidR="00047EF8" w:rsidRPr="00F563CD" w:rsidRDefault="00864F83" w:rsidP="009A7CAB">
            <w:pPr>
              <w:spacing w:before="120" w:after="120" w:line="240" w:lineRule="auto"/>
              <w:jc w:val="center"/>
              <w:rPr>
                <w:rFonts w:asciiTheme="minorHAnsi" w:hAnsiTheme="minorHAnsi" w:cs="Arial"/>
                <w:b/>
                <w:bCs/>
                <w:sz w:val="20"/>
                <w:szCs w:val="20"/>
              </w:rPr>
            </w:pPr>
            <w:r w:rsidRPr="00F563CD">
              <w:rPr>
                <w:rFonts w:asciiTheme="minorHAnsi" w:hAnsiTheme="minorHAnsi" w:cs="Arial"/>
                <w:b/>
                <w:bCs/>
                <w:sz w:val="20"/>
                <w:szCs w:val="20"/>
              </w:rPr>
              <w:t>Plan sprovođenja</w:t>
            </w:r>
          </w:p>
        </w:tc>
      </w:tr>
      <w:tr w:rsidR="00047EF8" w:rsidRPr="00F563CD" w14:paraId="5CD60C34" w14:textId="77777777" w:rsidTr="00A239C5">
        <w:trPr>
          <w:trHeight w:val="284"/>
        </w:trPr>
        <w:tc>
          <w:tcPr>
            <w:tcW w:w="10173" w:type="dxa"/>
            <w:gridSpan w:val="3"/>
            <w:shd w:val="clear" w:color="auto" w:fill="A6A6A6" w:themeFill="background1" w:themeFillShade="A6"/>
            <w:vAlign w:val="center"/>
          </w:tcPr>
          <w:p w14:paraId="00DA96C1" w14:textId="77777777" w:rsidR="00047EF8" w:rsidRPr="00F563CD" w:rsidRDefault="00864F83" w:rsidP="00A239C5">
            <w:pPr>
              <w:spacing w:after="0" w:line="240" w:lineRule="auto"/>
              <w:rPr>
                <w:rFonts w:asciiTheme="minorHAnsi" w:hAnsiTheme="minorHAnsi" w:cs="Arial"/>
                <w:b/>
                <w:bCs/>
                <w:sz w:val="20"/>
                <w:szCs w:val="20"/>
              </w:rPr>
            </w:pPr>
            <w:r w:rsidRPr="00F563CD">
              <w:rPr>
                <w:rFonts w:asciiTheme="minorHAnsi" w:hAnsiTheme="minorHAnsi" w:cs="Arial"/>
                <w:b/>
                <w:bCs/>
                <w:sz w:val="20"/>
                <w:szCs w:val="20"/>
              </w:rPr>
              <w:t>Tematski prioritet 1 – Životna sredina i klimatske promjene</w:t>
            </w:r>
          </w:p>
        </w:tc>
      </w:tr>
      <w:tr w:rsidR="00047EF8" w:rsidRPr="00F563CD" w14:paraId="64A35843" w14:textId="77777777" w:rsidTr="00A239C5">
        <w:trPr>
          <w:trHeight w:val="284"/>
        </w:trPr>
        <w:tc>
          <w:tcPr>
            <w:tcW w:w="10173" w:type="dxa"/>
            <w:gridSpan w:val="3"/>
            <w:shd w:val="clear" w:color="auto" w:fill="D9D9D9" w:themeFill="background1" w:themeFillShade="D9"/>
            <w:vAlign w:val="center"/>
          </w:tcPr>
          <w:p w14:paraId="1A9F1989" w14:textId="77777777" w:rsidR="00047EF8" w:rsidRPr="00F563CD" w:rsidRDefault="00864F83" w:rsidP="00A239C5">
            <w:pPr>
              <w:spacing w:after="0" w:line="240" w:lineRule="auto"/>
              <w:jc w:val="center"/>
              <w:rPr>
                <w:rFonts w:asciiTheme="minorHAnsi" w:hAnsiTheme="minorHAnsi" w:cs="Arial"/>
                <w:b/>
                <w:bCs/>
                <w:sz w:val="20"/>
                <w:szCs w:val="20"/>
              </w:rPr>
            </w:pPr>
            <w:r w:rsidRPr="00F563CD">
              <w:rPr>
                <w:rFonts w:asciiTheme="minorHAnsi" w:hAnsiTheme="minorHAnsi" w:cs="Arial"/>
                <w:b/>
                <w:bCs/>
                <w:sz w:val="20"/>
                <w:szCs w:val="20"/>
              </w:rPr>
              <w:t>2021</w:t>
            </w:r>
          </w:p>
        </w:tc>
      </w:tr>
      <w:tr w:rsidR="00047EF8" w:rsidRPr="008C3F18" w14:paraId="07605EEE" w14:textId="77777777" w:rsidTr="00A239C5">
        <w:trPr>
          <w:trHeight w:hRule="exact" w:val="1513"/>
        </w:trPr>
        <w:tc>
          <w:tcPr>
            <w:tcW w:w="3510" w:type="dxa"/>
            <w:shd w:val="clear" w:color="auto" w:fill="auto"/>
          </w:tcPr>
          <w:p w14:paraId="697DE4B8" w14:textId="77777777" w:rsidR="00047EF8" w:rsidRPr="00F563CD" w:rsidRDefault="00864F83" w:rsidP="00A239C5">
            <w:pPr>
              <w:spacing w:before="120" w:after="120" w:line="240" w:lineRule="auto"/>
              <w:rPr>
                <w:rFonts w:asciiTheme="minorHAnsi" w:hAnsiTheme="minorHAnsi" w:cs="Arial"/>
                <w:i/>
                <w:iCs/>
                <w:sz w:val="20"/>
                <w:szCs w:val="20"/>
              </w:rPr>
            </w:pPr>
            <w:r w:rsidRPr="00F563CD">
              <w:rPr>
                <w:rFonts w:asciiTheme="minorHAnsi" w:hAnsiTheme="minorHAnsi" w:cs="Arial"/>
                <w:sz w:val="20"/>
                <w:szCs w:val="20"/>
              </w:rPr>
              <w:t xml:space="preserve">Opis projekta br. 1.1. Pravna tekovina relevantna za aktivnosti u oblasti životne sredine i klimatske promjene u Crnoj Gori.  </w:t>
            </w:r>
          </w:p>
          <w:p w14:paraId="1DBC53A4" w14:textId="77777777" w:rsidR="00047EF8" w:rsidRPr="00F563CD" w:rsidRDefault="00047EF8" w:rsidP="00A239C5">
            <w:pPr>
              <w:spacing w:before="120" w:after="120" w:line="240" w:lineRule="auto"/>
              <w:rPr>
                <w:rFonts w:asciiTheme="minorHAnsi" w:hAnsiTheme="minorHAnsi" w:cs="Arial"/>
                <w:sz w:val="20"/>
                <w:szCs w:val="20"/>
              </w:rPr>
            </w:pPr>
          </w:p>
        </w:tc>
        <w:tc>
          <w:tcPr>
            <w:tcW w:w="1588" w:type="dxa"/>
            <w:shd w:val="clear" w:color="auto" w:fill="auto"/>
          </w:tcPr>
          <w:p w14:paraId="5CE18A86"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7.382.352,94</w:t>
            </w:r>
          </w:p>
        </w:tc>
        <w:tc>
          <w:tcPr>
            <w:tcW w:w="5075" w:type="dxa"/>
          </w:tcPr>
          <w:p w14:paraId="538C2F9D" w14:textId="77777777" w:rsidR="00047EF8" w:rsidRPr="00F563CD" w:rsidRDefault="00864F83" w:rsidP="00A239C5">
            <w:pPr>
              <w:spacing w:before="120" w:after="120" w:line="240" w:lineRule="auto"/>
              <w:rPr>
                <w:rFonts w:asciiTheme="minorHAnsi" w:hAnsiTheme="minorHAnsi" w:cs="Arial"/>
                <w:sz w:val="20"/>
                <w:szCs w:val="20"/>
                <w:lang w:val="fr-BE"/>
              </w:rPr>
            </w:pPr>
            <w:r w:rsidRPr="00F563CD">
              <w:rPr>
                <w:rFonts w:asciiTheme="minorHAnsi" w:hAnsiTheme="minorHAnsi" w:cs="Arial"/>
                <w:sz w:val="20"/>
                <w:szCs w:val="20"/>
                <w:lang w:val="fr-BE"/>
              </w:rPr>
              <w:t xml:space="preserve">Opis projekta je dostavljen u martu 2021. </w:t>
            </w:r>
            <w:proofErr w:type="gramStart"/>
            <w:r w:rsidRPr="00F563CD">
              <w:rPr>
                <w:rFonts w:asciiTheme="minorHAnsi" w:hAnsiTheme="minorHAnsi" w:cs="Arial"/>
                <w:sz w:val="20"/>
                <w:szCs w:val="20"/>
                <w:lang w:val="fr-BE"/>
              </w:rPr>
              <w:t>godine</w:t>
            </w:r>
            <w:proofErr w:type="gramEnd"/>
          </w:p>
          <w:p w14:paraId="440B7A51" w14:textId="77777777" w:rsidR="00047EF8" w:rsidRPr="00F563CD" w:rsidRDefault="00864F83" w:rsidP="00C560A5">
            <w:pPr>
              <w:spacing w:before="120" w:after="120" w:line="240" w:lineRule="auto"/>
              <w:rPr>
                <w:rFonts w:asciiTheme="minorHAnsi" w:hAnsiTheme="minorHAnsi" w:cs="Arial"/>
                <w:i/>
                <w:iCs/>
                <w:sz w:val="20"/>
                <w:szCs w:val="20"/>
                <w:lang w:val="fr-BE"/>
              </w:rPr>
            </w:pPr>
            <w:r w:rsidRPr="00F563CD">
              <w:rPr>
                <w:rFonts w:asciiTheme="minorHAnsi" w:hAnsiTheme="minorHAnsi" w:cs="Arial"/>
                <w:sz w:val="20"/>
                <w:szCs w:val="20"/>
                <w:lang w:val="fr-BE"/>
              </w:rPr>
              <w:t xml:space="preserve">Indirektno upravljanje. Ugovori koji su predviđeni opisom projekta dostavljeni u prilogu </w:t>
            </w:r>
          </w:p>
        </w:tc>
      </w:tr>
      <w:tr w:rsidR="00047EF8" w:rsidRPr="00F563CD" w14:paraId="39A93556" w14:textId="77777777" w:rsidTr="00A239C5">
        <w:trPr>
          <w:trHeight w:hRule="exact" w:val="435"/>
        </w:trPr>
        <w:tc>
          <w:tcPr>
            <w:tcW w:w="3510" w:type="dxa"/>
            <w:shd w:val="clear" w:color="auto" w:fill="auto"/>
          </w:tcPr>
          <w:p w14:paraId="17267A59"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Ukupno za tematski prioritet 1 (2021)</w:t>
            </w:r>
          </w:p>
        </w:tc>
        <w:tc>
          <w:tcPr>
            <w:tcW w:w="1588" w:type="dxa"/>
            <w:shd w:val="clear" w:color="auto" w:fill="auto"/>
            <w:vAlign w:val="center"/>
          </w:tcPr>
          <w:p w14:paraId="3A30706A" w14:textId="77777777" w:rsidR="00047EF8" w:rsidRPr="00F563CD" w:rsidRDefault="00864F83" w:rsidP="00A239C5">
            <w:pPr>
              <w:spacing w:before="120" w:after="120" w:line="240" w:lineRule="auto"/>
              <w:jc w:val="right"/>
              <w:rPr>
                <w:rFonts w:asciiTheme="minorHAnsi" w:hAnsiTheme="minorHAnsi" w:cs="Arial"/>
                <w:sz w:val="20"/>
              </w:rPr>
            </w:pPr>
            <w:r w:rsidRPr="00F563CD">
              <w:rPr>
                <w:rFonts w:asciiTheme="minorHAnsi" w:hAnsiTheme="minorHAnsi" w:cs="Arial"/>
                <w:sz w:val="20"/>
                <w:szCs w:val="20"/>
              </w:rPr>
              <w:t>7.382.352,94</w:t>
            </w:r>
          </w:p>
        </w:tc>
        <w:tc>
          <w:tcPr>
            <w:tcW w:w="5075" w:type="dxa"/>
            <w:tcBorders>
              <w:right w:val="nil"/>
            </w:tcBorders>
            <w:shd w:val="clear" w:color="auto" w:fill="auto"/>
            <w:vAlign w:val="center"/>
          </w:tcPr>
          <w:p w14:paraId="6F55624E" w14:textId="77777777" w:rsidR="00047EF8" w:rsidRPr="00F563CD" w:rsidRDefault="00047EF8" w:rsidP="00A239C5">
            <w:pPr>
              <w:spacing w:before="120" w:after="120" w:line="240" w:lineRule="auto"/>
              <w:jc w:val="right"/>
              <w:rPr>
                <w:rFonts w:asciiTheme="minorHAnsi" w:hAnsiTheme="minorHAnsi" w:cs="Arial"/>
                <w:sz w:val="20"/>
              </w:rPr>
            </w:pPr>
          </w:p>
        </w:tc>
      </w:tr>
      <w:tr w:rsidR="00047EF8" w:rsidRPr="00F563CD" w14:paraId="7EE6E62A" w14:textId="77777777" w:rsidTr="00A239C5">
        <w:trPr>
          <w:trHeight w:val="284"/>
        </w:trPr>
        <w:tc>
          <w:tcPr>
            <w:tcW w:w="10173" w:type="dxa"/>
            <w:gridSpan w:val="3"/>
            <w:shd w:val="clear" w:color="auto" w:fill="D9D9D9" w:themeFill="background1" w:themeFillShade="D9"/>
            <w:vAlign w:val="center"/>
          </w:tcPr>
          <w:p w14:paraId="2B6FE668" w14:textId="77777777" w:rsidR="00047EF8" w:rsidRPr="00F563CD" w:rsidRDefault="00864F83" w:rsidP="00A239C5">
            <w:pPr>
              <w:spacing w:after="0" w:line="240" w:lineRule="auto"/>
              <w:jc w:val="center"/>
              <w:rPr>
                <w:rFonts w:asciiTheme="minorHAnsi" w:hAnsiTheme="minorHAnsi" w:cs="Arial"/>
                <w:b/>
                <w:bCs/>
                <w:sz w:val="20"/>
                <w:szCs w:val="20"/>
              </w:rPr>
            </w:pPr>
            <w:r w:rsidRPr="00F563CD">
              <w:rPr>
                <w:rFonts w:asciiTheme="minorHAnsi" w:hAnsiTheme="minorHAnsi" w:cs="Arial"/>
                <w:b/>
                <w:bCs/>
                <w:sz w:val="20"/>
                <w:szCs w:val="20"/>
              </w:rPr>
              <w:t>2022</w:t>
            </w:r>
          </w:p>
        </w:tc>
      </w:tr>
      <w:tr w:rsidR="00047EF8" w:rsidRPr="00F563CD" w14:paraId="69F64DC6" w14:textId="77777777" w:rsidTr="00A239C5">
        <w:trPr>
          <w:trHeight w:val="512"/>
        </w:trPr>
        <w:tc>
          <w:tcPr>
            <w:tcW w:w="3510" w:type="dxa"/>
            <w:shd w:val="clear" w:color="auto" w:fill="auto"/>
          </w:tcPr>
          <w:p w14:paraId="7B18D6E9" w14:textId="77777777" w:rsidR="00047EF8" w:rsidRPr="00F563CD" w:rsidRDefault="00864F83" w:rsidP="00A239C5">
            <w:pPr>
              <w:spacing w:before="120" w:after="120" w:line="240" w:lineRule="auto"/>
              <w:rPr>
                <w:rFonts w:asciiTheme="minorHAnsi" w:hAnsiTheme="minorHAnsi" w:cs="Arial"/>
                <w:i/>
                <w:iCs/>
                <w:sz w:val="20"/>
                <w:szCs w:val="20"/>
              </w:rPr>
            </w:pPr>
            <w:r w:rsidRPr="00F563CD">
              <w:rPr>
                <w:rFonts w:asciiTheme="minorHAnsi" w:hAnsiTheme="minorHAnsi" w:cs="Arial"/>
                <w:sz w:val="20"/>
                <w:szCs w:val="20"/>
              </w:rPr>
              <w:t xml:space="preserve">Opis projekta br. 1.2. </w:t>
            </w:r>
            <w:r w:rsidRPr="00F563CD">
              <w:rPr>
                <w:rFonts w:asciiTheme="minorHAnsi" w:hAnsiTheme="minorHAnsi"/>
                <w:sz w:val="20"/>
                <w:szCs w:val="20"/>
              </w:rPr>
              <w:t>Infrastruktura za vodosnabdijevanje i odvođenje otpadnih voda na opštinskom nivou</w:t>
            </w:r>
          </w:p>
        </w:tc>
        <w:tc>
          <w:tcPr>
            <w:tcW w:w="1588" w:type="dxa"/>
            <w:shd w:val="clear" w:color="auto" w:fill="auto"/>
          </w:tcPr>
          <w:p w14:paraId="02F99A04"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21.654.000</w:t>
            </w:r>
          </w:p>
        </w:tc>
        <w:tc>
          <w:tcPr>
            <w:tcW w:w="5075" w:type="dxa"/>
          </w:tcPr>
          <w:p w14:paraId="3C963830" w14:textId="77777777" w:rsidR="00047EF8" w:rsidRPr="00F563CD" w:rsidRDefault="00864F83" w:rsidP="00A239C5">
            <w:pPr>
              <w:spacing w:before="120" w:after="120" w:line="240" w:lineRule="auto"/>
              <w:rPr>
                <w:rFonts w:asciiTheme="minorHAnsi" w:hAnsiTheme="minorHAnsi" w:cs="Arial"/>
                <w:sz w:val="20"/>
              </w:rPr>
            </w:pPr>
            <w:r w:rsidRPr="00F563CD">
              <w:rPr>
                <w:rFonts w:asciiTheme="minorHAnsi" w:hAnsiTheme="minorHAnsi" w:cs="Arial"/>
                <w:sz w:val="20"/>
                <w:szCs w:val="20"/>
              </w:rPr>
              <w:t xml:space="preserve">Indirektno upravljanje. Ugovori koji su predviđeni opisom projekta dostavljeni u prilogu </w:t>
            </w:r>
          </w:p>
        </w:tc>
      </w:tr>
      <w:tr w:rsidR="00047EF8" w:rsidRPr="00F563CD" w14:paraId="7EFFA802" w14:textId="77777777" w:rsidTr="00A239C5">
        <w:trPr>
          <w:trHeight w:val="321"/>
        </w:trPr>
        <w:tc>
          <w:tcPr>
            <w:tcW w:w="3510" w:type="dxa"/>
            <w:shd w:val="clear" w:color="auto" w:fill="auto"/>
          </w:tcPr>
          <w:p w14:paraId="29128896" w14:textId="77777777" w:rsidR="00047EF8" w:rsidRPr="00F563CD" w:rsidRDefault="00864F83" w:rsidP="00A239C5">
            <w:pPr>
              <w:spacing w:before="120" w:after="120" w:line="240" w:lineRule="auto"/>
              <w:rPr>
                <w:rFonts w:asciiTheme="minorHAnsi" w:hAnsiTheme="minorHAnsi" w:cs="Arial"/>
                <w:i/>
                <w:iCs/>
                <w:sz w:val="20"/>
                <w:szCs w:val="20"/>
              </w:rPr>
            </w:pPr>
            <w:r w:rsidRPr="00F563CD">
              <w:rPr>
                <w:rFonts w:asciiTheme="minorHAnsi" w:hAnsiTheme="minorHAnsi" w:cs="Arial"/>
                <w:sz w:val="20"/>
                <w:szCs w:val="20"/>
              </w:rPr>
              <w:t>Opis projekta br. 1.3. Podrška energetskoj efikasnosti u crnogorskim opštinama</w:t>
            </w:r>
          </w:p>
        </w:tc>
        <w:tc>
          <w:tcPr>
            <w:tcW w:w="1588" w:type="dxa"/>
            <w:shd w:val="clear" w:color="auto" w:fill="auto"/>
          </w:tcPr>
          <w:p w14:paraId="470EAC4C"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2.500.000</w:t>
            </w:r>
          </w:p>
        </w:tc>
        <w:tc>
          <w:tcPr>
            <w:tcW w:w="5075" w:type="dxa"/>
          </w:tcPr>
          <w:p w14:paraId="18F4B63B" w14:textId="77777777" w:rsidR="00047EF8" w:rsidRPr="00F563CD" w:rsidRDefault="00864F83" w:rsidP="00A239C5">
            <w:pPr>
              <w:spacing w:before="120" w:after="120" w:line="240" w:lineRule="auto"/>
              <w:rPr>
                <w:rFonts w:asciiTheme="minorHAnsi" w:hAnsiTheme="minorHAnsi" w:cs="Arial"/>
                <w:sz w:val="20"/>
              </w:rPr>
            </w:pPr>
            <w:r w:rsidRPr="00F563CD">
              <w:rPr>
                <w:rFonts w:asciiTheme="minorHAnsi" w:hAnsiTheme="minorHAnsi" w:cs="Arial"/>
                <w:sz w:val="20"/>
                <w:szCs w:val="20"/>
              </w:rPr>
              <w:t xml:space="preserve">Indirektno upravljanje. Ugovori koji su predviđeni opisom projekta dostavljeni u prilogu </w:t>
            </w:r>
          </w:p>
        </w:tc>
      </w:tr>
      <w:tr w:rsidR="00047EF8" w:rsidRPr="00F563CD" w14:paraId="22A5AF47" w14:textId="77777777" w:rsidTr="00A239C5">
        <w:trPr>
          <w:trHeight w:hRule="exact" w:val="435"/>
        </w:trPr>
        <w:tc>
          <w:tcPr>
            <w:tcW w:w="3510" w:type="dxa"/>
            <w:shd w:val="clear" w:color="auto" w:fill="auto"/>
          </w:tcPr>
          <w:p w14:paraId="30DD45DF" w14:textId="77777777" w:rsidR="00047EF8" w:rsidRPr="00F563CD" w:rsidRDefault="00864F83" w:rsidP="00A239C5">
            <w:pPr>
              <w:spacing w:before="120" w:after="120" w:line="240" w:lineRule="auto"/>
              <w:jc w:val="center"/>
              <w:rPr>
                <w:rFonts w:asciiTheme="minorHAnsi" w:hAnsiTheme="minorHAnsi" w:cs="Arial"/>
                <w:sz w:val="20"/>
                <w:szCs w:val="20"/>
              </w:rPr>
            </w:pPr>
            <w:r w:rsidRPr="00F563CD">
              <w:rPr>
                <w:rFonts w:asciiTheme="minorHAnsi" w:hAnsiTheme="minorHAnsi" w:cs="Arial"/>
                <w:sz w:val="20"/>
                <w:szCs w:val="20"/>
              </w:rPr>
              <w:t>Ukupno za tematski prioritet 1 (2022)</w:t>
            </w:r>
          </w:p>
        </w:tc>
        <w:tc>
          <w:tcPr>
            <w:tcW w:w="1588" w:type="dxa"/>
            <w:shd w:val="clear" w:color="auto" w:fill="auto"/>
            <w:vAlign w:val="center"/>
          </w:tcPr>
          <w:p w14:paraId="33CE3A47" w14:textId="77777777" w:rsidR="00047EF8" w:rsidRPr="00F563CD" w:rsidRDefault="00864F83" w:rsidP="00A239C5">
            <w:pPr>
              <w:spacing w:before="120" w:after="120" w:line="240" w:lineRule="auto"/>
              <w:jc w:val="right"/>
              <w:rPr>
                <w:rFonts w:asciiTheme="minorHAnsi" w:hAnsiTheme="minorHAnsi" w:cs="Arial"/>
                <w:sz w:val="20"/>
              </w:rPr>
            </w:pPr>
            <w:r w:rsidRPr="00F563CD">
              <w:rPr>
                <w:rFonts w:asciiTheme="minorHAnsi" w:hAnsiTheme="minorHAnsi" w:cs="Arial"/>
                <w:sz w:val="20"/>
                <w:szCs w:val="20"/>
              </w:rPr>
              <w:t>24.154.000</w:t>
            </w:r>
          </w:p>
        </w:tc>
        <w:tc>
          <w:tcPr>
            <w:tcW w:w="5075" w:type="dxa"/>
            <w:tcBorders>
              <w:right w:val="nil"/>
            </w:tcBorders>
            <w:shd w:val="clear" w:color="auto" w:fill="auto"/>
            <w:vAlign w:val="center"/>
          </w:tcPr>
          <w:p w14:paraId="099E8D76" w14:textId="77777777" w:rsidR="00047EF8" w:rsidRPr="00F563CD" w:rsidRDefault="00047EF8" w:rsidP="00A239C5">
            <w:pPr>
              <w:spacing w:before="120" w:after="120" w:line="240" w:lineRule="auto"/>
              <w:jc w:val="right"/>
              <w:rPr>
                <w:rFonts w:asciiTheme="minorHAnsi" w:hAnsiTheme="minorHAnsi" w:cs="Arial"/>
                <w:sz w:val="20"/>
              </w:rPr>
            </w:pPr>
          </w:p>
        </w:tc>
      </w:tr>
      <w:tr w:rsidR="00047EF8" w:rsidRPr="00F563CD" w14:paraId="015D83E3" w14:textId="77777777" w:rsidTr="00A239C5">
        <w:trPr>
          <w:trHeight w:val="284"/>
        </w:trPr>
        <w:tc>
          <w:tcPr>
            <w:tcW w:w="10173" w:type="dxa"/>
            <w:gridSpan w:val="3"/>
            <w:shd w:val="clear" w:color="auto" w:fill="D9D9D9" w:themeFill="background1" w:themeFillShade="D9"/>
            <w:vAlign w:val="center"/>
          </w:tcPr>
          <w:p w14:paraId="4941EE3D" w14:textId="77777777" w:rsidR="00047EF8" w:rsidRPr="00F563CD" w:rsidRDefault="00864F83" w:rsidP="00A239C5">
            <w:pPr>
              <w:spacing w:after="0" w:line="240" w:lineRule="auto"/>
              <w:jc w:val="center"/>
              <w:rPr>
                <w:rFonts w:asciiTheme="minorHAnsi" w:hAnsiTheme="minorHAnsi" w:cs="Arial"/>
                <w:b/>
                <w:bCs/>
                <w:sz w:val="20"/>
                <w:szCs w:val="20"/>
                <w:highlight w:val="green"/>
              </w:rPr>
            </w:pPr>
            <w:r w:rsidRPr="00F563CD">
              <w:rPr>
                <w:rFonts w:asciiTheme="minorHAnsi" w:hAnsiTheme="minorHAnsi" w:cs="Arial"/>
                <w:b/>
                <w:bCs/>
                <w:sz w:val="20"/>
                <w:szCs w:val="20"/>
              </w:rPr>
              <w:t>2023</w:t>
            </w:r>
          </w:p>
        </w:tc>
      </w:tr>
      <w:tr w:rsidR="00047EF8" w:rsidRPr="00F563CD" w14:paraId="563BE8E1" w14:textId="77777777" w:rsidTr="00A239C5">
        <w:trPr>
          <w:trHeight w:hRule="exact" w:val="1114"/>
        </w:trPr>
        <w:tc>
          <w:tcPr>
            <w:tcW w:w="3510" w:type="dxa"/>
            <w:shd w:val="clear" w:color="auto" w:fill="auto"/>
          </w:tcPr>
          <w:p w14:paraId="7B995A40"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Opis projekta br. 1.4. Infrastruktura i pravna tekovina relevantna za aktivnosti podrške upravljanju vodama u Crnoj Gori</w:t>
            </w:r>
          </w:p>
        </w:tc>
        <w:tc>
          <w:tcPr>
            <w:tcW w:w="1588" w:type="dxa"/>
            <w:shd w:val="clear" w:color="auto" w:fill="auto"/>
          </w:tcPr>
          <w:p w14:paraId="452851B2"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14.610.000</w:t>
            </w:r>
          </w:p>
        </w:tc>
        <w:tc>
          <w:tcPr>
            <w:tcW w:w="5075" w:type="dxa"/>
          </w:tcPr>
          <w:p w14:paraId="36D2F634" w14:textId="77777777" w:rsidR="00047EF8" w:rsidRPr="00F563CD" w:rsidRDefault="00864F83" w:rsidP="00A239C5">
            <w:pPr>
              <w:spacing w:before="120" w:after="120" w:line="240" w:lineRule="auto"/>
              <w:rPr>
                <w:rFonts w:asciiTheme="minorHAnsi" w:hAnsiTheme="minorHAnsi" w:cs="Arial"/>
                <w:sz w:val="20"/>
              </w:rPr>
            </w:pPr>
            <w:r w:rsidRPr="00F563CD">
              <w:rPr>
                <w:rFonts w:asciiTheme="minorHAnsi" w:hAnsiTheme="minorHAnsi" w:cs="Arial"/>
                <w:sz w:val="20"/>
                <w:szCs w:val="20"/>
              </w:rPr>
              <w:t xml:space="preserve">Indirektno upravljanje. Ugovori koji su predviđeni opisom projekta dostavljeni u prilogu </w:t>
            </w:r>
          </w:p>
        </w:tc>
      </w:tr>
      <w:tr w:rsidR="00047EF8" w:rsidRPr="00F563CD" w14:paraId="7A898822" w14:textId="77777777" w:rsidTr="00A239C5">
        <w:trPr>
          <w:trHeight w:hRule="exact" w:val="1112"/>
        </w:trPr>
        <w:tc>
          <w:tcPr>
            <w:tcW w:w="3510" w:type="dxa"/>
            <w:shd w:val="clear" w:color="auto" w:fill="auto"/>
          </w:tcPr>
          <w:p w14:paraId="5361DE39"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Opis projekta br. 1.5. Infrastruktura i pravna tekovina relevantna za aktivnosti podrške upravljanju otpadom u Crnoj Gori</w:t>
            </w:r>
          </w:p>
        </w:tc>
        <w:tc>
          <w:tcPr>
            <w:tcW w:w="1588" w:type="dxa"/>
            <w:shd w:val="clear" w:color="auto" w:fill="auto"/>
          </w:tcPr>
          <w:p w14:paraId="6C970C6B"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4.632.000</w:t>
            </w:r>
          </w:p>
        </w:tc>
        <w:tc>
          <w:tcPr>
            <w:tcW w:w="5075" w:type="dxa"/>
          </w:tcPr>
          <w:p w14:paraId="79C44B4B" w14:textId="77777777" w:rsidR="00047EF8" w:rsidRPr="00F563CD" w:rsidRDefault="00864F83" w:rsidP="00A239C5">
            <w:pPr>
              <w:spacing w:before="120" w:after="120" w:line="240" w:lineRule="auto"/>
              <w:rPr>
                <w:rFonts w:asciiTheme="minorHAnsi" w:hAnsiTheme="minorHAnsi" w:cs="Arial"/>
                <w:sz w:val="20"/>
              </w:rPr>
            </w:pPr>
            <w:r w:rsidRPr="00F563CD">
              <w:rPr>
                <w:rFonts w:asciiTheme="minorHAnsi" w:hAnsiTheme="minorHAnsi" w:cs="Arial"/>
                <w:sz w:val="20"/>
                <w:szCs w:val="20"/>
              </w:rPr>
              <w:t xml:space="preserve">Indirektno upravljanje. Ugovori koji su predviđeni opisom projekta dostavljeni u prilogu </w:t>
            </w:r>
          </w:p>
        </w:tc>
      </w:tr>
      <w:tr w:rsidR="00047EF8" w:rsidRPr="00F563CD" w14:paraId="071B253F" w14:textId="77777777" w:rsidTr="00A239C5">
        <w:trPr>
          <w:trHeight w:hRule="exact" w:val="435"/>
        </w:trPr>
        <w:tc>
          <w:tcPr>
            <w:tcW w:w="3510" w:type="dxa"/>
            <w:shd w:val="clear" w:color="auto" w:fill="auto"/>
          </w:tcPr>
          <w:p w14:paraId="0938855A" w14:textId="77777777" w:rsidR="00047EF8" w:rsidRPr="00F563CD" w:rsidRDefault="00864F83" w:rsidP="00A239C5">
            <w:pPr>
              <w:spacing w:before="120" w:after="120" w:line="240" w:lineRule="auto"/>
              <w:jc w:val="center"/>
              <w:rPr>
                <w:rFonts w:asciiTheme="minorHAnsi" w:hAnsiTheme="minorHAnsi" w:cs="Arial"/>
                <w:sz w:val="20"/>
                <w:szCs w:val="20"/>
              </w:rPr>
            </w:pPr>
            <w:r w:rsidRPr="00F563CD">
              <w:rPr>
                <w:rFonts w:asciiTheme="minorHAnsi" w:hAnsiTheme="minorHAnsi" w:cs="Arial"/>
                <w:sz w:val="20"/>
                <w:szCs w:val="20"/>
              </w:rPr>
              <w:t>Ukupno za tematski prioritet 1 (2023)</w:t>
            </w:r>
          </w:p>
        </w:tc>
        <w:tc>
          <w:tcPr>
            <w:tcW w:w="1588" w:type="dxa"/>
            <w:shd w:val="clear" w:color="auto" w:fill="auto"/>
            <w:vAlign w:val="center"/>
          </w:tcPr>
          <w:p w14:paraId="5860910E" w14:textId="77777777" w:rsidR="00047EF8" w:rsidRPr="00F563CD" w:rsidRDefault="00864F83" w:rsidP="00A239C5">
            <w:pPr>
              <w:spacing w:before="120" w:after="120" w:line="240" w:lineRule="auto"/>
              <w:jc w:val="right"/>
              <w:rPr>
                <w:rFonts w:asciiTheme="minorHAnsi" w:hAnsiTheme="minorHAnsi" w:cs="Arial"/>
                <w:sz w:val="20"/>
              </w:rPr>
            </w:pPr>
            <w:r w:rsidRPr="00F563CD">
              <w:rPr>
                <w:rFonts w:asciiTheme="minorHAnsi" w:hAnsiTheme="minorHAnsi" w:cs="Arial"/>
                <w:sz w:val="20"/>
                <w:szCs w:val="20"/>
              </w:rPr>
              <w:t>19.242.000</w:t>
            </w:r>
          </w:p>
        </w:tc>
        <w:tc>
          <w:tcPr>
            <w:tcW w:w="5075" w:type="dxa"/>
            <w:tcBorders>
              <w:right w:val="nil"/>
            </w:tcBorders>
            <w:shd w:val="clear" w:color="auto" w:fill="auto"/>
            <w:vAlign w:val="center"/>
          </w:tcPr>
          <w:p w14:paraId="0BA9AB3E" w14:textId="77777777" w:rsidR="00047EF8" w:rsidRPr="00F563CD" w:rsidRDefault="00047EF8" w:rsidP="00A239C5">
            <w:pPr>
              <w:spacing w:before="120" w:after="120" w:line="240" w:lineRule="auto"/>
              <w:jc w:val="right"/>
              <w:rPr>
                <w:rFonts w:asciiTheme="minorHAnsi" w:hAnsiTheme="minorHAnsi" w:cs="Arial"/>
                <w:sz w:val="20"/>
              </w:rPr>
            </w:pPr>
          </w:p>
        </w:tc>
      </w:tr>
      <w:tr w:rsidR="00047EF8" w:rsidRPr="00F563CD" w14:paraId="73C8D1D8" w14:textId="77777777" w:rsidTr="00A239C5">
        <w:trPr>
          <w:trHeight w:val="284"/>
        </w:trPr>
        <w:tc>
          <w:tcPr>
            <w:tcW w:w="10173" w:type="dxa"/>
            <w:gridSpan w:val="3"/>
            <w:shd w:val="clear" w:color="auto" w:fill="D9D9D9" w:themeFill="background1" w:themeFillShade="D9"/>
            <w:vAlign w:val="center"/>
          </w:tcPr>
          <w:p w14:paraId="37708C72" w14:textId="77777777" w:rsidR="00047EF8" w:rsidRPr="00F563CD" w:rsidRDefault="00864F83" w:rsidP="00A239C5">
            <w:pPr>
              <w:spacing w:after="0" w:line="240" w:lineRule="auto"/>
              <w:jc w:val="center"/>
              <w:rPr>
                <w:rFonts w:asciiTheme="minorHAnsi" w:hAnsiTheme="minorHAnsi" w:cs="Arial"/>
                <w:b/>
                <w:bCs/>
                <w:sz w:val="20"/>
                <w:szCs w:val="20"/>
                <w:highlight w:val="green"/>
              </w:rPr>
            </w:pPr>
            <w:r w:rsidRPr="00F563CD">
              <w:rPr>
                <w:rFonts w:asciiTheme="minorHAnsi" w:hAnsiTheme="minorHAnsi" w:cs="Arial"/>
                <w:b/>
                <w:bCs/>
                <w:sz w:val="20"/>
                <w:szCs w:val="20"/>
              </w:rPr>
              <w:t>2024</w:t>
            </w:r>
          </w:p>
        </w:tc>
      </w:tr>
      <w:tr w:rsidR="00047EF8" w:rsidRPr="00F563CD" w14:paraId="358321E4" w14:textId="77777777" w:rsidTr="00A239C5">
        <w:trPr>
          <w:trHeight w:hRule="exact" w:val="1112"/>
        </w:trPr>
        <w:tc>
          <w:tcPr>
            <w:tcW w:w="3510" w:type="dxa"/>
            <w:shd w:val="clear" w:color="auto" w:fill="auto"/>
          </w:tcPr>
          <w:p w14:paraId="7A2742E7"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 xml:space="preserve">1.6. </w:t>
            </w:r>
            <w:r w:rsidRPr="00F563CD">
              <w:rPr>
                <w:rFonts w:asciiTheme="minorHAnsi" w:hAnsiTheme="minorHAnsi"/>
                <w:sz w:val="20"/>
                <w:szCs w:val="20"/>
              </w:rPr>
              <w:t>Infrastruktura za vodosnabdijevanje i odvođenje otpadnih voda na opštinskom nivou II</w:t>
            </w:r>
          </w:p>
        </w:tc>
        <w:tc>
          <w:tcPr>
            <w:tcW w:w="1588" w:type="dxa"/>
            <w:shd w:val="clear" w:color="auto" w:fill="auto"/>
          </w:tcPr>
          <w:p w14:paraId="4F3E8670"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13.550.000</w:t>
            </w:r>
          </w:p>
        </w:tc>
        <w:tc>
          <w:tcPr>
            <w:tcW w:w="5075" w:type="dxa"/>
          </w:tcPr>
          <w:p w14:paraId="2CB84D88" w14:textId="77777777" w:rsidR="00047EF8" w:rsidRPr="00F563CD" w:rsidRDefault="00864F83" w:rsidP="00A239C5">
            <w:pPr>
              <w:spacing w:before="120" w:after="120" w:line="240" w:lineRule="auto"/>
              <w:rPr>
                <w:rFonts w:asciiTheme="minorHAnsi" w:hAnsiTheme="minorHAnsi" w:cs="Arial"/>
                <w:sz w:val="20"/>
                <w:highlight w:val="green"/>
              </w:rPr>
            </w:pPr>
            <w:r w:rsidRPr="00F563CD">
              <w:rPr>
                <w:rFonts w:asciiTheme="minorHAnsi" w:hAnsiTheme="minorHAnsi" w:cs="Arial"/>
                <w:sz w:val="20"/>
                <w:szCs w:val="20"/>
              </w:rPr>
              <w:t>Indirektno upravljanje. Ugovori koji su predviđeni opisom projekta dostavljeni u prilogu</w:t>
            </w:r>
          </w:p>
        </w:tc>
      </w:tr>
      <w:tr w:rsidR="00047EF8" w:rsidRPr="00F563CD" w14:paraId="51E948BB" w14:textId="77777777" w:rsidTr="00A239C5">
        <w:trPr>
          <w:trHeight w:hRule="exact" w:val="1112"/>
        </w:trPr>
        <w:tc>
          <w:tcPr>
            <w:tcW w:w="3510" w:type="dxa"/>
            <w:shd w:val="clear" w:color="auto" w:fill="auto"/>
          </w:tcPr>
          <w:p w14:paraId="02B7E63F" w14:textId="77777777" w:rsidR="00047EF8" w:rsidRPr="00F563CD" w:rsidRDefault="00864F83" w:rsidP="00A239C5">
            <w:pPr>
              <w:spacing w:before="120" w:after="120" w:line="240" w:lineRule="auto"/>
              <w:rPr>
                <w:rFonts w:asciiTheme="minorHAnsi" w:hAnsiTheme="minorHAnsi" w:cs="Arial"/>
                <w:sz w:val="20"/>
                <w:szCs w:val="20"/>
                <w:lang w:val="fr-BE"/>
              </w:rPr>
            </w:pPr>
            <w:r w:rsidRPr="00F563CD">
              <w:rPr>
                <w:rFonts w:asciiTheme="minorHAnsi" w:hAnsiTheme="minorHAnsi" w:cs="Arial"/>
                <w:sz w:val="20"/>
                <w:szCs w:val="20"/>
                <w:lang w:val="fr-BE"/>
              </w:rPr>
              <w:lastRenderedPageBreak/>
              <w:t>1.7. Infrastruktura za zaštitu prirode i aktivnosti koje su relevatne za pravnu tekovinu</w:t>
            </w:r>
          </w:p>
        </w:tc>
        <w:tc>
          <w:tcPr>
            <w:tcW w:w="1588" w:type="dxa"/>
            <w:shd w:val="clear" w:color="auto" w:fill="auto"/>
          </w:tcPr>
          <w:p w14:paraId="6408BE20"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8.570.000</w:t>
            </w:r>
          </w:p>
        </w:tc>
        <w:tc>
          <w:tcPr>
            <w:tcW w:w="5075" w:type="dxa"/>
          </w:tcPr>
          <w:p w14:paraId="3E72B728" w14:textId="77777777" w:rsidR="00047EF8" w:rsidRPr="00F563CD" w:rsidRDefault="00047EF8" w:rsidP="00A239C5">
            <w:pPr>
              <w:spacing w:before="120" w:after="120" w:line="240" w:lineRule="auto"/>
              <w:rPr>
                <w:rFonts w:asciiTheme="minorHAnsi" w:hAnsiTheme="minorHAnsi" w:cs="Arial"/>
                <w:sz w:val="20"/>
                <w:highlight w:val="green"/>
              </w:rPr>
            </w:pPr>
          </w:p>
        </w:tc>
      </w:tr>
      <w:tr w:rsidR="00047EF8" w:rsidRPr="00F563CD" w14:paraId="368801BB" w14:textId="77777777" w:rsidTr="00A239C5">
        <w:trPr>
          <w:trHeight w:hRule="exact" w:val="435"/>
        </w:trPr>
        <w:tc>
          <w:tcPr>
            <w:tcW w:w="3510" w:type="dxa"/>
            <w:shd w:val="clear" w:color="auto" w:fill="auto"/>
          </w:tcPr>
          <w:p w14:paraId="7D98078B" w14:textId="77777777" w:rsidR="00047EF8" w:rsidRPr="00F563CD" w:rsidRDefault="00864F83" w:rsidP="00A239C5">
            <w:pPr>
              <w:spacing w:before="120" w:after="120" w:line="240" w:lineRule="auto"/>
              <w:jc w:val="center"/>
              <w:rPr>
                <w:rFonts w:asciiTheme="minorHAnsi" w:hAnsiTheme="minorHAnsi" w:cs="Arial"/>
                <w:sz w:val="20"/>
                <w:szCs w:val="20"/>
              </w:rPr>
            </w:pPr>
            <w:r w:rsidRPr="00F563CD">
              <w:rPr>
                <w:rFonts w:asciiTheme="minorHAnsi" w:hAnsiTheme="minorHAnsi" w:cs="Arial"/>
                <w:sz w:val="20"/>
                <w:szCs w:val="20"/>
              </w:rPr>
              <w:t>Ukupno za tematski prioritet 1 (2024)</w:t>
            </w:r>
          </w:p>
        </w:tc>
        <w:tc>
          <w:tcPr>
            <w:tcW w:w="1588" w:type="dxa"/>
            <w:shd w:val="clear" w:color="auto" w:fill="auto"/>
            <w:vAlign w:val="center"/>
          </w:tcPr>
          <w:p w14:paraId="4C6668FD" w14:textId="77777777" w:rsidR="00047EF8" w:rsidRPr="00F563CD" w:rsidRDefault="00864F83" w:rsidP="00A239C5">
            <w:pPr>
              <w:spacing w:before="120" w:after="120" w:line="240" w:lineRule="auto"/>
              <w:jc w:val="right"/>
              <w:rPr>
                <w:rFonts w:asciiTheme="minorHAnsi" w:hAnsiTheme="minorHAnsi" w:cs="Arial"/>
                <w:sz w:val="20"/>
              </w:rPr>
            </w:pPr>
            <w:r w:rsidRPr="00F563CD">
              <w:rPr>
                <w:rFonts w:asciiTheme="minorHAnsi" w:hAnsiTheme="minorHAnsi" w:cs="Arial"/>
                <w:sz w:val="20"/>
                <w:szCs w:val="20"/>
              </w:rPr>
              <w:t>22.120.000</w:t>
            </w:r>
          </w:p>
        </w:tc>
        <w:tc>
          <w:tcPr>
            <w:tcW w:w="5075" w:type="dxa"/>
            <w:tcBorders>
              <w:bottom w:val="nil"/>
              <w:right w:val="nil"/>
            </w:tcBorders>
            <w:shd w:val="clear" w:color="auto" w:fill="auto"/>
            <w:vAlign w:val="center"/>
          </w:tcPr>
          <w:p w14:paraId="0FD697BE" w14:textId="77777777" w:rsidR="00047EF8" w:rsidRPr="00F563CD" w:rsidRDefault="00047EF8" w:rsidP="00A239C5">
            <w:pPr>
              <w:spacing w:before="120" w:after="120" w:line="240" w:lineRule="auto"/>
              <w:jc w:val="right"/>
              <w:rPr>
                <w:rFonts w:asciiTheme="minorHAnsi" w:hAnsiTheme="minorHAnsi" w:cs="Arial"/>
                <w:sz w:val="20"/>
                <w:highlight w:val="green"/>
              </w:rPr>
            </w:pPr>
          </w:p>
        </w:tc>
      </w:tr>
      <w:tr w:rsidR="00047EF8" w:rsidRPr="00F563CD" w14:paraId="5D3D417C" w14:textId="77777777" w:rsidTr="00A239C5">
        <w:trPr>
          <w:gridAfter w:val="1"/>
          <w:wAfter w:w="5075" w:type="dxa"/>
          <w:trHeight w:hRule="exact" w:val="598"/>
        </w:trPr>
        <w:tc>
          <w:tcPr>
            <w:tcW w:w="3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B73522" w14:textId="77777777" w:rsidR="00047EF8" w:rsidRPr="00F563CD" w:rsidRDefault="00864F83" w:rsidP="00A239C5">
            <w:pPr>
              <w:spacing w:before="120" w:after="120" w:line="240" w:lineRule="auto"/>
              <w:jc w:val="right"/>
              <w:rPr>
                <w:rFonts w:asciiTheme="minorHAnsi" w:hAnsiTheme="minorHAnsi" w:cs="Arial"/>
                <w:b/>
                <w:bCs/>
                <w:sz w:val="20"/>
                <w:szCs w:val="20"/>
              </w:rPr>
            </w:pPr>
            <w:r w:rsidRPr="00F563CD">
              <w:rPr>
                <w:rFonts w:asciiTheme="minorHAnsi" w:hAnsiTheme="minorHAnsi" w:cs="Arial"/>
                <w:sz w:val="20"/>
                <w:szCs w:val="20"/>
              </w:rPr>
              <w:t>Ukupno za tematski prioritet 1</w:t>
            </w:r>
            <w:r w:rsidRPr="00F563CD">
              <w:rPr>
                <w:rFonts w:asciiTheme="minorHAnsi" w:hAnsiTheme="minorHAnsi" w:cs="Arial"/>
                <w:b/>
                <w:bCs/>
                <w:sz w:val="20"/>
                <w:szCs w:val="20"/>
              </w:rPr>
              <w:t xml:space="preserve"> (2021-2024) </w:t>
            </w: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7E16CC" w14:textId="77777777" w:rsidR="00047EF8" w:rsidRPr="00F563CD" w:rsidRDefault="00864F83" w:rsidP="00A239C5">
            <w:pPr>
              <w:jc w:val="right"/>
              <w:rPr>
                <w:rFonts w:asciiTheme="minorHAnsi" w:hAnsiTheme="minorHAnsi"/>
                <w:b/>
                <w:bCs/>
              </w:rPr>
            </w:pPr>
            <w:r w:rsidRPr="00F563CD">
              <w:rPr>
                <w:rFonts w:asciiTheme="minorHAnsi" w:hAnsiTheme="minorHAnsi"/>
                <w:b/>
                <w:bCs/>
              </w:rPr>
              <w:t>72.898.352,94</w:t>
            </w:r>
          </w:p>
        </w:tc>
      </w:tr>
    </w:tbl>
    <w:p w14:paraId="120626CA" w14:textId="77777777" w:rsidR="00047EF8" w:rsidRPr="00F563CD" w:rsidRDefault="00047EF8" w:rsidP="00047EF8">
      <w:pPr>
        <w:spacing w:line="240" w:lineRule="auto"/>
        <w:jc w:val="both"/>
        <w:rPr>
          <w:rFonts w:asciiTheme="minorHAnsi" w:eastAsia="Arial Unicode MS" w:hAnsiTheme="minorHAnsi"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88"/>
        <w:gridCol w:w="5075"/>
      </w:tblGrid>
      <w:tr w:rsidR="00047EF8" w:rsidRPr="00F563CD" w14:paraId="40164C84" w14:textId="77777777" w:rsidTr="00A239C5">
        <w:trPr>
          <w:trHeight w:val="626"/>
        </w:trPr>
        <w:tc>
          <w:tcPr>
            <w:tcW w:w="3510" w:type="dxa"/>
            <w:shd w:val="clear" w:color="auto" w:fill="auto"/>
          </w:tcPr>
          <w:p w14:paraId="110AD22D" w14:textId="77777777" w:rsidR="00047EF8" w:rsidRPr="00F563CD" w:rsidRDefault="00047EF8" w:rsidP="00A239C5">
            <w:pPr>
              <w:spacing w:before="120" w:after="120" w:line="240" w:lineRule="auto"/>
              <w:jc w:val="center"/>
              <w:rPr>
                <w:rFonts w:asciiTheme="minorHAnsi" w:hAnsiTheme="minorHAnsi" w:cs="Arial"/>
                <w:sz w:val="20"/>
              </w:rPr>
            </w:pPr>
          </w:p>
        </w:tc>
        <w:tc>
          <w:tcPr>
            <w:tcW w:w="1588" w:type="dxa"/>
            <w:shd w:val="clear" w:color="auto" w:fill="auto"/>
          </w:tcPr>
          <w:p w14:paraId="672DC410" w14:textId="77777777" w:rsidR="00047EF8" w:rsidRPr="00F563CD" w:rsidRDefault="00864F83" w:rsidP="00A239C5">
            <w:pPr>
              <w:spacing w:before="120" w:after="120" w:line="240" w:lineRule="auto"/>
              <w:ind w:left="-105" w:right="-109"/>
              <w:jc w:val="center"/>
              <w:rPr>
                <w:rFonts w:asciiTheme="minorHAnsi" w:hAnsiTheme="minorHAnsi" w:cs="Arial"/>
                <w:b/>
                <w:bCs/>
                <w:sz w:val="20"/>
                <w:szCs w:val="20"/>
              </w:rPr>
            </w:pPr>
            <w:r w:rsidRPr="00F563CD">
              <w:rPr>
                <w:rFonts w:asciiTheme="minorHAnsi" w:hAnsiTheme="minorHAnsi" w:cs="Arial"/>
                <w:b/>
                <w:bCs/>
                <w:sz w:val="20"/>
                <w:szCs w:val="20"/>
              </w:rPr>
              <w:t>Indikativni budžet (EUR)</w:t>
            </w:r>
          </w:p>
        </w:tc>
        <w:tc>
          <w:tcPr>
            <w:tcW w:w="5075" w:type="dxa"/>
          </w:tcPr>
          <w:p w14:paraId="61C79119" w14:textId="77777777" w:rsidR="00047EF8" w:rsidRPr="00F563CD" w:rsidRDefault="00864F83" w:rsidP="000C48E0">
            <w:pPr>
              <w:spacing w:before="120" w:after="120" w:line="240" w:lineRule="auto"/>
              <w:jc w:val="center"/>
              <w:rPr>
                <w:rFonts w:asciiTheme="minorHAnsi" w:hAnsiTheme="minorHAnsi" w:cs="Arial"/>
                <w:b/>
                <w:bCs/>
                <w:sz w:val="20"/>
                <w:szCs w:val="20"/>
              </w:rPr>
            </w:pPr>
            <w:r w:rsidRPr="00F563CD">
              <w:rPr>
                <w:rFonts w:asciiTheme="minorHAnsi" w:hAnsiTheme="minorHAnsi" w:cs="Arial"/>
                <w:b/>
                <w:bCs/>
                <w:sz w:val="20"/>
                <w:szCs w:val="20"/>
              </w:rPr>
              <w:t>Plan sprovođenja</w:t>
            </w:r>
          </w:p>
        </w:tc>
      </w:tr>
      <w:tr w:rsidR="00047EF8" w:rsidRPr="00F563CD" w14:paraId="4839158D" w14:textId="77777777" w:rsidTr="00A239C5">
        <w:trPr>
          <w:trHeight w:val="284"/>
        </w:trPr>
        <w:tc>
          <w:tcPr>
            <w:tcW w:w="10173" w:type="dxa"/>
            <w:gridSpan w:val="3"/>
            <w:shd w:val="clear" w:color="auto" w:fill="A6A6A6" w:themeFill="background1" w:themeFillShade="A6"/>
            <w:vAlign w:val="center"/>
          </w:tcPr>
          <w:p w14:paraId="32823507" w14:textId="77777777" w:rsidR="00047EF8" w:rsidRPr="00F563CD" w:rsidRDefault="00864F83" w:rsidP="00A239C5">
            <w:pPr>
              <w:spacing w:after="0" w:line="240" w:lineRule="auto"/>
              <w:rPr>
                <w:rFonts w:asciiTheme="minorHAnsi" w:hAnsiTheme="minorHAnsi" w:cs="Arial"/>
                <w:b/>
                <w:bCs/>
                <w:sz w:val="20"/>
                <w:szCs w:val="20"/>
              </w:rPr>
            </w:pPr>
            <w:r w:rsidRPr="00F563CD">
              <w:rPr>
                <w:rFonts w:asciiTheme="minorHAnsi" w:hAnsiTheme="minorHAnsi" w:cs="Arial"/>
                <w:b/>
                <w:bCs/>
                <w:sz w:val="20"/>
                <w:szCs w:val="20"/>
              </w:rPr>
              <w:t xml:space="preserve">Tematski prioritet 2 – Saobraćaj, digitalna ekonomija i društvo i energetika </w:t>
            </w:r>
          </w:p>
        </w:tc>
      </w:tr>
      <w:tr w:rsidR="00047EF8" w:rsidRPr="00F563CD" w14:paraId="036F60D8" w14:textId="77777777" w:rsidTr="00A239C5">
        <w:trPr>
          <w:trHeight w:val="284"/>
        </w:trPr>
        <w:tc>
          <w:tcPr>
            <w:tcW w:w="10173" w:type="dxa"/>
            <w:gridSpan w:val="3"/>
            <w:shd w:val="clear" w:color="auto" w:fill="D9D9D9" w:themeFill="background1" w:themeFillShade="D9"/>
            <w:vAlign w:val="center"/>
          </w:tcPr>
          <w:p w14:paraId="50FC8B0D" w14:textId="77777777" w:rsidR="00047EF8" w:rsidRPr="00F563CD" w:rsidRDefault="00864F83" w:rsidP="00A239C5">
            <w:pPr>
              <w:spacing w:after="0" w:line="240" w:lineRule="auto"/>
              <w:jc w:val="center"/>
              <w:rPr>
                <w:rFonts w:asciiTheme="minorHAnsi" w:hAnsiTheme="minorHAnsi" w:cs="Arial"/>
                <w:b/>
                <w:bCs/>
                <w:sz w:val="20"/>
                <w:szCs w:val="20"/>
              </w:rPr>
            </w:pPr>
            <w:r w:rsidRPr="00F563CD">
              <w:rPr>
                <w:rFonts w:asciiTheme="minorHAnsi" w:hAnsiTheme="minorHAnsi" w:cs="Arial"/>
                <w:b/>
                <w:bCs/>
                <w:sz w:val="20"/>
                <w:szCs w:val="20"/>
              </w:rPr>
              <w:t>2021</w:t>
            </w:r>
          </w:p>
        </w:tc>
      </w:tr>
      <w:tr w:rsidR="00047EF8" w:rsidRPr="00F563CD" w14:paraId="0434E2C0" w14:textId="77777777" w:rsidTr="00A239C5">
        <w:trPr>
          <w:trHeight w:hRule="exact" w:val="881"/>
        </w:trPr>
        <w:tc>
          <w:tcPr>
            <w:tcW w:w="3510" w:type="dxa"/>
            <w:shd w:val="clear" w:color="auto" w:fill="auto"/>
          </w:tcPr>
          <w:p w14:paraId="62E30041" w14:textId="77777777" w:rsidR="00047EF8" w:rsidRPr="00F563CD" w:rsidRDefault="00864F83" w:rsidP="00A239C5">
            <w:pPr>
              <w:spacing w:before="120" w:after="120" w:line="240" w:lineRule="auto"/>
              <w:rPr>
                <w:rFonts w:asciiTheme="minorHAnsi" w:hAnsiTheme="minorHAnsi" w:cs="Arial"/>
                <w:i/>
                <w:iCs/>
                <w:sz w:val="20"/>
                <w:szCs w:val="20"/>
              </w:rPr>
            </w:pPr>
            <w:r w:rsidRPr="00F563CD">
              <w:rPr>
                <w:rFonts w:asciiTheme="minorHAnsi" w:hAnsiTheme="minorHAnsi" w:cs="Arial"/>
                <w:sz w:val="20"/>
                <w:szCs w:val="20"/>
              </w:rPr>
              <w:t xml:space="preserve">Opis projekta br. 2.1. Podrška održivoj povezanosti i zelenoj ekonomiji u Crnoj Gori </w:t>
            </w:r>
          </w:p>
          <w:p w14:paraId="398DA9E3" w14:textId="77777777" w:rsidR="00047EF8" w:rsidRPr="00F563CD" w:rsidRDefault="00047EF8" w:rsidP="00A239C5">
            <w:pPr>
              <w:spacing w:before="120" w:after="120" w:line="240" w:lineRule="auto"/>
              <w:rPr>
                <w:rFonts w:asciiTheme="minorHAnsi" w:hAnsiTheme="minorHAnsi" w:cs="Arial"/>
                <w:sz w:val="20"/>
                <w:szCs w:val="20"/>
              </w:rPr>
            </w:pPr>
          </w:p>
        </w:tc>
        <w:tc>
          <w:tcPr>
            <w:tcW w:w="1588" w:type="dxa"/>
            <w:shd w:val="clear" w:color="auto" w:fill="auto"/>
          </w:tcPr>
          <w:p w14:paraId="0ABB2F00"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16.475.000</w:t>
            </w:r>
          </w:p>
        </w:tc>
        <w:tc>
          <w:tcPr>
            <w:tcW w:w="5075" w:type="dxa"/>
          </w:tcPr>
          <w:p w14:paraId="4A06DC0E" w14:textId="77777777" w:rsidR="00047EF8" w:rsidRPr="00F563CD" w:rsidRDefault="00864F83" w:rsidP="00A239C5">
            <w:pPr>
              <w:spacing w:before="120" w:after="120" w:line="240" w:lineRule="auto"/>
              <w:rPr>
                <w:rFonts w:asciiTheme="minorHAnsi" w:hAnsiTheme="minorHAnsi" w:cs="Arial"/>
                <w:i/>
                <w:iCs/>
                <w:sz w:val="20"/>
                <w:szCs w:val="20"/>
              </w:rPr>
            </w:pPr>
            <w:r w:rsidRPr="00F563CD">
              <w:rPr>
                <w:rFonts w:asciiTheme="minorHAnsi" w:hAnsiTheme="minorHAnsi" w:cs="Arial"/>
                <w:sz w:val="20"/>
                <w:szCs w:val="20"/>
              </w:rPr>
              <w:t>Indirektno upravljanje. Ugovori koji su predviđeni opisom projekta dostavljeni u prilogu</w:t>
            </w:r>
          </w:p>
        </w:tc>
      </w:tr>
      <w:tr w:rsidR="00047EF8" w:rsidRPr="00F563CD" w14:paraId="335A9102" w14:textId="77777777" w:rsidTr="00A239C5">
        <w:trPr>
          <w:trHeight w:hRule="exact" w:val="435"/>
        </w:trPr>
        <w:tc>
          <w:tcPr>
            <w:tcW w:w="3510" w:type="dxa"/>
            <w:shd w:val="clear" w:color="auto" w:fill="auto"/>
          </w:tcPr>
          <w:p w14:paraId="7BEB952C"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Ukupno za tematski prioritet 2 (2021)</w:t>
            </w:r>
          </w:p>
        </w:tc>
        <w:tc>
          <w:tcPr>
            <w:tcW w:w="1588" w:type="dxa"/>
            <w:shd w:val="clear" w:color="auto" w:fill="auto"/>
            <w:vAlign w:val="center"/>
          </w:tcPr>
          <w:p w14:paraId="17C6A662" w14:textId="77777777" w:rsidR="00047EF8" w:rsidRPr="00F563CD" w:rsidRDefault="00864F83" w:rsidP="00A239C5">
            <w:pPr>
              <w:spacing w:before="120" w:after="120" w:line="240" w:lineRule="auto"/>
              <w:jc w:val="right"/>
              <w:rPr>
                <w:rFonts w:asciiTheme="minorHAnsi" w:hAnsiTheme="minorHAnsi" w:cs="Arial"/>
                <w:sz w:val="20"/>
              </w:rPr>
            </w:pPr>
            <w:r w:rsidRPr="00F563CD">
              <w:rPr>
                <w:rFonts w:asciiTheme="minorHAnsi" w:hAnsiTheme="minorHAnsi" w:cs="Arial"/>
                <w:sz w:val="20"/>
                <w:szCs w:val="20"/>
              </w:rPr>
              <w:t>16.475.000</w:t>
            </w:r>
          </w:p>
        </w:tc>
        <w:tc>
          <w:tcPr>
            <w:tcW w:w="5075" w:type="dxa"/>
            <w:tcBorders>
              <w:right w:val="nil"/>
            </w:tcBorders>
            <w:shd w:val="clear" w:color="auto" w:fill="auto"/>
            <w:vAlign w:val="center"/>
          </w:tcPr>
          <w:p w14:paraId="3AE9B892" w14:textId="77777777" w:rsidR="00047EF8" w:rsidRPr="00F563CD" w:rsidRDefault="00047EF8" w:rsidP="00A239C5">
            <w:pPr>
              <w:spacing w:before="120" w:after="120" w:line="240" w:lineRule="auto"/>
              <w:jc w:val="right"/>
              <w:rPr>
                <w:rFonts w:asciiTheme="minorHAnsi" w:hAnsiTheme="minorHAnsi" w:cs="Arial"/>
                <w:sz w:val="20"/>
              </w:rPr>
            </w:pPr>
          </w:p>
        </w:tc>
      </w:tr>
      <w:tr w:rsidR="00047EF8" w:rsidRPr="00F563CD" w14:paraId="3C60A545" w14:textId="77777777" w:rsidTr="00A239C5">
        <w:trPr>
          <w:trHeight w:val="284"/>
        </w:trPr>
        <w:tc>
          <w:tcPr>
            <w:tcW w:w="10173" w:type="dxa"/>
            <w:gridSpan w:val="3"/>
            <w:shd w:val="clear" w:color="auto" w:fill="D9D9D9" w:themeFill="background1" w:themeFillShade="D9"/>
            <w:vAlign w:val="center"/>
          </w:tcPr>
          <w:p w14:paraId="3479B6A5" w14:textId="77777777" w:rsidR="00047EF8" w:rsidRPr="00F563CD" w:rsidRDefault="00864F83" w:rsidP="00A239C5">
            <w:pPr>
              <w:spacing w:after="0" w:line="240" w:lineRule="auto"/>
              <w:jc w:val="center"/>
              <w:rPr>
                <w:rFonts w:asciiTheme="minorHAnsi" w:hAnsiTheme="minorHAnsi" w:cs="Arial"/>
                <w:b/>
                <w:bCs/>
                <w:sz w:val="20"/>
                <w:szCs w:val="20"/>
              </w:rPr>
            </w:pPr>
            <w:r w:rsidRPr="00F563CD">
              <w:rPr>
                <w:rFonts w:asciiTheme="minorHAnsi" w:hAnsiTheme="minorHAnsi" w:cs="Arial"/>
                <w:b/>
                <w:bCs/>
                <w:sz w:val="20"/>
                <w:szCs w:val="20"/>
              </w:rPr>
              <w:t>2022</w:t>
            </w:r>
          </w:p>
        </w:tc>
      </w:tr>
      <w:tr w:rsidR="00047EF8" w:rsidRPr="00F563CD" w14:paraId="14158AFC" w14:textId="77777777" w:rsidTr="00A239C5">
        <w:trPr>
          <w:trHeight w:val="512"/>
        </w:trPr>
        <w:tc>
          <w:tcPr>
            <w:tcW w:w="3510" w:type="dxa"/>
            <w:shd w:val="clear" w:color="auto" w:fill="auto"/>
          </w:tcPr>
          <w:p w14:paraId="62B10CEC" w14:textId="77777777" w:rsidR="00047EF8" w:rsidRPr="00F563CD" w:rsidRDefault="00864F83" w:rsidP="00A239C5">
            <w:pPr>
              <w:spacing w:before="120" w:after="120" w:line="240" w:lineRule="auto"/>
              <w:rPr>
                <w:rFonts w:asciiTheme="minorHAnsi" w:hAnsiTheme="minorHAnsi" w:cs="Arial"/>
                <w:i/>
                <w:iCs/>
                <w:sz w:val="20"/>
                <w:szCs w:val="20"/>
              </w:rPr>
            </w:pPr>
            <w:r w:rsidRPr="00F563CD">
              <w:rPr>
                <w:rFonts w:asciiTheme="minorHAnsi" w:hAnsiTheme="minorHAnsi" w:cs="Arial"/>
                <w:sz w:val="20"/>
                <w:szCs w:val="20"/>
              </w:rPr>
              <w:t xml:space="preserve">Opis projekta br. 2.3. </w:t>
            </w:r>
            <w:r w:rsidRPr="00F563CD">
              <w:rPr>
                <w:rFonts w:asciiTheme="minorHAnsi" w:hAnsiTheme="minorHAnsi"/>
                <w:bCs/>
                <w:sz w:val="20"/>
                <w:szCs w:val="20"/>
              </w:rPr>
              <w:t>Unapređenje digitalne ekonomije i digitalnog društva u Crnoj Gori</w:t>
            </w:r>
          </w:p>
        </w:tc>
        <w:tc>
          <w:tcPr>
            <w:tcW w:w="1588" w:type="dxa"/>
            <w:shd w:val="clear" w:color="auto" w:fill="auto"/>
            <w:vAlign w:val="center"/>
          </w:tcPr>
          <w:p w14:paraId="3D49B72A"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5.427.000</w:t>
            </w:r>
          </w:p>
          <w:p w14:paraId="5004A2A5" w14:textId="77777777" w:rsidR="00047EF8" w:rsidRPr="00F563CD" w:rsidRDefault="00047EF8" w:rsidP="00A239C5">
            <w:pPr>
              <w:spacing w:before="120" w:after="120" w:line="240" w:lineRule="auto"/>
              <w:jc w:val="right"/>
              <w:rPr>
                <w:rFonts w:asciiTheme="minorHAnsi" w:hAnsiTheme="minorHAnsi" w:cs="Arial"/>
                <w:sz w:val="20"/>
                <w:szCs w:val="20"/>
              </w:rPr>
            </w:pPr>
          </w:p>
        </w:tc>
        <w:tc>
          <w:tcPr>
            <w:tcW w:w="5075" w:type="dxa"/>
            <w:vAlign w:val="center"/>
          </w:tcPr>
          <w:p w14:paraId="5CE06C5B"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 xml:space="preserve">Indirektno upravljanje. Ugovori koji su predviđeni opisom projekta dostavljeni u prilogu </w:t>
            </w:r>
          </w:p>
          <w:p w14:paraId="28A9C5C9" w14:textId="77777777" w:rsidR="00047EF8" w:rsidRPr="00F563CD" w:rsidRDefault="00864F83" w:rsidP="00A239C5">
            <w:pPr>
              <w:spacing w:before="120" w:after="120" w:line="240" w:lineRule="auto"/>
              <w:rPr>
                <w:rFonts w:asciiTheme="minorHAnsi" w:hAnsiTheme="minorHAnsi" w:cs="Arial"/>
                <w:sz w:val="20"/>
              </w:rPr>
            </w:pPr>
            <w:r w:rsidRPr="00F563CD">
              <w:rPr>
                <w:rFonts w:asciiTheme="minorHAnsi" w:hAnsiTheme="minorHAnsi" w:cs="Arial"/>
                <w:sz w:val="20"/>
                <w:szCs w:val="20"/>
              </w:rPr>
              <w:t>(Kod investicija u širokopojasnu mrežu, budžet nije dostupan)</w:t>
            </w:r>
          </w:p>
        </w:tc>
      </w:tr>
      <w:tr w:rsidR="00047EF8" w:rsidRPr="00F563CD" w14:paraId="5D4DFDD7" w14:textId="77777777" w:rsidTr="00A239C5">
        <w:trPr>
          <w:trHeight w:hRule="exact" w:val="551"/>
        </w:trPr>
        <w:tc>
          <w:tcPr>
            <w:tcW w:w="3510" w:type="dxa"/>
            <w:shd w:val="clear" w:color="auto" w:fill="auto"/>
          </w:tcPr>
          <w:p w14:paraId="1981ACA8"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Ukupno za tematski prioritet 2 (2022)</w:t>
            </w:r>
          </w:p>
        </w:tc>
        <w:tc>
          <w:tcPr>
            <w:tcW w:w="1588" w:type="dxa"/>
            <w:shd w:val="clear" w:color="auto" w:fill="auto"/>
            <w:vAlign w:val="center"/>
          </w:tcPr>
          <w:p w14:paraId="1EC96AF8" w14:textId="77777777" w:rsidR="00047EF8" w:rsidRPr="00F563CD" w:rsidRDefault="00864F83" w:rsidP="00A239C5">
            <w:pPr>
              <w:spacing w:before="120" w:after="120" w:line="240" w:lineRule="auto"/>
              <w:jc w:val="right"/>
              <w:rPr>
                <w:rFonts w:asciiTheme="minorHAnsi" w:hAnsiTheme="minorHAnsi" w:cs="Arial"/>
                <w:sz w:val="20"/>
              </w:rPr>
            </w:pPr>
            <w:r w:rsidRPr="00F563CD">
              <w:rPr>
                <w:rFonts w:asciiTheme="minorHAnsi" w:hAnsiTheme="minorHAnsi" w:cs="Arial"/>
                <w:sz w:val="20"/>
                <w:szCs w:val="20"/>
              </w:rPr>
              <w:t>5.427.000</w:t>
            </w:r>
          </w:p>
        </w:tc>
        <w:tc>
          <w:tcPr>
            <w:tcW w:w="5075" w:type="dxa"/>
            <w:tcBorders>
              <w:right w:val="nil"/>
            </w:tcBorders>
            <w:shd w:val="clear" w:color="auto" w:fill="auto"/>
            <w:vAlign w:val="center"/>
          </w:tcPr>
          <w:p w14:paraId="30197FF1" w14:textId="77777777" w:rsidR="00047EF8" w:rsidRPr="00F563CD" w:rsidRDefault="00047EF8" w:rsidP="00A239C5">
            <w:pPr>
              <w:spacing w:before="120" w:after="120" w:line="240" w:lineRule="auto"/>
              <w:rPr>
                <w:rFonts w:asciiTheme="minorHAnsi" w:hAnsiTheme="minorHAnsi" w:cs="Arial"/>
                <w:sz w:val="20"/>
              </w:rPr>
            </w:pPr>
          </w:p>
        </w:tc>
      </w:tr>
      <w:tr w:rsidR="00047EF8" w:rsidRPr="00F563CD" w14:paraId="4773810C" w14:textId="77777777" w:rsidTr="00A239C5">
        <w:trPr>
          <w:trHeight w:val="284"/>
        </w:trPr>
        <w:tc>
          <w:tcPr>
            <w:tcW w:w="10173" w:type="dxa"/>
            <w:gridSpan w:val="3"/>
            <w:shd w:val="clear" w:color="auto" w:fill="D9D9D9" w:themeFill="background1" w:themeFillShade="D9"/>
            <w:vAlign w:val="center"/>
          </w:tcPr>
          <w:p w14:paraId="14101147" w14:textId="77777777" w:rsidR="00047EF8" w:rsidRPr="00F563CD" w:rsidRDefault="00864F83" w:rsidP="00A239C5">
            <w:pPr>
              <w:spacing w:after="0" w:line="240" w:lineRule="auto"/>
              <w:jc w:val="center"/>
              <w:rPr>
                <w:rFonts w:asciiTheme="minorHAnsi" w:hAnsiTheme="minorHAnsi" w:cs="Arial"/>
                <w:b/>
                <w:bCs/>
                <w:sz w:val="20"/>
                <w:szCs w:val="20"/>
                <w:highlight w:val="green"/>
              </w:rPr>
            </w:pPr>
            <w:r w:rsidRPr="00F563CD">
              <w:rPr>
                <w:rFonts w:asciiTheme="minorHAnsi" w:hAnsiTheme="minorHAnsi" w:cs="Arial"/>
                <w:b/>
                <w:bCs/>
                <w:sz w:val="20"/>
                <w:szCs w:val="20"/>
              </w:rPr>
              <w:t>2023</w:t>
            </w:r>
          </w:p>
        </w:tc>
      </w:tr>
      <w:tr w:rsidR="00047EF8" w:rsidRPr="00F563CD" w14:paraId="1B28D7E9" w14:textId="77777777" w:rsidTr="00A239C5">
        <w:trPr>
          <w:trHeight w:hRule="exact" w:val="1112"/>
        </w:trPr>
        <w:tc>
          <w:tcPr>
            <w:tcW w:w="3510" w:type="dxa"/>
            <w:shd w:val="clear" w:color="auto" w:fill="auto"/>
          </w:tcPr>
          <w:p w14:paraId="352A824D"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 xml:space="preserve">Opis projekta br. 2.2. </w:t>
            </w:r>
            <w:r w:rsidRPr="00F563CD">
              <w:rPr>
                <w:rFonts w:asciiTheme="minorHAnsi" w:hAnsiTheme="minorHAnsi"/>
                <w:sz w:val="20"/>
                <w:szCs w:val="20"/>
              </w:rPr>
              <w:t xml:space="preserve">Izgradnja kapaciteta i usklađivanje u oblasti saobraćaja, digitalne ekonomije i društva, i energetike  </w:t>
            </w:r>
          </w:p>
        </w:tc>
        <w:tc>
          <w:tcPr>
            <w:tcW w:w="1588" w:type="dxa"/>
            <w:shd w:val="clear" w:color="auto" w:fill="auto"/>
          </w:tcPr>
          <w:p w14:paraId="3AD58EC0"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4.500.000</w:t>
            </w:r>
          </w:p>
        </w:tc>
        <w:tc>
          <w:tcPr>
            <w:tcW w:w="5075" w:type="dxa"/>
          </w:tcPr>
          <w:p w14:paraId="2DD2403B"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 xml:space="preserve">Indirektno upravljanje. Ugovori koji su predviđeni opisom projekta dostavljeni u prilogu </w:t>
            </w:r>
          </w:p>
          <w:p w14:paraId="75F6E129" w14:textId="77777777" w:rsidR="00047EF8" w:rsidRPr="00F563CD" w:rsidRDefault="00047EF8" w:rsidP="00A239C5">
            <w:pPr>
              <w:spacing w:before="120" w:after="120" w:line="240" w:lineRule="auto"/>
              <w:rPr>
                <w:rFonts w:asciiTheme="minorHAnsi" w:hAnsiTheme="minorHAnsi" w:cs="Arial"/>
                <w:sz w:val="20"/>
              </w:rPr>
            </w:pPr>
          </w:p>
        </w:tc>
      </w:tr>
      <w:tr w:rsidR="00047EF8" w:rsidRPr="00F563CD" w14:paraId="6526DA33" w14:textId="77777777" w:rsidTr="00A239C5">
        <w:trPr>
          <w:trHeight w:hRule="exact" w:val="1104"/>
        </w:trPr>
        <w:tc>
          <w:tcPr>
            <w:tcW w:w="3510" w:type="dxa"/>
            <w:shd w:val="clear" w:color="auto" w:fill="auto"/>
          </w:tcPr>
          <w:p w14:paraId="08EFBC6C" w14:textId="77777777" w:rsidR="00047EF8" w:rsidRPr="00F563CD" w:rsidRDefault="00047EF8" w:rsidP="00A239C5">
            <w:pPr>
              <w:spacing w:before="120" w:after="120" w:line="240" w:lineRule="auto"/>
              <w:rPr>
                <w:rFonts w:asciiTheme="minorHAnsi" w:hAnsiTheme="minorHAnsi" w:cs="Arial"/>
                <w:sz w:val="20"/>
                <w:szCs w:val="20"/>
              </w:rPr>
            </w:pPr>
          </w:p>
        </w:tc>
        <w:tc>
          <w:tcPr>
            <w:tcW w:w="1588" w:type="dxa"/>
            <w:shd w:val="clear" w:color="auto" w:fill="auto"/>
          </w:tcPr>
          <w:p w14:paraId="701C263E" w14:textId="77777777" w:rsidR="00047EF8" w:rsidRPr="00F563CD" w:rsidRDefault="00047EF8" w:rsidP="00A239C5">
            <w:pPr>
              <w:spacing w:before="120" w:after="120" w:line="240" w:lineRule="auto"/>
              <w:jc w:val="right"/>
              <w:rPr>
                <w:rFonts w:asciiTheme="minorHAnsi" w:hAnsiTheme="minorHAnsi" w:cs="Arial"/>
                <w:sz w:val="20"/>
                <w:szCs w:val="20"/>
              </w:rPr>
            </w:pPr>
          </w:p>
        </w:tc>
        <w:tc>
          <w:tcPr>
            <w:tcW w:w="5075" w:type="dxa"/>
          </w:tcPr>
          <w:p w14:paraId="02F3FC68" w14:textId="77777777" w:rsidR="00047EF8" w:rsidRPr="00F563CD" w:rsidRDefault="00047EF8" w:rsidP="00A239C5">
            <w:pPr>
              <w:spacing w:before="120" w:after="120" w:line="240" w:lineRule="auto"/>
              <w:rPr>
                <w:rFonts w:asciiTheme="minorHAnsi" w:hAnsiTheme="minorHAnsi" w:cs="Arial"/>
                <w:sz w:val="20"/>
              </w:rPr>
            </w:pPr>
          </w:p>
        </w:tc>
      </w:tr>
      <w:tr w:rsidR="00047EF8" w:rsidRPr="00F563CD" w14:paraId="5AA9492E" w14:textId="77777777" w:rsidTr="00A239C5">
        <w:trPr>
          <w:trHeight w:hRule="exact" w:val="435"/>
        </w:trPr>
        <w:tc>
          <w:tcPr>
            <w:tcW w:w="3510" w:type="dxa"/>
            <w:shd w:val="clear" w:color="auto" w:fill="auto"/>
          </w:tcPr>
          <w:p w14:paraId="1E8DCE1E" w14:textId="77777777" w:rsidR="00047EF8" w:rsidRPr="00F563CD" w:rsidRDefault="00864F83" w:rsidP="00A239C5">
            <w:pPr>
              <w:spacing w:before="120" w:after="120" w:line="240" w:lineRule="auto"/>
              <w:jc w:val="center"/>
              <w:rPr>
                <w:rFonts w:asciiTheme="minorHAnsi" w:hAnsiTheme="minorHAnsi" w:cs="Arial"/>
                <w:sz w:val="20"/>
                <w:szCs w:val="20"/>
              </w:rPr>
            </w:pPr>
            <w:r w:rsidRPr="00F563CD">
              <w:rPr>
                <w:rFonts w:asciiTheme="minorHAnsi" w:hAnsiTheme="minorHAnsi" w:cs="Arial"/>
                <w:sz w:val="20"/>
                <w:szCs w:val="20"/>
              </w:rPr>
              <w:t>Ukupno za tematski prioritet 2 (2023)</w:t>
            </w:r>
          </w:p>
        </w:tc>
        <w:tc>
          <w:tcPr>
            <w:tcW w:w="1588" w:type="dxa"/>
            <w:shd w:val="clear" w:color="auto" w:fill="auto"/>
            <w:vAlign w:val="center"/>
          </w:tcPr>
          <w:p w14:paraId="41291B7B"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4.500.000</w:t>
            </w:r>
          </w:p>
          <w:p w14:paraId="61101B91" w14:textId="77777777" w:rsidR="00047EF8" w:rsidRPr="00F563CD" w:rsidRDefault="00047EF8" w:rsidP="00A239C5">
            <w:pPr>
              <w:spacing w:before="120" w:after="120" w:line="240" w:lineRule="auto"/>
              <w:jc w:val="right"/>
              <w:rPr>
                <w:rFonts w:asciiTheme="minorHAnsi" w:hAnsiTheme="minorHAnsi" w:cs="Arial"/>
                <w:sz w:val="20"/>
              </w:rPr>
            </w:pPr>
          </w:p>
        </w:tc>
        <w:tc>
          <w:tcPr>
            <w:tcW w:w="5075" w:type="dxa"/>
            <w:tcBorders>
              <w:right w:val="nil"/>
            </w:tcBorders>
            <w:shd w:val="clear" w:color="auto" w:fill="auto"/>
            <w:vAlign w:val="center"/>
          </w:tcPr>
          <w:p w14:paraId="41FE7A5E" w14:textId="77777777" w:rsidR="00047EF8" w:rsidRPr="00F563CD" w:rsidRDefault="00047EF8" w:rsidP="00A239C5">
            <w:pPr>
              <w:spacing w:before="120" w:after="120" w:line="240" w:lineRule="auto"/>
              <w:jc w:val="right"/>
              <w:rPr>
                <w:rFonts w:asciiTheme="minorHAnsi" w:hAnsiTheme="minorHAnsi" w:cs="Arial"/>
                <w:sz w:val="20"/>
              </w:rPr>
            </w:pPr>
          </w:p>
        </w:tc>
      </w:tr>
      <w:tr w:rsidR="00047EF8" w:rsidRPr="00F563CD" w14:paraId="019BDB07" w14:textId="77777777" w:rsidTr="00A239C5">
        <w:trPr>
          <w:trHeight w:val="284"/>
        </w:trPr>
        <w:tc>
          <w:tcPr>
            <w:tcW w:w="10173" w:type="dxa"/>
            <w:gridSpan w:val="3"/>
            <w:shd w:val="clear" w:color="auto" w:fill="D9D9D9" w:themeFill="background1" w:themeFillShade="D9"/>
            <w:vAlign w:val="center"/>
          </w:tcPr>
          <w:p w14:paraId="2B694C2B" w14:textId="77777777" w:rsidR="00047EF8" w:rsidRPr="00F563CD" w:rsidRDefault="00864F83" w:rsidP="00A239C5">
            <w:pPr>
              <w:spacing w:after="0" w:line="240" w:lineRule="auto"/>
              <w:jc w:val="center"/>
              <w:rPr>
                <w:rFonts w:asciiTheme="minorHAnsi" w:hAnsiTheme="minorHAnsi" w:cs="Arial"/>
                <w:b/>
                <w:bCs/>
                <w:sz w:val="20"/>
                <w:szCs w:val="20"/>
              </w:rPr>
            </w:pPr>
            <w:r w:rsidRPr="00F563CD">
              <w:rPr>
                <w:rFonts w:asciiTheme="minorHAnsi" w:hAnsiTheme="minorHAnsi" w:cs="Arial"/>
                <w:b/>
                <w:bCs/>
                <w:sz w:val="20"/>
                <w:szCs w:val="20"/>
              </w:rPr>
              <w:t>2024</w:t>
            </w:r>
          </w:p>
        </w:tc>
      </w:tr>
      <w:tr w:rsidR="00047EF8" w:rsidRPr="00F563CD" w14:paraId="16A5CC0D" w14:textId="77777777" w:rsidTr="00A239C5">
        <w:trPr>
          <w:trHeight w:hRule="exact" w:val="1149"/>
        </w:trPr>
        <w:tc>
          <w:tcPr>
            <w:tcW w:w="3510" w:type="dxa"/>
            <w:shd w:val="clear" w:color="auto" w:fill="auto"/>
          </w:tcPr>
          <w:p w14:paraId="532E4102"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 xml:space="preserve">Opis projekta br. 2.4. </w:t>
            </w:r>
            <w:r w:rsidRPr="00F563CD">
              <w:rPr>
                <w:rFonts w:asciiTheme="minorHAnsi" w:hAnsiTheme="minorHAnsi"/>
                <w:sz w:val="20"/>
                <w:szCs w:val="20"/>
              </w:rPr>
              <w:t>Integrisana podrška  unapređenju efikasnosti,  učinkovitosti i  pametne mobilnosti u okviru  saobraćajne mreže</w:t>
            </w:r>
          </w:p>
        </w:tc>
        <w:tc>
          <w:tcPr>
            <w:tcW w:w="1588" w:type="dxa"/>
            <w:shd w:val="clear" w:color="auto" w:fill="auto"/>
          </w:tcPr>
          <w:p w14:paraId="3080BCAD" w14:textId="77777777" w:rsidR="00047EF8" w:rsidRPr="00F563CD" w:rsidRDefault="00864F83" w:rsidP="00A239C5">
            <w:pPr>
              <w:spacing w:before="120" w:after="120" w:line="240" w:lineRule="auto"/>
              <w:jc w:val="right"/>
              <w:rPr>
                <w:rFonts w:asciiTheme="minorHAnsi" w:hAnsiTheme="minorHAnsi" w:cs="Arial"/>
                <w:sz w:val="20"/>
                <w:szCs w:val="20"/>
              </w:rPr>
            </w:pPr>
            <w:r w:rsidRPr="00F563CD">
              <w:rPr>
                <w:rFonts w:asciiTheme="minorHAnsi" w:hAnsiTheme="minorHAnsi" w:cs="Arial"/>
                <w:sz w:val="20"/>
                <w:szCs w:val="20"/>
              </w:rPr>
              <w:t>Podaci nisu dostupni</w:t>
            </w:r>
          </w:p>
        </w:tc>
        <w:tc>
          <w:tcPr>
            <w:tcW w:w="5075" w:type="dxa"/>
          </w:tcPr>
          <w:p w14:paraId="55D2FAB5"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 xml:space="preserve">Indirektno upravljanje. Ugovori koji su predviđeni opisom projekta dostavljeni u prilogu </w:t>
            </w:r>
          </w:p>
          <w:p w14:paraId="19E8E4FF" w14:textId="77777777" w:rsidR="00047EF8" w:rsidRPr="00F563CD" w:rsidRDefault="00047EF8" w:rsidP="00A239C5">
            <w:pPr>
              <w:spacing w:before="120" w:after="120" w:line="240" w:lineRule="auto"/>
              <w:rPr>
                <w:rFonts w:asciiTheme="minorHAnsi" w:hAnsiTheme="minorHAnsi" w:cs="Arial"/>
                <w:sz w:val="20"/>
                <w:highlight w:val="green"/>
              </w:rPr>
            </w:pPr>
          </w:p>
        </w:tc>
      </w:tr>
      <w:tr w:rsidR="00047EF8" w:rsidRPr="00F563CD" w14:paraId="282189E2" w14:textId="77777777" w:rsidTr="00A239C5">
        <w:trPr>
          <w:trHeight w:hRule="exact" w:val="593"/>
        </w:trPr>
        <w:tc>
          <w:tcPr>
            <w:tcW w:w="3510" w:type="dxa"/>
            <w:shd w:val="clear" w:color="auto" w:fill="auto"/>
          </w:tcPr>
          <w:p w14:paraId="7191D826" w14:textId="77777777" w:rsidR="00047EF8" w:rsidRPr="00F563CD" w:rsidRDefault="00864F83" w:rsidP="00A239C5">
            <w:pPr>
              <w:spacing w:before="120" w:after="120" w:line="240" w:lineRule="auto"/>
              <w:rPr>
                <w:rFonts w:asciiTheme="minorHAnsi" w:hAnsiTheme="minorHAnsi" w:cs="Arial"/>
                <w:sz w:val="20"/>
                <w:szCs w:val="20"/>
              </w:rPr>
            </w:pPr>
            <w:r w:rsidRPr="00F563CD">
              <w:rPr>
                <w:rFonts w:asciiTheme="minorHAnsi" w:hAnsiTheme="minorHAnsi" w:cs="Arial"/>
                <w:sz w:val="20"/>
                <w:szCs w:val="20"/>
              </w:rPr>
              <w:t>Ukupno za tematski prioritet 2 (2024)</w:t>
            </w:r>
          </w:p>
        </w:tc>
        <w:tc>
          <w:tcPr>
            <w:tcW w:w="1588" w:type="dxa"/>
            <w:shd w:val="clear" w:color="auto" w:fill="auto"/>
            <w:vAlign w:val="center"/>
          </w:tcPr>
          <w:p w14:paraId="031E2A50" w14:textId="77777777" w:rsidR="00047EF8" w:rsidRPr="00F563CD" w:rsidRDefault="00864F83" w:rsidP="00A239C5">
            <w:pPr>
              <w:spacing w:before="120" w:after="120" w:line="240" w:lineRule="auto"/>
              <w:jc w:val="right"/>
              <w:rPr>
                <w:rFonts w:asciiTheme="minorHAnsi" w:hAnsiTheme="minorHAnsi" w:cs="Arial"/>
                <w:sz w:val="20"/>
              </w:rPr>
            </w:pPr>
            <w:r w:rsidRPr="00F563CD">
              <w:rPr>
                <w:rFonts w:asciiTheme="minorHAnsi" w:hAnsiTheme="minorHAnsi" w:cs="Arial"/>
                <w:sz w:val="20"/>
                <w:szCs w:val="20"/>
              </w:rPr>
              <w:t>Podaci nisu dostupni</w:t>
            </w:r>
          </w:p>
        </w:tc>
        <w:tc>
          <w:tcPr>
            <w:tcW w:w="5075" w:type="dxa"/>
            <w:tcBorders>
              <w:bottom w:val="nil"/>
              <w:right w:val="nil"/>
            </w:tcBorders>
            <w:shd w:val="clear" w:color="auto" w:fill="auto"/>
            <w:vAlign w:val="center"/>
          </w:tcPr>
          <w:p w14:paraId="3749DFF5" w14:textId="77777777" w:rsidR="00047EF8" w:rsidRPr="00F563CD" w:rsidRDefault="00047EF8" w:rsidP="00A239C5">
            <w:pPr>
              <w:spacing w:before="120" w:after="120" w:line="240" w:lineRule="auto"/>
              <w:jc w:val="right"/>
              <w:rPr>
                <w:rFonts w:asciiTheme="minorHAnsi" w:hAnsiTheme="minorHAnsi" w:cs="Arial"/>
                <w:sz w:val="20"/>
                <w:highlight w:val="green"/>
              </w:rPr>
            </w:pPr>
          </w:p>
        </w:tc>
      </w:tr>
      <w:tr w:rsidR="00047EF8" w:rsidRPr="00F563CD" w14:paraId="5D293048" w14:textId="77777777" w:rsidTr="00A239C5">
        <w:trPr>
          <w:gridAfter w:val="1"/>
          <w:wAfter w:w="5075" w:type="dxa"/>
          <w:trHeight w:hRule="exact" w:val="598"/>
        </w:trPr>
        <w:tc>
          <w:tcPr>
            <w:tcW w:w="35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B35F58" w14:textId="77777777" w:rsidR="00047EF8" w:rsidRPr="00F563CD" w:rsidRDefault="00864F83" w:rsidP="00A239C5">
            <w:pPr>
              <w:spacing w:before="120" w:after="120" w:line="240" w:lineRule="auto"/>
              <w:rPr>
                <w:rFonts w:asciiTheme="minorHAnsi" w:hAnsiTheme="minorHAnsi" w:cs="Arial"/>
                <w:b/>
                <w:bCs/>
                <w:sz w:val="20"/>
                <w:szCs w:val="20"/>
              </w:rPr>
            </w:pPr>
            <w:r w:rsidRPr="00F563CD">
              <w:rPr>
                <w:rFonts w:asciiTheme="minorHAnsi" w:hAnsiTheme="minorHAnsi" w:cs="Arial"/>
                <w:b/>
                <w:sz w:val="20"/>
                <w:szCs w:val="20"/>
              </w:rPr>
              <w:t>Ukupno za tematski prioritet 2</w:t>
            </w:r>
            <w:r w:rsidRPr="00F563CD">
              <w:rPr>
                <w:rFonts w:asciiTheme="minorHAnsi" w:hAnsiTheme="minorHAnsi" w:cs="Arial"/>
                <w:sz w:val="20"/>
                <w:szCs w:val="20"/>
              </w:rPr>
              <w:t xml:space="preserve"> </w:t>
            </w:r>
            <w:r w:rsidRPr="00F563CD">
              <w:rPr>
                <w:rFonts w:asciiTheme="minorHAnsi" w:hAnsiTheme="minorHAnsi" w:cs="Arial"/>
                <w:b/>
                <w:bCs/>
                <w:sz w:val="20"/>
                <w:szCs w:val="20"/>
              </w:rPr>
              <w:t xml:space="preserve">(2021-2024) </w:t>
            </w: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5D8E4E" w14:textId="77777777" w:rsidR="00047EF8" w:rsidRPr="00F563CD" w:rsidRDefault="00864F83" w:rsidP="00A239C5">
            <w:pPr>
              <w:jc w:val="right"/>
              <w:rPr>
                <w:rFonts w:asciiTheme="minorHAnsi" w:hAnsiTheme="minorHAnsi"/>
                <w:b/>
                <w:bCs/>
              </w:rPr>
            </w:pPr>
            <w:r w:rsidRPr="00F563CD">
              <w:rPr>
                <w:rFonts w:asciiTheme="minorHAnsi" w:hAnsiTheme="minorHAnsi"/>
                <w:b/>
                <w:bCs/>
              </w:rPr>
              <w:t>26.402.000</w:t>
            </w:r>
          </w:p>
        </w:tc>
      </w:tr>
    </w:tbl>
    <w:p w14:paraId="102E3438" w14:textId="77777777" w:rsidR="00047EF8" w:rsidRPr="00F563CD" w:rsidRDefault="00047EF8" w:rsidP="00047EF8">
      <w:pPr>
        <w:spacing w:after="0"/>
        <w:jc w:val="both"/>
        <w:rPr>
          <w:rFonts w:asciiTheme="minorHAnsi" w:hAnsiTheme="minorHAnsi"/>
          <w:i/>
          <w:sz w:val="20"/>
          <w:szCs w:val="20"/>
          <w:highlight w:val="green"/>
        </w:rPr>
      </w:pPr>
    </w:p>
    <w:p w14:paraId="5795F7B3" w14:textId="77777777" w:rsidR="00047EF8" w:rsidRPr="00F563CD" w:rsidRDefault="00864F83" w:rsidP="00047EF8">
      <w:pPr>
        <w:spacing w:after="0"/>
        <w:jc w:val="both"/>
        <w:rPr>
          <w:rFonts w:asciiTheme="minorHAnsi" w:hAnsiTheme="minorHAnsi" w:cs="Arial"/>
          <w:smallCaps/>
          <w:sz w:val="24"/>
          <w:szCs w:val="24"/>
          <w:highlight w:val="green"/>
        </w:rPr>
      </w:pPr>
      <w:r w:rsidRPr="00F563CD">
        <w:rPr>
          <w:rFonts w:asciiTheme="minorHAnsi" w:hAnsiTheme="minorHAnsi"/>
          <w:i/>
          <w:iCs/>
          <w:sz w:val="20"/>
          <w:szCs w:val="20"/>
          <w:highlight w:val="green"/>
        </w:rPr>
        <w:lastRenderedPageBreak/>
        <w:br w:type="page"/>
      </w:r>
    </w:p>
    <w:p w14:paraId="200E8EC6" w14:textId="03DC4CED" w:rsidR="00047EF8" w:rsidRPr="00F563CD" w:rsidRDefault="00864F83" w:rsidP="008639C5">
      <w:pPr>
        <w:pStyle w:val="Heading1"/>
        <w:pBdr>
          <w:bottom w:val="single" w:sz="12" w:space="1" w:color="auto"/>
        </w:pBdr>
        <w:rPr>
          <w:rFonts w:asciiTheme="minorHAnsi" w:hAnsiTheme="minorHAnsi" w:cs="Arial"/>
          <w:color w:val="auto"/>
        </w:rPr>
      </w:pPr>
      <w:bookmarkStart w:id="47" w:name="_Toc91500275"/>
      <w:r w:rsidRPr="00F563CD">
        <w:rPr>
          <w:rFonts w:asciiTheme="minorHAnsi" w:hAnsiTheme="minorHAnsi" w:cs="Arial"/>
          <w:color w:val="auto"/>
        </w:rPr>
        <w:lastRenderedPageBreak/>
        <w:t>PROZOR 4 – KONKURENTNOST I INKLUZIVNI RAST</w:t>
      </w:r>
      <w:bookmarkEnd w:id="47"/>
    </w:p>
    <w:p w14:paraId="6987FB8C" w14:textId="77777777" w:rsidR="00047EF8" w:rsidRPr="00F563CD" w:rsidRDefault="00864F83" w:rsidP="00047EF8">
      <w:pPr>
        <w:pStyle w:val="Heading3"/>
        <w:rPr>
          <w:rFonts w:asciiTheme="minorHAnsi" w:hAnsiTheme="minorHAnsi" w:cs="Arial"/>
          <w:sz w:val="22"/>
          <w:szCs w:val="22"/>
        </w:rPr>
      </w:pPr>
      <w:bookmarkStart w:id="48" w:name="_Toc91500276"/>
      <w:r w:rsidRPr="00F563CD">
        <w:rPr>
          <w:rFonts w:asciiTheme="minorHAnsi" w:hAnsiTheme="minorHAnsi" w:cs="Arial"/>
          <w:color w:val="auto"/>
          <w:sz w:val="22"/>
          <w:szCs w:val="22"/>
        </w:rPr>
        <w:t>DIO 1 – SEKTORSKI KONTEKST I RELEVANTNOST ZA POLITIKU PROŠIRENJA</w:t>
      </w:r>
      <w:bookmarkEnd w:id="48"/>
    </w:p>
    <w:p w14:paraId="20CA1DDA" w14:textId="77777777" w:rsidR="00047EF8" w:rsidRPr="00F563CD" w:rsidRDefault="00864F83" w:rsidP="00047EF8">
      <w:pPr>
        <w:pStyle w:val="Heading2"/>
        <w:numPr>
          <w:ilvl w:val="0"/>
          <w:numId w:val="30"/>
        </w:numPr>
        <w:rPr>
          <w:rFonts w:asciiTheme="minorHAnsi" w:hAnsiTheme="minorHAnsi" w:cs="Arial"/>
          <w:smallCaps/>
          <w:color w:val="auto"/>
          <w:sz w:val="24"/>
          <w:szCs w:val="24"/>
        </w:rPr>
      </w:pPr>
      <w:bookmarkStart w:id="49" w:name="_Toc91500277"/>
      <w:r w:rsidRPr="00F563CD">
        <w:rPr>
          <w:rFonts w:asciiTheme="minorHAnsi" w:hAnsiTheme="minorHAnsi" w:cs="Arial"/>
          <w:smallCaps/>
          <w:color w:val="auto"/>
          <w:sz w:val="24"/>
          <w:szCs w:val="24"/>
        </w:rPr>
        <w:t>Proces konsultacija</w:t>
      </w:r>
      <w:bookmarkEnd w:id="49"/>
    </w:p>
    <w:p w14:paraId="04E7EE92" w14:textId="77777777" w:rsidR="00047EF8" w:rsidRPr="00F563CD" w:rsidRDefault="00864F83" w:rsidP="00047EF8">
      <w:pPr>
        <w:spacing w:before="60" w:after="60" w:line="240" w:lineRule="auto"/>
        <w:ind w:right="190"/>
        <w:jc w:val="both"/>
        <w:rPr>
          <w:rFonts w:asciiTheme="minorHAnsi" w:hAnsiTheme="minorHAnsi" w:cstheme="minorBidi"/>
          <w:sz w:val="20"/>
          <w:szCs w:val="20"/>
        </w:rPr>
      </w:pPr>
      <w:r w:rsidRPr="00F563CD">
        <w:rPr>
          <w:rFonts w:asciiTheme="minorHAnsi" w:hAnsiTheme="minorHAnsi" w:cstheme="minorBidi"/>
          <w:sz w:val="20"/>
          <w:szCs w:val="20"/>
        </w:rPr>
        <w:t>Kada su u pitanju rane faze strateškog planiranja za prve godine programiranja u okviru ovog prozora, prvi nacrt opisa projekata (OP) dostavljen je Evropskoj komisiji u skladu sa predviđenim vremenskim okvirom (jun 2020. godine). Kroz procjenu koju je izvršio Generalni direktorat za susjedsku politiku i pregovore o proširenju (DG NEAR) dostavljene su dodatne smjernice i sugestije u vezi sa izabranim akcijama za IPA 2021 i 2022. Kancelarija nipaka je u januaru 2021. godine pokrenula kosultativni proces, u okviru kojeg je komunicirala sve relevantne informacije, uključujući i kategorizaciju relevantnih dokumenata po stepenu njihove važnosti, pružala je incijalne smjernice o Strateškom odgovoru i akcionim dokumentima, kao osnovne podatke koje je trebalo dalje razrađivati u predviđenom roku. Priprema Strateškog odgovora teče uporedo s izradom akcionih dokumenata (AD) za programe IPA 2021 i 2022. Kada je u pitanju širi konsultativni proces koji se tokom procesa programiranja sprovodi u skladu sa načelom partnerskog odnosa i transparentnosti, planirano je da se pokrene proces javnih konsultacija o Strateškom odgovoru čim dokumentacija dostigne određeni nivo zrelosti, tj. nakon što se realizuje barem jedna iteracija razmjene komentara sa relevantnim službama EK.</w:t>
      </w:r>
    </w:p>
    <w:p w14:paraId="50B7F742" w14:textId="77777777" w:rsidR="00047EF8" w:rsidRPr="00F563CD" w:rsidRDefault="00047EF8" w:rsidP="00047EF8">
      <w:pPr>
        <w:spacing w:line="240" w:lineRule="auto"/>
        <w:jc w:val="both"/>
        <w:rPr>
          <w:rFonts w:asciiTheme="minorHAnsi" w:hAnsiTheme="minorHAnsi" w:cstheme="minorBidi"/>
          <w:i/>
          <w:sz w:val="20"/>
          <w:szCs w:val="20"/>
          <w:highlight w:val="green"/>
        </w:rPr>
      </w:pPr>
    </w:p>
    <w:p w14:paraId="3C957CDD" w14:textId="77777777" w:rsidR="00047EF8" w:rsidRPr="00F563CD" w:rsidRDefault="00864F83" w:rsidP="00047EF8">
      <w:pPr>
        <w:pStyle w:val="Heading2"/>
        <w:numPr>
          <w:ilvl w:val="0"/>
          <w:numId w:val="30"/>
        </w:numPr>
        <w:rPr>
          <w:rFonts w:asciiTheme="minorHAnsi" w:hAnsiTheme="minorHAnsi" w:cs="Arial"/>
          <w:smallCaps/>
          <w:color w:val="auto"/>
          <w:sz w:val="24"/>
          <w:szCs w:val="24"/>
        </w:rPr>
      </w:pPr>
      <w:bookmarkStart w:id="50" w:name="_Toc91500278"/>
      <w:bookmarkStart w:id="51" w:name="_Hlk66799810"/>
      <w:r w:rsidRPr="00F563CD">
        <w:rPr>
          <w:rFonts w:asciiTheme="minorHAnsi" w:hAnsiTheme="minorHAnsi" w:cs="Arial"/>
          <w:smallCaps/>
          <w:color w:val="auto"/>
          <w:sz w:val="24"/>
          <w:szCs w:val="24"/>
        </w:rPr>
        <w:t>Usklađenost strategija zemlje korisnice sa IPA III programskim okvirom</w:t>
      </w:r>
      <w:bookmarkEnd w:id="50"/>
      <w:r w:rsidRPr="00F563CD">
        <w:rPr>
          <w:rFonts w:asciiTheme="minorHAnsi" w:hAnsiTheme="minorHAnsi" w:cs="Arial"/>
          <w:smallCaps/>
          <w:color w:val="auto"/>
          <w:sz w:val="24"/>
          <w:szCs w:val="24"/>
        </w:rPr>
        <w:t xml:space="preserve"> </w:t>
      </w:r>
    </w:p>
    <w:p w14:paraId="4DE3F49D" w14:textId="77777777" w:rsidR="00047EF8" w:rsidRPr="00F563CD" w:rsidRDefault="00047EF8" w:rsidP="00047EF8">
      <w:pPr>
        <w:spacing w:after="0" w:line="240" w:lineRule="auto"/>
        <w:rPr>
          <w:rFonts w:asciiTheme="minorHAnsi" w:eastAsia="Calibri" w:hAnsiTheme="minorHAnsi"/>
        </w:rPr>
      </w:pPr>
    </w:p>
    <w:p w14:paraId="3D2C0C11" w14:textId="77777777" w:rsidR="00047EF8" w:rsidRPr="00F563CD" w:rsidRDefault="00864F83" w:rsidP="00047EF8">
      <w:pPr>
        <w:spacing w:line="240" w:lineRule="auto"/>
        <w:jc w:val="both"/>
        <w:rPr>
          <w:rFonts w:asciiTheme="minorHAnsi" w:eastAsia="Calibri" w:hAnsiTheme="minorHAnsi" w:cs="Calibri"/>
          <w:b/>
          <w:bCs/>
          <w:iCs/>
          <w:sz w:val="20"/>
          <w:szCs w:val="20"/>
        </w:rPr>
      </w:pPr>
      <w:r w:rsidRPr="00F563CD">
        <w:rPr>
          <w:rFonts w:asciiTheme="minorHAnsi" w:eastAsia="Calibri" w:hAnsiTheme="minorHAnsi" w:cs="Calibri"/>
          <w:b/>
          <w:bCs/>
          <w:iCs/>
          <w:sz w:val="20"/>
          <w:szCs w:val="20"/>
        </w:rPr>
        <w:t>Horizontalne strategije relevantne za Prozor 4</w:t>
      </w:r>
    </w:p>
    <w:p w14:paraId="5DD7CAA1" w14:textId="77777777" w:rsidR="00047EF8" w:rsidRPr="00F563CD" w:rsidRDefault="00864F83"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Opšti cilj EU podrške u okviru Prozora 4 jeste osnaživanje ekonomskog i društvenog razvoja, uključujući i </w:t>
      </w:r>
      <w:r w:rsidRPr="00F563CD">
        <w:rPr>
          <w:rFonts w:asciiTheme="minorHAnsi" w:eastAsia="Calibri" w:hAnsiTheme="minorHAnsi" w:cs="Calibri"/>
          <w:b/>
          <w:sz w:val="20"/>
          <w:szCs w:val="20"/>
        </w:rPr>
        <w:t>obrazovanje, inovacije, socijalnu inkluziju i politike zapošljavanja</w:t>
      </w:r>
      <w:r w:rsidRPr="00F563CD">
        <w:rPr>
          <w:rFonts w:asciiTheme="minorHAnsi" w:eastAsia="Calibri" w:hAnsiTheme="minorHAnsi" w:cs="Calibri"/>
          <w:sz w:val="20"/>
          <w:szCs w:val="20"/>
        </w:rPr>
        <w:t>. Rodna ravnopravnost, ublažavanje nejednakosti u osnaživanje društvene kohezije jesu pitanja koja zahtijevaju razmatranje.</w:t>
      </w:r>
    </w:p>
    <w:p w14:paraId="3A857641"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sz w:val="20"/>
          <w:szCs w:val="20"/>
        </w:rPr>
        <w:t>Sljedeće horizontalne nacionalne strategije usklađene su sa opštim ciljem u okviru Prozora 4 i specifičnim ciljevima u okviru tematskih prioriteta.</w:t>
      </w:r>
    </w:p>
    <w:p w14:paraId="2D166771"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Aneks 2 sadrži tabelu sa detaljnim podacima o horizontalnim i sektorskim strategijama, i akcioni plan. Tabela sadrži i referentni link za pristup svim dokumentima. </w:t>
      </w:r>
    </w:p>
    <w:p w14:paraId="4F8B2CFF"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eastAsia="Calibri" w:hAnsiTheme="minorHAnsi" w:cs="Calibri"/>
          <w:b/>
          <w:bCs/>
          <w:sz w:val="20"/>
          <w:szCs w:val="20"/>
        </w:rPr>
        <w:t xml:space="preserve">Pravci razvoja Crne Gore 2018-2021 </w:t>
      </w:r>
      <w:r w:rsidRPr="00F563CD">
        <w:rPr>
          <w:rFonts w:asciiTheme="minorHAnsi" w:eastAsia="Calibri" w:hAnsiTheme="minorHAnsi" w:cs="Calibri"/>
          <w:bCs/>
          <w:sz w:val="20"/>
          <w:szCs w:val="20"/>
        </w:rPr>
        <w:t>– ovaj dokument</w:t>
      </w:r>
      <w:r w:rsidRPr="00F563CD">
        <w:rPr>
          <w:rFonts w:asciiTheme="minorHAnsi" w:eastAsia="Calibri" w:hAnsiTheme="minorHAnsi" w:cs="Calibri"/>
          <w:b/>
          <w:bCs/>
          <w:sz w:val="20"/>
          <w:szCs w:val="20"/>
        </w:rPr>
        <w:t xml:space="preserve"> </w:t>
      </w:r>
      <w:r w:rsidRPr="00F563CD">
        <w:rPr>
          <w:rFonts w:asciiTheme="minorHAnsi" w:hAnsiTheme="minorHAnsi" w:cstheme="minorBidi"/>
          <w:iCs/>
          <w:sz w:val="20"/>
          <w:szCs w:val="20"/>
        </w:rPr>
        <w:t xml:space="preserve">utvrđuje viziju socio-ekonomskog razvoja, uključujući i potrebne investicije i razvojne mjere koje vode ka pametnom, održivom i inkluzivnom rastu u skladu sa Agendom </w:t>
      </w:r>
      <w:r w:rsidRPr="00F563CD">
        <w:rPr>
          <w:rFonts w:asciiTheme="minorHAnsi" w:hAnsiTheme="minorHAnsi"/>
          <w:sz w:val="20"/>
          <w:szCs w:val="20"/>
        </w:rPr>
        <w:t xml:space="preserve">Zapadnog Balkana za inovacije, istraživanje, obrazovanje, kulturu, omladinu i sport. Pametni rast podrazumijeva reformu visokog obrazovanja na način koji unapređuje kvalitet obrazovanja, bolju usklađenost sa potrebama tržišta rada, stvaranje konkurentnih pojedinaca, stvaranje uslova za sticanje praktičnih vještina i vještina za realno poslovno okruženje. Visoko obrazovanje (VO) je faktor koji doprinosi unapređenju zapošljivosti pojedinaca koji završe programe VO, i kroz predviđene akcije institucije VO biće u mogućnosti da ponude studentima bolju praktičnu nastavu i obuke, i da im pruže kompetencije koje će unaprijediti njihovu zapošljivost, adaptabilnost i lični razvoj. Inkluzivni rast podrazumijeva porast zaposlenosti, uključivanjem lica svih uzrasta u proces upravljanja promjenama, kroz ulaganja u vještine i obuke, modernizaciju tržišta rada i sistema socijalnog staranja, uz poštovanje standarda EU. On prepoznaje četiri prioriteta za poljoprivredu i ruralni razvoj, od kojih se jedan odnosi na jačanje konkurentnosti i održivosti poljoprivrednog sektora kroz investicije u primarnu poljoprivrednu proizvodnju, obradu i tržišni plasman poljoprivrednih i ribljih proizvoda. Oblast bezbjednosti hrane neodvojiva je od poljoprivrede i ruralnog razvoja, zbog serije standarda i propisa kojih poljoprivrednici treba da se pridržavaju. U oblasti održivog razvoja, ovdje su identifikovana tri prioriteta za sektor šumarstva, kao što je realizacija strategije za šumarstvo i drvnu industriju, sertifikacija područja u oblasti šumarstva i uvećanje udjela drvne industrije u BDP. </w:t>
      </w:r>
    </w:p>
    <w:p w14:paraId="294A0F66"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eastAsia="Calibri" w:hAnsiTheme="minorHAnsi" w:cs="Calibri"/>
          <w:b/>
          <w:bCs/>
          <w:sz w:val="20"/>
          <w:szCs w:val="20"/>
        </w:rPr>
        <w:t xml:space="preserve">Nacionalna strategija održivog razvoja </w:t>
      </w:r>
      <w:r w:rsidRPr="00F563CD">
        <w:rPr>
          <w:rFonts w:asciiTheme="minorHAnsi" w:eastAsia="Calibri" w:hAnsiTheme="minorHAnsi" w:cs="Calibri"/>
          <w:b/>
          <w:sz w:val="20"/>
          <w:szCs w:val="20"/>
        </w:rPr>
        <w:t>do 2030.</w:t>
      </w:r>
      <w:r w:rsidRPr="00F563CD">
        <w:rPr>
          <w:rFonts w:asciiTheme="minorHAnsi" w:eastAsia="Calibri" w:hAnsiTheme="minorHAnsi" w:cs="Calibri"/>
          <w:sz w:val="20"/>
          <w:szCs w:val="20"/>
        </w:rPr>
        <w:t xml:space="preserve"> godine</w:t>
      </w:r>
      <w:r w:rsidRPr="00F563CD">
        <w:rPr>
          <w:rFonts w:asciiTheme="minorHAnsi" w:eastAsia="Calibri" w:hAnsiTheme="minorHAnsi" w:cs="Calibri"/>
          <w:sz w:val="20"/>
          <w:szCs w:val="20"/>
          <w:vertAlign w:val="superscript"/>
        </w:rPr>
        <w:footnoteReference w:id="21"/>
      </w:r>
      <w:r w:rsidRPr="00F563CD">
        <w:rPr>
          <w:rFonts w:asciiTheme="minorHAnsi" w:eastAsia="Calibri" w:hAnsiTheme="minorHAnsi" w:cs="Calibri"/>
          <w:sz w:val="20"/>
          <w:szCs w:val="20"/>
        </w:rPr>
        <w:t xml:space="preserve"> </w:t>
      </w:r>
      <w:r w:rsidRPr="00F563CD">
        <w:rPr>
          <w:rFonts w:asciiTheme="minorHAnsi" w:eastAsia="Calibri" w:hAnsiTheme="minorHAnsi" w:cstheme="minorHAnsi"/>
          <w:sz w:val="20"/>
          <w:szCs w:val="20"/>
        </w:rPr>
        <w:t xml:space="preserve">od jula 2016. godine predstavlja dugoročnu razvojnu strategiju koja se zasniva na inovacijama i koja definiše rješenja za održivo upravljanje u okviru četiri grupe nacionalnih resursa: ljudskih, društvenih, prirodnih i ekonomskih, koji su prepoznati kao prioriteti sveukupnog održivog razvoja crnogorskog društva. Prioriteti Strategije za period do 2030. su sljedeći: </w:t>
      </w:r>
      <w:r w:rsidRPr="00F563CD">
        <w:rPr>
          <w:rFonts w:asciiTheme="minorHAnsi" w:hAnsiTheme="minorHAnsi" w:cstheme="minorHAnsi"/>
          <w:sz w:val="20"/>
          <w:szCs w:val="20"/>
        </w:rPr>
        <w:t xml:space="preserve">unapređenje stanja ljudskih resursa i jačanje socijalne inkluzije; </w:t>
      </w:r>
      <w:r w:rsidRPr="00F563CD">
        <w:rPr>
          <w:rFonts w:asciiTheme="minorHAnsi" w:hAnsiTheme="minorHAnsi" w:cstheme="minorHAnsi"/>
          <w:sz w:val="20"/>
          <w:szCs w:val="20"/>
        </w:rPr>
        <w:lastRenderedPageBreak/>
        <w:t>podrška vrijednostima, normama i obrascima ponašanja značajnim za održivost društva; očuvanje prirodnog kapitala; uvođenje zelene ekonomije; upravljanje finansiranja za održivi razvoj. Razvoj ljudskog potencijala postiže se kroz investicije u unapređenje kvaliteta života kroz javni sistem obrazovanja, zdravstva i socijalnih programa, programe zapošljavanja i dodatno obrazovanje zaposlenih koji doprinose ekonomski otpornijem i socijalno zdravijem društvu. Prioriteti za unapređenje stanja ljudskih resursa i jačanja socijalne inkluzije uključuju unapređenje demografskih trendova i umanjenje demografskog deficita; unapređenje zdravlja građana bez obzira na starosnu dob, i smanjanje nejednakosti u oblasti zdravtva, pružanje inkluzivnog i kvalitetnog obrazovanja i promovisanje jednakih prilika za cjeloživotno učenje. Cilj koji se odnosi na podršku vrijednostima, normama, i obrascima ponašanja koji su značajni za održivost društva uključuje i prioritet koji podrazumijeva stimulisanje zapošljivosti i socijalne inkluzije, kao i prioritet koji podrazumijeva dostizanje uravnoteženijeg socio-ekonomskog razvoja na nivou svih jedinica lokalne samouprave i na regionalnom nivou, a zasniva se na konkurentnosti, inovacijama i zapošljavanju, sa posebnim naglaskom na razvoju sjevernog regiona. Strateški cilj koji omogućava uvođenje zelene ekonomije kroz mobilisanje fondova za finansiranje održivog razvoja obuhvata mjere za održivu poljoprivredu i ruralni razvoj, jačanje veza između turizma i poljoprivrede i održivog šumarstva. U dijelu obrazovanja, Strategija postavlja kao jedan od ciljeva i – Pružanje inkluzivnog i kvalitetnog obrazovanja i promovisanje jednakih mogućnosti za cjeloživotno učenje, pri čemu definiše mjere za unapređenje uslova za cjeloživotno učenje, neformalno obrazovanje i obrazovanje odraslih, kao sredstava za dostizanje održivog razvoja, i za unapređenje obrazovnih i naučnih komponenti u visokom obrazovanju.</w:t>
      </w:r>
    </w:p>
    <w:p w14:paraId="193D90F3" w14:textId="77777777" w:rsidR="00047EF8" w:rsidRPr="00F563CD" w:rsidRDefault="00864F83"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bCs/>
          <w:sz w:val="20"/>
          <w:szCs w:val="20"/>
        </w:rPr>
        <w:t xml:space="preserve">Strategija za mlade 2017-2021 </w:t>
      </w:r>
      <w:r w:rsidRPr="00F563CD">
        <w:rPr>
          <w:rFonts w:asciiTheme="minorHAnsi" w:eastAsia="Calibri" w:hAnsiTheme="minorHAnsi" w:cs="Calibri"/>
          <w:bCs/>
          <w:sz w:val="20"/>
          <w:szCs w:val="20"/>
        </w:rPr>
        <w:t xml:space="preserve">definiše ključne prioritete i sistem podrške za mlade ljude koji su na prelazu u odraslo doba. Ovaj dokument definiše 6 prioriteta koji su relevantni za mlade ljude u Crnoj Gori: </w:t>
      </w:r>
      <w:r w:rsidRPr="00F563CD">
        <w:rPr>
          <w:rFonts w:asciiTheme="minorHAnsi" w:eastAsia="Calibri" w:hAnsiTheme="minorHAnsi" w:cs="Calibri"/>
          <w:sz w:val="20"/>
          <w:szCs w:val="20"/>
        </w:rPr>
        <w:t>(1) mladi ljudi postižu ekonomsku i socijalnu sigurnost kroz unaprijeđeni pristup tržištu rada i zapošljavanja, (2) mladi ljudi imaju pristup kvalitetnom obrazovanju, (3) mladi ljudi su aktivni građani, koji su angažovani, motivisani, proaktivni i učestvuju u procesima odlučivanja i razvoja za prelazak u odraslo doba i samorealizaciju, (5) Mladi ljudi imaju pristup kvalitetnim kulturnim sadržajima, kao stvaraoci i potrošači, (6) uspostavljen je normativni i institucionalni okvir za implementaciju politika za mlade.</w:t>
      </w:r>
    </w:p>
    <w:p w14:paraId="69EE8C66" w14:textId="77777777" w:rsidR="00A239C5" w:rsidRPr="00F563CD" w:rsidRDefault="00864F83"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sz w:val="20"/>
          <w:szCs w:val="20"/>
        </w:rPr>
        <w:t>Strategija za cjeloživotno preduzetničko učenje 2020-2024</w:t>
      </w:r>
      <w:r w:rsidRPr="00F563CD">
        <w:rPr>
          <w:rFonts w:asciiTheme="minorHAnsi" w:eastAsia="Calibri" w:hAnsiTheme="minorHAnsi" w:cs="Calibri"/>
          <w:sz w:val="20"/>
          <w:szCs w:val="20"/>
        </w:rPr>
        <w:t xml:space="preserve"> definiše sljedeće strateške ciljeve: 1) Unapređenje razvoja preduzetničkih kompetencija na svim nivoima formalnog obrazovanja, realizacija preduzetničkog učenja u okviru neformalnog obrazovanja, i 2) unaprijeđena efikasnost u funkcionisanju sistema preduzetničkog učenja. Ovi ciljevi će se realizovati kroz brojne mjere u okviru različitih sektora, koje će osigurati implementaciju politika i razvoj preduzetničkog učenja kao dominantni trend u cijelom društvu. </w:t>
      </w:r>
    </w:p>
    <w:p w14:paraId="7F8D01E3" w14:textId="77777777" w:rsidR="00047EF8" w:rsidRPr="00F563CD" w:rsidRDefault="00864F83" w:rsidP="00047EF8">
      <w:pPr>
        <w:spacing w:line="240" w:lineRule="auto"/>
        <w:jc w:val="both"/>
        <w:rPr>
          <w:rFonts w:asciiTheme="minorHAnsi" w:eastAsia="Calibri" w:hAnsiTheme="minorHAnsi" w:cs="Calibri"/>
          <w:sz w:val="20"/>
          <w:szCs w:val="20"/>
        </w:rPr>
      </w:pPr>
      <w:proofErr w:type="gramStart"/>
      <w:r w:rsidRPr="00F563CD">
        <w:rPr>
          <w:rFonts w:asciiTheme="minorHAnsi" w:eastAsia="Calibri" w:hAnsiTheme="minorHAnsi" w:cs="Calibri"/>
          <w:sz w:val="20"/>
          <w:szCs w:val="20"/>
        </w:rPr>
        <w:t>Izvještaj ,,Definicija</w:t>
      </w:r>
      <w:proofErr w:type="gramEnd"/>
      <w:r w:rsidRPr="00F563CD">
        <w:rPr>
          <w:rFonts w:asciiTheme="minorHAnsi" w:eastAsia="Calibri" w:hAnsiTheme="minorHAnsi" w:cs="Calibri"/>
          <w:sz w:val="20"/>
          <w:szCs w:val="20"/>
        </w:rPr>
        <w:t xml:space="preserve"> opsega i pojedinosti za </w:t>
      </w:r>
      <w:r w:rsidRPr="00F563CD">
        <w:rPr>
          <w:rFonts w:asciiTheme="minorHAnsi" w:hAnsiTheme="minorHAnsi"/>
          <w:sz w:val="20"/>
          <w:szCs w:val="20"/>
        </w:rPr>
        <w:t xml:space="preserve">potpunu </w:t>
      </w:r>
      <w:r w:rsidRPr="00F563CD">
        <w:rPr>
          <w:rStyle w:val="Emphasis"/>
          <w:rFonts w:asciiTheme="minorHAnsi" w:hAnsiTheme="minorHAnsi"/>
          <w:i w:val="0"/>
          <w:sz w:val="20"/>
          <w:szCs w:val="20"/>
        </w:rPr>
        <w:t>procjenu</w:t>
      </w:r>
      <w:r w:rsidRPr="00F563CD">
        <w:rPr>
          <w:rFonts w:asciiTheme="minorHAnsi" w:hAnsiTheme="minorHAnsi"/>
          <w:sz w:val="20"/>
          <w:szCs w:val="20"/>
        </w:rPr>
        <w:t xml:space="preserve"> nedostataka i </w:t>
      </w:r>
      <w:r w:rsidRPr="00F563CD">
        <w:rPr>
          <w:rStyle w:val="Emphasis"/>
          <w:rFonts w:asciiTheme="minorHAnsi" w:hAnsiTheme="minorHAnsi"/>
          <w:i w:val="0"/>
          <w:sz w:val="20"/>
          <w:szCs w:val="20"/>
        </w:rPr>
        <w:t>potreba</w:t>
      </w:r>
      <w:r w:rsidRPr="00F563CD">
        <w:rPr>
          <w:rFonts w:asciiTheme="minorHAnsi" w:hAnsiTheme="minorHAnsi"/>
          <w:sz w:val="20"/>
          <w:szCs w:val="20"/>
        </w:rPr>
        <w:t xml:space="preserve"> u </w:t>
      </w:r>
      <w:r w:rsidRPr="00F563CD">
        <w:rPr>
          <w:rStyle w:val="Emphasis"/>
          <w:rFonts w:asciiTheme="minorHAnsi" w:hAnsiTheme="minorHAnsi"/>
          <w:i w:val="0"/>
          <w:sz w:val="20"/>
          <w:szCs w:val="20"/>
        </w:rPr>
        <w:t xml:space="preserve">digitalnim vještinama na Zapadnom Balkanu’’, koji  je inicirao Savjet za regionalnu saradnju sadrži procjenu aktuelnog ekonomskog okruženja u okviru šest ekonomija – Albanija, Bosna i Hercegovina, </w:t>
      </w:r>
      <w:r w:rsidRPr="00F563CD">
        <w:rPr>
          <w:rFonts w:asciiTheme="minorHAnsi" w:eastAsia="Calibri" w:hAnsiTheme="minorHAnsi" w:cs="Calibri"/>
          <w:sz w:val="20"/>
          <w:szCs w:val="20"/>
        </w:rPr>
        <w:t xml:space="preserve">Kosovo*, Crna Gora, Republika Sjeverna Makedonija i Srbija, za potrebe podrške pripremi metodološkog okvira za potpunu procjenu potreba i praznina u digitalnim vještinama, u ekonomijama pojedinačnih država. Ova procjena će pružiti podršku Zapadnom Balkanu u definisanju opsega i pojedinosti potpune procjene </w:t>
      </w:r>
      <w:r w:rsidRPr="00F563CD">
        <w:rPr>
          <w:rFonts w:asciiTheme="minorHAnsi" w:hAnsiTheme="minorHAnsi"/>
          <w:sz w:val="20"/>
          <w:szCs w:val="20"/>
        </w:rPr>
        <w:t xml:space="preserve">nedostataka i </w:t>
      </w:r>
      <w:r w:rsidRPr="00F563CD">
        <w:rPr>
          <w:rStyle w:val="Emphasis"/>
          <w:rFonts w:asciiTheme="minorHAnsi" w:hAnsiTheme="minorHAnsi"/>
          <w:i w:val="0"/>
          <w:sz w:val="20"/>
          <w:szCs w:val="20"/>
        </w:rPr>
        <w:t>potreba</w:t>
      </w:r>
      <w:r w:rsidRPr="00F563CD">
        <w:rPr>
          <w:rFonts w:asciiTheme="minorHAnsi" w:hAnsiTheme="minorHAnsi"/>
          <w:sz w:val="20"/>
          <w:szCs w:val="20"/>
        </w:rPr>
        <w:t xml:space="preserve"> u </w:t>
      </w:r>
      <w:r w:rsidRPr="00F563CD">
        <w:rPr>
          <w:rStyle w:val="Emphasis"/>
          <w:rFonts w:asciiTheme="minorHAnsi" w:hAnsiTheme="minorHAnsi"/>
          <w:i w:val="0"/>
          <w:sz w:val="20"/>
          <w:szCs w:val="20"/>
        </w:rPr>
        <w:t xml:space="preserve">digitalnim vještinama, sa fokusom na ključnim ciljnim grupama za ekonomiju svake od država, ali uzimajući u obzir razvoj događaja i strateške ciljeve za svaku od njih. U izvještaju je istaknuto da je Crna Gora usvojila brojne strategije i programe u oblasti ekonomskog razvoja, obrazovanja, zapošljavanja, informacionog društva, itd, koji su relevantni za digitalne vještine, međutim uz ograničenu prioritizaciju sektora, kao i da je Strategija pametne specijalizacije relevantna jer pruža pozitivan i relevantan primjer prioritizacije sektora. </w:t>
      </w:r>
    </w:p>
    <w:p w14:paraId="5F8E63B0" w14:textId="77777777" w:rsidR="00047EF8" w:rsidRPr="00F563CD" w:rsidRDefault="00864F83"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Kako bi se dodatno unaprijedio sistem obrazovanja, </w:t>
      </w:r>
      <w:r w:rsidRPr="00F563CD">
        <w:rPr>
          <w:rFonts w:asciiTheme="minorHAnsi" w:eastAsia="Calibri" w:hAnsiTheme="minorHAnsi" w:cs="Calibri"/>
          <w:b/>
          <w:sz w:val="20"/>
          <w:szCs w:val="20"/>
        </w:rPr>
        <w:t>Program ekonomskih reformi</w:t>
      </w:r>
      <w:r w:rsidRPr="00F563CD">
        <w:rPr>
          <w:rFonts w:asciiTheme="minorHAnsi" w:eastAsia="Calibri" w:hAnsiTheme="minorHAnsi" w:cs="Calibri"/>
          <w:sz w:val="20"/>
          <w:szCs w:val="20"/>
        </w:rPr>
        <w:t xml:space="preserve"> </w:t>
      </w:r>
      <w:r w:rsidRPr="00F563CD">
        <w:rPr>
          <w:rFonts w:asciiTheme="minorHAnsi" w:eastAsia="Calibri" w:hAnsiTheme="minorHAnsi" w:cs="Calibri"/>
          <w:b/>
          <w:sz w:val="20"/>
          <w:szCs w:val="20"/>
        </w:rPr>
        <w:t>2021-2023</w:t>
      </w:r>
      <w:r w:rsidRPr="00F563CD">
        <w:rPr>
          <w:rFonts w:asciiTheme="minorHAnsi" w:eastAsia="Calibri" w:hAnsiTheme="minorHAnsi" w:cs="Calibri"/>
          <w:sz w:val="20"/>
          <w:szCs w:val="20"/>
        </w:rPr>
        <w:t xml:space="preserve"> predviđa mjere za 1) uspostavljanje sistema kontinuiranog monitoringa kvaliteta praktičnog obrazovanja kod poslodavaca i 2) reformu programa osnovnih i master studija sa posebnim fokusom na praktičnoj nastavi. Uspješna implementacija ovih mjera olakšaće mladim ljudima iz stručnih škola prelaz na tržište rada, umanjiće rizik od nezaposlenosti za učenike koji su završili stručno obrazovanje i obezbijediće bolje priznavanje bečelor i master kvalifikacija, što će rezultirati visokim stepenom zapošljavanja lica sa stečenim visokim obrazovanjem i većim brojem ugovora sa poslodavcima u cilju praktične obuke, dok će uvođenje digitalizacije unaprijediti rad samih institucija i poboljšaće vidljivost na tržištu rada.</w:t>
      </w:r>
    </w:p>
    <w:p w14:paraId="74934B73" w14:textId="77777777" w:rsidR="00047EF8" w:rsidRPr="00F563CD" w:rsidRDefault="00864F83"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bCs/>
          <w:sz w:val="20"/>
          <w:szCs w:val="20"/>
        </w:rPr>
        <w:t xml:space="preserve">Master plan razvoja zdravstva u Crnoj Gori 2015-2020. </w:t>
      </w:r>
      <w:r w:rsidRPr="00F563CD">
        <w:rPr>
          <w:rFonts w:asciiTheme="minorHAnsi" w:hAnsiTheme="minorHAnsi"/>
          <w:sz w:val="20"/>
          <w:szCs w:val="20"/>
        </w:rPr>
        <w:t xml:space="preserve">Crna Gora je prošla kroz „epidemiološku </w:t>
      </w:r>
      <w:proofErr w:type="gramStart"/>
      <w:r w:rsidRPr="00F563CD">
        <w:rPr>
          <w:rFonts w:asciiTheme="minorHAnsi" w:hAnsiTheme="minorHAnsi"/>
          <w:sz w:val="20"/>
          <w:szCs w:val="20"/>
        </w:rPr>
        <w:t>tranziciju“</w:t>
      </w:r>
      <w:proofErr w:type="gramEnd"/>
      <w:r w:rsidRPr="00F563CD">
        <w:rPr>
          <w:rFonts w:asciiTheme="minorHAnsi" w:hAnsiTheme="minorHAnsi"/>
          <w:sz w:val="20"/>
          <w:szCs w:val="20"/>
        </w:rPr>
        <w:t>, te veći teret bolesti za stanovnišvo, već decenijama, predstavljaju nezarazne umjesto zaraznih bolesti. Ipak, još uvijek postoje izazovi koji se vezuju za unaprijeđenje zdravlja stanovništva u dijelu zaraznih bolesti. Pored svakodnevne potrebe za nadzorom, prevencijom, brzim otkrivanjem, liječenjem, kontrolom i suzbijanjem uobičajenih oboljenja zarazne etiologije, postoje i različite savremene „</w:t>
      </w:r>
      <w:proofErr w:type="gramStart"/>
      <w:r w:rsidRPr="00F563CD">
        <w:rPr>
          <w:rFonts w:asciiTheme="minorHAnsi" w:hAnsiTheme="minorHAnsi"/>
          <w:sz w:val="20"/>
          <w:szCs w:val="20"/>
        </w:rPr>
        <w:t>prijetnje“</w:t>
      </w:r>
      <w:proofErr w:type="gramEnd"/>
      <w:r w:rsidRPr="00F563CD">
        <w:rPr>
          <w:rFonts w:asciiTheme="minorHAnsi" w:hAnsiTheme="minorHAnsi"/>
          <w:sz w:val="20"/>
          <w:szCs w:val="20"/>
        </w:rPr>
        <w:t xml:space="preserve">, kao što su novotkriveni patogeni i oboljenja koja oni izaziviju, kao i bolesti koje ponovo postaju aktuelne usljed promjena u čovjekovoj sredini. Sve veći značaj ima i saradnja sa drugim državama, prije svega onima u okruženju, ali i drugim državama svijeta zbog povećanog broja putnika u međunarodnom saobraćaju, te povećanog rizika od importacije bolesti i izbijanja eventualnih epidemija – kao što je aktuelna epidemija virusa </w:t>
      </w:r>
      <w:r w:rsidRPr="00F563CD">
        <w:rPr>
          <w:rFonts w:asciiTheme="minorHAnsi" w:eastAsia="Calibri" w:hAnsiTheme="minorHAnsi" w:cs="Calibri"/>
          <w:sz w:val="20"/>
          <w:szCs w:val="20"/>
        </w:rPr>
        <w:t>COVID-19.</w:t>
      </w:r>
    </w:p>
    <w:p w14:paraId="51C265ED" w14:textId="77777777" w:rsidR="00047EF8" w:rsidRPr="00F563CD" w:rsidRDefault="00864F83" w:rsidP="00047EF8">
      <w:pPr>
        <w:spacing w:line="240" w:lineRule="auto"/>
        <w:jc w:val="both"/>
        <w:rPr>
          <w:rFonts w:asciiTheme="minorHAnsi" w:hAnsiTheme="minorHAnsi"/>
          <w:sz w:val="20"/>
          <w:szCs w:val="20"/>
        </w:rPr>
      </w:pPr>
      <w:r w:rsidRPr="00F563CD">
        <w:rPr>
          <w:rFonts w:asciiTheme="minorHAnsi" w:eastAsia="Calibri" w:hAnsiTheme="minorHAnsi" w:cs="Calibri"/>
          <w:sz w:val="20"/>
          <w:szCs w:val="20"/>
        </w:rPr>
        <w:lastRenderedPageBreak/>
        <w:t xml:space="preserve">Prevencija i kontrola zaraznih bolesti predstavljaju jednu od ključnih oblasti koje su identifikovane u Master planu. </w:t>
      </w:r>
      <w:r w:rsidRPr="00F563CD">
        <w:rPr>
          <w:rFonts w:asciiTheme="minorHAnsi" w:hAnsiTheme="minorHAnsi"/>
          <w:sz w:val="20"/>
          <w:szCs w:val="20"/>
        </w:rPr>
        <w:t xml:space="preserve">Kao i druge zemlje u tranziciji, Crna Gora se suočava sa zdravstvenim prijetnjama još od 90-ih godina. Razni faktori, koji su posljedično izazvali makroekonomsku krizu, imali su negativan uticaj na zdravstveno stanje stanovništva. U okviru epidemiološke tranzicije, kroz koju prolazi i Crna Gora, povećano je opterećenje hroničnim nezaraznim bolestima, ali poslednjih decenija sve češće smo svjedoci da opasnost od zaraznih bolesti nije prošla. Iako su napredak u razvoju i korišćenju vakcina radi prevencije zaraznih bolesti, terapije za njihovo liječenje, kao i poboljšanje opštih higijenskih uslova doveli do smanjenja obolijevanja i umiranja od zaraznih bolesti, neophodno je vršiti kontinuirani nadzor i kontrolu nad zaraznim bolestima i preduzimati sve mjere, imajući na umu povećane prekogranične prijetnje od zaraznih bolesti (turizam, trgovina, azil). </w:t>
      </w:r>
    </w:p>
    <w:p w14:paraId="29CD0559" w14:textId="77777777" w:rsidR="00047EF8" w:rsidRPr="00F563CD" w:rsidRDefault="00864F83" w:rsidP="00047EF8">
      <w:pPr>
        <w:spacing w:after="0" w:line="240" w:lineRule="auto"/>
        <w:jc w:val="both"/>
        <w:rPr>
          <w:rFonts w:asciiTheme="minorHAnsi" w:hAnsiTheme="minorHAnsi" w:cs="Calibri"/>
          <w:color w:val="000000"/>
          <w:sz w:val="20"/>
          <w:szCs w:val="20"/>
          <w:lang w:val="fr-BE"/>
        </w:rPr>
      </w:pPr>
      <w:r w:rsidRPr="00F563CD">
        <w:rPr>
          <w:rFonts w:asciiTheme="minorHAnsi" w:hAnsiTheme="minorHAnsi" w:cs="Calibri"/>
          <w:b/>
          <w:bCs/>
          <w:color w:val="000000"/>
          <w:sz w:val="20"/>
          <w:szCs w:val="20"/>
          <w:lang w:val="fr-BE"/>
        </w:rPr>
        <w:t>Strategija za razvoj zdravstva 2022-2026 </w:t>
      </w:r>
      <w:r w:rsidRPr="00F563CD">
        <w:rPr>
          <w:rFonts w:asciiTheme="minorHAnsi" w:hAnsiTheme="minorHAnsi" w:cs="Calibri"/>
          <w:color w:val="000000"/>
          <w:sz w:val="20"/>
          <w:szCs w:val="20"/>
          <w:lang w:val="fr-BE"/>
        </w:rPr>
        <w:t xml:space="preserve">je trenutno u pripremi. Strategija će identifikovati glavne praznine i nedostatke u funkcionisanju zdravstvenog sistema i definisaće aktivnosti neophodne za unapređenje stanja u predstojećem periodu. Pandemija virusa </w:t>
      </w:r>
      <w:r w:rsidRPr="00F563CD">
        <w:rPr>
          <w:rFonts w:asciiTheme="minorHAnsi" w:eastAsia="Calibri" w:hAnsiTheme="minorHAnsi" w:cs="Calibri"/>
          <w:sz w:val="20"/>
          <w:szCs w:val="20"/>
          <w:lang w:val="fr-BE"/>
        </w:rPr>
        <w:t>COVID-19 otvorila je nekoliko pitanja, prije svega ona koja se odnose na odgovor na prethodnu epidemiju gripa/pandemiju, kao i na međunarodne zdravstvene propise. Većina država u Evropskom regionu SZO doživjele su neuspjeh i stoga je potreban angažman kako bi se takve situacije preduprijedile u budućnosti, odnosno kako bi se umanjio njihov uticaj.</w:t>
      </w:r>
    </w:p>
    <w:p w14:paraId="3952EF6A" w14:textId="77777777" w:rsidR="00047EF8" w:rsidRPr="00F563CD" w:rsidRDefault="00047EF8" w:rsidP="00047EF8">
      <w:pPr>
        <w:spacing w:after="0" w:line="240" w:lineRule="auto"/>
        <w:rPr>
          <w:rFonts w:asciiTheme="minorHAnsi" w:hAnsiTheme="minorHAnsi"/>
          <w:sz w:val="24"/>
          <w:szCs w:val="24"/>
          <w:lang w:val="fr-BE"/>
        </w:rPr>
      </w:pPr>
    </w:p>
    <w:p w14:paraId="3DB7854F" w14:textId="77777777" w:rsidR="00047EF8" w:rsidRPr="00F563CD" w:rsidRDefault="00864F83" w:rsidP="00047EF8">
      <w:pPr>
        <w:spacing w:line="240" w:lineRule="auto"/>
        <w:jc w:val="both"/>
        <w:rPr>
          <w:rFonts w:asciiTheme="minorHAnsi" w:eastAsia="Calibri" w:hAnsiTheme="minorHAnsi" w:cs="Calibri"/>
          <w:sz w:val="20"/>
          <w:szCs w:val="20"/>
          <w:lang w:val="fr-BE"/>
        </w:rPr>
      </w:pPr>
      <w:r w:rsidRPr="00F563CD">
        <w:rPr>
          <w:rFonts w:asciiTheme="minorHAnsi" w:hAnsiTheme="minorHAnsi"/>
          <w:b/>
          <w:bCs/>
          <w:sz w:val="20"/>
          <w:szCs w:val="20"/>
          <w:lang w:val="fr-BE"/>
        </w:rPr>
        <w:t>Strategija za ostvarivanje prava djeteta u Crnoj Gori 2019-2023,</w:t>
      </w:r>
      <w:r w:rsidRPr="00F563CD">
        <w:rPr>
          <w:rFonts w:asciiTheme="minorHAnsi" w:hAnsiTheme="minorHAnsi"/>
          <w:sz w:val="20"/>
          <w:szCs w:val="20"/>
          <w:lang w:val="fr-BE"/>
        </w:rPr>
        <w:t xml:space="preserve"> u skladu sa svojim strateškim ciljevima, teži unapređenju pristupa i kvaliteta socijalne i zdravstvene zaštite i obrazovanja za svu djecu. </w:t>
      </w:r>
    </w:p>
    <w:p w14:paraId="4481EC55" w14:textId="77777777" w:rsidR="00047EF8" w:rsidRPr="00F563CD" w:rsidRDefault="00864F83" w:rsidP="00047EF8">
      <w:pPr>
        <w:spacing w:line="240" w:lineRule="auto"/>
        <w:jc w:val="both"/>
        <w:rPr>
          <w:rFonts w:asciiTheme="minorHAnsi" w:eastAsia="Calibri" w:hAnsiTheme="minorHAnsi" w:cs="Calibri"/>
          <w:b/>
          <w:bCs/>
          <w:i/>
          <w:iCs/>
          <w:sz w:val="20"/>
          <w:szCs w:val="20"/>
          <w:lang w:val="fr-BE"/>
        </w:rPr>
      </w:pPr>
      <w:r w:rsidRPr="00F563CD">
        <w:rPr>
          <w:rFonts w:asciiTheme="minorHAnsi" w:eastAsia="Calibri" w:hAnsiTheme="minorHAnsi" w:cs="Calibri"/>
          <w:b/>
          <w:bCs/>
          <w:i/>
          <w:iCs/>
          <w:sz w:val="20"/>
          <w:szCs w:val="20"/>
          <w:lang w:val="fr-BE"/>
        </w:rPr>
        <w:t xml:space="preserve">Tematski cilj </w:t>
      </w:r>
      <w:proofErr w:type="gramStart"/>
      <w:r w:rsidRPr="00F563CD">
        <w:rPr>
          <w:rFonts w:asciiTheme="minorHAnsi" w:eastAsia="Calibri" w:hAnsiTheme="minorHAnsi" w:cs="Calibri"/>
          <w:b/>
          <w:bCs/>
          <w:i/>
          <w:iCs/>
          <w:sz w:val="20"/>
          <w:szCs w:val="20"/>
          <w:lang w:val="fr-BE"/>
        </w:rPr>
        <w:t>1:</w:t>
      </w:r>
      <w:proofErr w:type="gramEnd"/>
      <w:r w:rsidRPr="00F563CD">
        <w:rPr>
          <w:rFonts w:asciiTheme="minorHAnsi" w:eastAsia="Calibri" w:hAnsiTheme="minorHAnsi" w:cs="Calibri"/>
          <w:b/>
          <w:bCs/>
          <w:i/>
          <w:iCs/>
          <w:sz w:val="20"/>
          <w:szCs w:val="20"/>
          <w:lang w:val="fr-BE"/>
        </w:rPr>
        <w:t xml:space="preserve"> Obrazovanje, zapošljavanje, politike koje se odnose na socijalnu zaštitu i inkluziju i  zdravlje</w:t>
      </w:r>
    </w:p>
    <w:p w14:paraId="47546167" w14:textId="77777777" w:rsidR="00047EF8" w:rsidRPr="00F563CD" w:rsidRDefault="00864F83"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Opšti cilj podrške EU u okviru Prozora 4 odnosi se na osnaživanje ekonomskog i društvenog razvoja, između ostalog i kroz </w:t>
      </w:r>
      <w:r w:rsidRPr="00F563CD">
        <w:rPr>
          <w:rFonts w:asciiTheme="minorHAnsi" w:eastAsia="Calibri" w:hAnsiTheme="minorHAnsi" w:cs="Calibri"/>
          <w:b/>
          <w:sz w:val="20"/>
          <w:szCs w:val="20"/>
          <w:lang w:val="fr-BE"/>
        </w:rPr>
        <w:t>obrazovanje, inovacije, socijalnu inkluziju i politike zapošljavanja</w:t>
      </w:r>
      <w:r w:rsidRPr="00F563CD">
        <w:rPr>
          <w:rFonts w:asciiTheme="minorHAnsi" w:eastAsia="Calibri" w:hAnsiTheme="minorHAnsi" w:cs="Calibri"/>
          <w:sz w:val="20"/>
          <w:szCs w:val="20"/>
          <w:lang w:val="fr-BE"/>
        </w:rPr>
        <w:t xml:space="preserve">. Potrebno je uzeti u razmatranje rodnu ravnopravnost, umanjivanje nejednakosti i osnaživanje društvene kohezije. </w:t>
      </w:r>
    </w:p>
    <w:p w14:paraId="0B29952C" w14:textId="77777777" w:rsidR="00047EF8" w:rsidRPr="00F563CD" w:rsidRDefault="00864F83"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b/>
          <w:bCs/>
          <w:sz w:val="20"/>
          <w:szCs w:val="20"/>
          <w:lang w:val="fr-BE"/>
        </w:rPr>
        <w:t>Specifični cilj u okviru perspektive IPA III</w:t>
      </w:r>
      <w:r w:rsidRPr="00F563CD">
        <w:rPr>
          <w:rFonts w:asciiTheme="minorHAnsi" w:eastAsia="Calibri" w:hAnsiTheme="minorHAnsi" w:cs="Calibri"/>
          <w:sz w:val="20"/>
          <w:szCs w:val="20"/>
          <w:lang w:val="fr-BE"/>
        </w:rPr>
        <w:t xml:space="preserve"> u ovoj oblasti jeste unapređenje pristupa obrazovanju i njegovog kvaliteta, uključujući stručno obrazovanje i obuke, učešće u programima obrazovanja i njege u ranom djetinjstvu, i cjeloživotno učenje na svim nivoima. IPA III ima za cilj i da pospješi kvalitetno zapošljavanje i pristup tržištu rada, da umanji neformalno zapošljavanje, i da promoviše jednakost i antidiskriminaciju, socijalnu zaštitu i inkluziju, kao i borbu protiv siromaštva.  Za potrebe dostizanja ovih standarda, IPA III pruža podršku u sljedećim </w:t>
      </w:r>
      <w:proofErr w:type="gramStart"/>
      <w:r w:rsidRPr="00F563CD">
        <w:rPr>
          <w:rFonts w:asciiTheme="minorHAnsi" w:eastAsia="Calibri" w:hAnsiTheme="minorHAnsi" w:cs="Calibri"/>
          <w:sz w:val="20"/>
          <w:szCs w:val="20"/>
          <w:lang w:val="fr-BE"/>
        </w:rPr>
        <w:t>oblastima:</w:t>
      </w:r>
      <w:proofErr w:type="gramEnd"/>
    </w:p>
    <w:p w14:paraId="554C69E9"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Dostizanje visokih nivoa zaposlenosti, pravedne socijalne zaštite i obučene i fleksibilne radne snage, koja može da odgovori na potrebe budućeg tržišta </w:t>
      </w:r>
      <w:proofErr w:type="gramStart"/>
      <w:r w:rsidRPr="00F563CD">
        <w:rPr>
          <w:rFonts w:asciiTheme="minorHAnsi" w:eastAsia="Calibri" w:hAnsiTheme="minorHAnsi" w:cs="Calibri"/>
          <w:sz w:val="20"/>
          <w:szCs w:val="20"/>
          <w:lang w:val="fr-BE"/>
        </w:rPr>
        <w:t>rada;</w:t>
      </w:r>
      <w:proofErr w:type="gramEnd"/>
    </w:p>
    <w:p w14:paraId="6F8800EF"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Pružanje jednakih mogućnosti, omogućavanje pristupa tržištu rada, pravednih uslova za rad, socijalne zaštite i inkluzije, visok nivo zdravstvene zaštite, uključujući i mjere kojima se odgovara na izazove nakon pandemije virusa COVID-</w:t>
      </w:r>
      <w:proofErr w:type="gramStart"/>
      <w:r w:rsidRPr="00F563CD">
        <w:rPr>
          <w:rFonts w:asciiTheme="minorHAnsi" w:eastAsia="Calibri" w:hAnsiTheme="minorHAnsi" w:cs="Calibri"/>
          <w:sz w:val="20"/>
          <w:szCs w:val="20"/>
          <w:lang w:val="fr-BE"/>
        </w:rPr>
        <w:t>19;</w:t>
      </w:r>
      <w:proofErr w:type="gramEnd"/>
    </w:p>
    <w:p w14:paraId="4F98C33D"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Podrška obrazovanju koje je kvalitetno, djelotvorno, i relevantno za tržište rada, uključujući i stručno obrazovanje i sistem obuka koje će pojedincima pružiti vještine neophodne za proces digitalizacije, tehnološke promjene, inovacije i ekonomske promjene. Ovo podrazumijeva i podršku pojedincima sa niskim nivoom vještina/koji su niskokvalifikovani.</w:t>
      </w:r>
    </w:p>
    <w:p w14:paraId="3286E316"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Obezbijediti kvalitetnu ponudu u pogledu zapošljavanja, kontinuiranog obrazovanja, stažiranja, pripravničkog staža za mlade, što će omogućiti razvoj vještina, zapošljivost, kako bi se lica izborila sa statusom isključenosti sa tržišta rada i društvenog tržišta, kroz djelotvornu koordinaciju i partnerstva u okviru raznih oblasti politika, koje su relevantne za zapošljavanje, obrazovanje, mlade, rodnu ravnopravnost i društvena </w:t>
      </w:r>
      <w:proofErr w:type="gramStart"/>
      <w:r w:rsidRPr="00F563CD">
        <w:rPr>
          <w:rFonts w:asciiTheme="minorHAnsi" w:eastAsia="Calibri" w:hAnsiTheme="minorHAnsi" w:cs="Calibri"/>
          <w:sz w:val="20"/>
          <w:szCs w:val="20"/>
          <w:lang w:val="fr-BE"/>
        </w:rPr>
        <w:t>pitanja;</w:t>
      </w:r>
      <w:proofErr w:type="gramEnd"/>
    </w:p>
    <w:p w14:paraId="7BC29A5B"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Pružiti podršku reformama koje će unaprijediti upravljanje i finansijske sisteme socijalnih politika, sisteme zapošljavanja i obrazovanja, a u cilju jačanja međusektorske saradnje i unapređenja ishoda obrazovanja i tržišta </w:t>
      </w:r>
      <w:proofErr w:type="gramStart"/>
      <w:r w:rsidRPr="00F563CD">
        <w:rPr>
          <w:rFonts w:asciiTheme="minorHAnsi" w:eastAsia="Calibri" w:hAnsiTheme="minorHAnsi" w:cs="Calibri"/>
          <w:sz w:val="20"/>
          <w:szCs w:val="20"/>
          <w:lang w:val="fr-BE"/>
        </w:rPr>
        <w:t>rada;</w:t>
      </w:r>
      <w:proofErr w:type="gramEnd"/>
    </w:p>
    <w:p w14:paraId="73A88D51"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Unaprijediti pristup programima kvalitetnog obrazovanja, sa posebnim fokusom na obukama za nastavni kadar, školsku upravu, trenere, kao i pružaoce obrazovanja i obuka za odrasle, na upravljanju i izradi strateških </w:t>
      </w:r>
      <w:proofErr w:type="gramStart"/>
      <w:r w:rsidRPr="00F563CD">
        <w:rPr>
          <w:rFonts w:asciiTheme="minorHAnsi" w:eastAsia="Calibri" w:hAnsiTheme="minorHAnsi" w:cs="Calibri"/>
          <w:sz w:val="20"/>
          <w:szCs w:val="20"/>
          <w:lang w:val="fr-BE"/>
        </w:rPr>
        <w:t>politika;</w:t>
      </w:r>
      <w:proofErr w:type="gramEnd"/>
    </w:p>
    <w:p w14:paraId="24424ACC"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Održati kontinuitet reformi u socijalnom sektoru i modernizaciju pravnog i regulatornog okvira, radi osavremenjivanja politika zapošljavanja i sistema socijalnog osiguranja za potrebe zapošljavanja, čime se obezbjeđuju podsticaji za formalno zapošljavanje, i osigurati djelotvornost mjera u borbi protiv neformalne ekonomije, uključujući i neprijavljeni rad. </w:t>
      </w:r>
    </w:p>
    <w:p w14:paraId="1E3C3D04"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Posvetiti pažnju uspostavljanju stabilnih veza između obrazovanja i razvoja vještina, kao i procesu razvoja širokog spektra aktivnih politika tržišta rada, radi podsticanja učešća na tržištu rada i zapošljavanja, naročito za mlade, žene i pojedince koji su isključeni sa tržišta rada.</w:t>
      </w:r>
    </w:p>
    <w:p w14:paraId="07FD922E"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Omogućiti jednaki pristup finansiranju inovativnih mikropreduzeća, socijalne ekonomije i društvenih preduzeća, kao pomoć u zapošljavanju ranjivih grupacija, i kako bi se olakšao proces osnivanja preduzeća, naročito među pojedincima koji su najviše udaljeni sa tržišta rada.</w:t>
      </w:r>
    </w:p>
    <w:p w14:paraId="25DDAC61"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lastRenderedPageBreak/>
        <w:t>Pružiti podršku razvoju socijalne zaštite i inkluzivnih politika, kao i održivih mehanizama njihovog finansiranja, uključujući i zdravstveno osiguranje i naknade za nezaposlene, kao i uspostavljanje sistema Garancija za dijete i njegovo sprovođenje.</w:t>
      </w:r>
    </w:p>
    <w:p w14:paraId="442ACB85"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Fokus na osnaživanju mogućnosti za zapošljavanje žena, mladih i lica s invaliditetom, uz rješavanje socijalnih pitanja i pitanja zapošljavanja za manjine, uključujući i romsku zajednicu, sa posebnim naglaskom na prevazilaženju posljedica pandemije virusa COVID-19, i mogućnosti za zapošljavanje pripadnika osjetljivih grupa.</w:t>
      </w:r>
    </w:p>
    <w:p w14:paraId="38CE95B1" w14:textId="77777777" w:rsidR="00047EF8" w:rsidRPr="00F563CD" w:rsidRDefault="00864F83" w:rsidP="00047EF8">
      <w:pPr>
        <w:numPr>
          <w:ilvl w:val="0"/>
          <w:numId w:val="37"/>
        </w:numPr>
        <w:spacing w:line="240" w:lineRule="auto"/>
        <w:ind w:left="426"/>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Doprinos reformama zdravstvenog sistema u pogledu veće pokrivenosti populacije i podizanje standarda zaštite.</w:t>
      </w:r>
    </w:p>
    <w:p w14:paraId="6851821D" w14:textId="77777777" w:rsidR="00047EF8" w:rsidRPr="00F563CD" w:rsidRDefault="00047EF8" w:rsidP="00047EF8">
      <w:pPr>
        <w:spacing w:line="240" w:lineRule="auto"/>
        <w:contextualSpacing/>
        <w:jc w:val="both"/>
        <w:rPr>
          <w:rFonts w:asciiTheme="minorHAnsi" w:eastAsia="Calibri" w:hAnsiTheme="minorHAnsi" w:cs="Calibri"/>
          <w:sz w:val="20"/>
          <w:szCs w:val="20"/>
          <w:highlight w:val="magenta"/>
          <w:lang w:val="fr-BE"/>
        </w:rPr>
      </w:pPr>
    </w:p>
    <w:p w14:paraId="19F97212" w14:textId="77777777" w:rsidR="00047EF8" w:rsidRPr="00F563CD" w:rsidRDefault="00864F83" w:rsidP="00047EF8">
      <w:pPr>
        <w:spacing w:line="240" w:lineRule="auto"/>
        <w:jc w:val="both"/>
        <w:rPr>
          <w:rFonts w:asciiTheme="minorHAnsi" w:eastAsia="Calibri" w:hAnsiTheme="minorHAnsi" w:cs="Calibri"/>
          <w:b/>
          <w:bCs/>
          <w:iCs/>
          <w:sz w:val="20"/>
          <w:szCs w:val="20"/>
          <w:u w:val="single"/>
          <w:lang w:val="fr-BE"/>
        </w:rPr>
      </w:pPr>
      <w:r w:rsidRPr="00F563CD">
        <w:rPr>
          <w:rFonts w:asciiTheme="minorHAnsi" w:eastAsia="Calibri" w:hAnsiTheme="minorHAnsi" w:cs="Calibri"/>
          <w:b/>
          <w:bCs/>
          <w:iCs/>
          <w:sz w:val="20"/>
          <w:szCs w:val="20"/>
          <w:u w:val="single"/>
          <w:lang w:val="fr-BE"/>
        </w:rPr>
        <w:t>Obrazovanje</w:t>
      </w:r>
    </w:p>
    <w:p w14:paraId="1199E6B9" w14:textId="77777777" w:rsidR="00047EF8" w:rsidRPr="00F563CD" w:rsidRDefault="00864F83"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Niže navedene strategije su u potpunosti usaglašene s opštim ciljem Prozora 4 i specifičnim ciljem za TP</w:t>
      </w:r>
      <w:proofErr w:type="gramStart"/>
      <w:r w:rsidRPr="00F563CD">
        <w:rPr>
          <w:rFonts w:asciiTheme="minorHAnsi" w:eastAsia="Calibri" w:hAnsiTheme="minorHAnsi" w:cs="Calibri"/>
          <w:sz w:val="20"/>
          <w:szCs w:val="20"/>
          <w:lang w:val="fr-BE"/>
        </w:rPr>
        <w:t>1:</w:t>
      </w:r>
      <w:proofErr w:type="gramEnd"/>
      <w:r w:rsidRPr="00F563CD">
        <w:rPr>
          <w:rFonts w:asciiTheme="minorHAnsi" w:eastAsia="Calibri" w:hAnsiTheme="minorHAnsi" w:cs="Calibri"/>
          <w:sz w:val="20"/>
          <w:szCs w:val="20"/>
          <w:lang w:val="fr-BE"/>
        </w:rPr>
        <w:t xml:space="preserve"> omogućavanje pristupa obrazovanju i unapređenje njegovog kvaliteta, uključujući i stručno obrazovanje i obuke, učešće u programima obrazovanja i njege u ranom djetinjstvu i cjeloživotno učenje na svim nivoima. IPA III ima za cilj i da tretira različite faze obrazovanja, od razvoja u ranom djetinjstvu, kroz primarno, sekundarno i tercijarno obrazovanje, uključujući i stručno obrazovanje, sve do obrazovanja odraslih i cjeloživotnog obrazovanja, kao i da time pruži podršku u pristupu tržištu rada i socijalnoj inkluziji. Nalazi i preporuke ustanovljene u pregledu za sektor obrazovanja, koji je sproveden u saradnji s UNICEF-om, biće adresirani kroz propratne strategije i akcione planove. Obrazovna politika u Crnoj Gori ima za cilj da (1) omogući da programi cjeloživotnog učenja budu dostupni svakom pojedincu, u skladu sa njegovim potencijalima, (2) da unaprijedi kvalitet i efikasnost obrazovanja i unaprijedi rezultate studenata i njihove kompetencije na osnovu primijenjenih i praktičnih znanja, (3) da unaprijedi stručna znanja i kompetencije nastavnog kadra, i tako poboljša kvalitet života za sve, stvaranjem uslova za ravnopravnost i socijalnu integraciju, uz podršku bržem zapošljavanju, napredovanju u karijeri, ekonomskom i društvenom razvoju. Niže su navedene najznačajnije strategije za oblast obrazovanja.</w:t>
      </w:r>
    </w:p>
    <w:p w14:paraId="5834F3F0" w14:textId="77777777" w:rsidR="00047EF8" w:rsidRPr="00F563CD" w:rsidRDefault="00864F83"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b/>
          <w:bCs/>
          <w:sz w:val="20"/>
          <w:szCs w:val="20"/>
          <w:lang w:val="fr-BE"/>
        </w:rPr>
        <w:t>Strategija ranog i predškolskog vaspitanja i obrazovanja 2021-2025</w:t>
      </w:r>
      <w:r w:rsidRPr="00F563CD">
        <w:rPr>
          <w:rFonts w:asciiTheme="minorHAnsi" w:eastAsia="Calibri" w:hAnsiTheme="minorHAnsi" w:cs="Calibri"/>
          <w:sz w:val="20"/>
          <w:szCs w:val="20"/>
          <w:lang w:val="fr-BE"/>
        </w:rPr>
        <w:t xml:space="preserve"> ima za cilj da pruži jednake mogućnosti za rani razvoj sve djece u Crnoj Gori, kroz dostupnosti unapređenje kvaliteta i jednakost </w:t>
      </w:r>
      <w:r w:rsidRPr="00F563CD">
        <w:rPr>
          <w:rFonts w:asciiTheme="minorHAnsi" w:eastAsia="Calibri" w:hAnsiTheme="minorHAnsi" w:cs="Calibri"/>
          <w:bCs/>
          <w:sz w:val="20"/>
          <w:szCs w:val="20"/>
          <w:lang w:val="fr-BE"/>
        </w:rPr>
        <w:t>predškolskog vaspitanja i obrazovanja, sa fokusom na unapređenju pokrivenosti, kvaliteta i jednakih mogućnosti.</w:t>
      </w:r>
    </w:p>
    <w:p w14:paraId="027F28E4" w14:textId="77777777" w:rsidR="00047EF8" w:rsidRPr="00F563CD" w:rsidRDefault="00864F83"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b/>
          <w:sz w:val="20"/>
          <w:szCs w:val="20"/>
          <w:lang w:val="fr-BE"/>
        </w:rPr>
        <w:t>Strategija inkluzivnog obrazovanja</w:t>
      </w:r>
      <w:r w:rsidRPr="00F563CD">
        <w:rPr>
          <w:rFonts w:asciiTheme="minorHAnsi" w:eastAsia="Calibri" w:hAnsiTheme="minorHAnsi" w:cs="Calibri"/>
          <w:b/>
          <w:bCs/>
          <w:sz w:val="20"/>
          <w:szCs w:val="20"/>
          <w:lang w:val="fr-BE"/>
        </w:rPr>
        <w:t xml:space="preserve"> (2019-2025) </w:t>
      </w:r>
      <w:r w:rsidR="00047EF8" w:rsidRPr="00F563CD">
        <w:rPr>
          <w:rFonts w:asciiTheme="minorHAnsi" w:eastAsia="Calibri" w:hAnsiTheme="minorHAnsi" w:cs="Calibri"/>
          <w:b/>
          <w:bCs/>
          <w:sz w:val="20"/>
          <w:szCs w:val="20"/>
          <w:vertAlign w:val="superscript"/>
        </w:rPr>
        <w:footnoteReference w:id="22"/>
      </w:r>
      <w:r w:rsidR="00047EF8" w:rsidRPr="00F563CD">
        <w:rPr>
          <w:rFonts w:asciiTheme="minorHAnsi" w:eastAsia="Calibri" w:hAnsiTheme="minorHAnsi" w:cs="Calibri"/>
          <w:sz w:val="20"/>
          <w:szCs w:val="20"/>
          <w:lang w:val="fr-BE"/>
        </w:rPr>
        <w:t xml:space="preserve"> definiše dalje pravce razvoja u obrazovanju djece sa posebnim obrazovnim potrebama. Vodeći princip ove strategije jeste da se unaprijedi, zaštiti i omogući potpuno i jednako učešće sve djece sa posebnim obrazovnim potrebama u programima inkluzivnog obrazovanja, bez diskriminacije, isključivanja, uz poštovanje principa jednakosti. Vizija ove strategije jeste da se djeci sa sa posebnim obrazovnim potrebama omogući dostupno i kvalitetno inkluzivno obrazovanje na svim nivoima. Stoga su ciljevi orjentisani ka dostupnosti, jednakosti, pravičnosti, kontinuitetu i kvalitetu.</w:t>
      </w:r>
    </w:p>
    <w:p w14:paraId="6350591D"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Nacrt </w:t>
      </w:r>
      <w:r w:rsidRPr="00F563CD">
        <w:rPr>
          <w:rFonts w:asciiTheme="minorHAnsi" w:eastAsia="Calibri" w:hAnsiTheme="minorHAnsi" w:cs="Calibri"/>
          <w:b/>
          <w:bCs/>
          <w:sz w:val="20"/>
          <w:szCs w:val="20"/>
          <w:lang w:val="fr-BE"/>
        </w:rPr>
        <w:t xml:space="preserve">Strategije za razvoj stručnog obrazovanja u Crnoj Gori  (2020-2024) </w:t>
      </w:r>
      <w:r w:rsidRPr="00F563CD">
        <w:rPr>
          <w:rFonts w:asciiTheme="minorHAnsi" w:eastAsia="Calibri" w:hAnsiTheme="minorHAnsi" w:cs="Calibri"/>
          <w:b/>
          <w:bCs/>
          <w:sz w:val="20"/>
          <w:szCs w:val="20"/>
          <w:vertAlign w:val="superscript"/>
        </w:rPr>
        <w:footnoteReference w:id="23"/>
      </w:r>
      <w:r w:rsidRPr="00F563CD">
        <w:rPr>
          <w:rFonts w:asciiTheme="minorHAnsi" w:eastAsia="Calibri" w:hAnsiTheme="minorHAnsi" w:cs="Calibri"/>
          <w:sz w:val="20"/>
          <w:szCs w:val="20"/>
          <w:lang w:val="fr-BE"/>
        </w:rPr>
        <w:t xml:space="preserve"> s Akcionim planom za period 2020 -2021, kao svoje strateške ciljeve definiše kvalitetan i inkluzivan sistem stručnog obrazovanja koji predstavlja osnov za cjeloživotno učenje, ekonomsku i socijalnu integraciju, lični i profesionalni razvoj pojedinca, s efikasnim sistemom upravljanja i finansiranja. Akcioni plan predlaže razvoj vještina i kompetencija u prioritetnim ekonomskim sektorima koji su prepoznati u Strategiji pametne specijalizacije Crne Gore 2019-2023.  Strategija je usaglašena s opštim ciljevima EU koji su definisani u preporukama Savjeta EU za stručno osposobljavanje i Deklaraciji iz Osnabrücka koja se odnosi na stručno osposobljavanje, kao i preporukama i mišljenju o stručnom obrazovanju i osposobljavanju u periodu nakon 2020. godine </w:t>
      </w:r>
      <w:r w:rsidRPr="00F563CD">
        <w:rPr>
          <w:rFonts w:asciiTheme="minorHAnsi" w:eastAsia="Calibri" w:hAnsiTheme="minorHAnsi" w:cs="Calibri"/>
          <w:sz w:val="20"/>
          <w:szCs w:val="20"/>
          <w:vertAlign w:val="superscript"/>
        </w:rPr>
        <w:footnoteReference w:id="24"/>
      </w:r>
      <w:r w:rsidRPr="00F563CD">
        <w:rPr>
          <w:rFonts w:asciiTheme="minorHAnsi" w:eastAsia="Calibri" w:hAnsiTheme="minorHAnsi" w:cs="Calibri"/>
          <w:sz w:val="20"/>
          <w:szCs w:val="20"/>
          <w:lang w:val="fr-BE"/>
        </w:rPr>
        <w:t xml:space="preserve">. Strateški ciljevi podrazumijevaju stručno obrazovanje koje je relevantno  za pojedince, tržište rada i društvo, koje je pristupačno i inovativno; podršku razvoju vještina, kompetencija i kvalifikacija za zapošljivost, cjeloživotno učenje, inkluziju, lični razvoj i građanski aktivizam, u skladu sa programskim okvirom IPA III koji će uključivati i podršku mladima i odraslima u oblasti zelene i digitalne ekonomije, uključujući i niskokvalifikovane i/ili slabo kvalifikovane pojedince i inkluziju onih u najnepovoljnijem položaju, kao što su djeca i marginalizovane zajednice. IPA III će nastaviti da pruža podršku reformama za unapređenje upravljanja i finansijskih sistema u okviru obrazovnih sistema, a u cilju jačanja međusektorske saradnje što spada pod strateški specifični cilj – Sveobuhvatno i djelotvorno stručno obrazovanje, sa sistemom upravljanja i finansiranja koji vode ka izvrsnosti i efikasnosti. </w:t>
      </w:r>
    </w:p>
    <w:p w14:paraId="1C77A6C6"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b/>
          <w:bCs/>
          <w:sz w:val="20"/>
          <w:szCs w:val="20"/>
          <w:lang w:val="fr-BE"/>
        </w:rPr>
        <w:lastRenderedPageBreak/>
        <w:t xml:space="preserve">Strategija obrazovanja nastavnika u Crnoj Gori (2017-2024) </w:t>
      </w:r>
      <w:r w:rsidRPr="00F563CD">
        <w:rPr>
          <w:rFonts w:asciiTheme="minorHAnsi" w:eastAsia="Calibri" w:hAnsiTheme="minorHAnsi" w:cs="Calibri"/>
          <w:b/>
          <w:bCs/>
          <w:sz w:val="20"/>
          <w:szCs w:val="20"/>
          <w:vertAlign w:val="superscript"/>
        </w:rPr>
        <w:footnoteReference w:id="25"/>
      </w:r>
      <w:r w:rsidRPr="00F563CD">
        <w:rPr>
          <w:rFonts w:asciiTheme="minorHAnsi" w:eastAsia="Calibri" w:hAnsiTheme="minorHAnsi" w:cs="Calibri"/>
          <w:sz w:val="20"/>
          <w:szCs w:val="20"/>
          <w:lang w:val="fr-BE"/>
        </w:rPr>
        <w:t xml:space="preserve"> s Akcionim planom za 2017. </w:t>
      </w:r>
      <w:proofErr w:type="gramStart"/>
      <w:r w:rsidRPr="00F563CD">
        <w:rPr>
          <w:rFonts w:asciiTheme="minorHAnsi" w:eastAsia="Calibri" w:hAnsiTheme="minorHAnsi" w:cs="Calibri"/>
          <w:sz w:val="20"/>
          <w:szCs w:val="20"/>
          <w:lang w:val="fr-BE"/>
        </w:rPr>
        <w:t>i</w:t>
      </w:r>
      <w:proofErr w:type="gramEnd"/>
      <w:r w:rsidRPr="00F563CD">
        <w:rPr>
          <w:rFonts w:asciiTheme="minorHAnsi" w:eastAsia="Calibri" w:hAnsiTheme="minorHAnsi" w:cs="Calibri"/>
          <w:sz w:val="20"/>
          <w:szCs w:val="20"/>
          <w:lang w:val="fr-BE"/>
        </w:rPr>
        <w:t xml:space="preserve"> 2018, čiji je cilj obrazovanje nastavnika zasnovano na fleksibilnom modelu, koji zadovoljava potrebe obrazovnog sistema i individualnosti učenika. Strategija teži stvaranju politika i praksi početnog i kontinuiranog obrazovanja nastavnika, koje će nastavnicima pružiti podršku u vršenju njihove kompleksne funkcije i pripremiće ih za prosvetni rad kao osnovu kvaliteta, trajnosti i primjenljivosti znanja koje učenici stiču na svim nivoima obrazovanja, njihovog profesionalnog i ličnog razvoja, socijalne inkluzije i spremnosti za građanski aktivizam. Ova strategija je usaglašena sa specifičnim ciljevima perspektive IPA III, po kojima se poseban naglasak stavlja na obučavanje nastavnika i rukovodstva u školama, upravljanje i izrade strateških politika.</w:t>
      </w:r>
    </w:p>
    <w:p w14:paraId="3545C05D" w14:textId="22FA79AF"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Nacrt </w:t>
      </w:r>
      <w:r w:rsidRPr="00F563CD">
        <w:rPr>
          <w:rFonts w:asciiTheme="minorHAnsi" w:eastAsia="Calibri" w:hAnsiTheme="minorHAnsi" w:cs="Calibri"/>
          <w:b/>
          <w:sz w:val="20"/>
          <w:szCs w:val="20"/>
          <w:lang w:val="fr-BE"/>
        </w:rPr>
        <w:t>Strategije visokog obrazovanja</w:t>
      </w:r>
      <w:r w:rsidRPr="00F563CD">
        <w:rPr>
          <w:rFonts w:asciiTheme="minorHAnsi" w:eastAsia="Calibri" w:hAnsiTheme="minorHAnsi" w:cs="Calibri"/>
          <w:b/>
          <w:bCs/>
          <w:sz w:val="20"/>
          <w:szCs w:val="20"/>
          <w:lang w:val="fr-BE"/>
        </w:rPr>
        <w:t xml:space="preserve"> 2020 - 2025</w:t>
      </w:r>
      <w:r w:rsidRPr="00F563CD">
        <w:rPr>
          <w:rFonts w:asciiTheme="minorHAnsi" w:eastAsia="Calibri" w:hAnsiTheme="minorHAnsi" w:cs="Calibri"/>
          <w:sz w:val="20"/>
          <w:szCs w:val="20"/>
          <w:lang w:val="fr-BE"/>
        </w:rPr>
        <w:t xml:space="preserve"> s Akcionim planom za 2020, gdje se navodi </w:t>
      </w:r>
      <w:proofErr w:type="gramStart"/>
      <w:r w:rsidRPr="00F563CD">
        <w:rPr>
          <w:rFonts w:asciiTheme="minorHAnsi" w:eastAsia="Calibri" w:hAnsiTheme="minorHAnsi" w:cs="Calibri"/>
          <w:sz w:val="20"/>
          <w:szCs w:val="20"/>
          <w:lang w:val="fr-BE"/>
        </w:rPr>
        <w:t>da ,,</w:t>
      </w:r>
      <w:proofErr w:type="gramEnd"/>
      <w:r w:rsidRPr="00F563CD">
        <w:rPr>
          <w:rFonts w:asciiTheme="minorHAnsi" w:eastAsia="Calibri" w:hAnsiTheme="minorHAnsi" w:cs="Calibri"/>
          <w:sz w:val="20"/>
          <w:szCs w:val="20"/>
          <w:lang w:val="fr-BE"/>
        </w:rPr>
        <w:t>misija, inicijative i akcioni plan visokog obrazovanja treba da budu sasvim usaglašeni sa strategijom EU i dokumentima koji su relevantni za Evropski prostor visokog obrazovanja (EHEA) i Evropski istraživački prostor (ERA)”. Cilj ove strategije jeste da se visoko obrazovanje u potpunosti uskladi sa startegijom i dokumentima koji su relevantni za Evropski prostor visokog obrazovanja (EHEA) i Evropski istraživačkiu prostor (ERA). Cilj je da se unaprijedi politika upisa na univerzitete, tako da se zadovolje potrebe tržišta rada, doprinese dostizanju visokog stepena zapošljavanja studenata koji su završili programe visokog obrazovanja i stvara fleksibilna radna snaga koja se prilagođava uslovima rada, i da se nastavi sprovođenje reformi i modernizacija pravnog i regulatornog okvira, radi osavremenjivanja politika zapošljavanja, čime se pruža podr</w:t>
      </w:r>
      <w:r w:rsidR="00672161" w:rsidRPr="00F563CD">
        <w:rPr>
          <w:rFonts w:asciiTheme="minorHAnsi" w:eastAsia="Calibri" w:hAnsiTheme="minorHAnsi" w:cs="Calibri"/>
          <w:sz w:val="20"/>
          <w:szCs w:val="20"/>
          <w:lang w:val="fr-BE"/>
        </w:rPr>
        <w:t xml:space="preserve">ška formalnom obrazovanju. </w:t>
      </w:r>
      <w:r w:rsidRPr="00F563CD">
        <w:rPr>
          <w:rFonts w:asciiTheme="minorHAnsi" w:eastAsia="Calibri" w:hAnsiTheme="minorHAnsi" w:cs="Calibri"/>
          <w:b/>
          <w:bCs/>
          <w:sz w:val="20"/>
          <w:szCs w:val="20"/>
          <w:lang w:val="fr-BE"/>
        </w:rPr>
        <w:t>Strategija razvoja visokog obrazovanja 2016 – 2020</w:t>
      </w:r>
      <w:r w:rsidRPr="00F563CD">
        <w:rPr>
          <w:rFonts w:asciiTheme="minorHAnsi" w:eastAsia="Calibri" w:hAnsiTheme="minorHAnsi" w:cs="Calibri"/>
          <w:sz w:val="20"/>
          <w:szCs w:val="20"/>
          <w:lang w:val="fr-BE"/>
        </w:rPr>
        <w:t xml:space="preserve"> stavlja fokus na kategorički cilj VO da studentima omogući sticanje kompetencija koje su im potrebne u njihovim budućim profesijama. Strateški cilj podrazumijeva razvoj djelotvornog i visokokvalitetnog sistema visokog obrazovanja i istraživanja, koji će osnažiti društveni i ekonomski razvoj crnogorskog društva, kao društva jednakih mogućnosti za sve, u skladu sa načelima slobode i demokratije. Jedan specifični cilj odnosi se na usaglašavanje sa potrebama tržišta rada kroz praktičnu nastavu koja se organizuje u kompanijama, dok se drugi cilj odnosi na unapređenje istraživačkog rada i podsticanje učešća u projektima EU koji odgovaraju ciljevima u okviru IPA III, kao što je osnaživanje ekonomskog i društvenog razvoja, uključujući i razvoj novih tehnologija, istraživanje, obuke i obrazovanje, unaprijeđeni pristup istraživačkoj infrastrukturi (TP2). </w:t>
      </w:r>
    </w:p>
    <w:p w14:paraId="4FF17FBC"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b/>
          <w:bCs/>
          <w:sz w:val="20"/>
          <w:szCs w:val="20"/>
          <w:lang w:val="fr-BE"/>
        </w:rPr>
        <w:t>Strategija obrazovanja odraslih u Crnoj Gori (2015-2025</w:t>
      </w:r>
      <w:r w:rsidRPr="00F563CD">
        <w:rPr>
          <w:rFonts w:asciiTheme="minorHAnsi" w:eastAsia="Calibri" w:hAnsiTheme="minorHAnsi" w:cs="Calibri"/>
          <w:sz w:val="20"/>
          <w:szCs w:val="20"/>
          <w:lang w:val="fr-BE"/>
        </w:rPr>
        <w:t xml:space="preserve">) uz Plan za obrazovanje odraslih 2019-2022, čiji ciljevi uključuju podsticaj za socijalnu inkluziju odraslih građana kroz aktivnosti cjeloživotnog učenja i obrazovanja, unapređenje znanja, vještina i kompetencija odraslih za potrebe zapošljivosti, mobilnosti i konkurentnosti tržišta rada, unapređenje kompetencija kod zaposlenih lica u cilju bržeg ekonomskog rasta, uspostavljanje sistema koji će obezbijediti kvalitet u obrazovanju odraslih, i uspostavljanje fleksibilnog i održivog sistema obrazovanja odraslih. Kako se navodi u programskom okviru IPA III, osavremenjene politike zapošljavanja treba da uzmu u obzir i promjenljivu prirodu posla i vještina u digitalnom dobu, stoga će pažnja biti posvećena izgradnji čvrstih veza sa sistemom obrazovanja i razvoju širokog spektra aktivnih politika tržišta rada, radi podsticanja učešća na tržištu rada i zapošljavanja, naročito za mlade, žene i pojedince koji su isključeni sa tržišta rada. </w:t>
      </w:r>
    </w:p>
    <w:p w14:paraId="7EBE21DD"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Ciljevi strategije odgovaraju programskom fokusu koji je okrenut razvoju programa osposobljavanja na radnom mjestu, prekvalifikacija, dokvalifikacija i mjera za aktivno tržište rada, kao i dopunsko obrazovanje odraslih.</w:t>
      </w:r>
    </w:p>
    <w:p w14:paraId="5F2621EE"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Ministarstvo prosvjete, nauke, kulture i sporta pripremilo je i dostavilo Vladi na usvajanje </w:t>
      </w:r>
      <w:r w:rsidRPr="00F563CD">
        <w:rPr>
          <w:rFonts w:asciiTheme="minorHAnsi" w:eastAsia="Calibri" w:hAnsiTheme="minorHAnsi" w:cs="Calibri"/>
          <w:bCs/>
          <w:sz w:val="20"/>
          <w:szCs w:val="20"/>
          <w:lang w:val="fr-BE"/>
        </w:rPr>
        <w:t xml:space="preserve">Strategiju za digitalizaciju obrazovnog sistema Crne Gore (2022 - 2027) s Akcionim planom za 2022. </w:t>
      </w:r>
      <w:proofErr w:type="gramStart"/>
      <w:r w:rsidRPr="00F563CD">
        <w:rPr>
          <w:rFonts w:asciiTheme="minorHAnsi" w:eastAsia="Calibri" w:hAnsiTheme="minorHAnsi" w:cs="Calibri"/>
          <w:bCs/>
          <w:sz w:val="20"/>
          <w:szCs w:val="20"/>
          <w:lang w:val="fr-BE"/>
        </w:rPr>
        <w:t>i</w:t>
      </w:r>
      <w:proofErr w:type="gramEnd"/>
      <w:r w:rsidRPr="00F563CD">
        <w:rPr>
          <w:rFonts w:asciiTheme="minorHAnsi" w:eastAsia="Calibri" w:hAnsiTheme="minorHAnsi" w:cs="Calibri"/>
          <w:bCs/>
          <w:sz w:val="20"/>
          <w:szCs w:val="20"/>
          <w:lang w:val="fr-BE"/>
        </w:rPr>
        <w:t xml:space="preserve"> 2023. </w:t>
      </w:r>
      <w:proofErr w:type="gramStart"/>
      <w:r w:rsidRPr="00F563CD">
        <w:rPr>
          <w:rFonts w:asciiTheme="minorHAnsi" w:eastAsia="Calibri" w:hAnsiTheme="minorHAnsi" w:cs="Calibri"/>
          <w:bCs/>
          <w:sz w:val="20"/>
          <w:szCs w:val="20"/>
          <w:lang w:val="fr-BE"/>
        </w:rPr>
        <w:t>godinu</w:t>
      </w:r>
      <w:proofErr w:type="gramEnd"/>
      <w:r w:rsidRPr="00F563CD">
        <w:rPr>
          <w:rFonts w:asciiTheme="minorHAnsi" w:eastAsia="Calibri" w:hAnsiTheme="minorHAnsi" w:cs="Calibri"/>
          <w:bCs/>
          <w:sz w:val="20"/>
          <w:szCs w:val="20"/>
          <w:lang w:val="fr-BE"/>
        </w:rPr>
        <w:t>.</w:t>
      </w:r>
    </w:p>
    <w:p w14:paraId="54F09109" w14:textId="77777777" w:rsidR="00047EF8" w:rsidRPr="00F563CD" w:rsidRDefault="00047EF8" w:rsidP="00047EF8">
      <w:pPr>
        <w:spacing w:line="240" w:lineRule="auto"/>
        <w:jc w:val="both"/>
        <w:rPr>
          <w:rFonts w:asciiTheme="minorHAnsi" w:eastAsia="Calibri" w:hAnsiTheme="minorHAnsi" w:cs="Calibri"/>
          <w:bCs/>
          <w:sz w:val="20"/>
          <w:szCs w:val="20"/>
          <w:lang w:val="fr-BE"/>
        </w:rPr>
      </w:pPr>
      <w:r w:rsidRPr="00F563CD">
        <w:rPr>
          <w:rFonts w:asciiTheme="minorHAnsi" w:eastAsia="Calibri" w:hAnsiTheme="minorHAnsi" w:cs="Calibri"/>
          <w:bCs/>
          <w:sz w:val="20"/>
          <w:szCs w:val="20"/>
          <w:lang w:val="fr-BE"/>
        </w:rPr>
        <w:t>Strateški cilj Crne Gore jeste da razvije obrazovni sistem koji će unaprijediti društveni i ekonomski razvoj crnogorskog društva, kao društva koje se zasniva na znanju i svima pruža jednake mogućnosti. Strategija za digitalizaciju obrazovnog sistema ima za cilj da: (1) razvije nove elektronske usluge (2) unaprijedi rad javnog sektora i međuresornu saradnju, (3) stvara pogodne uslove u obrazovnim institucijama za uspješno unapređenje digitalnih procesa, i doprinosi kvalitetu i inkluzivnosti obrazovanja; (4) da kod studenata razvije i unaprijedi digitalne vještine, koje se zasnivaju na znanju i inovacijama, a koje su im potrebne za usavršavanje/proces cjeloživotnog učenja, za tržište rada i funkcionisanje u društvu i ekonomiji, (5) da podstakne studente da se opredjeljuju za ICT zanimanja. Ova strategija je usklađena s ostalim relevantnim nacionalnim strategijama, s EU akcionim planom digitalnog obrazovanja 2021-2027, Digitalnom strategijom EU i Ekonomskim i investicionim planom za Zapadni Balkan. Podršku izradi strategije pružili su i DG NEAR kao i Regionalna kancelarija UNICEF-a za Evropu i Centralnu Aziju, kao dio regionalnog projekta za ublažavanje posljedica virusa COVID19 na živote djece i porodica na Zapadnom Balkanu i u Turskoj.</w:t>
      </w:r>
    </w:p>
    <w:p w14:paraId="2BF8DD7D" w14:textId="77777777" w:rsidR="00047EF8" w:rsidRPr="00F563CD" w:rsidRDefault="00047EF8" w:rsidP="00047EF8">
      <w:pPr>
        <w:spacing w:line="240" w:lineRule="auto"/>
        <w:jc w:val="both"/>
        <w:rPr>
          <w:rFonts w:asciiTheme="minorHAnsi" w:eastAsia="Calibri" w:hAnsiTheme="minorHAnsi" w:cs="Calibri"/>
          <w:bCs/>
          <w:sz w:val="20"/>
          <w:szCs w:val="20"/>
          <w:lang w:val="fr-BE"/>
        </w:rPr>
      </w:pPr>
      <w:r w:rsidRPr="00F563CD">
        <w:rPr>
          <w:rFonts w:asciiTheme="minorHAnsi" w:eastAsia="Calibri" w:hAnsiTheme="minorHAnsi" w:cs="Calibri"/>
          <w:b/>
          <w:bCs/>
          <w:sz w:val="20"/>
          <w:szCs w:val="20"/>
          <w:lang w:val="fr-BE"/>
        </w:rPr>
        <w:t>Program</w:t>
      </w:r>
      <w:r w:rsidRPr="00F563CD">
        <w:rPr>
          <w:rFonts w:asciiTheme="minorHAnsi" w:eastAsia="Calibri" w:hAnsiTheme="minorHAnsi" w:cs="Calibri"/>
          <w:bCs/>
          <w:sz w:val="20"/>
          <w:szCs w:val="20"/>
          <w:lang w:val="fr-BE"/>
        </w:rPr>
        <w:t xml:space="preserve"> </w:t>
      </w:r>
      <w:r w:rsidRPr="00F563CD">
        <w:rPr>
          <w:rFonts w:asciiTheme="minorHAnsi" w:eastAsia="Calibri" w:hAnsiTheme="minorHAnsi" w:cs="Calibri"/>
          <w:b/>
          <w:bCs/>
          <w:sz w:val="20"/>
          <w:szCs w:val="20"/>
          <w:lang w:val="fr-BE"/>
        </w:rPr>
        <w:t>ekonomskih reformi</w:t>
      </w:r>
      <w:r w:rsidRPr="00F563CD">
        <w:rPr>
          <w:rFonts w:asciiTheme="minorHAnsi" w:eastAsia="Calibri" w:hAnsiTheme="minorHAnsi" w:cs="Calibri"/>
          <w:bCs/>
          <w:sz w:val="20"/>
          <w:szCs w:val="20"/>
          <w:lang w:val="fr-BE"/>
        </w:rPr>
        <w:t xml:space="preserve"> </w:t>
      </w:r>
      <w:r w:rsidRPr="00F563CD">
        <w:rPr>
          <w:rFonts w:asciiTheme="minorHAnsi" w:eastAsia="Calibri" w:hAnsiTheme="minorHAnsi" w:cs="Calibri"/>
          <w:b/>
          <w:bCs/>
          <w:sz w:val="20"/>
          <w:szCs w:val="20"/>
          <w:lang w:val="fr-BE"/>
        </w:rPr>
        <w:t>2021 – 2023</w:t>
      </w:r>
      <w:r w:rsidRPr="00F563CD">
        <w:rPr>
          <w:rFonts w:asciiTheme="minorHAnsi" w:eastAsia="Calibri" w:hAnsiTheme="minorHAnsi" w:cs="Calibri"/>
          <w:bCs/>
          <w:sz w:val="20"/>
          <w:szCs w:val="20"/>
          <w:lang w:val="fr-BE"/>
        </w:rPr>
        <w:t xml:space="preserve"> ukazuje da je neophodno vršiti </w:t>
      </w:r>
      <w:r w:rsidRPr="00F563CD">
        <w:rPr>
          <w:rFonts w:asciiTheme="minorHAnsi" w:eastAsia="Calibri" w:hAnsiTheme="minorHAnsi" w:cs="Calibri"/>
          <w:b/>
          <w:bCs/>
          <w:sz w:val="20"/>
          <w:szCs w:val="20"/>
          <w:lang w:val="fr-BE"/>
        </w:rPr>
        <w:t>monitoring i evaluaciju primjene i rezultata dualnog obrazovanja</w:t>
      </w:r>
      <w:r w:rsidRPr="00F563CD">
        <w:rPr>
          <w:rFonts w:asciiTheme="minorHAnsi" w:eastAsia="Calibri" w:hAnsiTheme="minorHAnsi" w:cs="Calibri"/>
          <w:bCs/>
          <w:sz w:val="20"/>
          <w:szCs w:val="20"/>
          <w:lang w:val="fr-BE"/>
        </w:rPr>
        <w:t>, kako</w:t>
      </w:r>
      <w:r w:rsidRPr="00F563CD">
        <w:rPr>
          <w:rFonts w:asciiTheme="minorHAnsi" w:eastAsia="Calibri" w:hAnsiTheme="minorHAnsi" w:cs="Calibri"/>
          <w:b/>
          <w:bCs/>
          <w:sz w:val="20"/>
          <w:szCs w:val="20"/>
          <w:lang w:val="fr-BE"/>
        </w:rPr>
        <w:t xml:space="preserve"> </w:t>
      </w:r>
      <w:r w:rsidRPr="00F563CD">
        <w:rPr>
          <w:rFonts w:asciiTheme="minorHAnsi" w:eastAsia="Calibri" w:hAnsiTheme="minorHAnsi" w:cs="Calibri"/>
          <w:bCs/>
          <w:sz w:val="20"/>
          <w:szCs w:val="20"/>
          <w:lang w:val="fr-BE"/>
        </w:rPr>
        <w:t>bi se utvrdio</w:t>
      </w:r>
      <w:r w:rsidRPr="00F563CD">
        <w:rPr>
          <w:rFonts w:asciiTheme="minorHAnsi" w:eastAsia="Calibri" w:hAnsiTheme="minorHAnsi" w:cs="Calibri"/>
          <w:b/>
          <w:bCs/>
          <w:sz w:val="20"/>
          <w:szCs w:val="20"/>
          <w:lang w:val="fr-BE"/>
        </w:rPr>
        <w:t xml:space="preserve"> </w:t>
      </w:r>
      <w:r w:rsidRPr="00F563CD">
        <w:rPr>
          <w:rFonts w:asciiTheme="minorHAnsi" w:eastAsia="Calibri" w:hAnsiTheme="minorHAnsi" w:cs="Calibri"/>
          <w:bCs/>
          <w:sz w:val="20"/>
          <w:szCs w:val="20"/>
          <w:lang w:val="fr-BE"/>
        </w:rPr>
        <w:t>kvalitet praktičnog obrazovanja</w:t>
      </w:r>
      <w:r w:rsidRPr="00F563CD">
        <w:rPr>
          <w:rFonts w:asciiTheme="minorHAnsi" w:eastAsia="Calibri" w:hAnsiTheme="minorHAnsi" w:cs="Calibri"/>
          <w:b/>
          <w:bCs/>
          <w:sz w:val="20"/>
          <w:szCs w:val="20"/>
          <w:lang w:val="fr-BE"/>
        </w:rPr>
        <w:t xml:space="preserve"> </w:t>
      </w:r>
      <w:r w:rsidRPr="00F563CD">
        <w:rPr>
          <w:rFonts w:asciiTheme="minorHAnsi" w:eastAsia="Calibri" w:hAnsiTheme="minorHAnsi" w:cs="Calibri"/>
          <w:bCs/>
          <w:sz w:val="20"/>
          <w:szCs w:val="20"/>
          <w:lang w:val="fr-BE"/>
        </w:rPr>
        <w:t xml:space="preserve">kod poslodavca, a u cilju utvrđivanja pouzdanih </w:t>
      </w:r>
      <w:r w:rsidRPr="00F563CD">
        <w:rPr>
          <w:rFonts w:asciiTheme="minorHAnsi" w:eastAsia="Calibri" w:hAnsiTheme="minorHAnsi" w:cs="Calibri"/>
          <w:bCs/>
          <w:sz w:val="20"/>
          <w:szCs w:val="20"/>
          <w:lang w:val="fr-BE"/>
        </w:rPr>
        <w:lastRenderedPageBreak/>
        <w:t>rezultata dualnog obrazovanja, kao i unapređenja sistema i uspostavljanja kvalitetnog i efikasnog praktičnog obrazovanja kroz koje studenti stiču vještine i iskustvo koje je relevantno za posao i ključne kompetencije, kako bi se mladim ljudima olakšao ulazak na tržište rada i napredovanje u karijeri i zaposlenje.</w:t>
      </w:r>
    </w:p>
    <w:p w14:paraId="0555C860" w14:textId="77777777" w:rsidR="00047EF8" w:rsidRPr="00F563CD" w:rsidRDefault="00047EF8" w:rsidP="00047EF8">
      <w:pPr>
        <w:spacing w:line="240" w:lineRule="auto"/>
        <w:jc w:val="both"/>
        <w:rPr>
          <w:rFonts w:asciiTheme="minorHAnsi" w:eastAsia="Calibri" w:hAnsiTheme="minorHAnsi" w:cs="Calibri"/>
          <w:bCs/>
          <w:sz w:val="20"/>
          <w:szCs w:val="20"/>
          <w:lang w:val="fr-BE"/>
        </w:rPr>
      </w:pPr>
      <w:r w:rsidRPr="00F563CD">
        <w:rPr>
          <w:rFonts w:asciiTheme="minorHAnsi" w:eastAsia="Calibri" w:hAnsiTheme="minorHAnsi" w:cs="Calibri"/>
          <w:b/>
          <w:bCs/>
          <w:sz w:val="20"/>
          <w:szCs w:val="20"/>
          <w:lang w:val="fr-BE"/>
        </w:rPr>
        <w:t xml:space="preserve">Nacionalna strategija održivog razvoja do 2030. </w:t>
      </w:r>
      <w:proofErr w:type="gramStart"/>
      <w:r w:rsidRPr="00F563CD">
        <w:rPr>
          <w:rFonts w:asciiTheme="minorHAnsi" w:eastAsia="Calibri" w:hAnsiTheme="minorHAnsi" w:cs="Calibri"/>
          <w:b/>
          <w:bCs/>
          <w:sz w:val="20"/>
          <w:szCs w:val="20"/>
          <w:lang w:val="fr-BE"/>
        </w:rPr>
        <w:t>godine</w:t>
      </w:r>
      <w:proofErr w:type="gramEnd"/>
      <w:r w:rsidRPr="00F563CD">
        <w:rPr>
          <w:rFonts w:asciiTheme="minorHAnsi" w:eastAsia="Calibri" w:hAnsiTheme="minorHAnsi" w:cs="Calibri"/>
          <w:bCs/>
          <w:sz w:val="20"/>
          <w:szCs w:val="20"/>
          <w:lang w:val="fr-BE"/>
        </w:rPr>
        <w:t>, kao jedan od strateških ciljeva predviđa inkluzivno i kvalitetno obrazovanje i promovisanje jednakih mogućnosti za cjeloživotno učenje. Ovaj strateški cilj je razrađen kroz mjere koje su usmjerene na osnaživanje sveobuhvatnog karaktera predškolskog obrazovanja i kvalitetnog primarnog i sekundarnog obrazovanja, kao i dodatno osnaživanje naučnih i istraživačkih komponenti visokog obrazovanja.</w:t>
      </w:r>
    </w:p>
    <w:p w14:paraId="46F4B4AF" w14:textId="77777777" w:rsidR="00047EF8" w:rsidRPr="00F563CD" w:rsidRDefault="00047EF8" w:rsidP="00047EF8">
      <w:pPr>
        <w:spacing w:line="240" w:lineRule="auto"/>
        <w:jc w:val="both"/>
        <w:rPr>
          <w:rFonts w:asciiTheme="minorHAnsi" w:hAnsiTheme="minorHAnsi"/>
          <w:iCs/>
          <w:u w:val="single"/>
          <w:lang w:val="fr-BE"/>
        </w:rPr>
      </w:pPr>
      <w:r w:rsidRPr="00F563CD">
        <w:rPr>
          <w:rFonts w:asciiTheme="minorHAnsi" w:eastAsia="Calibri" w:hAnsiTheme="minorHAnsi" w:cs="Calibri"/>
          <w:b/>
          <w:bCs/>
          <w:iCs/>
          <w:sz w:val="20"/>
          <w:szCs w:val="20"/>
          <w:u w:val="single"/>
          <w:lang w:val="fr-BE"/>
        </w:rPr>
        <w:t>Zapošljavanje</w:t>
      </w:r>
    </w:p>
    <w:p w14:paraId="34C4850D" w14:textId="66ECF3DA"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U dijelu koji se odnosi na ciljeve koji spadaju pod TP1, strateški pristup države je adekvatno usaglašen sa programskim okvirom IPA III i specifičnim ciljem iz TP1, koji se odnosi na unapređenje kvaliteta zapošljavanja i pristupa tržištu rada, umanjivanje </w:t>
      </w:r>
      <w:r w:rsidR="00672161" w:rsidRPr="00F563CD">
        <w:rPr>
          <w:rFonts w:asciiTheme="minorHAnsi" w:eastAsia="Calibri" w:hAnsiTheme="minorHAnsi" w:cs="Calibri"/>
          <w:sz w:val="20"/>
          <w:szCs w:val="20"/>
          <w:lang w:val="fr-BE"/>
        </w:rPr>
        <w:t>stope neformalnog</w:t>
      </w:r>
      <w:r w:rsidRPr="00F563CD">
        <w:rPr>
          <w:rFonts w:asciiTheme="minorHAnsi" w:eastAsia="Calibri" w:hAnsiTheme="minorHAnsi" w:cs="Calibri"/>
          <w:sz w:val="20"/>
          <w:szCs w:val="20"/>
          <w:lang w:val="fr-BE"/>
        </w:rPr>
        <w:t xml:space="preserve"> zapošljavanja, kao i promovisanje jednakosti i antidsikriminacije. Shodno tome, IPA III ima za cilj da pruži podršku zemaljama kandidatimai potencijalnim kandidatima da dostignu visok nivo zaposlenosti, adekvatnu socijalnu </w:t>
      </w:r>
      <w:r w:rsidR="00672161" w:rsidRPr="00F563CD">
        <w:rPr>
          <w:rFonts w:asciiTheme="minorHAnsi" w:eastAsia="Calibri" w:hAnsiTheme="minorHAnsi" w:cs="Calibri"/>
          <w:sz w:val="20"/>
          <w:szCs w:val="20"/>
          <w:lang w:val="fr-BE"/>
        </w:rPr>
        <w:t>zaštitu,</w:t>
      </w:r>
      <w:r w:rsidRPr="00F563CD">
        <w:rPr>
          <w:rFonts w:asciiTheme="minorHAnsi" w:eastAsia="Calibri" w:hAnsiTheme="minorHAnsi" w:cs="Calibri"/>
          <w:sz w:val="20"/>
          <w:szCs w:val="20"/>
          <w:lang w:val="fr-BE"/>
        </w:rPr>
        <w:t xml:space="preserve"> kao i obučenu i fleksibilnu radnu snagu koja je spremna da odgovori na potrebe budućeg tržišta </w:t>
      </w:r>
      <w:proofErr w:type="gramStart"/>
      <w:r w:rsidRPr="00F563CD">
        <w:rPr>
          <w:rFonts w:asciiTheme="minorHAnsi" w:eastAsia="Calibri" w:hAnsiTheme="minorHAnsi" w:cs="Calibri"/>
          <w:sz w:val="20"/>
          <w:szCs w:val="20"/>
          <w:lang w:val="fr-BE"/>
        </w:rPr>
        <w:t>rada;</w:t>
      </w:r>
      <w:proofErr w:type="gramEnd"/>
      <w:r w:rsidRPr="00F563CD">
        <w:rPr>
          <w:rFonts w:asciiTheme="minorHAnsi" w:eastAsia="Calibri" w:hAnsiTheme="minorHAnsi" w:cs="Calibri"/>
          <w:sz w:val="20"/>
          <w:szCs w:val="20"/>
          <w:lang w:val="fr-BE"/>
        </w:rPr>
        <w:t xml:space="preserve"> u skladu sa načelima koja su definisana Evropskim stubom socijalnih prava i propratnim akcionim planom.</w:t>
      </w:r>
    </w:p>
    <w:p w14:paraId="723117A4" w14:textId="77777777" w:rsidR="002176BC" w:rsidRPr="00F563CD" w:rsidRDefault="00047EF8" w:rsidP="002176BC">
      <w:pPr>
        <w:spacing w:line="240" w:lineRule="auto"/>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Glavni izazovi u ovom sektoru, kako se navodi i u IPA III okviru, obuhvataju visoku stopu nezaposlenosti i slabo učešće na tržištu rada, naročito među ženama i mladima, kao i nizak stepen ljudskog razvoja, porast nejednakosti i demografske izazove. U skladu sa programskim okvirom IPA III, predviđena je podrška kvalitetnom i djelotvornom obrazovanju, koje je relevantno za tržište rada, a koje treba da uključi podršku za niskokvalifikovane i/ili slabo kvalifikovane pojedince. IPA III će obezbijediti kvalitetnu ponudu u oblasti zapošljavanja, programe kontinuiranog obrazovanja, stažiranja, pripravničkog staža za mlade, kako bi oni unaprijedili svoje vještine, zapošljivost, da bi se izborili sa statusom isključenosti sa tržišta rada i društvenog tržišta, kroz djelotvornu koordinaciju i partnerstva u okviru raznih oblasti politika, uključujući zapošljavanje, obrazovanje, mlade, rodnu ravnopravnost i društvena pitanja. Stopa nezaposlenosti je stagnirala na 15.2% tokom 2019.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dok je tokom pandemije, u 2020. </w:t>
      </w:r>
      <w:proofErr w:type="gramStart"/>
      <w:r w:rsidRPr="00F563CD">
        <w:rPr>
          <w:rFonts w:asciiTheme="minorHAnsi" w:eastAsia="Calibri" w:hAnsiTheme="minorHAnsi" w:cs="Calibri"/>
          <w:sz w:val="20"/>
          <w:szCs w:val="20"/>
          <w:lang w:val="fr-BE"/>
        </w:rPr>
        <w:t>godini</w:t>
      </w:r>
      <w:proofErr w:type="gramEnd"/>
      <w:r w:rsidRPr="00F563CD">
        <w:rPr>
          <w:rFonts w:asciiTheme="minorHAnsi" w:eastAsia="Calibri" w:hAnsiTheme="minorHAnsi" w:cs="Calibri"/>
          <w:sz w:val="20"/>
          <w:szCs w:val="20"/>
          <w:lang w:val="fr-BE"/>
        </w:rPr>
        <w:t xml:space="preserve">, porasla na 18.3%. Prema podacima iz Ankete o radnoj snazi za 2020. </w:t>
      </w:r>
      <w:proofErr w:type="gramStart"/>
      <w:r w:rsidRPr="00F563CD">
        <w:rPr>
          <w:rFonts w:asciiTheme="minorHAnsi" w:eastAsia="Calibri" w:hAnsiTheme="minorHAnsi" w:cs="Calibri"/>
          <w:sz w:val="20"/>
          <w:szCs w:val="20"/>
          <w:lang w:val="fr-BE"/>
        </w:rPr>
        <w:t>godinu</w:t>
      </w:r>
      <w:proofErr w:type="gramEnd"/>
      <w:r w:rsidRPr="00F563CD">
        <w:rPr>
          <w:rFonts w:asciiTheme="minorHAnsi" w:eastAsia="Calibri" w:hAnsiTheme="minorHAnsi" w:cs="Calibri"/>
          <w:sz w:val="20"/>
          <w:szCs w:val="20"/>
          <w:lang w:val="fr-BE"/>
        </w:rPr>
        <w:t xml:space="preserve">, stopa zaposlenosti je iznosila 55.2%, dok je u okviru regionalnih razlika u zaposlenosti ostao rodni jaz od 12.9%, sa stopom nezaposlenosti koja je krajem 2020.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bila nesrazmjerno veća na sjeveru (42.2%) u odnosu na primorske predjele (4.6%).</w:t>
      </w:r>
    </w:p>
    <w:p w14:paraId="6064D933" w14:textId="77777777" w:rsidR="00047EF8" w:rsidRPr="00F563CD" w:rsidRDefault="00047EF8" w:rsidP="00047EF8">
      <w:pPr>
        <w:spacing w:line="240" w:lineRule="auto"/>
        <w:contextualSpacing/>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Osim toga, pandemija virusa COVID-19 građane je izložila riziku od gubitka posla, a ekonomske posljedice su uticale prvenstveno na mlade koji su postupno postali neaktivni i nezaposleni, zbog čega je broj mladih </w:t>
      </w:r>
      <w:r w:rsidRPr="00F563CD">
        <w:rPr>
          <w:rFonts w:asciiTheme="minorHAnsi" w:hAnsiTheme="minorHAnsi"/>
          <w:sz w:val="20"/>
          <w:szCs w:val="20"/>
          <w:lang w:val="fr-BE"/>
        </w:rPr>
        <w:t xml:space="preserve">koji nisu zaposleni, i ne učestvuju u programima obrazovanja i osposobljavanja </w:t>
      </w:r>
      <w:r w:rsidRPr="00F563CD">
        <w:rPr>
          <w:rFonts w:asciiTheme="minorHAnsi" w:eastAsia="Calibri" w:hAnsiTheme="minorHAnsi" w:cs="Calibri"/>
          <w:sz w:val="20"/>
          <w:szCs w:val="20"/>
          <w:lang w:val="fr-BE"/>
        </w:rPr>
        <w:t xml:space="preserve">(NEET) počeo da raste. Naime, stopa nezaposlenosti među mladima uzrasta od 15-24 godine dostigla je nivo od 36.05% u 2020. </w:t>
      </w:r>
      <w:proofErr w:type="gramStart"/>
      <w:r w:rsidRPr="00F563CD">
        <w:rPr>
          <w:rFonts w:asciiTheme="minorHAnsi" w:eastAsia="Calibri" w:hAnsiTheme="minorHAnsi" w:cs="Calibri"/>
          <w:sz w:val="20"/>
          <w:szCs w:val="20"/>
          <w:lang w:val="fr-BE"/>
        </w:rPr>
        <w:t>godini</w:t>
      </w:r>
      <w:proofErr w:type="gramEnd"/>
      <w:r w:rsidRPr="00F563CD">
        <w:rPr>
          <w:rFonts w:asciiTheme="minorHAnsi" w:eastAsia="Calibri" w:hAnsiTheme="minorHAnsi" w:cs="Calibri"/>
          <w:sz w:val="20"/>
          <w:szCs w:val="20"/>
          <w:lang w:val="fr-BE"/>
        </w:rPr>
        <w:t>, dok je procenat mladih u kategoriji NEET uzrasta od 15-24 godine iznosio 21.1%, odnosno za uzrast 15-29 godina iznosio je 26.6%. U načelu, potrebno je riješiti pitanje neuravnoteženosti na tržištu rada i unaprijediti zapošljivost, prvenstveno među mladima i ženama, omogućavanjem odgovarajućih poslova za odgovarajući nivo osposobljenosti. Stoga će poseban fokus biti na razvoju širokog spektra aktivnih politika tržišta rada, radi podsticanja učešća na tržištu rada i zapošljavanja, naročito za mlade, žene i pojedince koji su isključeni sa tržišta rada. Dodatna pažnja će biti usmjerena ka razvoju programa osposobljavanja na radnom mjestu, prekvalifikaciji, dokvalifikaciji i mjerama za aktivno tržište rada, kao i obrazovanje odraslih.</w:t>
      </w:r>
    </w:p>
    <w:p w14:paraId="17ED65A7" w14:textId="77777777" w:rsidR="002176BC" w:rsidRPr="00F563CD" w:rsidRDefault="002176BC" w:rsidP="00047EF8">
      <w:pPr>
        <w:spacing w:line="240" w:lineRule="auto"/>
        <w:contextualSpacing/>
        <w:jc w:val="both"/>
        <w:rPr>
          <w:rFonts w:asciiTheme="minorHAnsi" w:eastAsia="Calibri" w:hAnsiTheme="minorHAnsi" w:cs="Calibri"/>
          <w:sz w:val="20"/>
          <w:szCs w:val="20"/>
          <w:lang w:val="fr-BE"/>
        </w:rPr>
      </w:pPr>
    </w:p>
    <w:p w14:paraId="09616F45" w14:textId="77777777" w:rsidR="00047EF8" w:rsidRPr="00F563CD" w:rsidRDefault="00047EF8" w:rsidP="00047EF8">
      <w:pPr>
        <w:spacing w:line="240" w:lineRule="auto"/>
        <w:jc w:val="both"/>
        <w:rPr>
          <w:rFonts w:asciiTheme="minorHAnsi" w:eastAsia="Calibri" w:hAnsiTheme="minorHAnsi" w:cs="Calibri"/>
          <w:b/>
          <w:bCs/>
          <w:sz w:val="20"/>
          <w:szCs w:val="20"/>
          <w:lang w:val="fr-BE"/>
        </w:rPr>
      </w:pPr>
      <w:r w:rsidRPr="00F563CD">
        <w:rPr>
          <w:rFonts w:asciiTheme="minorHAnsi" w:eastAsia="Calibri" w:hAnsiTheme="minorHAnsi" w:cs="Calibri"/>
          <w:b/>
          <w:bCs/>
          <w:sz w:val="20"/>
          <w:szCs w:val="20"/>
          <w:lang w:val="fr-BE"/>
        </w:rPr>
        <w:t>Nacionalna strategija zapošljavanja zapošljavanja i razvoja ljudskih resursa 2016-2020</w:t>
      </w:r>
      <w:r w:rsidRPr="00F563CD">
        <w:rPr>
          <w:rFonts w:asciiTheme="minorHAnsi" w:eastAsia="Calibri" w:hAnsiTheme="minorHAnsi" w:cs="Calibri"/>
          <w:sz w:val="20"/>
          <w:szCs w:val="20"/>
          <w:lang w:val="fr-BE"/>
        </w:rPr>
        <w:t xml:space="preserve"> predstavljala je glavnu strategiju u okviru ovog sektora, koja je imala za cilj unapređenje uslova za stvaranje novih radnih mjesta i investicije u ljudski potencijal, kao i uvećanje stope zaposlenosti u Crnoj Gori. I mada je period važenja strategije istekao krajem 2020.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njeni prioriteti su i dalje relevantni za tržište rada, uključujući i: (1) uvećanje stope zaposlenosti, i umanjivanje stope nezaposlenosti, (2) efikasno funkcionisanje tržišta rada, (3) unapređenje kvalifikacija i kompetencija, tako da budu usklađene sa potrebama tržišta rada, (4) unapređenje socijalne inkluzije i umanjivanje stope siromaštva. </w:t>
      </w:r>
    </w:p>
    <w:p w14:paraId="79F654FF"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S obzirom da je period važenja pomenute strategije (2016-2020) istekao, u pripremi je nova Nacionalna strategija zapošljavanja (2021-2025), dokument je u završnoj fazi i očekuje se da će biti usvojen u četvrtom kvartalu 2021.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Nova strategija će se kroz definisane prioritete fokusirati na unapređenje efikasnosti politika aktivnog tržišta rada, sa posebnim naglaskom na uključivanju žena, dugoročno nezaposlenih lica i mladih, uz priznavanje </w:t>
      </w:r>
      <w:r w:rsidRPr="00F563CD">
        <w:rPr>
          <w:rFonts w:asciiTheme="minorHAnsi" w:eastAsia="Calibri" w:hAnsiTheme="minorHAnsi" w:cs="Calibri"/>
          <w:b/>
          <w:sz w:val="20"/>
          <w:szCs w:val="20"/>
          <w:lang w:val="fr-BE"/>
        </w:rPr>
        <w:t>Garancije za mlade</w:t>
      </w:r>
      <w:r w:rsidRPr="00F563CD">
        <w:rPr>
          <w:rFonts w:asciiTheme="minorHAnsi" w:eastAsia="Calibri" w:hAnsiTheme="minorHAnsi" w:cs="Calibri"/>
          <w:sz w:val="20"/>
          <w:szCs w:val="20"/>
          <w:lang w:val="fr-BE"/>
        </w:rPr>
        <w:t xml:space="preserve"> kao važnog instrumenta za podršku zapošljavanju mladih. Naime, u skladu sa vodećom inicijativom 10 iz Ekonomskog i investicionog plana za Zapadni balkan (EIP), koji je objavljen u oktobru 2020, vladama država Zapadnog Balkana se preporučuje da po modelu Garancije za mlade EU uspostave svoj mehanizam Garancije za mlade. Shodno tome, nadležne crnogorske institucije su tokom 2021.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preduzele određene aktivnosti u cilju uspostavljanja sistema podrške mladima i stvaranja uslova za sprovođenje programa Garancije za mlade u Crnoj Gori. U skladu s odlukom Ministarstva ekonomskog razvoja (MER) iz prve </w:t>
      </w:r>
      <w:r w:rsidRPr="00F563CD">
        <w:rPr>
          <w:rFonts w:asciiTheme="minorHAnsi" w:eastAsia="Calibri" w:hAnsiTheme="minorHAnsi" w:cs="Calibri"/>
          <w:sz w:val="20"/>
          <w:szCs w:val="20"/>
          <w:lang w:val="fr-BE"/>
        </w:rPr>
        <w:lastRenderedPageBreak/>
        <w:t xml:space="preserve">polovine 2021.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uspostavljena je radna grupa za program Garancija za mlade u Crnoj Gori. Radna grupa, kojom koordinira Ministarstvo ekonomskog razvoja, odnosno Direktorat za rad i zapošljavanje i Odjeljenje za evropske integracije, programiranje i implementaciju EU fondova, uključuje predstavnike Ministarstva prosvjete, nauke, kulture i sporta, Uprave za mlade i sport, Privredne komore, Unije poslodavaca Crne Gore i nevladinih organizacija koje se bave omladinskim politikama i sprovođenjem programa za mlade. U sastav RG biće uključeni i predstavnici sindikata i Mreže za mlade. Tokom 2021, RG je otpočela s uvodnim aktivnostima koordinacije i stvaranja međuinstitucionalne sinergije, kao preduslov za sprovođenje programa Garancija za mlade u Crnoj Gori. </w:t>
      </w:r>
    </w:p>
    <w:p w14:paraId="7A27BDE8"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Osim toga, u cilju podrške ovom procesu, EK u saradnji sa međunarodnom organizacijom rada (ILO) i Evropskom fondacijom za obuke (ETF), omogućava dostupnost Instrumenta za tehničku podršku (TAF) za program Garancija za mlade na Zapadnom Balkanu. S obzirom da od 2017.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ILO sarađuje sa Vladom Sjeverne Makedonije u sprovođenju pilot programa Garancija za mlade i njegov razvoj, pripremljeno je nekoliko paketa, instrumenata, izvora znanja i iskustva, koji mogu da posluže kao smjernice za države Zapadnog Balkana, u procesu razvoja i uspostavljanja Garancije za mlade. MER je uspostavilo komunikaciju </w:t>
      </w:r>
      <w:proofErr w:type="gramStart"/>
      <w:r w:rsidRPr="00F563CD">
        <w:rPr>
          <w:rFonts w:asciiTheme="minorHAnsi" w:eastAsia="Calibri" w:hAnsiTheme="minorHAnsi" w:cs="Calibri"/>
          <w:sz w:val="20"/>
          <w:szCs w:val="20"/>
          <w:lang w:val="fr-BE"/>
        </w:rPr>
        <w:t>sa</w:t>
      </w:r>
      <w:proofErr w:type="gramEnd"/>
      <w:r w:rsidRPr="00F563CD">
        <w:rPr>
          <w:rFonts w:asciiTheme="minorHAnsi" w:eastAsia="Calibri" w:hAnsiTheme="minorHAnsi" w:cs="Calibri"/>
          <w:sz w:val="20"/>
          <w:szCs w:val="20"/>
          <w:lang w:val="fr-BE"/>
        </w:rPr>
        <w:t xml:space="preserve"> ILO, kako bi omogućilo tehničku podršku Radnoj grupi u procesu izrade plana implementacije Garancije za mlade, koji u skladu s obavezom koja je predviđena </w:t>
      </w:r>
      <w:r w:rsidRPr="00F563CD">
        <w:rPr>
          <w:rFonts w:asciiTheme="minorHAnsi" w:hAnsiTheme="minorHAnsi"/>
          <w:sz w:val="20"/>
          <w:szCs w:val="20"/>
          <w:lang w:val="fr-BE"/>
        </w:rPr>
        <w:t>Deklaracijom o obezbeđivanju održive integracije mladih ljudi na tržište rada</w:t>
      </w:r>
      <w:r w:rsidRPr="00F563CD">
        <w:rPr>
          <w:rFonts w:asciiTheme="minorHAnsi" w:eastAsia="Calibri" w:hAnsiTheme="minorHAnsi" w:cs="Calibri"/>
          <w:sz w:val="20"/>
          <w:szCs w:val="20"/>
          <w:lang w:val="fr-BE"/>
        </w:rPr>
        <w:t xml:space="preserve">, od 8. </w:t>
      </w:r>
      <w:proofErr w:type="gramStart"/>
      <w:r w:rsidRPr="00F563CD">
        <w:rPr>
          <w:rFonts w:asciiTheme="minorHAnsi" w:eastAsia="Calibri" w:hAnsiTheme="minorHAnsi" w:cs="Calibri"/>
          <w:sz w:val="20"/>
          <w:szCs w:val="20"/>
          <w:lang w:val="fr-BE"/>
        </w:rPr>
        <w:t>jula</w:t>
      </w:r>
      <w:proofErr w:type="gramEnd"/>
      <w:r w:rsidRPr="00F563CD">
        <w:rPr>
          <w:rFonts w:asciiTheme="minorHAnsi" w:eastAsia="Calibri" w:hAnsiTheme="minorHAnsi" w:cs="Calibri"/>
          <w:sz w:val="20"/>
          <w:szCs w:val="20"/>
          <w:lang w:val="fr-BE"/>
        </w:rPr>
        <w:t xml:space="preserve"> 2021.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treba da bude završen najkasnije do sljedećeg Ministarskog sastanka između EU i Zapadnog Balkana na temu zapošljavanja i socijalnih pitanja. Osim toga, iskazana je potreba za tehničkom podrškom i u drugim fazama procesa izrade garancije za mlade, kao što je izgradnja kapaciteta u svim oblastima koje su relevantne za sprovođenje programa – u pripremnoj fazi i tokom pilot faze. Očekuje se da će RG, uz podršku ILO/ETF TAF, do ljeta 2020.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pripremiti plan implementacije Garancije za mlade za Crnu Goru.</w:t>
      </w:r>
    </w:p>
    <w:p w14:paraId="61AD7679"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Štaviše, kako bi osiguralo kvalitetnu pripremu za sprovođenje Garancije za mlade, MER je nedavno predložilo implementaciju takozvanog Programa podrške u zapošljavanju mladih koji će se finansirati kroz nacionalni budžet počev od 2022.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Ovaj program se oslanja na šest mjera koje će doprinositi stvaranju preduslova za ublažavanje negativnih posljedica koje su izazvane dužim periodima čekanja na zaposlenje kod mladih ljudi i koje su usmjerene ka pružanju podrške mladima kroz međuinstitucionalnu saradnju, stvaranje finansijski podsticajnog okruženja za zapošljavanje mladih, doprinos agendi digitalizacije, zapošljavanje mladih ljudi sa smetnjama u razvoju, specijalizaciju i obuke za mlade u inostranstvu u oblastima koje su od strateškog interesa za Crnu Goru, suzbijanje sive ekonomije, i jačanje kapaciteta Crne Gore za apsorpciju u oblasti poljoprivrede. Predviđeno je da se ove mjere sprovode kroz sljedeće korake : (1) Potpisivanje memoranduma o saradnji između Vlade, Unije Poslodavaca Crne Gore, Univerziteta Crne Gore, privatnih univerziteta, Zavoda za zapošljavanja Crne Gore i Studentskog parlamenta ; (2) Podrška unapređenju ljudskih resursa za digitalnu ekonomiju; (3) Unapređenje zapošljavanja za mlade ljude za posebnim obrazovnim potrebama; (4) Fond za stipendije namijenjen crnogoskim studentima na inostranim univerzitetima ; (5) Podrška obučavanju i zapošljavanju mladih za inspekcijske poslove ; i (6) Mladi kao podrška poljoprivrednom razvoju. Ukupna indikativna fiskalna procjena Programa podrške zapošljavanju mladih za 2022. </w:t>
      </w:r>
      <w:proofErr w:type="gramStart"/>
      <w:r w:rsidRPr="00F563CD">
        <w:rPr>
          <w:rFonts w:asciiTheme="minorHAnsi" w:eastAsia="Calibri" w:hAnsiTheme="minorHAnsi" w:cs="Calibri"/>
          <w:sz w:val="20"/>
          <w:szCs w:val="20"/>
          <w:lang w:val="fr-BE"/>
        </w:rPr>
        <w:t>godinu</w:t>
      </w:r>
      <w:proofErr w:type="gramEnd"/>
      <w:r w:rsidRPr="00F563CD">
        <w:rPr>
          <w:rFonts w:asciiTheme="minorHAnsi" w:eastAsia="Calibri" w:hAnsiTheme="minorHAnsi" w:cs="Calibri"/>
          <w:sz w:val="20"/>
          <w:szCs w:val="20"/>
          <w:lang w:val="fr-BE"/>
        </w:rPr>
        <w:t xml:space="preserve"> iznosi 1,880,000.00 €. Program profesionalne specijalizacije lica sa visokom stručnom spremom sprovodi se već cijelu deceniju, na godišnjem nivou njegova prosječna vrijednost iznosi 8 miliona eura i okuplja 3000 učesnika. Osim toga, u politikama aktivnog zapošljavanja koje je Zavod za zapošljavanje sprovodio tokom 2020.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učestvovalo je 49.14% mladih uzrasta do 30 godina.</w:t>
      </w:r>
    </w:p>
    <w:p w14:paraId="56A6F046"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Osim toga, predvidjeno je da se jedan od prioriteta odnosi na unapređenje socijalne inkluzije i smanjenje stope sirmomaštva, kao i razvoj socijalnog preduzetništva u Crnoj Gori. Ovo je prepoznato i u nacrtu nove Nacionalne strategije za zapošljavanje (2021-2025) koja predlaže uspostavljanje i unapređenje institucionalne infrastrukture koja je neophodna za razvoj socijalnog preduzetništva, i unapređenje diversifikacije mehanizama finansijske podrške. Ovo će zahtijevati razmjenu iskustava sa članicama EU koje imaju razvijene šeme socijalnog preduzetništva, budući da Crna Gora tek treba da uspostavi pravne i institucionalne mehanizme za ovaj proces. Stoga će nova strategija biti usklađena sa prioritetima IPA III podrške u ovoj oblasti. Nadalje, godišnjim akcionim programom za Crnu Goru za 2020. </w:t>
      </w:r>
      <w:proofErr w:type="gramStart"/>
      <w:r w:rsidRPr="00F563CD">
        <w:rPr>
          <w:rFonts w:asciiTheme="minorHAnsi" w:eastAsia="Calibri" w:hAnsiTheme="minorHAnsi" w:cs="Calibri"/>
          <w:sz w:val="20"/>
          <w:szCs w:val="20"/>
          <w:lang w:val="fr-BE"/>
        </w:rPr>
        <w:t>godinu</w:t>
      </w:r>
      <w:proofErr w:type="gramEnd"/>
      <w:r w:rsidRPr="00F563CD">
        <w:rPr>
          <w:rFonts w:asciiTheme="minorHAnsi" w:eastAsia="Calibri" w:hAnsiTheme="minorHAnsi" w:cs="Calibri"/>
          <w:sz w:val="20"/>
          <w:szCs w:val="20"/>
          <w:lang w:val="fr-BE"/>
        </w:rPr>
        <w:t xml:space="preserve">, predviđena je podrška stvaranju uslova za uspostavljanje relevantnog zakonodavnog okvira, unapređenje znanja i umrežavanje za potrebe koncepta socijalne ekonomije u Crnoj Gori, čime će biti obezbijeđen kontinuitet ovog procesa.  </w:t>
      </w:r>
    </w:p>
    <w:p w14:paraId="5D5C91FB"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Ranija implementacija mjera u oblasti legalizacije neformalne ekonomije, kao i dodatne promjene koje su prouzrokovane pandemijom virusa COVID-19, ukazuju na potrebu za holističkim, multisektorskim pristupom u odnosu na politiku suzbijanja neformalne ekonomije. Osim toga, nacrtom Nacionalne strategije za zapošljavanje (2021-2025) usvojene su preporuke iz nekoliko relevantnih istraživačkih radova, koji ukazuju da jedna od glavnih prepreka uspostavljanju ekonomskog rasta i povoljnijeg poslovnog okruženja, bržeg porasta stope zapošljavanja i formalizacije neformalnog zapošljavanja leži u neadekvatnom sistemu oporezivanja rada. Pomenuti nacrt Strategije predlaže mjere za implementaciju društveno pravednijih i ekonomski efikasnijih reformi sistema oporezivanja rada, a u cilju tretiranja osjetljivih prilika u pandemijskoj i postpandemijskoj krizi.</w:t>
      </w:r>
    </w:p>
    <w:p w14:paraId="4359413F" w14:textId="77777777" w:rsidR="00047EF8" w:rsidRPr="00F563CD" w:rsidRDefault="00047EF8" w:rsidP="00047EF8">
      <w:pPr>
        <w:spacing w:line="240" w:lineRule="auto"/>
        <w:jc w:val="both"/>
        <w:rPr>
          <w:rFonts w:asciiTheme="minorHAnsi" w:eastAsia="Calibri" w:hAnsiTheme="minorHAnsi" w:cs="Calibri"/>
          <w:sz w:val="20"/>
          <w:szCs w:val="20"/>
          <w:lang w:val="fr-BE"/>
        </w:rPr>
      </w:pPr>
      <w:proofErr w:type="gramStart"/>
      <w:r w:rsidRPr="00F563CD">
        <w:rPr>
          <w:rFonts w:asciiTheme="minorHAnsi" w:eastAsia="Calibri" w:hAnsiTheme="minorHAnsi" w:cs="Calibri"/>
          <w:sz w:val="20"/>
          <w:szCs w:val="20"/>
          <w:lang w:val="fr-BE"/>
        </w:rPr>
        <w:lastRenderedPageBreak/>
        <w:t>Program ,,</w:t>
      </w:r>
      <w:proofErr w:type="gramEnd"/>
      <w:r w:rsidRPr="00F563CD">
        <w:rPr>
          <w:rFonts w:asciiTheme="minorHAnsi" w:eastAsia="Calibri" w:hAnsiTheme="minorHAnsi" w:cs="Calibri"/>
          <w:sz w:val="20"/>
          <w:szCs w:val="20"/>
          <w:lang w:val="fr-BE"/>
        </w:rPr>
        <w:t xml:space="preserve">Evropa sad’’ bavi se reformom sistema oporezivanja rada, a informaciju o ovom programu Vlada je usvojila u novembru 2021.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w:t>
      </w:r>
      <w:proofErr w:type="gramStart"/>
      <w:r w:rsidRPr="00F563CD">
        <w:rPr>
          <w:rFonts w:asciiTheme="minorHAnsi" w:eastAsia="Calibri" w:hAnsiTheme="minorHAnsi" w:cs="Calibri"/>
          <w:sz w:val="20"/>
          <w:szCs w:val="20"/>
          <w:lang w:val="fr-BE"/>
        </w:rPr>
        <w:t>Program ,,</w:t>
      </w:r>
      <w:proofErr w:type="gramEnd"/>
      <w:r w:rsidRPr="00F563CD">
        <w:rPr>
          <w:rFonts w:asciiTheme="minorHAnsi" w:eastAsia="Calibri" w:hAnsiTheme="minorHAnsi" w:cs="Calibri"/>
          <w:sz w:val="20"/>
          <w:szCs w:val="20"/>
          <w:lang w:val="fr-BE"/>
        </w:rPr>
        <w:t xml:space="preserve">Evropa sad’’ zasniva se na spremnosti države da se odrekne dijela svojih prihoda u korist zaposlenih i poslodavaca, čime se stvaraju uslovi za otvaranje poslovnih prilika i širenje poreske baze. Set predloženih mjera, pretežno u dijelu politike oporezivanja, </w:t>
      </w:r>
      <w:proofErr w:type="gramStart"/>
      <w:r w:rsidRPr="00F563CD">
        <w:rPr>
          <w:rFonts w:asciiTheme="minorHAnsi" w:eastAsia="Calibri" w:hAnsiTheme="minorHAnsi" w:cs="Calibri"/>
          <w:sz w:val="20"/>
          <w:szCs w:val="20"/>
          <w:lang w:val="fr-BE"/>
        </w:rPr>
        <w:t>uključuje:</w:t>
      </w:r>
      <w:proofErr w:type="gramEnd"/>
      <w:r w:rsidRPr="00F563CD">
        <w:rPr>
          <w:rFonts w:asciiTheme="minorHAnsi" w:eastAsia="Calibri" w:hAnsiTheme="minorHAnsi" w:cs="Calibri"/>
          <w:sz w:val="20"/>
          <w:szCs w:val="20"/>
          <w:lang w:val="fr-BE"/>
        </w:rPr>
        <w:t xml:space="preserve"> povećanje minimalne zarade ; umanjenje troškova za poslodavce kroz nižu stopu oporezivanja troškova rada, i uvođenje progresivnog oporezivanja kao efikasniji model oporezivanja. Umanjenje poreskog klina predlaže se, s jedne strane, u cilju pružanja kontinuirane podrške ekonomiji u periodu ekonomskog oporavka nakon pandemije virusa COVID-19, odnosno za potrebe unapređenja ukupnog poslovnog okruženja, s druge strane. Na taj način će, smanjivanjem poreskog klina, Vlada promovisati rad i zapošljavanje, i istovremeno će podsticati investicije. </w:t>
      </w:r>
    </w:p>
    <w:p w14:paraId="5228D96A"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Očekuje se da će porast minimalne zarade pozitivno uticati na životni standard zaposlenih sa najnižim primanjima, dok će uvođenjem progresivnog oporezivanja dohotka (za bruto plate iznad 700 eura)</w:t>
      </w:r>
      <w:r w:rsidRPr="00F563CD">
        <w:rPr>
          <w:rStyle w:val="FootnoteReference"/>
          <w:rFonts w:asciiTheme="minorHAnsi" w:eastAsia="Calibri" w:hAnsiTheme="minorHAnsi" w:cs="Calibri"/>
          <w:sz w:val="20"/>
          <w:szCs w:val="20"/>
        </w:rPr>
        <w:footnoteReference w:id="26"/>
      </w:r>
      <w:r w:rsidRPr="00F563CD">
        <w:rPr>
          <w:rFonts w:asciiTheme="minorHAnsi" w:eastAsia="Calibri" w:hAnsiTheme="minorHAnsi" w:cs="Calibri"/>
          <w:sz w:val="20"/>
          <w:szCs w:val="20"/>
          <w:lang w:val="fr-BE"/>
        </w:rPr>
        <w:t xml:space="preserve"> prihod biti preraspodijeljen sa zaposlenih sa višim primanjima na one koji imaju niža primanja.  Ovo će usloviti i veće aktiviranje lica koja zahtijevaju socijalnu pomoć, a koja se češće nalaze u zoni sive ekonomije, i samim tim će ih odvratiti od neformalne zaposlenosti. Najosjetljivije grupe uključuju i </w:t>
      </w:r>
      <w:proofErr w:type="gramStart"/>
      <w:r w:rsidRPr="00F563CD">
        <w:rPr>
          <w:rFonts w:asciiTheme="minorHAnsi" w:eastAsia="Calibri" w:hAnsiTheme="minorHAnsi" w:cs="Calibri"/>
          <w:sz w:val="20"/>
          <w:szCs w:val="20"/>
          <w:lang w:val="fr-BE"/>
        </w:rPr>
        <w:t>kategoriju ,,</w:t>
      </w:r>
      <w:proofErr w:type="gramEnd"/>
      <w:r w:rsidRPr="00F563CD">
        <w:rPr>
          <w:rFonts w:asciiTheme="minorHAnsi" w:eastAsia="Calibri" w:hAnsiTheme="minorHAnsi" w:cs="Calibri"/>
          <w:sz w:val="20"/>
          <w:szCs w:val="20"/>
          <w:lang w:val="fr-BE"/>
        </w:rPr>
        <w:t>novih siromašnih’’, koji uz ostale osjetljive grupe, trpe posljedice krize izazvane pandemijom COVID-19.</w:t>
      </w:r>
    </w:p>
    <w:p w14:paraId="042994F3" w14:textId="77777777" w:rsidR="00047EF8" w:rsidRPr="00F563CD" w:rsidRDefault="00047EF8" w:rsidP="00047EF8">
      <w:pPr>
        <w:spacing w:line="240" w:lineRule="auto"/>
        <w:jc w:val="both"/>
        <w:rPr>
          <w:rFonts w:asciiTheme="minorHAnsi" w:eastAsia="Calibri" w:hAnsiTheme="minorHAnsi" w:cs="Calibri"/>
          <w:bCs/>
          <w:sz w:val="20"/>
          <w:szCs w:val="20"/>
          <w:lang w:val="fr-BE"/>
        </w:rPr>
      </w:pPr>
      <w:r w:rsidRPr="00F563CD">
        <w:rPr>
          <w:rFonts w:asciiTheme="minorHAnsi" w:eastAsia="Calibri" w:hAnsiTheme="minorHAnsi" w:cs="Calibri"/>
          <w:b/>
          <w:bCs/>
          <w:sz w:val="20"/>
          <w:szCs w:val="20"/>
          <w:lang w:val="fr-BE"/>
        </w:rPr>
        <w:t>Strategija za unapređenja zaštite i zdravlja na radu u Crnoj Gori (2022-2027)</w:t>
      </w:r>
      <w:r w:rsidRPr="00F563CD">
        <w:rPr>
          <w:rFonts w:asciiTheme="minorHAnsi" w:eastAsia="Calibri" w:hAnsiTheme="minorHAnsi" w:cs="Calibri"/>
          <w:bCs/>
          <w:sz w:val="20"/>
          <w:szCs w:val="20"/>
          <w:lang w:val="fr-BE"/>
        </w:rPr>
        <w:t xml:space="preserve"> biće</w:t>
      </w:r>
      <w:r w:rsidRPr="00F563CD">
        <w:rPr>
          <w:rFonts w:asciiTheme="minorHAnsi" w:eastAsia="Calibri" w:hAnsiTheme="minorHAnsi" w:cs="Calibri"/>
          <w:b/>
          <w:bCs/>
          <w:sz w:val="20"/>
          <w:szCs w:val="20"/>
          <w:lang w:val="fr-BE"/>
        </w:rPr>
        <w:t xml:space="preserve"> </w:t>
      </w:r>
      <w:r w:rsidRPr="00F563CD">
        <w:rPr>
          <w:rFonts w:asciiTheme="minorHAnsi" w:eastAsia="Calibri" w:hAnsiTheme="minorHAnsi" w:cs="Calibri"/>
          <w:bCs/>
          <w:sz w:val="20"/>
          <w:szCs w:val="20"/>
          <w:lang w:val="fr-BE"/>
        </w:rPr>
        <w:t xml:space="preserve">usvojena 2022. </w:t>
      </w:r>
      <w:proofErr w:type="gramStart"/>
      <w:r w:rsidRPr="00F563CD">
        <w:rPr>
          <w:rFonts w:asciiTheme="minorHAnsi" w:eastAsia="Calibri" w:hAnsiTheme="minorHAnsi" w:cs="Calibri"/>
          <w:bCs/>
          <w:sz w:val="20"/>
          <w:szCs w:val="20"/>
          <w:lang w:val="fr-BE"/>
        </w:rPr>
        <w:t>godine</w:t>
      </w:r>
      <w:proofErr w:type="gramEnd"/>
      <w:r w:rsidRPr="00F563CD">
        <w:rPr>
          <w:rFonts w:asciiTheme="minorHAnsi" w:eastAsia="Calibri" w:hAnsiTheme="minorHAnsi" w:cs="Calibri"/>
          <w:bCs/>
          <w:sz w:val="20"/>
          <w:szCs w:val="20"/>
          <w:lang w:val="fr-BE"/>
        </w:rPr>
        <w:t xml:space="preserve"> kao ključni strateški dokument koji reflektuje cilj Vlade Crne Gore u pogledu unapređenja situacije u oblasti poboljšanja uslova zaštite i zdravlja na radu kroz veću posvećenost pristupu ,,Nulte vizije’’, koja teži dostizanju uslova bez povreda na radu za sve zaposlene u Crnoj Gori.</w:t>
      </w:r>
    </w:p>
    <w:p w14:paraId="4A43CECC"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b/>
          <w:bCs/>
          <w:sz w:val="20"/>
          <w:szCs w:val="20"/>
          <w:lang w:val="fr-BE"/>
        </w:rPr>
        <w:t xml:space="preserve">Strategija za mlade 2017-2021 </w:t>
      </w:r>
      <w:r w:rsidRPr="00F563CD">
        <w:rPr>
          <w:rFonts w:asciiTheme="minorHAnsi" w:eastAsia="Calibri" w:hAnsiTheme="minorHAnsi" w:cs="Calibri"/>
          <w:sz w:val="20"/>
          <w:szCs w:val="20"/>
          <w:lang w:val="fr-BE"/>
        </w:rPr>
        <w:t>definiše ključne prioritete i sistem podrške za mlade ljude koji su na prelazu u odraslo doba. Strategija definiše prioritete u oblasti zapošljavanja, kao što su ekonomska i socijalna sigurnost za mlade kroz unaprijeđeni pristup tržištu rada i zapošljavanju.</w:t>
      </w:r>
    </w:p>
    <w:p w14:paraId="26613B82" w14:textId="77777777" w:rsidR="00047EF8" w:rsidRPr="00F563CD" w:rsidRDefault="00047EF8" w:rsidP="00047EF8">
      <w:pPr>
        <w:spacing w:line="240" w:lineRule="auto"/>
        <w:jc w:val="both"/>
        <w:rPr>
          <w:rFonts w:asciiTheme="minorHAnsi" w:eastAsia="Calibri" w:hAnsiTheme="minorHAnsi" w:cs="Calibri"/>
          <w:b/>
          <w:bCs/>
          <w:iCs/>
          <w:sz w:val="20"/>
          <w:szCs w:val="20"/>
          <w:u w:val="single"/>
          <w:lang w:val="fr-BE"/>
        </w:rPr>
      </w:pPr>
      <w:r w:rsidRPr="00F563CD">
        <w:rPr>
          <w:rFonts w:asciiTheme="minorHAnsi" w:eastAsia="Calibri" w:hAnsiTheme="minorHAnsi" w:cs="Calibri"/>
          <w:b/>
          <w:bCs/>
          <w:iCs/>
          <w:sz w:val="20"/>
          <w:szCs w:val="20"/>
          <w:u w:val="single"/>
          <w:lang w:val="fr-BE"/>
        </w:rPr>
        <w:t>Socijalne politike</w:t>
      </w:r>
    </w:p>
    <w:p w14:paraId="7B34A411"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Imajući u vidu proces evropske integracije Crne Gore, postoji potreba za dodatnim uvezivanjem reformi i politika u oblasti socijalne zaštite sa Agendom povezivanja, socijalnim okvirom EU (Evropski stub socijalnih prava), kao i sa UN Agendom održivog razvoja ili </w:t>
      </w:r>
      <w:r w:rsidRPr="00F563CD">
        <w:rPr>
          <w:rFonts w:asciiTheme="minorHAnsi" w:eastAsia="Calibri" w:hAnsiTheme="minorHAnsi" w:cs="Calibri"/>
          <w:i/>
          <w:sz w:val="20"/>
          <w:szCs w:val="20"/>
          <w:lang w:val="fr-BE"/>
        </w:rPr>
        <w:t>Agendom 2030</w:t>
      </w:r>
      <w:r w:rsidRPr="00F563CD">
        <w:rPr>
          <w:rFonts w:asciiTheme="minorHAnsi" w:eastAsia="Calibri" w:hAnsiTheme="minorHAnsi" w:cs="Calibri"/>
          <w:sz w:val="20"/>
          <w:szCs w:val="20"/>
          <w:lang w:val="fr-BE"/>
        </w:rPr>
        <w:t xml:space="preserve">. Ovo je u skladu sa IPA III prioritetom koji se odnosi </w:t>
      </w:r>
      <w:proofErr w:type="gramStart"/>
      <w:r w:rsidRPr="00F563CD">
        <w:rPr>
          <w:rFonts w:asciiTheme="minorHAnsi" w:eastAsia="Calibri" w:hAnsiTheme="minorHAnsi" w:cs="Calibri"/>
          <w:sz w:val="20"/>
          <w:szCs w:val="20"/>
          <w:lang w:val="fr-BE"/>
        </w:rPr>
        <w:t>na ,,</w:t>
      </w:r>
      <w:proofErr w:type="gramEnd"/>
      <w:r w:rsidRPr="00F563CD">
        <w:rPr>
          <w:rFonts w:asciiTheme="minorHAnsi" w:eastAsia="Calibri" w:hAnsiTheme="minorHAnsi" w:cs="Calibri"/>
          <w:sz w:val="20"/>
          <w:szCs w:val="20"/>
          <w:lang w:val="fr-BE"/>
        </w:rPr>
        <w:t>kontinuiranu podršku reformama za unapređenje upravljanja i finansijskih sistema u okviru socijalnih politika i obrazovnih sistema, a u cilju jačanja međusektorske saradnje.’’</w:t>
      </w:r>
    </w:p>
    <w:p w14:paraId="2D872912"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Dodatni izazov u ovom sektoru pojavio se sa pandemijom virusa COVID-19, što zahtijeva usklađivanje okvira politika sa potrebama, a što je katalizovano tokom pandemije. Kako se navodi u IPA III programskom </w:t>
      </w:r>
      <w:proofErr w:type="gramStart"/>
      <w:r w:rsidRPr="00F563CD">
        <w:rPr>
          <w:rFonts w:asciiTheme="minorHAnsi" w:eastAsia="Calibri" w:hAnsiTheme="minorHAnsi" w:cs="Calibri"/>
          <w:sz w:val="20"/>
          <w:szCs w:val="20"/>
          <w:lang w:val="fr-BE"/>
        </w:rPr>
        <w:t>okviru:</w:t>
      </w:r>
      <w:proofErr w:type="gramEnd"/>
      <w:r w:rsidRPr="00F563CD">
        <w:rPr>
          <w:rFonts w:asciiTheme="minorHAnsi" w:eastAsia="Calibri" w:hAnsiTheme="minorHAnsi" w:cs="Calibri"/>
          <w:sz w:val="20"/>
          <w:szCs w:val="20"/>
          <w:lang w:val="fr-BE"/>
        </w:rPr>
        <w:t xml:space="preserve"> ,,Pandemija virusa COVID-19 predstavlja globalni šok, koji nije poštedio ni region koji je obuhvaćen procesom proširenja. Pandemija je izazvala nezapamćeno opterećenje za sisteme zdravstvene i socijalne zaštite u zemljama koje su korisnice IPA III podrške.’’ U Programskom okviru IPA III se takođe navodi da </w:t>
      </w:r>
      <w:proofErr w:type="gramStart"/>
      <w:r w:rsidRPr="00F563CD">
        <w:rPr>
          <w:rFonts w:asciiTheme="minorHAnsi" w:eastAsia="Calibri" w:hAnsiTheme="minorHAnsi" w:cs="Calibri"/>
          <w:sz w:val="20"/>
          <w:szCs w:val="20"/>
          <w:lang w:val="fr-BE"/>
        </w:rPr>
        <w:t>će ,,</w:t>
      </w:r>
      <w:proofErr w:type="gramEnd"/>
      <w:r w:rsidRPr="00F563CD">
        <w:rPr>
          <w:rFonts w:asciiTheme="minorHAnsi" w:eastAsia="Calibri" w:hAnsiTheme="minorHAnsi" w:cs="Calibri"/>
          <w:sz w:val="20"/>
          <w:szCs w:val="20"/>
          <w:lang w:val="fr-BE"/>
        </w:rPr>
        <w:t>ciljne politike za unapređenje  društvene kohezije biti potrebne i u kontekstu oporavka od virusa COVID-19’’, budući da postoje nove grupacije koje su zbog pandemije pod rizikom od siromaštva (,,novi siromašni’’), a u drugim okolnostima ne bi bili u ovoj kategoriji.</w:t>
      </w:r>
    </w:p>
    <w:p w14:paraId="353F6BFC" w14:textId="77777777" w:rsidR="00047EF8" w:rsidRPr="00F563CD" w:rsidRDefault="00047EF8" w:rsidP="00047EF8">
      <w:pPr>
        <w:spacing w:line="240" w:lineRule="auto"/>
        <w:jc w:val="both"/>
        <w:rPr>
          <w:rFonts w:asciiTheme="minorHAnsi" w:hAnsiTheme="minorHAnsi"/>
          <w:lang w:val="fr-BE"/>
        </w:rPr>
      </w:pPr>
      <w:r w:rsidRPr="00F563CD">
        <w:rPr>
          <w:rFonts w:asciiTheme="minorHAnsi" w:eastAsia="Calibri" w:hAnsiTheme="minorHAnsi" w:cs="Calibri"/>
          <w:sz w:val="20"/>
          <w:szCs w:val="20"/>
          <w:lang w:val="fr-BE"/>
        </w:rPr>
        <w:t>Kada je u pitanju TP1, sljedeće strategije su u potpunosti usklađene sa IPA III programskim okvirom i specifičnim ciljem u okviru TP1, koji podrazumijeva unapređenje kvaliteta života i osnaživanje socijalne inkluzije u Crnoj Gori, i progresivno se usklađuju i sa zakonodavnim okvirom EU u oblasti socijalne zaštite i inkluzivnih politika.</w:t>
      </w:r>
    </w:p>
    <w:p w14:paraId="5D1E7138" w14:textId="77777777" w:rsidR="00047EF8" w:rsidRPr="00F563CD" w:rsidRDefault="00047EF8" w:rsidP="00047EF8">
      <w:pPr>
        <w:numPr>
          <w:ilvl w:val="0"/>
          <w:numId w:val="38"/>
        </w:numPr>
        <w:spacing w:line="240" w:lineRule="auto"/>
        <w:ind w:left="426"/>
        <w:contextualSpacing/>
        <w:jc w:val="both"/>
        <w:rPr>
          <w:rFonts w:asciiTheme="minorHAnsi" w:eastAsia="Calibri" w:hAnsiTheme="minorHAnsi" w:cs="Calibri"/>
          <w:b/>
          <w:bCs/>
          <w:sz w:val="20"/>
          <w:szCs w:val="20"/>
          <w:lang w:val="fr-BE"/>
        </w:rPr>
      </w:pPr>
      <w:r w:rsidRPr="00F563CD">
        <w:rPr>
          <w:rFonts w:asciiTheme="minorHAnsi" w:eastAsia="Calibri" w:hAnsiTheme="minorHAnsi" w:cs="Calibri"/>
          <w:b/>
          <w:bCs/>
          <w:sz w:val="20"/>
          <w:szCs w:val="20"/>
          <w:lang w:val="fr-BE"/>
        </w:rPr>
        <w:t xml:space="preserve">Nacionalna strategija održivog razvoja do 2030. </w:t>
      </w:r>
      <w:proofErr w:type="gramStart"/>
      <w:r w:rsidRPr="00F563CD">
        <w:rPr>
          <w:rFonts w:asciiTheme="minorHAnsi" w:eastAsia="Calibri" w:hAnsiTheme="minorHAnsi" w:cs="Calibri"/>
          <w:bCs/>
          <w:sz w:val="20"/>
          <w:szCs w:val="20"/>
          <w:lang w:val="fr-BE"/>
        </w:rPr>
        <w:t>definiše</w:t>
      </w:r>
      <w:proofErr w:type="gramEnd"/>
      <w:r w:rsidRPr="00F563CD">
        <w:rPr>
          <w:rFonts w:asciiTheme="minorHAnsi" w:eastAsia="Calibri" w:hAnsiTheme="minorHAnsi" w:cs="Calibri"/>
          <w:bCs/>
          <w:sz w:val="20"/>
          <w:szCs w:val="20"/>
          <w:lang w:val="fr-BE"/>
        </w:rPr>
        <w:t xml:space="preserve"> socijalnu zaštitu kao ključni instrument u okviru sveobuhvatne strategije koja treba da omogući potrebnu realokaciju sredstava za prilagođavanje ,,deficita životnog ciklusa’’, što je podstaknuto razlikama u potrošnji i ostvarivanju prihoda, i neophodno je za ostvarivanje inkluzivnog rasta i razvoja. Strategija uzima u obzir da postojeći sistem socijalne zaštite nije uspio da odgovori na socijalne potrebe osjetljivih grupa stanovništva, kao i da mu nedostaje fleksibilnosti i prilagodljivosti za rješavanje aktuelnih pitanja. Ovo je u skladu sa prioritetima IPA III koji su usmjereni </w:t>
      </w:r>
      <w:proofErr w:type="gramStart"/>
      <w:r w:rsidRPr="00F563CD">
        <w:rPr>
          <w:rFonts w:asciiTheme="minorHAnsi" w:eastAsia="Calibri" w:hAnsiTheme="minorHAnsi" w:cs="Calibri"/>
          <w:bCs/>
          <w:sz w:val="20"/>
          <w:szCs w:val="20"/>
          <w:lang w:val="fr-BE"/>
        </w:rPr>
        <w:t>na ,,</w:t>
      </w:r>
      <w:proofErr w:type="gramEnd"/>
      <w:r w:rsidRPr="00F563CD">
        <w:rPr>
          <w:rFonts w:asciiTheme="minorHAnsi" w:eastAsia="Calibri" w:hAnsiTheme="minorHAnsi" w:cs="Calibri"/>
          <w:bCs/>
          <w:sz w:val="20"/>
          <w:szCs w:val="20"/>
          <w:lang w:val="fr-BE"/>
        </w:rPr>
        <w:t>ljudske i društvene aspekte ovog procesa, krod podršku obrazovanju, zapošljavanju, kao i u spektru oblasti društvenog razvoja, kao što je pristup zdravstvenim uslugama, pravna pomoć i usluge socijalne zaštite, čime se odgovara i na potrebe osjetljivih grupa.’’</w:t>
      </w:r>
    </w:p>
    <w:p w14:paraId="73EA66E7" w14:textId="77777777" w:rsidR="00047EF8" w:rsidRPr="00F563CD" w:rsidRDefault="00047EF8" w:rsidP="00047EF8">
      <w:pPr>
        <w:numPr>
          <w:ilvl w:val="0"/>
          <w:numId w:val="38"/>
        </w:numPr>
        <w:spacing w:line="240" w:lineRule="auto"/>
        <w:ind w:left="426"/>
        <w:contextualSpacing/>
        <w:jc w:val="both"/>
        <w:rPr>
          <w:rFonts w:asciiTheme="minorHAnsi" w:eastAsia="Calibri" w:hAnsiTheme="minorHAnsi" w:cs="Calibri"/>
          <w:b/>
          <w:bCs/>
          <w:sz w:val="20"/>
          <w:szCs w:val="20"/>
          <w:lang w:val="fr-BE"/>
        </w:rPr>
      </w:pPr>
      <w:r w:rsidRPr="00F563CD">
        <w:rPr>
          <w:rFonts w:asciiTheme="minorHAnsi" w:eastAsia="Calibri" w:hAnsiTheme="minorHAnsi" w:cs="Calibri"/>
          <w:b/>
          <w:bCs/>
          <w:sz w:val="20"/>
          <w:szCs w:val="20"/>
          <w:lang w:val="fr-BE"/>
        </w:rPr>
        <w:lastRenderedPageBreak/>
        <w:t xml:space="preserve">Programom ekonomskih reformi Crne Gore 2021-2023 </w:t>
      </w:r>
      <w:r w:rsidRPr="00F563CD">
        <w:rPr>
          <w:rFonts w:asciiTheme="minorHAnsi" w:eastAsia="Calibri" w:hAnsiTheme="minorHAnsi" w:cs="Calibri"/>
          <w:bCs/>
          <w:sz w:val="20"/>
          <w:szCs w:val="20"/>
          <w:lang w:val="fr-BE"/>
        </w:rPr>
        <w:t>definisana je</w:t>
      </w:r>
      <w:r w:rsidRPr="00F563CD">
        <w:rPr>
          <w:rFonts w:asciiTheme="minorHAnsi" w:eastAsia="Calibri" w:hAnsiTheme="minorHAnsi" w:cs="Calibri"/>
          <w:b/>
          <w:bCs/>
          <w:sz w:val="20"/>
          <w:szCs w:val="20"/>
          <w:lang w:val="fr-BE"/>
        </w:rPr>
        <w:t xml:space="preserve"> </w:t>
      </w:r>
      <w:r w:rsidRPr="00F563CD">
        <w:rPr>
          <w:rFonts w:asciiTheme="minorHAnsi" w:eastAsia="Calibri" w:hAnsiTheme="minorHAnsi" w:cs="Calibri"/>
          <w:bCs/>
          <w:sz w:val="20"/>
          <w:szCs w:val="20"/>
          <w:lang w:val="fr-BE"/>
        </w:rPr>
        <w:t xml:space="preserve">reformska mjera </w:t>
      </w:r>
      <w:proofErr w:type="gramStart"/>
      <w:r w:rsidRPr="00F563CD">
        <w:rPr>
          <w:rFonts w:asciiTheme="minorHAnsi" w:eastAsia="Calibri" w:hAnsiTheme="minorHAnsi" w:cs="Calibri"/>
          <w:bCs/>
          <w:sz w:val="20"/>
          <w:szCs w:val="20"/>
          <w:lang w:val="fr-BE"/>
        </w:rPr>
        <w:t>18:</w:t>
      </w:r>
      <w:proofErr w:type="gramEnd"/>
      <w:r w:rsidRPr="00F563CD">
        <w:rPr>
          <w:rFonts w:asciiTheme="minorHAnsi" w:eastAsia="Calibri" w:hAnsiTheme="minorHAnsi" w:cs="Calibri"/>
          <w:bCs/>
          <w:sz w:val="20"/>
          <w:szCs w:val="20"/>
          <w:lang w:val="fr-BE"/>
        </w:rPr>
        <w:t xml:space="preserve"> Razvijanje usluga dnevnog boravka za starija lica (kojom je predviđeno ,,unapređenje zaštite za starija lica u vidu većeg broja ustanova koje pružaju usluge dnevnog boravka’’). </w:t>
      </w:r>
    </w:p>
    <w:p w14:paraId="027AABE6" w14:textId="77777777" w:rsidR="00047EF8" w:rsidRPr="00F563CD" w:rsidRDefault="00047EF8" w:rsidP="00047EF8">
      <w:pPr>
        <w:numPr>
          <w:ilvl w:val="0"/>
          <w:numId w:val="38"/>
        </w:numPr>
        <w:spacing w:line="240" w:lineRule="auto"/>
        <w:ind w:left="426"/>
        <w:contextualSpacing/>
        <w:jc w:val="both"/>
        <w:rPr>
          <w:rFonts w:asciiTheme="minorHAnsi" w:eastAsia="Calibri" w:hAnsiTheme="minorHAnsi" w:cs="Calibri"/>
          <w:b/>
          <w:bCs/>
          <w:sz w:val="20"/>
          <w:szCs w:val="20"/>
          <w:lang w:val="fr-BE"/>
        </w:rPr>
      </w:pPr>
      <w:r w:rsidRPr="00F563CD">
        <w:rPr>
          <w:rFonts w:asciiTheme="minorHAnsi" w:eastAsia="Calibri" w:hAnsiTheme="minorHAnsi" w:cs="Calibri"/>
          <w:b/>
          <w:bCs/>
          <w:sz w:val="20"/>
          <w:szCs w:val="20"/>
          <w:lang w:val="fr-BE"/>
        </w:rPr>
        <w:t xml:space="preserve">Nacionalna strategija zapošljavanja i razvoja ljudskih resursa 2016-2020 </w:t>
      </w:r>
      <w:r w:rsidRPr="00F563CD">
        <w:rPr>
          <w:rFonts w:asciiTheme="minorHAnsi" w:eastAsia="Calibri" w:hAnsiTheme="minorHAnsi" w:cs="Calibri"/>
          <w:bCs/>
          <w:sz w:val="20"/>
          <w:szCs w:val="20"/>
          <w:lang w:val="fr-BE"/>
        </w:rPr>
        <w:t>teži da</w:t>
      </w:r>
      <w:r w:rsidRPr="00F563CD">
        <w:rPr>
          <w:rFonts w:asciiTheme="minorHAnsi" w:eastAsia="Calibri" w:hAnsiTheme="minorHAnsi" w:cs="Calibri"/>
          <w:b/>
          <w:bCs/>
          <w:sz w:val="20"/>
          <w:szCs w:val="20"/>
          <w:lang w:val="fr-BE"/>
        </w:rPr>
        <w:t xml:space="preserve"> </w:t>
      </w:r>
      <w:r w:rsidRPr="00F563CD">
        <w:rPr>
          <w:rFonts w:asciiTheme="minorHAnsi" w:eastAsia="Calibri" w:hAnsiTheme="minorHAnsi" w:cs="Calibri"/>
          <w:bCs/>
          <w:sz w:val="20"/>
          <w:szCs w:val="20"/>
          <w:lang w:val="fr-BE"/>
        </w:rPr>
        <w:t xml:space="preserve">osnaži i unaprijedi razvoj usluga koje podržavaju život u zajednici, i u tom smislu definiše sljedeće relevantne ciljeve, kao što </w:t>
      </w:r>
      <w:proofErr w:type="gramStart"/>
      <w:r w:rsidRPr="00F563CD">
        <w:rPr>
          <w:rFonts w:asciiTheme="minorHAnsi" w:eastAsia="Calibri" w:hAnsiTheme="minorHAnsi" w:cs="Calibri"/>
          <w:bCs/>
          <w:sz w:val="20"/>
          <w:szCs w:val="20"/>
          <w:lang w:val="fr-BE"/>
        </w:rPr>
        <w:t>je:</w:t>
      </w:r>
      <w:proofErr w:type="gramEnd"/>
      <w:r w:rsidRPr="00F563CD">
        <w:rPr>
          <w:rFonts w:asciiTheme="minorHAnsi" w:eastAsia="Calibri" w:hAnsiTheme="minorHAnsi" w:cs="Calibri"/>
          <w:bCs/>
          <w:sz w:val="20"/>
          <w:szCs w:val="20"/>
          <w:lang w:val="fr-BE"/>
        </w:rPr>
        <w:t xml:space="preserve"> ,,sprovođenje planova transformacije institucija socijalne i dječije zaštite.’’ Ovo je usklađeno sa IPA III prioritetima u kojima se navodi da će finansijska </w:t>
      </w:r>
      <w:proofErr w:type="gramStart"/>
      <w:r w:rsidRPr="00F563CD">
        <w:rPr>
          <w:rFonts w:asciiTheme="minorHAnsi" w:eastAsia="Calibri" w:hAnsiTheme="minorHAnsi" w:cs="Calibri"/>
          <w:bCs/>
          <w:sz w:val="20"/>
          <w:szCs w:val="20"/>
          <w:lang w:val="fr-BE"/>
        </w:rPr>
        <w:t>podrška ,,</w:t>
      </w:r>
      <w:proofErr w:type="gramEnd"/>
      <w:r w:rsidRPr="00F563CD">
        <w:rPr>
          <w:rFonts w:asciiTheme="minorHAnsi" w:eastAsia="Calibri" w:hAnsiTheme="minorHAnsi" w:cs="Calibri"/>
          <w:bCs/>
          <w:sz w:val="20"/>
          <w:szCs w:val="20"/>
          <w:lang w:val="fr-BE"/>
        </w:rPr>
        <w:t>biti usmjerena na osnaživanje usluga u zajednici, s posebnim naglaskom  na sistemima dječije zaštite i drugim socijalnim uslugama.’’</w:t>
      </w:r>
      <w:r w:rsidRPr="00F563CD">
        <w:rPr>
          <w:rFonts w:asciiTheme="minorHAnsi" w:eastAsia="Calibri" w:hAnsiTheme="minorHAnsi" w:cs="Calibri"/>
          <w:sz w:val="20"/>
          <w:szCs w:val="20"/>
          <w:lang w:val="fr-BE"/>
        </w:rPr>
        <w:t xml:space="preserve"> </w:t>
      </w:r>
    </w:p>
    <w:p w14:paraId="37215353" w14:textId="77777777" w:rsidR="00047EF8" w:rsidRPr="00F563CD" w:rsidRDefault="00047EF8" w:rsidP="00047EF8">
      <w:pPr>
        <w:numPr>
          <w:ilvl w:val="0"/>
          <w:numId w:val="38"/>
        </w:numPr>
        <w:spacing w:line="240" w:lineRule="auto"/>
        <w:ind w:left="426"/>
        <w:contextualSpacing/>
        <w:jc w:val="both"/>
        <w:rPr>
          <w:rFonts w:asciiTheme="minorHAnsi" w:eastAsia="Calibri" w:hAnsiTheme="minorHAnsi" w:cs="Calibri"/>
          <w:b/>
          <w:bCs/>
          <w:sz w:val="20"/>
          <w:szCs w:val="20"/>
          <w:lang w:val="fr-BE"/>
        </w:rPr>
      </w:pPr>
      <w:r w:rsidRPr="00F563CD">
        <w:rPr>
          <w:rFonts w:asciiTheme="minorHAnsi" w:eastAsia="Calibri" w:hAnsiTheme="minorHAnsi" w:cs="Calibri"/>
          <w:b/>
          <w:bCs/>
          <w:sz w:val="20"/>
          <w:szCs w:val="20"/>
          <w:lang w:val="fr-BE"/>
        </w:rPr>
        <w:t xml:space="preserve">U Strategiji za integraciju osoba s invaliditetom u Crnoj Gori za period 2016-2020 </w:t>
      </w:r>
      <w:r w:rsidRPr="00F563CD">
        <w:rPr>
          <w:rFonts w:asciiTheme="minorHAnsi" w:eastAsia="Calibri" w:hAnsiTheme="minorHAnsi" w:cs="Calibri"/>
          <w:bCs/>
          <w:sz w:val="20"/>
          <w:szCs w:val="20"/>
          <w:lang w:val="fr-BE"/>
        </w:rPr>
        <w:t xml:space="preserve">navodi se da </w:t>
      </w:r>
      <w:proofErr w:type="gramStart"/>
      <w:r w:rsidRPr="00F563CD">
        <w:rPr>
          <w:rFonts w:asciiTheme="minorHAnsi" w:eastAsia="Calibri" w:hAnsiTheme="minorHAnsi" w:cs="Calibri"/>
          <w:bCs/>
          <w:sz w:val="20"/>
          <w:szCs w:val="20"/>
          <w:lang w:val="fr-BE"/>
        </w:rPr>
        <w:t>je ,,</w:t>
      </w:r>
      <w:proofErr w:type="gramEnd"/>
      <w:r w:rsidRPr="00F563CD">
        <w:rPr>
          <w:rFonts w:asciiTheme="minorHAnsi" w:eastAsia="Calibri" w:hAnsiTheme="minorHAnsi" w:cs="Calibri"/>
          <w:bCs/>
          <w:sz w:val="20"/>
          <w:szCs w:val="20"/>
          <w:lang w:val="fr-BE"/>
        </w:rPr>
        <w:t>strateški cilj socijalne zaštite da se i lica s invaliditetom integrišu u društvo, uspostavljanjem modernog i održivog sistema socijalne zaštite, s posebnim naglaskom na licima kojima je potrebna najveća podrška’’.</w:t>
      </w:r>
    </w:p>
    <w:p w14:paraId="1486568C" w14:textId="77777777" w:rsidR="00047EF8" w:rsidRPr="00F563CD" w:rsidRDefault="00047EF8" w:rsidP="00047EF8">
      <w:pPr>
        <w:numPr>
          <w:ilvl w:val="0"/>
          <w:numId w:val="38"/>
        </w:numPr>
        <w:spacing w:line="240" w:lineRule="auto"/>
        <w:ind w:left="426"/>
        <w:contextualSpacing/>
        <w:jc w:val="both"/>
        <w:rPr>
          <w:rFonts w:asciiTheme="minorHAnsi" w:eastAsia="Calibri" w:hAnsiTheme="minorHAnsi" w:cs="Calibri"/>
          <w:b/>
          <w:bCs/>
          <w:sz w:val="20"/>
          <w:szCs w:val="20"/>
          <w:lang w:val="fr-BE"/>
        </w:rPr>
      </w:pPr>
      <w:r w:rsidRPr="00F563CD">
        <w:rPr>
          <w:rFonts w:asciiTheme="minorHAnsi" w:eastAsia="Calibri" w:hAnsiTheme="minorHAnsi" w:cs="Calibri"/>
          <w:b/>
          <w:bCs/>
          <w:sz w:val="20"/>
          <w:szCs w:val="20"/>
          <w:lang w:val="fr-BE"/>
        </w:rPr>
        <w:t xml:space="preserve">Strategija razvoja sistema socijalne zaštite starijih osoba za period od 2018. </w:t>
      </w:r>
      <w:proofErr w:type="gramStart"/>
      <w:r w:rsidRPr="00F563CD">
        <w:rPr>
          <w:rFonts w:asciiTheme="minorHAnsi" w:eastAsia="Calibri" w:hAnsiTheme="minorHAnsi" w:cs="Calibri"/>
          <w:b/>
          <w:bCs/>
          <w:sz w:val="20"/>
          <w:szCs w:val="20"/>
          <w:lang w:val="fr-BE"/>
        </w:rPr>
        <w:t>do</w:t>
      </w:r>
      <w:proofErr w:type="gramEnd"/>
      <w:r w:rsidRPr="00F563CD">
        <w:rPr>
          <w:rFonts w:asciiTheme="minorHAnsi" w:eastAsia="Calibri" w:hAnsiTheme="minorHAnsi" w:cs="Calibri"/>
          <w:b/>
          <w:bCs/>
          <w:sz w:val="20"/>
          <w:szCs w:val="20"/>
          <w:lang w:val="fr-BE"/>
        </w:rPr>
        <w:t xml:space="preserve"> 2022. </w:t>
      </w:r>
      <w:proofErr w:type="gramStart"/>
      <w:r w:rsidRPr="00F563CD">
        <w:rPr>
          <w:rFonts w:asciiTheme="minorHAnsi" w:eastAsia="Calibri" w:hAnsiTheme="minorHAnsi" w:cs="Calibri"/>
          <w:b/>
          <w:bCs/>
          <w:sz w:val="20"/>
          <w:szCs w:val="20"/>
          <w:lang w:val="fr-BE"/>
        </w:rPr>
        <w:t>godine</w:t>
      </w:r>
      <w:proofErr w:type="gramEnd"/>
      <w:r w:rsidRPr="00F563CD">
        <w:rPr>
          <w:rFonts w:asciiTheme="minorHAnsi" w:eastAsia="Calibri" w:hAnsiTheme="minorHAnsi" w:cs="Calibri"/>
          <w:b/>
          <w:bCs/>
          <w:sz w:val="20"/>
          <w:szCs w:val="20"/>
          <w:lang w:val="fr-BE"/>
        </w:rPr>
        <w:t xml:space="preserve">, </w:t>
      </w:r>
      <w:r w:rsidRPr="00F563CD">
        <w:rPr>
          <w:rFonts w:asciiTheme="minorHAnsi" w:eastAsia="Calibri" w:hAnsiTheme="minorHAnsi" w:cs="Calibri"/>
          <w:bCs/>
          <w:sz w:val="20"/>
          <w:szCs w:val="20"/>
          <w:lang w:val="fr-BE"/>
        </w:rPr>
        <w:t xml:space="preserve">u okviru mjere </w:t>
      </w:r>
      <w:r w:rsidRPr="00F563CD">
        <w:rPr>
          <w:rFonts w:asciiTheme="minorHAnsi" w:eastAsia="Calibri" w:hAnsiTheme="minorHAnsi" w:cs="Calibri"/>
          <w:sz w:val="20"/>
          <w:szCs w:val="20"/>
          <w:lang w:val="fr-BE"/>
        </w:rPr>
        <w:t xml:space="preserve">2.3. </w:t>
      </w:r>
      <w:proofErr w:type="gramStart"/>
      <w:r w:rsidRPr="00F563CD">
        <w:rPr>
          <w:rFonts w:asciiTheme="minorHAnsi" w:eastAsia="Calibri" w:hAnsiTheme="minorHAnsi" w:cs="Calibri"/>
          <w:sz w:val="20"/>
          <w:szCs w:val="20"/>
          <w:lang w:val="fr-BE"/>
        </w:rPr>
        <w:t>teži ,,</w:t>
      </w:r>
      <w:proofErr w:type="gramEnd"/>
      <w:r w:rsidRPr="00F563CD">
        <w:rPr>
          <w:rFonts w:asciiTheme="minorHAnsi" w:eastAsia="Calibri" w:hAnsiTheme="minorHAnsi" w:cs="Calibri"/>
          <w:sz w:val="20"/>
          <w:szCs w:val="20"/>
          <w:lang w:val="fr-BE"/>
        </w:rPr>
        <w:t xml:space="preserve">da unaprijedi usluge smještaja za starija lica, zadatak 2.3.1. </w:t>
      </w:r>
      <w:proofErr w:type="gramStart"/>
      <w:r w:rsidRPr="00F563CD">
        <w:rPr>
          <w:rFonts w:asciiTheme="minorHAnsi" w:eastAsia="Calibri" w:hAnsiTheme="minorHAnsi" w:cs="Calibri"/>
          <w:sz w:val="20"/>
          <w:szCs w:val="20"/>
          <w:lang w:val="fr-BE"/>
        </w:rPr>
        <w:t>glasi ,,</w:t>
      </w:r>
      <w:proofErr w:type="gramEnd"/>
      <w:r w:rsidRPr="00F563CD">
        <w:rPr>
          <w:rFonts w:asciiTheme="minorHAnsi" w:eastAsia="Calibri" w:hAnsiTheme="minorHAnsi" w:cs="Calibri"/>
          <w:i/>
          <w:sz w:val="20"/>
          <w:szCs w:val="20"/>
          <w:lang w:val="fr-BE"/>
        </w:rPr>
        <w:t>transformacija javnih ustanova za smještaj starijih osoba’’</w:t>
      </w:r>
      <w:r w:rsidRPr="00F563CD">
        <w:rPr>
          <w:rFonts w:asciiTheme="minorHAnsi" w:eastAsia="Calibri" w:hAnsiTheme="minorHAnsi" w:cs="Calibri"/>
          <w:sz w:val="20"/>
          <w:szCs w:val="20"/>
          <w:lang w:val="fr-BE"/>
        </w:rPr>
        <w:t>.</w:t>
      </w:r>
    </w:p>
    <w:p w14:paraId="00B2F69B" w14:textId="77777777" w:rsidR="00047EF8" w:rsidRPr="00F563CD" w:rsidRDefault="00047EF8" w:rsidP="00047EF8">
      <w:pPr>
        <w:numPr>
          <w:ilvl w:val="0"/>
          <w:numId w:val="38"/>
        </w:numPr>
        <w:spacing w:line="240" w:lineRule="auto"/>
        <w:ind w:left="426"/>
        <w:contextualSpacing/>
        <w:jc w:val="both"/>
        <w:rPr>
          <w:rFonts w:asciiTheme="minorHAnsi" w:eastAsia="Calibri" w:hAnsiTheme="minorHAnsi" w:cs="Calibri"/>
          <w:bCs/>
          <w:sz w:val="20"/>
          <w:szCs w:val="20"/>
        </w:rPr>
      </w:pPr>
      <w:r w:rsidRPr="00F563CD">
        <w:rPr>
          <w:rFonts w:asciiTheme="minorHAnsi" w:eastAsia="Calibri" w:hAnsiTheme="minorHAnsi" w:cs="Calibri"/>
          <w:bCs/>
          <w:sz w:val="20"/>
          <w:szCs w:val="20"/>
          <w:lang w:val="fr-BE"/>
        </w:rPr>
        <w:t xml:space="preserve">Crnoj Gori je potrebna podrška EU u </w:t>
      </w:r>
      <w:r w:rsidRPr="00F563CD">
        <w:rPr>
          <w:rFonts w:asciiTheme="minorHAnsi" w:eastAsia="Calibri" w:hAnsiTheme="minorHAnsi" w:cs="Calibri"/>
          <w:b/>
          <w:bCs/>
          <w:sz w:val="20"/>
          <w:szCs w:val="20"/>
          <w:lang w:val="fr-BE"/>
        </w:rPr>
        <w:t>implementaciji planova transformacije ustanova zbrinjavanja</w:t>
      </w:r>
      <w:r w:rsidRPr="00F563CD">
        <w:rPr>
          <w:rFonts w:asciiTheme="minorHAnsi" w:eastAsia="Calibri" w:hAnsiTheme="minorHAnsi" w:cs="Calibri"/>
          <w:bCs/>
          <w:sz w:val="20"/>
          <w:szCs w:val="20"/>
          <w:lang w:val="fr-BE"/>
        </w:rPr>
        <w:t xml:space="preserve">. Novi plan transformacije </w:t>
      </w:r>
      <w:r w:rsidRPr="00F563CD">
        <w:rPr>
          <w:rFonts w:asciiTheme="minorHAnsi" w:eastAsia="Calibri" w:hAnsiTheme="minorHAnsi" w:cs="Calibri"/>
          <w:i/>
          <w:iCs/>
          <w:sz w:val="20"/>
          <w:szCs w:val="20"/>
          <w:lang w:val="fr-BE"/>
        </w:rPr>
        <w:t xml:space="preserve">JU Instituta Komanski most </w:t>
      </w:r>
      <w:r w:rsidRPr="00F563CD">
        <w:rPr>
          <w:rFonts w:asciiTheme="minorHAnsi" w:eastAsia="Calibri" w:hAnsiTheme="minorHAnsi" w:cs="Calibri"/>
          <w:iCs/>
          <w:sz w:val="20"/>
          <w:szCs w:val="20"/>
          <w:lang w:val="fr-BE"/>
        </w:rPr>
        <w:t>je pripremljen</w:t>
      </w:r>
      <w:r w:rsidRPr="00F563CD">
        <w:rPr>
          <w:rFonts w:asciiTheme="minorHAnsi" w:eastAsia="Calibri" w:hAnsiTheme="minorHAnsi" w:cs="Calibri"/>
          <w:bCs/>
          <w:sz w:val="20"/>
          <w:szCs w:val="20"/>
          <w:lang w:val="fr-BE"/>
        </w:rPr>
        <w:t xml:space="preserve"> za period između 2020. </w:t>
      </w:r>
      <w:proofErr w:type="gramStart"/>
      <w:r w:rsidRPr="00F563CD">
        <w:rPr>
          <w:rFonts w:asciiTheme="minorHAnsi" w:eastAsia="Calibri" w:hAnsiTheme="minorHAnsi" w:cs="Calibri"/>
          <w:bCs/>
          <w:sz w:val="20"/>
          <w:szCs w:val="20"/>
          <w:lang w:val="fr-BE"/>
        </w:rPr>
        <w:t>i</w:t>
      </w:r>
      <w:proofErr w:type="gramEnd"/>
      <w:r w:rsidRPr="00F563CD">
        <w:rPr>
          <w:rFonts w:asciiTheme="minorHAnsi" w:eastAsia="Calibri" w:hAnsiTheme="minorHAnsi" w:cs="Calibri"/>
          <w:bCs/>
          <w:sz w:val="20"/>
          <w:szCs w:val="20"/>
          <w:lang w:val="fr-BE"/>
        </w:rPr>
        <w:t xml:space="preserve"> 2024. </w:t>
      </w:r>
      <w:proofErr w:type="gramStart"/>
      <w:r w:rsidRPr="00F563CD">
        <w:rPr>
          <w:rFonts w:asciiTheme="minorHAnsi" w:eastAsia="Calibri" w:hAnsiTheme="minorHAnsi" w:cs="Calibri"/>
          <w:bCs/>
          <w:sz w:val="20"/>
          <w:szCs w:val="20"/>
          <w:lang w:val="fr-BE"/>
        </w:rPr>
        <w:t>godine</w:t>
      </w:r>
      <w:proofErr w:type="gramEnd"/>
      <w:r w:rsidRPr="00F563CD">
        <w:rPr>
          <w:rFonts w:asciiTheme="minorHAnsi" w:eastAsia="Calibri" w:hAnsiTheme="minorHAnsi" w:cs="Calibri"/>
          <w:bCs/>
          <w:sz w:val="20"/>
          <w:szCs w:val="20"/>
          <w:lang w:val="fr-BE"/>
        </w:rPr>
        <w:t xml:space="preserve">. Fokus novih planova je na izmještanju korisnika iz institucionalnih uslova u okruženje zajednice. </w:t>
      </w:r>
      <w:r w:rsidRPr="00F563CD">
        <w:rPr>
          <w:rFonts w:asciiTheme="minorHAnsi" w:eastAsia="Calibri" w:hAnsiTheme="minorHAnsi" w:cs="Calibri"/>
          <w:bCs/>
          <w:sz w:val="20"/>
          <w:szCs w:val="20"/>
        </w:rPr>
        <w:t xml:space="preserve">I </w:t>
      </w:r>
      <w:r w:rsidRPr="00F563CD">
        <w:rPr>
          <w:rFonts w:asciiTheme="minorHAnsi" w:eastAsia="Calibri" w:hAnsiTheme="minorHAnsi" w:cs="Calibri"/>
          <w:bCs/>
          <w:i/>
          <w:sz w:val="20"/>
          <w:szCs w:val="20"/>
        </w:rPr>
        <w:t>JU Dom za djecu Mladost-Bijela</w:t>
      </w:r>
      <w:r w:rsidRPr="00F563CD">
        <w:rPr>
          <w:rFonts w:asciiTheme="minorHAnsi" w:eastAsia="Calibri" w:hAnsiTheme="minorHAnsi" w:cs="Calibri"/>
          <w:bCs/>
          <w:sz w:val="20"/>
          <w:szCs w:val="20"/>
        </w:rPr>
        <w:t xml:space="preserve"> je takođe izradio plan transformacije za period od </w:t>
      </w:r>
      <w:r w:rsidRPr="00F563CD">
        <w:rPr>
          <w:rFonts w:asciiTheme="minorHAnsi" w:eastAsia="Calibri" w:hAnsiTheme="minorHAnsi" w:cs="Calibri"/>
          <w:sz w:val="20"/>
          <w:szCs w:val="20"/>
        </w:rPr>
        <w:t xml:space="preserve">2020 do 2024. godine. Ovim ustanovama stambenog zbrinjavanja potrebna je podrška za efikasnu implementaciju transformacionih planova. </w:t>
      </w:r>
      <w:r w:rsidRPr="00F563CD">
        <w:rPr>
          <w:rFonts w:asciiTheme="minorHAnsi" w:eastAsia="Calibri" w:hAnsiTheme="minorHAnsi" w:cs="Calibri"/>
          <w:b/>
          <w:sz w:val="20"/>
          <w:szCs w:val="20"/>
        </w:rPr>
        <w:t>Strategija za ostvarivanje prava djeteta u Crnoj Gori 2019-2023</w:t>
      </w:r>
      <w:r w:rsidRPr="00F563CD">
        <w:rPr>
          <w:rFonts w:asciiTheme="minorHAnsi" w:eastAsia="Calibri" w:hAnsiTheme="minorHAnsi" w:cs="Calibri"/>
          <w:sz w:val="20"/>
          <w:szCs w:val="20"/>
        </w:rPr>
        <w:t xml:space="preserve"> ima za cilj da za svu djecu unaprijedi pristup i kvalitet socijalne i zdravstvene zaštite i obrazovanja. </w:t>
      </w:r>
    </w:p>
    <w:p w14:paraId="6CAB3F32" w14:textId="77777777" w:rsidR="00047EF8" w:rsidRPr="00F563CD" w:rsidRDefault="00047EF8" w:rsidP="00047EF8">
      <w:pPr>
        <w:numPr>
          <w:ilvl w:val="0"/>
          <w:numId w:val="38"/>
        </w:numPr>
        <w:spacing w:line="240" w:lineRule="auto"/>
        <w:ind w:left="426"/>
        <w:contextualSpacing/>
        <w:jc w:val="both"/>
        <w:rPr>
          <w:rFonts w:asciiTheme="minorHAnsi" w:eastAsia="Calibri" w:hAnsiTheme="minorHAnsi" w:cs="Calibri"/>
          <w:sz w:val="20"/>
          <w:szCs w:val="20"/>
        </w:rPr>
      </w:pPr>
      <w:r w:rsidRPr="00F563CD">
        <w:rPr>
          <w:rFonts w:asciiTheme="minorHAnsi" w:eastAsia="Calibri" w:hAnsiTheme="minorHAnsi" w:cs="Calibri"/>
          <w:b/>
          <w:bCs/>
          <w:sz w:val="20"/>
          <w:szCs w:val="20"/>
        </w:rPr>
        <w:t xml:space="preserve">Strategija za prevenciju i zaštitu djece od nasilja (2017-2021), </w:t>
      </w:r>
      <w:r w:rsidRPr="00F563CD">
        <w:rPr>
          <w:rFonts w:asciiTheme="minorHAnsi" w:eastAsia="Calibri" w:hAnsiTheme="minorHAnsi" w:cs="Calibri"/>
          <w:bCs/>
          <w:sz w:val="20"/>
          <w:szCs w:val="20"/>
        </w:rPr>
        <w:t>ima za cilj da</w:t>
      </w:r>
      <w:r w:rsidRPr="00F563CD">
        <w:rPr>
          <w:rFonts w:asciiTheme="minorHAnsi" w:eastAsia="Calibri" w:hAnsiTheme="minorHAnsi" w:cs="Calibri"/>
          <w:b/>
          <w:bCs/>
          <w:sz w:val="20"/>
          <w:szCs w:val="20"/>
        </w:rPr>
        <w:t xml:space="preserve"> </w:t>
      </w:r>
      <w:r w:rsidRPr="00F563CD">
        <w:rPr>
          <w:rFonts w:asciiTheme="minorHAnsi" w:eastAsia="Calibri" w:hAnsiTheme="minorHAnsi" w:cs="Calibri"/>
          <w:bCs/>
          <w:sz w:val="20"/>
          <w:szCs w:val="20"/>
        </w:rPr>
        <w:t>obezbijedi zaštitu od svih vrsta nasilja,</w:t>
      </w:r>
      <w:r w:rsidRPr="00F563CD">
        <w:rPr>
          <w:rFonts w:asciiTheme="minorHAnsi" w:eastAsia="Calibri" w:hAnsiTheme="minorHAnsi" w:cs="Calibri"/>
          <w:b/>
          <w:bCs/>
          <w:sz w:val="20"/>
          <w:szCs w:val="20"/>
        </w:rPr>
        <w:t xml:space="preserve"> </w:t>
      </w:r>
      <w:r w:rsidRPr="00F563CD">
        <w:rPr>
          <w:rFonts w:asciiTheme="minorHAnsi" w:eastAsia="Calibri" w:hAnsiTheme="minorHAnsi" w:cs="Calibri"/>
          <w:bCs/>
          <w:sz w:val="20"/>
          <w:szCs w:val="20"/>
        </w:rPr>
        <w:t>uključujući i zanemarivanje i eksploataciju djece u Crnoj Gori.</w:t>
      </w:r>
    </w:p>
    <w:p w14:paraId="00A4456C" w14:textId="77777777" w:rsidR="00047EF8" w:rsidRPr="00F563CD" w:rsidRDefault="00047EF8" w:rsidP="00047EF8">
      <w:pPr>
        <w:spacing w:line="240" w:lineRule="auto"/>
        <w:ind w:left="426"/>
        <w:contextualSpacing/>
        <w:jc w:val="both"/>
        <w:rPr>
          <w:rFonts w:asciiTheme="minorHAnsi" w:eastAsia="Calibri" w:hAnsiTheme="minorHAnsi" w:cs="Calibri"/>
          <w:sz w:val="20"/>
          <w:szCs w:val="20"/>
          <w:highlight w:val="green"/>
        </w:rPr>
      </w:pPr>
    </w:p>
    <w:p w14:paraId="39080099" w14:textId="77777777" w:rsidR="00047EF8" w:rsidRPr="00F563CD" w:rsidRDefault="00047EF8" w:rsidP="00047EF8">
      <w:pPr>
        <w:spacing w:line="240" w:lineRule="auto"/>
        <w:jc w:val="both"/>
        <w:rPr>
          <w:rFonts w:asciiTheme="minorHAnsi" w:eastAsia="Calibri" w:hAnsiTheme="minorHAnsi" w:cs="Calibri"/>
          <w:b/>
          <w:bCs/>
          <w:iCs/>
          <w:sz w:val="20"/>
          <w:szCs w:val="20"/>
          <w:u w:val="single"/>
        </w:rPr>
      </w:pPr>
      <w:r w:rsidRPr="00F563CD">
        <w:rPr>
          <w:rFonts w:asciiTheme="minorHAnsi" w:eastAsia="Calibri" w:hAnsiTheme="minorHAnsi" w:cs="Calibri"/>
          <w:b/>
          <w:bCs/>
          <w:iCs/>
          <w:sz w:val="20"/>
          <w:szCs w:val="20"/>
          <w:u w:val="single"/>
        </w:rPr>
        <w:t>Zdravstvo</w:t>
      </w:r>
    </w:p>
    <w:p w14:paraId="030BC88D"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U oblasti zdravstva postoji potreba za strategijom i akcionim planom za razvoj zdravstvenog sistema, kao i za ažuriranjem Master plana za digitalizaciju i mobilne tehnologije u zdravstvenom sistemu za period 2021-2031, kao i da se potreba za strukturnim reformama postojećeg zdravstvenog sistema, uvođenjem digitalizacije, vještačke inteligencije i mobilnih zdravstvenih tehnologija dodatno inkorporira u postojeće sisteme koji su zastarjeli i, kako je pokazala i pandemija virusa COVID-19, nisu adekvatno pripremljeni da se suoče sa pritiskom. U Master planu za razvoj z</w:t>
      </w:r>
      <w:r w:rsidR="00864F83" w:rsidRPr="00F563CD">
        <w:rPr>
          <w:rFonts w:asciiTheme="minorHAnsi" w:eastAsia="Calibri" w:hAnsiTheme="minorHAnsi" w:cs="Calibri"/>
          <w:sz w:val="20"/>
          <w:szCs w:val="20"/>
        </w:rPr>
        <w:t xml:space="preserve">dravstva u Crnoj Gori </w:t>
      </w:r>
      <w:r w:rsidR="00864F83" w:rsidRPr="00F563CD">
        <w:rPr>
          <w:rFonts w:asciiTheme="minorHAnsi" w:hAnsiTheme="minorHAnsi"/>
          <w:sz w:val="20"/>
          <w:szCs w:val="20"/>
        </w:rPr>
        <w:t xml:space="preserve">2015-2020 navodi se da </w:t>
      </w:r>
      <w:proofErr w:type="gramStart"/>
      <w:r w:rsidR="00864F83" w:rsidRPr="00F563CD">
        <w:rPr>
          <w:rFonts w:asciiTheme="minorHAnsi" w:hAnsiTheme="minorHAnsi"/>
          <w:sz w:val="20"/>
          <w:szCs w:val="20"/>
        </w:rPr>
        <w:t>se ,,k</w:t>
      </w:r>
      <w:r w:rsidRPr="00F563CD">
        <w:rPr>
          <w:rFonts w:asciiTheme="minorHAnsi" w:hAnsiTheme="minorHAnsi"/>
          <w:sz w:val="20"/>
          <w:szCs w:val="20"/>
        </w:rPr>
        <w:t>ontrola</w:t>
      </w:r>
      <w:proofErr w:type="gramEnd"/>
      <w:r w:rsidRPr="00F563CD">
        <w:rPr>
          <w:rFonts w:asciiTheme="minorHAnsi" w:hAnsiTheme="minorHAnsi"/>
          <w:sz w:val="20"/>
          <w:szCs w:val="20"/>
        </w:rPr>
        <w:t xml:space="preserve"> obolijevanja od hroničnih nezaraznih bolesti ostvaruje prevencijom na individualnom nivou i na nivou cijele populacije, ciljanim pregledima, preventivnim pregledima i promocijom zdravih stilova života i zdrave životne sredine, zajedničkom akcijom zdravstvenog i ostalih sektora, i smanjenjem nejednakosti u zdravlju’’, i isti je usaglašen sa zdravstvenim politikama EU i SZO. </w:t>
      </w:r>
    </w:p>
    <w:p w14:paraId="7619756D" w14:textId="77777777" w:rsidR="00047EF8" w:rsidRPr="00F563CD" w:rsidRDefault="00047EF8" w:rsidP="00047EF8">
      <w:pPr>
        <w:jc w:val="both"/>
        <w:rPr>
          <w:rFonts w:asciiTheme="minorHAnsi" w:hAnsiTheme="minorHAnsi"/>
          <w:b/>
          <w:bCs/>
        </w:rPr>
      </w:pPr>
      <w:r w:rsidRPr="00F563CD">
        <w:rPr>
          <w:rFonts w:asciiTheme="minorHAnsi" w:eastAsia="Calibri" w:hAnsiTheme="minorHAnsi" w:cs="Calibri"/>
          <w:b/>
          <w:bCs/>
          <w:i/>
          <w:iCs/>
          <w:sz w:val="20"/>
          <w:szCs w:val="20"/>
        </w:rPr>
        <w:t xml:space="preserve">Tematski prioritet 2: Razvoj privatnog sektora, privrede, istraživanja i inovacija </w:t>
      </w:r>
    </w:p>
    <w:p w14:paraId="49BADD3F" w14:textId="77777777" w:rsidR="00047EF8" w:rsidRPr="00F563CD" w:rsidRDefault="00864F83"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Specifični cilj u okviru TP2 odnosi se na unapređenje poslovnog okruženja, inovacionog ekosistema i investicione klime u državama korisnicama, podsticanjem integracije u industrijske lance vrijednosti EU, za potrebe pružanja podrške socio-ekonomskom oporavku nakon pandemije COVID-19 i unapređenja konkurentnosti</w:t>
      </w:r>
      <w:r w:rsidR="00047EF8" w:rsidRPr="00F563CD">
        <w:rPr>
          <w:rFonts w:asciiTheme="minorHAnsi" w:eastAsia="Calibri" w:hAnsiTheme="minorHAnsi" w:cs="Calibri"/>
          <w:sz w:val="20"/>
          <w:szCs w:val="20"/>
        </w:rPr>
        <w:t xml:space="preserve"> ovih ekonomija.</w:t>
      </w:r>
    </w:p>
    <w:p w14:paraId="20C69407"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bCs/>
          <w:sz w:val="20"/>
          <w:szCs w:val="20"/>
        </w:rPr>
        <w:t>Strategiju pametne specijalizacije Crne Gore 2019-2024</w:t>
      </w:r>
      <w:r w:rsidRPr="00F563CD">
        <w:rPr>
          <w:rFonts w:asciiTheme="minorHAnsi" w:eastAsia="Calibri" w:hAnsiTheme="minorHAnsi" w:cs="Calibri"/>
          <w:sz w:val="20"/>
          <w:szCs w:val="20"/>
        </w:rPr>
        <w:t xml:space="preserve"> Vlada je usvojila u junu   2019. godine. U skladu sa vizijom strateškog razvoja Crne Gore, primjena ove strategije biće doprinos daljem procesu usaglašavanja industrijskih politika i politika za mala i srednja preduzeća sa procesom pametne specijalizacije. </w:t>
      </w:r>
      <w:r w:rsidRPr="00F563CD">
        <w:rPr>
          <w:rFonts w:asciiTheme="minorHAnsi" w:eastAsia="Calibri" w:hAnsiTheme="minorHAnsi" w:cs="Calibri"/>
          <w:bCs/>
          <w:sz w:val="20"/>
          <w:szCs w:val="20"/>
        </w:rPr>
        <w:t>Strategija pametne specijalizacije Crne Gore 2019-2024</w:t>
      </w:r>
      <w:r w:rsidRPr="00F563CD">
        <w:rPr>
          <w:rFonts w:asciiTheme="minorHAnsi" w:eastAsia="Calibri" w:hAnsiTheme="minorHAnsi" w:cs="Calibri"/>
          <w:sz w:val="20"/>
          <w:szCs w:val="20"/>
        </w:rPr>
        <w:t xml:space="preserve"> prepoznaje inovacije i saradnju između akademskog i privatnog sektora kao glavne pokretače ekonomskog rasta i osnovu za dalju modernizaciju države. U okviru četiri prioritetne ekonomske oblasti, unutar ove akcije biće obezbijeđena dodatna podrška kroz tri vertikalna prioriteta: održiva poljoprivreda i lanac vrijednosti hrane; energetika i održiva životna sredina, održivi i zdravstveni turizam, i jedan horizontalni prioritet: Informacione i komunikacione tehnologije. Strategija pametne specijalizacije otvorila je nove mogućnosti saradnje u okviru evropskog lanca vrijednosti, ali i sa institucijama kao što je Zajednički istraživački centar, koji za potrebe implementacije Strategije pruža podršku članicama EU, kao i državama Zapadnog Balkana. Pametnu specijalizaciju kao pristup EU je definisala u cilju optimizacije investicija u istraživanje i inovacije, na području EU i u državama članicama. Usvajanjem Zelenog dogovora, pametna specijalizacija je pokrenula proces integrisanja sveobuhvatne održivosti kao svog ključnog elementa, kao i daljeg razvoja prema pametnoj održivoj specijalizaciji </w:t>
      </w:r>
      <w:r w:rsidRPr="00F563CD">
        <w:rPr>
          <w:rFonts w:asciiTheme="minorHAnsi" w:hAnsiTheme="minorHAnsi" w:cs="Calibri"/>
          <w:sz w:val="20"/>
          <w:szCs w:val="20"/>
        </w:rPr>
        <w:t>(S3 &gt;&gt; S4). Crna Gora je otpočela proces sprovođenja Strategije, ali istovremeno nastoji da je unaprijedi u skladu sa novim razvojnim politikama EU i preporukama od EK.</w:t>
      </w:r>
    </w:p>
    <w:p w14:paraId="7D2997B9" w14:textId="77777777" w:rsidR="00047EF8" w:rsidRPr="00F563CD" w:rsidRDefault="00047EF8" w:rsidP="00047EF8">
      <w:pPr>
        <w:spacing w:line="240" w:lineRule="auto"/>
        <w:jc w:val="both"/>
        <w:rPr>
          <w:rFonts w:asciiTheme="minorHAnsi" w:hAnsiTheme="minorHAnsi" w:cs="Calibri"/>
          <w:sz w:val="20"/>
          <w:szCs w:val="20"/>
        </w:rPr>
      </w:pPr>
      <w:r w:rsidRPr="00F563CD">
        <w:rPr>
          <w:rFonts w:asciiTheme="minorHAnsi" w:hAnsiTheme="minorHAnsi" w:cs="Calibri"/>
          <w:b/>
          <w:sz w:val="20"/>
          <w:szCs w:val="20"/>
        </w:rPr>
        <w:lastRenderedPageBreak/>
        <w:t>Strategija razvoja stručnog obrazovanja u Crnoj Gori (2020-2024)</w:t>
      </w:r>
      <w:r w:rsidRPr="00F563CD">
        <w:rPr>
          <w:rFonts w:asciiTheme="minorHAnsi" w:hAnsiTheme="minorHAnsi" w:cs="Calibri"/>
          <w:sz w:val="20"/>
          <w:szCs w:val="20"/>
        </w:rPr>
        <w:t xml:space="preserve"> i akcioni plan uključuju određene akcije koje podržavaju razvoj vještina u skladu sa prioritetnim oblastima pametne specijalizacije</w:t>
      </w:r>
      <w:r w:rsidRPr="00F563CD">
        <w:rPr>
          <w:rFonts w:asciiTheme="minorHAnsi" w:hAnsiTheme="minorHAnsi" w:cs="Calibri"/>
          <w:sz w:val="20"/>
          <w:szCs w:val="20"/>
          <w:vertAlign w:val="superscript"/>
        </w:rPr>
        <w:footnoteReference w:id="27"/>
      </w:r>
      <w:r w:rsidRPr="00F563CD">
        <w:rPr>
          <w:rFonts w:asciiTheme="minorHAnsi" w:hAnsiTheme="minorHAnsi" w:cs="Calibri"/>
          <w:sz w:val="20"/>
          <w:szCs w:val="20"/>
        </w:rPr>
        <w:t xml:space="preserve"> - zdravstveni turizam i obnovljivi izvori energije, budući da oba podsektora imaju veliki potencijal za otvaranje novih radnih mjesta s atraktivnijim radnim uslovima u Crnoj Gori.</w:t>
      </w:r>
    </w:p>
    <w:p w14:paraId="3FAE837A"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Kada je riječ o </w:t>
      </w:r>
      <w:r w:rsidRPr="00F563CD">
        <w:rPr>
          <w:rFonts w:asciiTheme="minorHAnsi" w:eastAsia="Calibri" w:hAnsiTheme="minorHAnsi" w:cs="Calibri"/>
          <w:b/>
          <w:sz w:val="20"/>
          <w:szCs w:val="20"/>
        </w:rPr>
        <w:t>Strategiji razvoja mikro, malih i srednjih preduzeća u Crnoj Gori</w:t>
      </w:r>
      <w:r w:rsidRPr="00F563CD">
        <w:rPr>
          <w:rFonts w:asciiTheme="minorHAnsi" w:eastAsia="Calibri" w:hAnsiTheme="minorHAnsi" w:cs="Calibri"/>
          <w:sz w:val="20"/>
          <w:szCs w:val="20"/>
        </w:rPr>
        <w:t xml:space="preserve"> </w:t>
      </w:r>
      <w:r w:rsidRPr="00F563CD">
        <w:rPr>
          <w:rFonts w:asciiTheme="minorHAnsi" w:eastAsia="Calibri" w:hAnsiTheme="minorHAnsi" w:cs="Calibri"/>
          <w:b/>
          <w:bCs/>
          <w:sz w:val="20"/>
          <w:szCs w:val="20"/>
        </w:rPr>
        <w:t xml:space="preserve">2018-2022, </w:t>
      </w:r>
      <w:r w:rsidRPr="00F563CD">
        <w:rPr>
          <w:rFonts w:asciiTheme="minorHAnsi" w:eastAsia="Calibri" w:hAnsiTheme="minorHAnsi" w:cs="Calibri"/>
          <w:bCs/>
          <w:sz w:val="20"/>
          <w:szCs w:val="20"/>
        </w:rPr>
        <w:t>ona predstavlja značajnu podršku</w:t>
      </w:r>
      <w:r w:rsidRPr="00F563CD">
        <w:rPr>
          <w:rFonts w:asciiTheme="minorHAnsi" w:eastAsia="Calibri" w:hAnsiTheme="minorHAnsi" w:cs="Calibri"/>
          <w:sz w:val="20"/>
          <w:szCs w:val="20"/>
        </w:rPr>
        <w:t xml:space="preserve"> implementaciji integrisanih razvojnih politika za mala i srednja preduzeća. Strategija razvoja mikro, malih i srednjih preduzeća u Crnoj Gori </w:t>
      </w:r>
      <w:r w:rsidRPr="00F563CD">
        <w:rPr>
          <w:rFonts w:asciiTheme="minorHAnsi" w:eastAsia="Calibri" w:hAnsiTheme="minorHAnsi" w:cs="Calibri"/>
          <w:bCs/>
          <w:sz w:val="20"/>
          <w:szCs w:val="20"/>
        </w:rPr>
        <w:t xml:space="preserve">2018-2022 definiše mjere i djelotvorne programe podrške za ova preduzeća, s opštim ciljem da se stvara održivo poslovno okruženje, da se osnažuje institucionalna infrastruktura i kapaciteti za unapređenje </w:t>
      </w:r>
      <w:r w:rsidRPr="00F563CD">
        <w:rPr>
          <w:rFonts w:asciiTheme="minorHAnsi" w:eastAsia="Calibri" w:hAnsiTheme="minorHAnsi" w:cs="Calibri"/>
          <w:sz w:val="20"/>
          <w:szCs w:val="20"/>
        </w:rPr>
        <w:t>mikro, malih i srednjih preduzeća, kroz implementaciju programa poslovne podrške i pružanje usluga efikasne poslovne podrške. Ovom strategijom vrši se kategorizacija integrisanog programskog pristupa mikro, malim i srednjim preduzećima, kako bi se unaprijedila njihova produktivnost i konkuretnost. Cilj ove strategije jeste da se obezbijedi identifikacija i primjena širokog spektra programa i usluga koje će u krajnjem osnažiti ovaj sektor, putem efikasnije saradnje među kreatorima politika, EU, bilateralnim donatorima, kako bi se postigla sinergija programskih i reformskih mjera.</w:t>
      </w:r>
    </w:p>
    <w:p w14:paraId="24F6AF1F"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Osim toga, 2015. godine donesen je novi </w:t>
      </w:r>
      <w:r w:rsidRPr="00F563CD">
        <w:rPr>
          <w:rFonts w:asciiTheme="minorHAnsi" w:eastAsia="Calibri" w:hAnsiTheme="minorHAnsi" w:cs="Calibri"/>
          <w:b/>
          <w:sz w:val="20"/>
          <w:szCs w:val="20"/>
        </w:rPr>
        <w:t>Zakon o rodnoj ravnopravnosti</w:t>
      </w:r>
      <w:r w:rsidRPr="00F563CD">
        <w:rPr>
          <w:rFonts w:asciiTheme="minorHAnsi" w:eastAsia="Calibri" w:hAnsiTheme="minorHAnsi" w:cs="Calibri"/>
          <w:sz w:val="20"/>
          <w:szCs w:val="20"/>
        </w:rPr>
        <w:t xml:space="preserve"> i novi </w:t>
      </w:r>
      <w:r w:rsidRPr="00F563CD">
        <w:rPr>
          <w:rFonts w:asciiTheme="minorHAnsi" w:eastAsia="Calibri" w:hAnsiTheme="minorHAnsi" w:cs="Calibri"/>
          <w:b/>
          <w:sz w:val="20"/>
          <w:szCs w:val="20"/>
        </w:rPr>
        <w:t>Akcioni plan za postizanje rodne ravnopravnosti za period od 2017. do 2021. godine</w:t>
      </w:r>
      <w:r w:rsidRPr="00F563CD">
        <w:rPr>
          <w:rFonts w:asciiTheme="minorHAnsi" w:eastAsia="Calibri" w:hAnsiTheme="minorHAnsi" w:cs="Calibri"/>
          <w:sz w:val="20"/>
          <w:szCs w:val="20"/>
        </w:rPr>
        <w:t xml:space="preserve">, kao i </w:t>
      </w:r>
      <w:r w:rsidRPr="00F563CD">
        <w:rPr>
          <w:rFonts w:asciiTheme="minorHAnsi" w:eastAsia="Calibri" w:hAnsiTheme="minorHAnsi" w:cs="Calibri"/>
          <w:b/>
          <w:sz w:val="20"/>
          <w:szCs w:val="20"/>
        </w:rPr>
        <w:t>Strategija razvoja ženskog preduzetništva</w:t>
      </w:r>
      <w:r w:rsidRPr="00F563CD">
        <w:rPr>
          <w:rFonts w:asciiTheme="minorHAnsi" w:eastAsia="Calibri" w:hAnsiTheme="minorHAnsi" w:cs="Calibri"/>
          <w:sz w:val="20"/>
          <w:szCs w:val="20"/>
        </w:rPr>
        <w:t xml:space="preserve"> </w:t>
      </w:r>
      <w:r w:rsidRPr="00F563CD">
        <w:rPr>
          <w:rFonts w:asciiTheme="minorHAnsi" w:eastAsia="Calibri" w:hAnsiTheme="minorHAnsi" w:cs="Calibri"/>
          <w:b/>
          <w:bCs/>
          <w:sz w:val="20"/>
          <w:szCs w:val="20"/>
        </w:rPr>
        <w:t>2021-2025</w:t>
      </w:r>
      <w:r w:rsidRPr="00F563CD">
        <w:rPr>
          <w:rFonts w:asciiTheme="minorHAnsi" w:eastAsia="Calibri" w:hAnsiTheme="minorHAnsi" w:cs="Calibri"/>
          <w:sz w:val="20"/>
          <w:szCs w:val="20"/>
        </w:rPr>
        <w:t xml:space="preserve">. Jedan pd strateških ciljeva Akcionog plana za postizanje rodne ravnopravnosti jeste da se unaprijed zapošljivost žena i da se iskorijene sve vrste diskriminacije žena na tržištu rada, uz podsticanje ženskog preduzetništva i samozapošljavanja. Strategija razvoja ženskog preduzetništva </w:t>
      </w:r>
      <w:r w:rsidRPr="00F563CD">
        <w:rPr>
          <w:rFonts w:asciiTheme="minorHAnsi" w:eastAsia="Calibri" w:hAnsiTheme="minorHAnsi" w:cs="Calibri"/>
          <w:bCs/>
          <w:sz w:val="20"/>
          <w:szCs w:val="20"/>
        </w:rPr>
        <w:t>2021-2025 ukazuje na preduslove za stvaranje povoljnog poslovnog okruženja za žene, sa konačnim ciljem da se unaprijedi ekonomski potencijal žena kroz bolju zaposlenost i razvoj preduzetničkih vještina.</w:t>
      </w:r>
    </w:p>
    <w:p w14:paraId="26A8FCE6" w14:textId="77777777" w:rsidR="00047EF8" w:rsidRPr="00F563CD" w:rsidRDefault="00047EF8" w:rsidP="00047EF8">
      <w:p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U pogledu razvoja privatnog sektora, </w:t>
      </w:r>
      <w:r w:rsidRPr="00F563CD">
        <w:rPr>
          <w:rFonts w:asciiTheme="minorHAnsi" w:eastAsia="Calibri" w:hAnsiTheme="minorHAnsi" w:cs="Calibri"/>
          <w:b/>
          <w:sz w:val="20"/>
          <w:szCs w:val="20"/>
        </w:rPr>
        <w:t xml:space="preserve">Industrijska politika Crne Gore </w:t>
      </w:r>
      <w:r w:rsidRPr="00F563CD">
        <w:rPr>
          <w:rFonts w:asciiTheme="minorHAnsi" w:eastAsia="Calibri" w:hAnsiTheme="minorHAnsi" w:cs="Calibri"/>
          <w:b/>
          <w:bCs/>
          <w:sz w:val="20"/>
          <w:szCs w:val="20"/>
        </w:rPr>
        <w:t xml:space="preserve">2019-2023 i godišnji akcioni planovi </w:t>
      </w:r>
      <w:r w:rsidRPr="00F563CD">
        <w:rPr>
          <w:rFonts w:asciiTheme="minorHAnsi" w:eastAsia="Calibri" w:hAnsiTheme="minorHAnsi" w:cs="Calibri"/>
          <w:bCs/>
          <w:sz w:val="20"/>
          <w:szCs w:val="20"/>
        </w:rPr>
        <w:t xml:space="preserve">definišu niz mjera za modernizaciju industrije na osnovu znanja i inovacija, sa krajnjim ciljem da se obezbijedi bolja integracija u međunarodno tržište, kroz dodatno unapređenje poslovnog okruženja, podršku preduzećima i preduzetništvu, i podsticanje upotrebe modernih tehnologija kvalitetnijih poslova. U skladu sa IPA III programskim okvirom, implementacija ključnih prioriteta industrijskih politika doprinosi unapređenju poslovanja, povećanju inovativnosti i produktivnosti mikro, malih i srednjih preduzeća, kao i integraciji u globalni lanac vrijednosti, čime se povećava konkurentnost i osnažuje izvoz. </w:t>
      </w:r>
    </w:p>
    <w:p w14:paraId="3BFAC5B8" w14:textId="77777777" w:rsidR="00047EF8" w:rsidRPr="00F563CD" w:rsidRDefault="00047EF8" w:rsidP="00047EF8">
      <w:pPr>
        <w:spacing w:after="0"/>
        <w:jc w:val="both"/>
        <w:rPr>
          <w:rFonts w:asciiTheme="minorHAnsi" w:eastAsia="Calibri" w:hAnsiTheme="minorHAnsi" w:cs="Calibri"/>
          <w:b/>
          <w:bCs/>
          <w:sz w:val="20"/>
          <w:szCs w:val="20"/>
        </w:rPr>
      </w:pPr>
    </w:p>
    <w:p w14:paraId="1E7FE63C"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bCs/>
          <w:sz w:val="20"/>
          <w:szCs w:val="20"/>
        </w:rPr>
        <w:t>Strategija regionalnog razvoja Crne Gore 2014-2020</w:t>
      </w:r>
      <w:r w:rsidRPr="00F563CD">
        <w:rPr>
          <w:rFonts w:asciiTheme="minorHAnsi" w:eastAsia="Calibri" w:hAnsiTheme="minorHAnsi" w:cs="Calibri"/>
          <w:sz w:val="20"/>
          <w:szCs w:val="20"/>
        </w:rPr>
        <w:t xml:space="preserve"> definiše uravnoteženi socio-ekonomski razvoj svih jedinica i područja lokalne samouprave, na osnovu konkurentnosti, inovacija i zaposlenosti, kao glavnih prioriteta. U prioritetnom području </w:t>
      </w:r>
      <w:r w:rsidRPr="00F563CD">
        <w:rPr>
          <w:rFonts w:asciiTheme="minorHAnsi" w:eastAsia="Calibri" w:hAnsiTheme="minorHAnsi" w:cs="Calibri"/>
          <w:i/>
          <w:sz w:val="20"/>
          <w:szCs w:val="20"/>
        </w:rPr>
        <w:t xml:space="preserve">Konkurentnost i inovacije </w:t>
      </w:r>
      <w:r w:rsidRPr="00F563CD">
        <w:rPr>
          <w:rFonts w:asciiTheme="minorHAnsi" w:eastAsia="Calibri" w:hAnsiTheme="minorHAnsi" w:cs="Calibri"/>
          <w:sz w:val="20"/>
          <w:szCs w:val="20"/>
        </w:rPr>
        <w:t xml:space="preserve">u Strategiji </w:t>
      </w:r>
      <w:r w:rsidRPr="00F563CD">
        <w:rPr>
          <w:rFonts w:asciiTheme="minorHAnsi" w:eastAsia="Calibri" w:hAnsiTheme="minorHAnsi" w:cs="Calibri"/>
          <w:bCs/>
          <w:sz w:val="20"/>
          <w:szCs w:val="20"/>
        </w:rPr>
        <w:t>regionalnog razvoja 2014-2020 identifikovane su sljedeći prioriteti i mjere:</w:t>
      </w:r>
      <w:r w:rsidRPr="00F563CD">
        <w:rPr>
          <w:rFonts w:asciiTheme="minorHAnsi" w:eastAsia="Calibri" w:hAnsiTheme="minorHAnsi" w:cs="Calibri"/>
          <w:sz w:val="20"/>
          <w:szCs w:val="20"/>
        </w:rPr>
        <w:t xml:space="preserve"> (i) Unapređenje poslovnog okruženja za mala i srednja preduzeća; (ii) Jačanje finansijske podrške za opštine i mala i srednja preduzeća na njihovoj teritoriji; (iii) Unapređenje konkurentnosti malih i srednjih preduzeća i  podsticanje preuzetništva; (iv) Saradnja između naučno-istraživačke zajednice i privrednog sektora; (v) Unapređenje kvaliteta infrastrukture za razvoj preduzetništva; (vi) Podrška početnicima u biznisu; (vii) ICT infrastruktura. Nova </w:t>
      </w:r>
      <w:r w:rsidRPr="00F563CD">
        <w:rPr>
          <w:rFonts w:asciiTheme="minorHAnsi" w:eastAsia="Calibri" w:hAnsiTheme="minorHAnsi" w:cs="Calibri"/>
          <w:bCs/>
          <w:sz w:val="20"/>
          <w:szCs w:val="20"/>
        </w:rPr>
        <w:t>Strategija regionalnog razvoja Crne Gore</w:t>
      </w:r>
      <w:r w:rsidRPr="00F563CD">
        <w:rPr>
          <w:rFonts w:asciiTheme="minorHAnsi" w:eastAsia="Calibri" w:hAnsiTheme="minorHAnsi" w:cs="Calibri"/>
          <w:sz w:val="20"/>
          <w:szCs w:val="20"/>
        </w:rPr>
        <w:t xml:space="preserve"> 2021 – 2025 treba da bude usvojena do kraja 2021. godine, i njen fokus je usaglašen sa S3 načelima i uravnoteženim regionalnim razvojem. </w:t>
      </w:r>
    </w:p>
    <w:p w14:paraId="2BB03CBA"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bCs/>
          <w:sz w:val="20"/>
          <w:szCs w:val="20"/>
        </w:rPr>
        <w:t xml:space="preserve">Strategija inovativne djelatnosti 2016-2020 s Akcionim planom </w:t>
      </w:r>
      <w:r w:rsidRPr="00F563CD">
        <w:rPr>
          <w:rFonts w:asciiTheme="minorHAnsi" w:eastAsia="Calibri" w:hAnsiTheme="minorHAnsi" w:cs="Calibri"/>
          <w:bCs/>
          <w:sz w:val="20"/>
          <w:szCs w:val="20"/>
        </w:rPr>
        <w:t>usredsređena je</w:t>
      </w:r>
      <w:r w:rsidRPr="00F563CD">
        <w:rPr>
          <w:rFonts w:asciiTheme="minorHAnsi" w:eastAsia="Calibri" w:hAnsiTheme="minorHAnsi" w:cs="Calibri"/>
          <w:b/>
          <w:bCs/>
          <w:sz w:val="20"/>
          <w:szCs w:val="20"/>
        </w:rPr>
        <w:t xml:space="preserve"> </w:t>
      </w:r>
      <w:r w:rsidRPr="00F563CD">
        <w:rPr>
          <w:rFonts w:asciiTheme="minorHAnsi" w:eastAsia="Calibri" w:hAnsiTheme="minorHAnsi" w:cs="Calibri"/>
          <w:bCs/>
          <w:sz w:val="20"/>
          <w:szCs w:val="20"/>
        </w:rPr>
        <w:t>na stvaranje povoljnih uslova za razvoj inovacija i inovativne kulture, sistemsko planiranje instrumenata za podršku inovacijama i veze između naučne i istraživačke zajednice u privredi.</w:t>
      </w:r>
      <w:r w:rsidRPr="00F563CD">
        <w:rPr>
          <w:rFonts w:asciiTheme="minorHAnsi" w:eastAsia="Calibri" w:hAnsiTheme="minorHAnsi" w:cs="Calibri"/>
          <w:b/>
          <w:bCs/>
          <w:sz w:val="20"/>
          <w:szCs w:val="20"/>
        </w:rPr>
        <w:t xml:space="preserve"> </w:t>
      </w:r>
      <w:r w:rsidRPr="00F563CD">
        <w:rPr>
          <w:rFonts w:asciiTheme="minorHAnsi" w:eastAsia="Calibri" w:hAnsiTheme="minorHAnsi" w:cs="Calibri"/>
          <w:sz w:val="20"/>
          <w:szCs w:val="20"/>
        </w:rPr>
        <w:t xml:space="preserve">Implementacija Strategije zahtijeva uspostavljanje nove i osnaživanje postojeće inovacione infrastrukture, čime se stvara veza između nauke i privrede, i razvijaju se inovacioni potencijali malih i srednjih preduzeća, što u konačnom doprinosi unapređenju konkurentnosti i izvozne orjentacije. </w:t>
      </w:r>
    </w:p>
    <w:p w14:paraId="23167680" w14:textId="77777777" w:rsidR="00047EF8" w:rsidRPr="00F563CD" w:rsidRDefault="00047EF8" w:rsidP="00047EF8">
      <w:pPr>
        <w:spacing w:line="240" w:lineRule="auto"/>
        <w:contextualSpacing/>
        <w:jc w:val="both"/>
        <w:rPr>
          <w:rFonts w:asciiTheme="minorHAnsi" w:hAnsiTheme="minorHAnsi" w:cstheme="minorBidi"/>
          <w:iCs/>
          <w:sz w:val="20"/>
          <w:szCs w:val="20"/>
        </w:rPr>
      </w:pPr>
      <w:r w:rsidRPr="00F563CD">
        <w:rPr>
          <w:rFonts w:asciiTheme="minorHAnsi" w:hAnsiTheme="minorHAnsi" w:cs="Calibri"/>
          <w:b/>
          <w:iCs/>
          <w:sz w:val="20"/>
          <w:szCs w:val="20"/>
        </w:rPr>
        <w:t>Program ekonomskih reformi 2021-2023 (PER 2021- 2023)</w:t>
      </w:r>
      <w:r w:rsidRPr="00F563CD">
        <w:rPr>
          <w:rFonts w:asciiTheme="minorHAnsi" w:hAnsiTheme="minorHAnsi" w:cs="Calibri"/>
          <w:iCs/>
          <w:sz w:val="20"/>
          <w:szCs w:val="20"/>
        </w:rPr>
        <w:t xml:space="preserve"> predstavlja ključni strateški dokument, koji pruža sveobuhvatan pregled mjera u okviru strukturnih reformi za umanjenje ili uklanjanje prepreka za ekonomski rast, i unapređenje opšte konkuretnosti u državi. U pogledu reformi, za Crnu Goru je izrađen Program ekonomskog oporavka i on se reflektuje u mjerama iz PER 2021-2023, koje su usmjerene na industrijsku revitalizaciju, unapređenje konkurentnosti, istraživanje, razvoj i inovacije, unapređenje sektora razvoja malih i srednjih preduzeća. </w:t>
      </w:r>
      <w:r w:rsidRPr="00F563CD">
        <w:rPr>
          <w:rFonts w:asciiTheme="minorHAnsi" w:hAnsiTheme="minorHAnsi" w:cs="Calibri"/>
          <w:b/>
          <w:iCs/>
          <w:sz w:val="20"/>
          <w:szCs w:val="20"/>
        </w:rPr>
        <w:t>Program ekonomskih reformi za Crnu</w:t>
      </w:r>
      <w:r w:rsidRPr="00F563CD">
        <w:rPr>
          <w:rFonts w:asciiTheme="minorHAnsi" w:hAnsiTheme="minorHAnsi" w:cs="Calibri"/>
          <w:iCs/>
          <w:sz w:val="20"/>
          <w:szCs w:val="20"/>
        </w:rPr>
        <w:t xml:space="preserve"> </w:t>
      </w:r>
      <w:r w:rsidRPr="00F563CD">
        <w:rPr>
          <w:rFonts w:asciiTheme="minorHAnsi" w:hAnsiTheme="minorHAnsi" w:cs="Calibri"/>
          <w:b/>
          <w:iCs/>
          <w:sz w:val="20"/>
          <w:szCs w:val="20"/>
        </w:rPr>
        <w:t>Goru</w:t>
      </w:r>
      <w:r w:rsidRPr="00F563CD">
        <w:rPr>
          <w:rFonts w:asciiTheme="minorHAnsi" w:hAnsiTheme="minorHAnsi" w:cs="Calibri"/>
          <w:iCs/>
          <w:sz w:val="20"/>
          <w:szCs w:val="20"/>
        </w:rPr>
        <w:t xml:space="preserve"> </w:t>
      </w:r>
      <w:r w:rsidRPr="00F563CD">
        <w:rPr>
          <w:rFonts w:asciiTheme="minorHAnsi" w:hAnsiTheme="minorHAnsi" w:cs="Calibri"/>
          <w:b/>
          <w:bCs/>
          <w:iCs/>
          <w:sz w:val="20"/>
          <w:szCs w:val="20"/>
        </w:rPr>
        <w:t xml:space="preserve">2021-2023 </w:t>
      </w:r>
      <w:r w:rsidRPr="00F563CD">
        <w:rPr>
          <w:rFonts w:asciiTheme="minorHAnsi" w:hAnsiTheme="minorHAnsi" w:cs="Calibri"/>
          <w:bCs/>
          <w:iCs/>
          <w:sz w:val="20"/>
          <w:szCs w:val="20"/>
        </w:rPr>
        <w:t>definiše strateške smjernice za osnaživanje rasta u realnom sektoru, uz održavanje fiskalne discipline i sprovođenje odgovorajućih reformi koje doprinose opštoj konkurentnosti i ekonomskom oporavku. Ono što je od posebnog značaja, za pripremu programskih dokumenata za IPA III, strukturne reforme koje Crna Gora treba da sprovede tokom 2021. godine i u srednjem roku uključuju:</w:t>
      </w:r>
      <w:r w:rsidRPr="00F563CD">
        <w:rPr>
          <w:rFonts w:asciiTheme="minorHAnsi" w:hAnsiTheme="minorHAnsi" w:cs="Calibri"/>
          <w:iCs/>
          <w:sz w:val="20"/>
          <w:szCs w:val="20"/>
        </w:rPr>
        <w:t xml:space="preserve"> (1) mjere koje se odnose na sektorski razvoj (</w:t>
      </w:r>
      <w:r w:rsidRPr="00F563CD">
        <w:rPr>
          <w:rFonts w:asciiTheme="minorHAnsi" w:hAnsiTheme="minorHAnsi" w:cs="Calibri"/>
          <w:i/>
          <w:iCs/>
          <w:sz w:val="20"/>
          <w:szCs w:val="20"/>
        </w:rPr>
        <w:t xml:space="preserve">podrška tehnološkoj modernizaciji porizvodne industrije, uglavnom kroz stimulisanje investicija u opremu putem kreditne linije koju pruža </w:t>
      </w:r>
      <w:r w:rsidRPr="00F563CD">
        <w:rPr>
          <w:rFonts w:asciiTheme="minorHAnsi" w:hAnsiTheme="minorHAnsi" w:cs="Calibri"/>
          <w:i/>
          <w:sz w:val="20"/>
          <w:szCs w:val="20"/>
        </w:rPr>
        <w:t xml:space="preserve">IDF, kao i unapređenje energetske </w:t>
      </w:r>
      <w:r w:rsidRPr="00F563CD">
        <w:rPr>
          <w:rFonts w:asciiTheme="minorHAnsi" w:hAnsiTheme="minorHAnsi" w:cs="Calibri"/>
          <w:i/>
          <w:sz w:val="20"/>
          <w:szCs w:val="20"/>
        </w:rPr>
        <w:lastRenderedPageBreak/>
        <w:t xml:space="preserve">efikasnosti i podršku investicijama u sektoru proizvodnje hrane, u cilju unapređenja konkurentnosti radi diversifikacije ekonomskih aktivnosti unutar sektora i dostizanje EU standarda); </w:t>
      </w:r>
      <w:r w:rsidRPr="00F563CD">
        <w:rPr>
          <w:rFonts w:asciiTheme="minorHAnsi" w:hAnsiTheme="minorHAnsi" w:cs="Calibri"/>
          <w:iCs/>
          <w:sz w:val="20"/>
          <w:szCs w:val="20"/>
        </w:rPr>
        <w:t xml:space="preserve">(2) diversifikacija turističkog proizvoda; (3) mjere koje se odnose na poslovno okruženje (osnaživanje podrške za sektor mikro, malih i srednjih preduzeća, radi uvođenja novog finansijskog instrumenta u vidu kreditnih garancija kojima se stvaraju uslovi za olakšani pristup povoljnijim uslovima finansiranja za rizičnije kategorije preduzetnika i preduzeća za razvojnim idejama, što će biti omogućeno potpisivanjem ugovora sa Evropskim investicionim fondom u okviru programa COSME, pri čemu je ukupna vrijednost garantnog portfolija 75 miliona eura, na trogodišnji period); (4) mjere koje se odnose na  istraživanje i razvoj i digitalnu ekonomiju; (5) unapređenje zakonodavnog i institucionalnog okvira za inovacije, koji će biti usmjeren u dva pravca: uspostavljanje nacionalnih tijela za implementaciju Strategije pametne specijalizacije; uvođenje posebnih podsticaja za investicije poslovnog sektora u istraživanje i razvoj i  (6) unapređenje sistema za podršku inovacijama i jačanje ljudskih resursa, radi povećanja zaposlenosti kroz inovativne projektne ideje i naučno-poslovna partnerstva. Ova sekcija će biti ažurirana nakon što konačni nacrt prioritetnih reformskih mjera (PER), koji je definisan aktuelnim PER 2021-2021, bude usaglašen sa EK. Nacionalnim strateškim okvirom koji je relevantan za istraživanje i razvoj u skladu s ovim prioritetom stvaraju se uslovi za podsticanje značajnih investicija u istraživanje i razvoj, kao katalizator za stabilnost i rast ekonomije i društva. Crna Gora je istovremeno u procesu usaglašavanja svog sistema za istraživanje s Evropskim istraživačkim prostorom </w:t>
      </w:r>
      <w:r w:rsidRPr="00F563CD">
        <w:rPr>
          <w:rFonts w:asciiTheme="minorHAnsi" w:hAnsiTheme="minorHAnsi" w:cstheme="minorBidi"/>
          <w:iCs/>
          <w:sz w:val="20"/>
          <w:szCs w:val="20"/>
        </w:rPr>
        <w:t xml:space="preserve">(ERA), gdje otvorena nauka predstavlja zadati okvir u kojem svoje aktivnosti sprovode istraživači, donatori za istraživanja i druge zainteresovane strane. Na tom putu, </w:t>
      </w:r>
      <w:r w:rsidRPr="00F563CD">
        <w:rPr>
          <w:rFonts w:asciiTheme="minorHAnsi" w:hAnsiTheme="minorHAnsi" w:cstheme="minorBidi"/>
          <w:b/>
          <w:iCs/>
          <w:sz w:val="20"/>
          <w:szCs w:val="20"/>
        </w:rPr>
        <w:t>Strategija naučnoistraživačke djelatnosti Crne Gore</w:t>
      </w:r>
      <w:r w:rsidRPr="00F563CD">
        <w:rPr>
          <w:rFonts w:asciiTheme="minorHAnsi" w:hAnsiTheme="minorHAnsi" w:cstheme="minorBidi"/>
          <w:iCs/>
          <w:sz w:val="20"/>
          <w:szCs w:val="20"/>
        </w:rPr>
        <w:t xml:space="preserve"> </w:t>
      </w:r>
      <w:r w:rsidRPr="00F563CD">
        <w:rPr>
          <w:rFonts w:asciiTheme="minorHAnsi" w:hAnsiTheme="minorHAnsi" w:cstheme="minorBidi"/>
          <w:b/>
          <w:bCs/>
          <w:iCs/>
          <w:sz w:val="20"/>
          <w:szCs w:val="20"/>
        </w:rPr>
        <w:t xml:space="preserve">2017-2021 </w:t>
      </w:r>
      <w:r w:rsidRPr="00F563CD">
        <w:rPr>
          <w:rFonts w:asciiTheme="minorHAnsi" w:hAnsiTheme="minorHAnsi" w:cstheme="minorBidi"/>
          <w:bCs/>
          <w:iCs/>
          <w:sz w:val="20"/>
          <w:szCs w:val="20"/>
        </w:rPr>
        <w:t>fokusira se na</w:t>
      </w:r>
      <w:r w:rsidRPr="00F563CD">
        <w:rPr>
          <w:rFonts w:asciiTheme="minorHAnsi" w:hAnsiTheme="minorHAnsi" w:cstheme="minorBidi"/>
          <w:b/>
          <w:bCs/>
          <w:iCs/>
          <w:sz w:val="20"/>
          <w:szCs w:val="20"/>
        </w:rPr>
        <w:t xml:space="preserve"> </w:t>
      </w:r>
      <w:r w:rsidRPr="00F563CD">
        <w:rPr>
          <w:rFonts w:asciiTheme="minorHAnsi" w:hAnsiTheme="minorHAnsi" w:cstheme="minorBidi"/>
          <w:bCs/>
          <w:iCs/>
          <w:sz w:val="20"/>
          <w:szCs w:val="20"/>
        </w:rPr>
        <w:t xml:space="preserve">razvoj kapaciteta u nauci, jačanje sinergije između nauke i ekonomije, snaženje međunarodne saradnje i umrežavanje sa eminentnim istraživačkim institucijama. Strategija ukazuje na potrebu za uvezivanje, istraživanja i razvoja s ekonomijom, kroz osnažene mehanizme za transfer tehnologija, unapređenje pristupa infrastrukturi za istraživanje i razvoj, unapređenje okruženja za inovativno preduzetništvo. Strategijom su predviđene intervencije koje podržavaju međunarodnu saradnju i umrežavanje s istraživačkim institucijama kako bi se Crnoj Gori omogućilo da učestvuje u istraživanjima na globalnom nivou. Komplementarni </w:t>
      </w:r>
      <w:r w:rsidRPr="00F563CD">
        <w:rPr>
          <w:rFonts w:asciiTheme="minorHAnsi" w:hAnsiTheme="minorHAnsi" w:cstheme="minorBidi"/>
          <w:b/>
          <w:bCs/>
          <w:iCs/>
          <w:sz w:val="20"/>
          <w:szCs w:val="20"/>
        </w:rPr>
        <w:t xml:space="preserve">Program ostvarivanja </w:t>
      </w:r>
      <w:proofErr w:type="gramStart"/>
      <w:r w:rsidRPr="00F563CD">
        <w:rPr>
          <w:rFonts w:asciiTheme="minorHAnsi" w:hAnsiTheme="minorHAnsi" w:cstheme="minorBidi"/>
          <w:b/>
          <w:bCs/>
          <w:iCs/>
          <w:sz w:val="20"/>
          <w:szCs w:val="20"/>
        </w:rPr>
        <w:t>principa ,,Otvorena</w:t>
      </w:r>
      <w:proofErr w:type="gramEnd"/>
      <w:r w:rsidRPr="00F563CD">
        <w:rPr>
          <w:rFonts w:asciiTheme="minorHAnsi" w:hAnsiTheme="minorHAnsi" w:cstheme="minorBidi"/>
          <w:b/>
          <w:bCs/>
          <w:iCs/>
          <w:sz w:val="20"/>
          <w:szCs w:val="20"/>
        </w:rPr>
        <w:t xml:space="preserve"> nauka’’ u Crnoj Gori</w:t>
      </w:r>
      <w:r w:rsidRPr="00F563CD">
        <w:rPr>
          <w:rFonts w:asciiTheme="minorHAnsi" w:hAnsiTheme="minorHAnsi" w:cstheme="minorBidi"/>
          <w:bCs/>
          <w:iCs/>
          <w:sz w:val="20"/>
          <w:szCs w:val="20"/>
        </w:rPr>
        <w:t xml:space="preserve"> teži stvaranju povoljnog okruženja i jačanju naučnoistraživačkog ekosistema promovisanjem otvorenog pristupa publikacijama, istraživačkim podacima i istraživačkoj infrastrukturi.</w:t>
      </w:r>
      <w:r w:rsidRPr="00F563CD">
        <w:rPr>
          <w:rFonts w:asciiTheme="minorHAnsi" w:hAnsiTheme="minorHAnsi" w:cs="Calibri"/>
          <w:iCs/>
          <w:sz w:val="20"/>
          <w:szCs w:val="20"/>
        </w:rPr>
        <w:t xml:space="preserve"> Ovo će samim tim doprinijeti boljoj naučnoj efikasnosti, otvorenijem pristupu naučnim znanjima i unapređenju istraživačkog kapaciteta, kako bi se zadovoljile potrebe društva. Revidirana </w:t>
      </w:r>
      <w:r w:rsidRPr="00F563CD">
        <w:rPr>
          <w:rFonts w:asciiTheme="minorHAnsi" w:hAnsiTheme="minorHAnsi" w:cs="Calibri"/>
          <w:b/>
          <w:iCs/>
          <w:sz w:val="20"/>
          <w:szCs w:val="20"/>
        </w:rPr>
        <w:t>Mapa puta za istraživačku infrastrukturu Crne Gore</w:t>
      </w:r>
      <w:r w:rsidRPr="00F563CD">
        <w:rPr>
          <w:rFonts w:asciiTheme="minorHAnsi" w:hAnsiTheme="minorHAnsi" w:cs="Calibri"/>
          <w:iCs/>
          <w:sz w:val="20"/>
          <w:szCs w:val="20"/>
        </w:rPr>
        <w:t xml:space="preserve"> (</w:t>
      </w:r>
      <w:r w:rsidRPr="00F563CD">
        <w:rPr>
          <w:rFonts w:asciiTheme="minorHAnsi" w:hAnsiTheme="minorHAnsi" w:cstheme="minorBidi"/>
          <w:b/>
          <w:bCs/>
          <w:iCs/>
          <w:sz w:val="20"/>
          <w:szCs w:val="20"/>
        </w:rPr>
        <w:t xml:space="preserve">2019-2020) </w:t>
      </w:r>
      <w:r w:rsidRPr="00F563CD">
        <w:rPr>
          <w:rFonts w:asciiTheme="minorHAnsi" w:hAnsiTheme="minorHAnsi" w:cstheme="minorBidi"/>
          <w:bCs/>
          <w:iCs/>
          <w:sz w:val="20"/>
          <w:szCs w:val="20"/>
        </w:rPr>
        <w:t xml:space="preserve">ima za cilj da pruži sveobuhvatan pregled nacionalne istraživačke infrastrukture, i da identifikuje različite izvore finansiranja, da utvrdi prioritete i identifikuje pravce potencijalnog budućeg razvoja. Mapa puta je posvećena isključivo identifikovanju nacionalne istraživačke infrastrukture sa velikim potencijalom, što može da bude od značaja za strateške pravce razvoja Crne Gore, kao i inicijativama u oblasti regionalne i međunarodne saradnje, što bi moglo značajno da unaprijedi poziciju Crne Gore u Evropskom istraživačkom prostoru. Imajući u vidu da ovaj dokument pokriva period </w:t>
      </w:r>
      <w:r w:rsidRPr="00F563CD">
        <w:rPr>
          <w:rFonts w:asciiTheme="minorHAnsi" w:hAnsiTheme="minorHAnsi" w:cstheme="minorBidi"/>
          <w:iCs/>
          <w:sz w:val="20"/>
          <w:szCs w:val="20"/>
        </w:rPr>
        <w:t>2019-2020, krajem ove godine biće izrađena nova Mapa puta za period 2021-2025.</w:t>
      </w:r>
    </w:p>
    <w:p w14:paraId="2FCCD88E" w14:textId="77777777" w:rsidR="002176BC" w:rsidRPr="00F563CD" w:rsidRDefault="002176BC" w:rsidP="00047EF8">
      <w:pPr>
        <w:spacing w:line="240" w:lineRule="auto"/>
        <w:contextualSpacing/>
        <w:jc w:val="both"/>
        <w:rPr>
          <w:rFonts w:asciiTheme="minorHAnsi" w:hAnsiTheme="minorHAnsi" w:cs="Calibri"/>
          <w:iCs/>
          <w:sz w:val="20"/>
          <w:szCs w:val="20"/>
        </w:rPr>
      </w:pPr>
    </w:p>
    <w:p w14:paraId="609C8112" w14:textId="77777777" w:rsidR="00047EF8" w:rsidRPr="00F563CD" w:rsidRDefault="00047EF8" w:rsidP="00047EF8">
      <w:pPr>
        <w:spacing w:after="0" w:line="240" w:lineRule="auto"/>
        <w:jc w:val="both"/>
        <w:rPr>
          <w:rFonts w:asciiTheme="minorHAnsi" w:hAnsiTheme="minorHAnsi" w:cs="Calibri"/>
          <w:iCs/>
          <w:sz w:val="20"/>
          <w:szCs w:val="20"/>
        </w:rPr>
      </w:pPr>
      <w:r w:rsidRPr="00F563CD">
        <w:rPr>
          <w:rFonts w:asciiTheme="minorHAnsi" w:hAnsiTheme="minorHAnsi" w:cs="Calibri"/>
          <w:iCs/>
          <w:sz w:val="20"/>
          <w:szCs w:val="20"/>
        </w:rPr>
        <w:t xml:space="preserve">Tokom prethodnih godina, tj. od 2014. godine, sprovođenjem Programa pristupanja Crne Gore Evropskoj uniji </w:t>
      </w:r>
      <w:r w:rsidRPr="00F563CD">
        <w:rPr>
          <w:rFonts w:asciiTheme="minorHAnsi" w:hAnsiTheme="minorHAnsi" w:cs="Calibri"/>
          <w:b/>
          <w:iCs/>
          <w:sz w:val="20"/>
          <w:szCs w:val="20"/>
        </w:rPr>
        <w:t xml:space="preserve">2020 – 2022 (PPCG), </w:t>
      </w:r>
      <w:r w:rsidRPr="00F563CD">
        <w:rPr>
          <w:rFonts w:asciiTheme="minorHAnsi" w:hAnsiTheme="minorHAnsi" w:cs="Calibri"/>
          <w:iCs/>
          <w:sz w:val="20"/>
          <w:szCs w:val="20"/>
        </w:rPr>
        <w:t>razvijen je zakonodavni i strateški okvir za potrebe procesa usaglašavanja Crne Gore s pravnom tekovinom EU. Jačanje admnistrativnih kapaciteta u pogledu obaveza iz procesa pristupanja, a u cilju prenošenja evropskih standarda u brojnim oblastima i dostizanja visokog kvaliteta života, jedan je od prioriteta države u skladu sa PPCG. Ove obaveze podrazumijevaju dalji rad na usaglašavanju domaćeg zakonodovastva s evropskim, i što je još značajnije, na jačanju kapaciteta za visokokvalitetnu implementaciju koja donosi vidljive i mjerljive rezultate, i/ili ključne i mjerljive promjene za građane. IPA III će se baviti određenim prioritetima iz Programa pristupanja Crne Gore Evropskoj uniji 2020 – 2022 i predstavlja nastavak tekućih aktivnosti podrške relevantnim pregovaračkim poglavljima:</w:t>
      </w:r>
    </w:p>
    <w:p w14:paraId="6F10864C" w14:textId="77777777" w:rsidR="00047EF8" w:rsidRPr="00F563CD" w:rsidRDefault="00047EF8" w:rsidP="00047EF8">
      <w:pPr>
        <w:numPr>
          <w:ilvl w:val="0"/>
          <w:numId w:val="58"/>
        </w:numPr>
        <w:spacing w:after="0" w:line="240" w:lineRule="auto"/>
        <w:contextualSpacing/>
        <w:jc w:val="both"/>
        <w:rPr>
          <w:rFonts w:asciiTheme="minorHAnsi" w:hAnsiTheme="minorHAnsi" w:cs="Calibri"/>
          <w:iCs/>
          <w:sz w:val="20"/>
          <w:szCs w:val="20"/>
        </w:rPr>
      </w:pPr>
      <w:r w:rsidRPr="00F563CD">
        <w:rPr>
          <w:rFonts w:asciiTheme="minorHAnsi" w:hAnsiTheme="minorHAnsi" w:cs="Calibri"/>
          <w:iCs/>
          <w:sz w:val="20"/>
          <w:szCs w:val="20"/>
        </w:rPr>
        <w:t xml:space="preserve">Poglavlje 1. Sloboda kretanja robe; </w:t>
      </w:r>
    </w:p>
    <w:p w14:paraId="67FD0DFD" w14:textId="77777777" w:rsidR="00047EF8" w:rsidRPr="00F563CD" w:rsidRDefault="00047EF8" w:rsidP="00047EF8">
      <w:pPr>
        <w:numPr>
          <w:ilvl w:val="0"/>
          <w:numId w:val="58"/>
        </w:numPr>
        <w:spacing w:after="0" w:line="240" w:lineRule="auto"/>
        <w:contextualSpacing/>
        <w:jc w:val="both"/>
        <w:rPr>
          <w:rFonts w:asciiTheme="minorHAnsi" w:hAnsiTheme="minorHAnsi" w:cs="Calibri"/>
          <w:iCs/>
          <w:sz w:val="20"/>
          <w:szCs w:val="20"/>
        </w:rPr>
      </w:pPr>
      <w:r w:rsidRPr="00F563CD">
        <w:rPr>
          <w:rFonts w:asciiTheme="minorHAnsi" w:hAnsiTheme="minorHAnsi" w:cs="Calibri"/>
          <w:iCs/>
          <w:sz w:val="20"/>
          <w:szCs w:val="20"/>
        </w:rPr>
        <w:t>Poglavlje 3. Pravo osnivanja preduzeća i sloboda pružanja usluga;</w:t>
      </w:r>
    </w:p>
    <w:p w14:paraId="720E90D4" w14:textId="77777777" w:rsidR="00047EF8" w:rsidRPr="00F563CD" w:rsidRDefault="00047EF8" w:rsidP="00047EF8">
      <w:pPr>
        <w:numPr>
          <w:ilvl w:val="0"/>
          <w:numId w:val="58"/>
        </w:numPr>
        <w:spacing w:after="0" w:line="240" w:lineRule="auto"/>
        <w:contextualSpacing/>
        <w:jc w:val="both"/>
        <w:rPr>
          <w:rFonts w:asciiTheme="minorHAnsi" w:hAnsiTheme="minorHAnsi" w:cs="Calibri"/>
          <w:iCs/>
          <w:sz w:val="20"/>
          <w:szCs w:val="20"/>
        </w:rPr>
      </w:pPr>
      <w:r w:rsidRPr="00F563CD">
        <w:rPr>
          <w:rFonts w:asciiTheme="minorHAnsi" w:hAnsiTheme="minorHAnsi" w:cs="Calibri"/>
          <w:iCs/>
          <w:sz w:val="20"/>
          <w:szCs w:val="20"/>
        </w:rPr>
        <w:t>Poglavlje 6. Privredno pravo;</w:t>
      </w:r>
    </w:p>
    <w:p w14:paraId="33D700C3" w14:textId="77777777" w:rsidR="00047EF8" w:rsidRPr="00F563CD" w:rsidRDefault="00047EF8" w:rsidP="00047EF8">
      <w:pPr>
        <w:numPr>
          <w:ilvl w:val="0"/>
          <w:numId w:val="58"/>
        </w:numPr>
        <w:spacing w:after="0" w:line="240" w:lineRule="auto"/>
        <w:contextualSpacing/>
        <w:jc w:val="both"/>
        <w:rPr>
          <w:rFonts w:asciiTheme="minorHAnsi" w:hAnsiTheme="minorHAnsi" w:cs="Calibri"/>
          <w:iCs/>
          <w:sz w:val="20"/>
          <w:szCs w:val="20"/>
        </w:rPr>
      </w:pPr>
      <w:r w:rsidRPr="00F563CD">
        <w:rPr>
          <w:rFonts w:asciiTheme="minorHAnsi" w:hAnsiTheme="minorHAnsi" w:cs="Calibri"/>
          <w:iCs/>
          <w:sz w:val="20"/>
          <w:szCs w:val="20"/>
        </w:rPr>
        <w:t xml:space="preserve">Poglavlje 7. Pravo intelekturalne svojine; </w:t>
      </w:r>
    </w:p>
    <w:p w14:paraId="5A451A78" w14:textId="77777777" w:rsidR="00047EF8" w:rsidRPr="00F563CD" w:rsidRDefault="00047EF8" w:rsidP="00047EF8">
      <w:pPr>
        <w:numPr>
          <w:ilvl w:val="0"/>
          <w:numId w:val="58"/>
        </w:numPr>
        <w:spacing w:after="0" w:line="240" w:lineRule="auto"/>
        <w:contextualSpacing/>
        <w:jc w:val="both"/>
        <w:rPr>
          <w:rFonts w:asciiTheme="minorHAnsi" w:hAnsiTheme="minorHAnsi" w:cs="Calibri"/>
          <w:iCs/>
          <w:sz w:val="20"/>
          <w:szCs w:val="20"/>
        </w:rPr>
      </w:pPr>
      <w:r w:rsidRPr="00F563CD">
        <w:rPr>
          <w:rFonts w:asciiTheme="minorHAnsi" w:hAnsiTheme="minorHAnsi" w:cs="Calibri"/>
          <w:iCs/>
          <w:sz w:val="20"/>
          <w:szCs w:val="20"/>
        </w:rPr>
        <w:t>Poglavlje 8. Konkurencija;</w:t>
      </w:r>
    </w:p>
    <w:p w14:paraId="2815616F" w14:textId="77777777" w:rsidR="00047EF8" w:rsidRPr="00F563CD" w:rsidRDefault="00047EF8" w:rsidP="00047EF8">
      <w:pPr>
        <w:numPr>
          <w:ilvl w:val="0"/>
          <w:numId w:val="58"/>
        </w:numPr>
        <w:spacing w:after="0" w:line="240" w:lineRule="auto"/>
        <w:contextualSpacing/>
        <w:jc w:val="both"/>
        <w:rPr>
          <w:rFonts w:asciiTheme="minorHAnsi" w:hAnsiTheme="minorHAnsi" w:cs="Calibri"/>
          <w:iCs/>
          <w:sz w:val="20"/>
          <w:szCs w:val="20"/>
        </w:rPr>
      </w:pPr>
      <w:r w:rsidRPr="00F563CD">
        <w:rPr>
          <w:rFonts w:asciiTheme="minorHAnsi" w:hAnsiTheme="minorHAnsi" w:cs="Calibri"/>
          <w:iCs/>
          <w:sz w:val="20"/>
          <w:szCs w:val="20"/>
        </w:rPr>
        <w:t xml:space="preserve">Poglavlje 9. Finansijske usluge; </w:t>
      </w:r>
    </w:p>
    <w:p w14:paraId="5747B21E" w14:textId="77777777" w:rsidR="00047EF8" w:rsidRPr="00F563CD" w:rsidRDefault="00047EF8" w:rsidP="00047EF8">
      <w:pPr>
        <w:numPr>
          <w:ilvl w:val="0"/>
          <w:numId w:val="58"/>
        </w:numPr>
        <w:spacing w:after="0" w:line="240" w:lineRule="auto"/>
        <w:contextualSpacing/>
        <w:jc w:val="both"/>
        <w:rPr>
          <w:rFonts w:asciiTheme="minorHAnsi" w:hAnsiTheme="minorHAnsi" w:cs="Calibri"/>
          <w:iCs/>
          <w:sz w:val="20"/>
          <w:szCs w:val="20"/>
        </w:rPr>
      </w:pPr>
      <w:r w:rsidRPr="00F563CD">
        <w:rPr>
          <w:rFonts w:asciiTheme="minorHAnsi" w:hAnsiTheme="minorHAnsi" w:cs="Calibri"/>
          <w:iCs/>
          <w:sz w:val="20"/>
          <w:szCs w:val="20"/>
        </w:rPr>
        <w:t>Poglavlje 20. Preduzetništvo i industrijska politika;</w:t>
      </w:r>
    </w:p>
    <w:p w14:paraId="74891E15" w14:textId="77777777" w:rsidR="00047EF8" w:rsidRPr="00F563CD" w:rsidRDefault="00047EF8" w:rsidP="00047EF8">
      <w:pPr>
        <w:numPr>
          <w:ilvl w:val="0"/>
          <w:numId w:val="58"/>
        </w:numPr>
        <w:spacing w:after="0" w:line="240" w:lineRule="auto"/>
        <w:contextualSpacing/>
        <w:jc w:val="both"/>
        <w:rPr>
          <w:rFonts w:asciiTheme="minorHAnsi" w:hAnsiTheme="minorHAnsi" w:cs="Calibri"/>
          <w:iCs/>
          <w:sz w:val="20"/>
          <w:szCs w:val="20"/>
        </w:rPr>
      </w:pPr>
      <w:r w:rsidRPr="00F563CD">
        <w:rPr>
          <w:rFonts w:asciiTheme="minorHAnsi" w:hAnsiTheme="minorHAnsi" w:cs="Calibri"/>
          <w:iCs/>
          <w:sz w:val="20"/>
          <w:szCs w:val="20"/>
        </w:rPr>
        <w:t>Poglavlje 25. Nauka i istraživanje</w:t>
      </w:r>
    </w:p>
    <w:p w14:paraId="4B540F21" w14:textId="77777777" w:rsidR="00047EF8" w:rsidRPr="00F563CD" w:rsidRDefault="00047EF8" w:rsidP="00047EF8">
      <w:pPr>
        <w:numPr>
          <w:ilvl w:val="0"/>
          <w:numId w:val="58"/>
        </w:numPr>
        <w:spacing w:after="0" w:line="240" w:lineRule="auto"/>
        <w:contextualSpacing/>
        <w:jc w:val="both"/>
        <w:rPr>
          <w:rFonts w:asciiTheme="minorHAnsi" w:hAnsiTheme="minorHAnsi" w:cs="Calibri"/>
          <w:iCs/>
          <w:sz w:val="20"/>
          <w:szCs w:val="20"/>
        </w:rPr>
      </w:pPr>
      <w:r w:rsidRPr="00F563CD">
        <w:rPr>
          <w:rFonts w:asciiTheme="minorHAnsi" w:hAnsiTheme="minorHAnsi" w:cs="Calibri"/>
          <w:iCs/>
          <w:sz w:val="20"/>
          <w:szCs w:val="20"/>
        </w:rPr>
        <w:t>Poglavlje 28. Zaštita potrošača i zdravlja.</w:t>
      </w:r>
    </w:p>
    <w:p w14:paraId="72D5366F" w14:textId="77777777" w:rsidR="00047EF8" w:rsidRPr="00F563CD" w:rsidRDefault="00047EF8" w:rsidP="00047EF8">
      <w:pPr>
        <w:spacing w:after="0" w:line="240" w:lineRule="auto"/>
        <w:ind w:left="720"/>
        <w:contextualSpacing/>
        <w:jc w:val="both"/>
        <w:rPr>
          <w:rFonts w:asciiTheme="minorHAnsi" w:hAnsiTheme="minorHAnsi" w:cs="Calibri"/>
          <w:iCs/>
          <w:sz w:val="20"/>
          <w:szCs w:val="20"/>
        </w:rPr>
      </w:pPr>
    </w:p>
    <w:p w14:paraId="78962B2B" w14:textId="77777777" w:rsidR="00047EF8" w:rsidRPr="00F563CD" w:rsidRDefault="00047EF8" w:rsidP="00047EF8">
      <w:pPr>
        <w:widowControl w:val="0"/>
        <w:tabs>
          <w:tab w:val="left" w:pos="220"/>
          <w:tab w:val="left" w:pos="720"/>
        </w:tabs>
        <w:autoSpaceDE w:val="0"/>
        <w:autoSpaceDN w:val="0"/>
        <w:adjustRightInd w:val="0"/>
        <w:spacing w:line="240" w:lineRule="auto"/>
        <w:jc w:val="both"/>
        <w:rPr>
          <w:rFonts w:asciiTheme="minorHAnsi" w:hAnsiTheme="minorHAnsi"/>
          <w:sz w:val="20"/>
          <w:szCs w:val="20"/>
        </w:rPr>
      </w:pPr>
      <w:r w:rsidRPr="00F563CD">
        <w:rPr>
          <w:rFonts w:asciiTheme="minorHAnsi" w:hAnsiTheme="minorHAnsi"/>
          <w:sz w:val="20"/>
          <w:szCs w:val="20"/>
        </w:rPr>
        <w:t>U Crnoj Gori nije zvanično proglašeno vanredno stanje, međutim na snazi su mjere izolacije i mjere stroge fizičke distance, uz dodatna ograničenja. Vlada je uvela fiskalne i socijalne mjere kao podršku domaćinstvima i preduzećima tokom trajanja vanrednih okolnosti, ukupan iznos 2 procenta BDP-a, uključujući budžetsku podršku.</w:t>
      </w:r>
    </w:p>
    <w:p w14:paraId="340311B9" w14:textId="77777777" w:rsidR="00047EF8" w:rsidRPr="00F563CD" w:rsidRDefault="00047EF8" w:rsidP="00047EF8">
      <w:pPr>
        <w:widowControl w:val="0"/>
        <w:tabs>
          <w:tab w:val="left" w:pos="220"/>
          <w:tab w:val="left" w:pos="720"/>
        </w:tabs>
        <w:autoSpaceDE w:val="0"/>
        <w:autoSpaceDN w:val="0"/>
        <w:adjustRightInd w:val="0"/>
        <w:spacing w:line="240" w:lineRule="auto"/>
        <w:jc w:val="both"/>
        <w:rPr>
          <w:rFonts w:asciiTheme="minorHAnsi" w:hAnsiTheme="minorHAnsi"/>
          <w:sz w:val="20"/>
          <w:szCs w:val="20"/>
        </w:rPr>
      </w:pPr>
      <w:r w:rsidRPr="00F563CD">
        <w:rPr>
          <w:rFonts w:asciiTheme="minorHAnsi" w:hAnsiTheme="minorHAnsi"/>
          <w:sz w:val="20"/>
          <w:szCs w:val="20"/>
        </w:rPr>
        <w:t xml:space="preserve">U odgovoru na krizu koja je izazvana pandemijom virusa COVID-19 u Crnoj Gori, ustanovljeno je da sveobuhvatni i značajan </w:t>
      </w:r>
      <w:r w:rsidRPr="00F563CD">
        <w:rPr>
          <w:rFonts w:asciiTheme="minorHAnsi" w:hAnsiTheme="minorHAnsi"/>
          <w:sz w:val="20"/>
          <w:szCs w:val="20"/>
        </w:rPr>
        <w:lastRenderedPageBreak/>
        <w:t>doprinos programu kroz budžetsku podršku predstavlja najdjelotvorniju i najefikasniju intervenciju koja može da pomogne Crnoj Gori da ublaži negativne efekte krize na ekonomiju, da zaštiti osjetljive društvene grupe od razornih posljedica krize i da im garantuje kontinuirani pristup osnovnim socijalnim servisima, kao i da omogući dostupnost ekonomskog oporavka za najosjetljivije sektore poslovanja.</w:t>
      </w:r>
    </w:p>
    <w:p w14:paraId="74CBBED8" w14:textId="77777777" w:rsidR="00047EF8" w:rsidRPr="00F563CD" w:rsidRDefault="00047EF8" w:rsidP="00047EF8">
      <w:pPr>
        <w:widowControl w:val="0"/>
        <w:tabs>
          <w:tab w:val="left" w:pos="220"/>
          <w:tab w:val="left" w:pos="720"/>
        </w:tabs>
        <w:autoSpaceDE w:val="0"/>
        <w:autoSpaceDN w:val="0"/>
        <w:adjustRightInd w:val="0"/>
        <w:spacing w:line="240" w:lineRule="auto"/>
        <w:jc w:val="both"/>
        <w:rPr>
          <w:rFonts w:asciiTheme="minorHAnsi" w:hAnsiTheme="minorHAnsi"/>
          <w:sz w:val="20"/>
          <w:szCs w:val="20"/>
        </w:rPr>
      </w:pPr>
      <w:r w:rsidRPr="00F563CD">
        <w:rPr>
          <w:rFonts w:asciiTheme="minorHAnsi" w:hAnsiTheme="minorHAnsi"/>
          <w:sz w:val="20"/>
          <w:szCs w:val="20"/>
        </w:rPr>
        <w:t>Ostale relevantne strategije koje se odnose na TP 2:</w:t>
      </w:r>
    </w:p>
    <w:p w14:paraId="4765601A" w14:textId="77777777" w:rsidR="00047EF8" w:rsidRPr="00F563CD" w:rsidRDefault="00047EF8" w:rsidP="00047EF8">
      <w:pPr>
        <w:numPr>
          <w:ilvl w:val="0"/>
          <w:numId w:val="56"/>
        </w:numPr>
        <w:spacing w:line="240" w:lineRule="auto"/>
        <w:ind w:left="284" w:hanging="284"/>
        <w:contextualSpacing/>
        <w:jc w:val="both"/>
        <w:rPr>
          <w:rFonts w:asciiTheme="minorHAnsi" w:hAnsiTheme="minorHAnsi"/>
          <w:sz w:val="20"/>
          <w:szCs w:val="20"/>
        </w:rPr>
      </w:pPr>
      <w:r w:rsidRPr="00F563CD">
        <w:rPr>
          <w:rFonts w:asciiTheme="minorHAnsi" w:hAnsiTheme="minorHAnsi" w:cs="Calibri"/>
          <w:b/>
          <w:bCs/>
          <w:sz w:val="20"/>
          <w:szCs w:val="20"/>
        </w:rPr>
        <w:t>Operativni plan za sprovođenje preporuka iz Izvještaja EK za Crnu Goru u Poglavlju 6 – Privredno pravo</w:t>
      </w:r>
      <w:r w:rsidRPr="00F563CD">
        <w:rPr>
          <w:rFonts w:asciiTheme="minorHAnsi" w:hAnsiTheme="minorHAnsi"/>
          <w:sz w:val="20"/>
          <w:szCs w:val="20"/>
        </w:rPr>
        <w:t xml:space="preserve"> </w:t>
      </w:r>
    </w:p>
    <w:p w14:paraId="17249433" w14:textId="77777777" w:rsidR="00047EF8" w:rsidRPr="00F563CD" w:rsidRDefault="00047EF8" w:rsidP="00047EF8">
      <w:pPr>
        <w:numPr>
          <w:ilvl w:val="0"/>
          <w:numId w:val="56"/>
        </w:numPr>
        <w:spacing w:line="240" w:lineRule="auto"/>
        <w:ind w:left="284" w:hanging="284"/>
        <w:contextualSpacing/>
        <w:jc w:val="both"/>
        <w:rPr>
          <w:rFonts w:asciiTheme="minorHAnsi" w:hAnsiTheme="minorHAnsi"/>
          <w:b/>
          <w:bCs/>
          <w:sz w:val="20"/>
          <w:szCs w:val="20"/>
        </w:rPr>
      </w:pPr>
      <w:r w:rsidRPr="00F563CD">
        <w:rPr>
          <w:rFonts w:asciiTheme="minorHAnsi" w:hAnsiTheme="minorHAnsi"/>
          <w:b/>
          <w:bCs/>
          <w:sz w:val="20"/>
          <w:szCs w:val="20"/>
        </w:rPr>
        <w:t>Nacionalna procjena rizika od pranja novca i finansiranja terorizma s akcionim planom</w:t>
      </w:r>
    </w:p>
    <w:p w14:paraId="71561854" w14:textId="77777777" w:rsidR="00047EF8" w:rsidRPr="00F563CD" w:rsidRDefault="00047EF8" w:rsidP="00047EF8">
      <w:pPr>
        <w:spacing w:line="240" w:lineRule="auto"/>
        <w:ind w:left="284"/>
        <w:contextualSpacing/>
        <w:jc w:val="both"/>
        <w:rPr>
          <w:rFonts w:asciiTheme="minorHAnsi" w:hAnsiTheme="minorHAnsi"/>
          <w:b/>
          <w:bCs/>
          <w:sz w:val="20"/>
          <w:szCs w:val="20"/>
        </w:rPr>
      </w:pPr>
    </w:p>
    <w:p w14:paraId="0EF04A60" w14:textId="77777777" w:rsidR="00047EF8" w:rsidRPr="00F563CD" w:rsidRDefault="00047EF8" w:rsidP="00047EF8">
      <w:pPr>
        <w:spacing w:line="240" w:lineRule="auto"/>
        <w:jc w:val="both"/>
        <w:rPr>
          <w:rFonts w:asciiTheme="minorHAnsi" w:hAnsiTheme="minorHAnsi"/>
          <w:b/>
          <w:bCs/>
          <w:sz w:val="20"/>
          <w:szCs w:val="20"/>
        </w:rPr>
      </w:pPr>
      <w:r w:rsidRPr="00F563CD">
        <w:rPr>
          <w:rFonts w:asciiTheme="minorHAnsi" w:eastAsia="Calibri" w:hAnsiTheme="minorHAnsi" w:cs="Calibri"/>
          <w:b/>
          <w:bCs/>
          <w:i/>
          <w:iCs/>
          <w:sz w:val="20"/>
          <w:szCs w:val="20"/>
        </w:rPr>
        <w:t>Tematski prioritet 3: Poljoprivreda i ruralni razvoj</w:t>
      </w:r>
    </w:p>
    <w:p w14:paraId="33620218" w14:textId="77777777" w:rsidR="00047EF8" w:rsidRPr="00F563CD" w:rsidRDefault="00047EF8" w:rsidP="00672161">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Kada je u pitanju TP3, niže navedene strategije su u potpunosti usklađene sa IPA III Programskim okvirom i specifičnim ciljevima koji se odnose na TP3, a kroz koje će poljoprivredni sektor postepeno postati konkurentan među snažnim akterima na tržištu, dok se progresivno usaglašava sa zakonodavnim okvirom EU u oblasti poljoprivrede i ruralnog razvoja, i relevantnim standardima u oblasti veterinarstva, bezbjednosti hrane i fitosanitarnim standardima:</w:t>
      </w:r>
    </w:p>
    <w:p w14:paraId="51F7158E"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bCs/>
          <w:sz w:val="20"/>
          <w:szCs w:val="20"/>
        </w:rPr>
        <w:t>Strategija razvoja poljoprivrede i ruralnih područja 2015-2020 (s Akcionim planom)</w:t>
      </w:r>
      <w:r w:rsidRPr="00F563CD">
        <w:rPr>
          <w:rFonts w:asciiTheme="minorHAnsi" w:eastAsia="Calibri" w:hAnsiTheme="minorHAnsi" w:cs="Calibri"/>
          <w:b/>
          <w:bCs/>
          <w:sz w:val="20"/>
          <w:szCs w:val="20"/>
          <w:vertAlign w:val="superscript"/>
        </w:rPr>
        <w:t xml:space="preserve"> </w:t>
      </w:r>
      <w:r w:rsidRPr="00F563CD">
        <w:rPr>
          <w:rFonts w:asciiTheme="minorHAnsi" w:eastAsia="Calibri" w:hAnsiTheme="minorHAnsi" w:cs="Calibri"/>
          <w:b/>
          <w:bCs/>
          <w:sz w:val="20"/>
          <w:szCs w:val="20"/>
        </w:rPr>
        <w:t xml:space="preserve">– </w:t>
      </w:r>
      <w:r w:rsidRPr="00F563CD">
        <w:rPr>
          <w:rFonts w:asciiTheme="minorHAnsi" w:eastAsia="Calibri" w:hAnsiTheme="minorHAnsi" w:cs="Calibri"/>
          <w:sz w:val="20"/>
          <w:szCs w:val="20"/>
        </w:rPr>
        <w:t>čije usvajanje je bilo preduslov za otvaranje Poglavlja 11, predstavlja osnovu sa usaglašavanje nacionalnih politika za Zajedničkom poljoprivrednom politikom u kontekstu procesa EU integracije. Usaglašavanje sa regulatornim okvirom i standardima EU postiže se kroz paralelno usaglašavanje zakonodavnog okvira, osnaživanje institucionalnih kapaciteta i sposobnost privatnog sektora da ispuni potrebne zahtjeve. U dijelu koji se odnosi na bezbjednost hrane, Strategija se odnosi na pružanje podrške poljoprivrednim proizvođačima radi usklađivanja sa minimalnim nacionalnim standardima (npr. u oblasti zdravlja životinja, javnog zdravlja, bezbjednosti na radu), i ovo se odnosi i na podršku edukovanju poljoprivrednih proizvođača u oblasti usklađivanja sa minimalnim nacionalnim standardima, ali i za pripremu projektnih aplikacija za apsorpciju IPARD sredstava.</w:t>
      </w:r>
    </w:p>
    <w:p w14:paraId="0F02C354"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sz w:val="20"/>
          <w:szCs w:val="20"/>
        </w:rPr>
        <w:t xml:space="preserve">Nova strategija za poljoprivredu i ruralni razvoj za period 2021-2027 je trenutno u izradi, nakon što su sprovedene sektorske analize. </w:t>
      </w:r>
      <w:r w:rsidRPr="00F563CD">
        <w:rPr>
          <w:rFonts w:asciiTheme="minorHAnsi" w:hAnsiTheme="minorHAnsi"/>
          <w:sz w:val="20"/>
          <w:szCs w:val="20"/>
          <w:lang w:val="fr-BE"/>
        </w:rPr>
        <w:t>Implementacija programa IPARD II je u toku, dok je program IPARD III u pripremi.</w:t>
      </w:r>
    </w:p>
    <w:p w14:paraId="780C1FB7"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U Izvještaju EK za Crnu Goru za 2021. </w:t>
      </w:r>
      <w:proofErr w:type="gramStart"/>
      <w:r w:rsidRPr="00F563CD">
        <w:rPr>
          <w:rFonts w:asciiTheme="minorHAnsi" w:hAnsiTheme="minorHAnsi"/>
          <w:sz w:val="20"/>
          <w:szCs w:val="20"/>
          <w:lang w:val="fr-BE"/>
        </w:rPr>
        <w:t>godinu</w:t>
      </w:r>
      <w:proofErr w:type="gramEnd"/>
      <w:r w:rsidRPr="00F563CD">
        <w:rPr>
          <w:rFonts w:asciiTheme="minorHAnsi" w:hAnsiTheme="minorHAnsi"/>
          <w:sz w:val="20"/>
          <w:szCs w:val="20"/>
          <w:lang w:val="fr-BE"/>
        </w:rPr>
        <w:t xml:space="preserve"> navodi se da je Crna Gora i dalje umjereno spremna u obasti poljoprivrede i ruralnog razvoja. Navodi se i da je određeni napredak ostvaren u odnosu na prošlogodišnje preporuke, uglavnom u sprovođenju programa IPARD II. Akcioni plan za usklađivanje sa pravnom tekovinom EU sproveden je tek u određenoj mjeri. </w:t>
      </w:r>
    </w:p>
    <w:tbl>
      <w:tblPr>
        <w:tblW w:w="10818" w:type="dxa"/>
        <w:tblInd w:w="-108" w:type="dxa"/>
        <w:tblBorders>
          <w:top w:val="nil"/>
          <w:left w:val="nil"/>
          <w:bottom w:val="nil"/>
          <w:right w:val="nil"/>
        </w:tblBorders>
        <w:tblLayout w:type="fixed"/>
        <w:tblLook w:val="0000" w:firstRow="0" w:lastRow="0" w:firstColumn="0" w:lastColumn="0" w:noHBand="0" w:noVBand="0"/>
      </w:tblPr>
      <w:tblGrid>
        <w:gridCol w:w="10818"/>
      </w:tblGrid>
      <w:tr w:rsidR="00047EF8" w:rsidRPr="00F563CD" w14:paraId="2606B5F2" w14:textId="77777777" w:rsidTr="00A239C5">
        <w:trPr>
          <w:trHeight w:val="777"/>
        </w:trPr>
        <w:tc>
          <w:tcPr>
            <w:tcW w:w="10818" w:type="dxa"/>
          </w:tcPr>
          <w:p w14:paraId="0429A426" w14:textId="2CE0D073" w:rsidR="00047EF8" w:rsidRPr="00F563CD" w:rsidRDefault="00047EF8" w:rsidP="00A239C5">
            <w:pPr>
              <w:pStyle w:val="Default"/>
              <w:jc w:val="both"/>
              <w:rPr>
                <w:rFonts w:asciiTheme="minorHAnsi" w:hAnsiTheme="minorHAnsi" w:cstheme="minorHAnsi"/>
                <w:sz w:val="20"/>
                <w:szCs w:val="20"/>
              </w:rPr>
            </w:pPr>
            <w:r w:rsidRPr="008C3F18">
              <w:rPr>
                <w:rFonts w:asciiTheme="minorHAnsi" w:eastAsia="Times New Roman" w:hAnsiTheme="minorHAnsi" w:cs="Times New Roman"/>
                <w:color w:val="auto"/>
                <w:sz w:val="20"/>
                <w:szCs w:val="20"/>
                <w:lang w:val="fr-BE" w:eastAsia="en-GB"/>
              </w:rPr>
              <w:t xml:space="preserve">U </w:t>
            </w:r>
            <w:r w:rsidR="00672161" w:rsidRPr="008C3F18">
              <w:rPr>
                <w:rFonts w:asciiTheme="minorHAnsi" w:eastAsia="Times New Roman" w:hAnsiTheme="minorHAnsi" w:cs="Times New Roman"/>
                <w:color w:val="auto"/>
                <w:sz w:val="20"/>
                <w:szCs w:val="20"/>
                <w:lang w:val="fr-BE" w:eastAsia="en-GB"/>
              </w:rPr>
              <w:t>narednom periodu</w:t>
            </w:r>
            <w:r w:rsidRPr="008C3F18">
              <w:rPr>
                <w:rFonts w:asciiTheme="minorHAnsi" w:eastAsia="Times New Roman" w:hAnsiTheme="minorHAnsi" w:cs="Times New Roman"/>
                <w:color w:val="auto"/>
                <w:sz w:val="20"/>
                <w:szCs w:val="20"/>
                <w:lang w:val="fr-BE" w:eastAsia="en-GB"/>
              </w:rPr>
              <w:t xml:space="preserve"> Crna Gora naročito treba </w:t>
            </w:r>
            <w:proofErr w:type="gramStart"/>
            <w:r w:rsidRPr="008C3F18">
              <w:rPr>
                <w:rFonts w:asciiTheme="minorHAnsi" w:eastAsia="Times New Roman" w:hAnsiTheme="minorHAnsi" w:cs="Times New Roman"/>
                <w:color w:val="auto"/>
                <w:sz w:val="20"/>
                <w:szCs w:val="20"/>
                <w:lang w:val="fr-BE" w:eastAsia="en-GB"/>
              </w:rPr>
              <w:t>da:</w:t>
            </w:r>
            <w:proofErr w:type="gramEnd"/>
            <w:r w:rsidRPr="008C3F18">
              <w:rPr>
                <w:rFonts w:asciiTheme="minorHAnsi" w:eastAsia="Times New Roman" w:hAnsiTheme="minorHAnsi" w:cs="Times New Roman"/>
                <w:color w:val="auto"/>
                <w:sz w:val="20"/>
                <w:szCs w:val="20"/>
                <w:lang w:val="fr-BE" w:eastAsia="en-GB"/>
              </w:rPr>
              <w:t xml:space="preserve"> intenzivira sprovođenje programa IPARD II, traži da joj se povjeri izvršenje budžeta</w:t>
            </w:r>
            <w:r w:rsidRPr="00F563CD">
              <w:rPr>
                <w:rFonts w:asciiTheme="minorHAnsi" w:hAnsiTheme="minorHAnsi" w:cstheme="minorHAnsi"/>
                <w:sz w:val="20"/>
                <w:szCs w:val="20"/>
              </w:rPr>
              <w:t xml:space="preserve"> za realizaciju mjere ,</w:t>
            </w:r>
            <w:r w:rsidRPr="00F563CD">
              <w:rPr>
                <w:rFonts w:asciiTheme="minorHAnsi" w:hAnsiTheme="minorHAnsi" w:cstheme="minorHAnsi"/>
                <w:i/>
                <w:iCs/>
                <w:sz w:val="20"/>
                <w:szCs w:val="20"/>
              </w:rPr>
              <w:t xml:space="preserve">Tehnička pomoć’ </w:t>
            </w:r>
            <w:r w:rsidRPr="00F563CD">
              <w:rPr>
                <w:rFonts w:asciiTheme="minorHAnsi" w:hAnsiTheme="minorHAnsi" w:cstheme="minorHAnsi"/>
                <w:sz w:val="20"/>
                <w:szCs w:val="20"/>
              </w:rPr>
              <w:t xml:space="preserve">i Komisiji dostavi na usvajanje nacrt programa IPARD III 2021- 2027; da nastavi da sprovodi akcioni plan za usklađivanje sa pravnom tekovinom EU u oblasti poljoprivrede i ruralnog razvoja, te usvoji strategiju za poljoprivredu i ruralni razvoj za period 2021- 2027. </w:t>
            </w:r>
          </w:p>
          <w:p w14:paraId="4C8AF23D" w14:textId="77777777" w:rsidR="002176BC" w:rsidRPr="00F563CD" w:rsidRDefault="002176BC" w:rsidP="00A239C5">
            <w:pPr>
              <w:pStyle w:val="Default"/>
              <w:jc w:val="both"/>
              <w:rPr>
                <w:rFonts w:asciiTheme="minorHAnsi" w:hAnsiTheme="minorHAnsi" w:cstheme="minorHAnsi"/>
                <w:sz w:val="20"/>
                <w:szCs w:val="20"/>
              </w:rPr>
            </w:pPr>
          </w:p>
          <w:p w14:paraId="097BDCFD" w14:textId="77777777" w:rsidR="00047EF8" w:rsidRPr="00F563CD" w:rsidRDefault="00047EF8" w:rsidP="00A239C5">
            <w:pPr>
              <w:pStyle w:val="Default"/>
              <w:jc w:val="both"/>
              <w:rPr>
                <w:rFonts w:asciiTheme="minorHAnsi" w:hAnsiTheme="minorHAnsi" w:cstheme="minorHAnsi"/>
                <w:sz w:val="20"/>
                <w:szCs w:val="20"/>
              </w:rPr>
            </w:pPr>
            <w:r w:rsidRPr="00F563CD">
              <w:rPr>
                <w:rFonts w:asciiTheme="minorHAnsi" w:hAnsiTheme="minorHAnsi" w:cstheme="minorHAnsi"/>
                <w:sz w:val="20"/>
                <w:szCs w:val="20"/>
              </w:rPr>
              <w:t xml:space="preserve">U izvještaju se navodi da je potrebno nastaviti realizaciju aktivnosti iz akcionog plana za usklađivanje sa pravnom tekovinom EU u oblasti poljoprivrede i ruralnog razvoja. Potreban je dodatni napredak kojim će se mjere direktnog plaćanja potpuno odvojiti od proizvodnje, a plaćanja povezati sa zahtjevima unakrsne usaglašenosti. </w:t>
            </w:r>
          </w:p>
          <w:p w14:paraId="6FD98CAE" w14:textId="77777777" w:rsidR="00047EF8" w:rsidRPr="00F563CD" w:rsidRDefault="00047EF8" w:rsidP="00A239C5">
            <w:pPr>
              <w:pStyle w:val="Default"/>
              <w:jc w:val="both"/>
              <w:rPr>
                <w:rFonts w:asciiTheme="minorHAnsi" w:hAnsiTheme="minorHAnsi" w:cstheme="minorHAnsi"/>
                <w:sz w:val="20"/>
                <w:szCs w:val="20"/>
              </w:rPr>
            </w:pPr>
          </w:p>
          <w:p w14:paraId="68311EAA" w14:textId="77777777" w:rsidR="00047EF8" w:rsidRPr="00F563CD" w:rsidRDefault="00047EF8" w:rsidP="00A239C5">
            <w:pPr>
              <w:autoSpaceDE w:val="0"/>
              <w:autoSpaceDN w:val="0"/>
              <w:adjustRightInd w:val="0"/>
              <w:spacing w:after="0" w:line="240" w:lineRule="auto"/>
              <w:jc w:val="both"/>
              <w:rPr>
                <w:rFonts w:asciiTheme="minorHAnsi" w:hAnsiTheme="minorHAnsi" w:cstheme="minorHAnsi"/>
                <w:color w:val="000000"/>
                <w:sz w:val="20"/>
                <w:szCs w:val="20"/>
              </w:rPr>
            </w:pPr>
            <w:r w:rsidRPr="00F563CD">
              <w:rPr>
                <w:rFonts w:asciiTheme="minorHAnsi" w:hAnsiTheme="minorHAnsi" w:cstheme="minorHAnsi"/>
                <w:color w:val="000000"/>
                <w:sz w:val="20"/>
                <w:szCs w:val="20"/>
                <w:lang w:val="bs-Latn-BA"/>
              </w:rPr>
              <w:t xml:space="preserve">U pogledu integrisanog administrativnog sistema kontrole (IACS), ostvaren je ograničen razvoj sistema za identifikaciju zemljišnih parcela (LPIS), koji treba da se realizuje na cijeloj teritoriji. Nastavljene su aktivnosti na pripremi softvera za mrežu računovodstvenih podataka poljoprivrednih gazdinstava (FADN). </w:t>
            </w:r>
            <w:r w:rsidRPr="00F563CD">
              <w:rPr>
                <w:rFonts w:asciiTheme="minorHAnsi" w:hAnsiTheme="minorHAnsi" w:cstheme="minorHAnsi"/>
                <w:color w:val="000000"/>
                <w:sz w:val="20"/>
                <w:szCs w:val="20"/>
              </w:rPr>
              <w:t xml:space="preserve">Savjetodavne usluge za poljoprivredna gazdinstva treba dodatno ojačati. </w:t>
            </w:r>
          </w:p>
          <w:p w14:paraId="07F6E6F3" w14:textId="45C66C2F" w:rsidR="00672161" w:rsidRPr="00F563CD" w:rsidRDefault="00672161" w:rsidP="00A239C5">
            <w:pPr>
              <w:autoSpaceDE w:val="0"/>
              <w:autoSpaceDN w:val="0"/>
              <w:adjustRightInd w:val="0"/>
              <w:spacing w:after="0" w:line="240" w:lineRule="auto"/>
              <w:jc w:val="both"/>
              <w:rPr>
                <w:rFonts w:asciiTheme="minorHAnsi" w:hAnsiTheme="minorHAnsi" w:cstheme="minorHAnsi"/>
                <w:color w:val="000000"/>
                <w:sz w:val="20"/>
                <w:szCs w:val="20"/>
              </w:rPr>
            </w:pPr>
          </w:p>
        </w:tc>
      </w:tr>
    </w:tbl>
    <w:p w14:paraId="6A7ECB32" w14:textId="170C7460" w:rsidR="00047EF8" w:rsidRPr="00F563CD" w:rsidRDefault="00047EF8" w:rsidP="00047EF8">
      <w:pPr>
        <w:pStyle w:val="ListParagraph"/>
        <w:numPr>
          <w:ilvl w:val="0"/>
          <w:numId w:val="23"/>
        </w:numPr>
        <w:spacing w:line="240" w:lineRule="auto"/>
        <w:jc w:val="both"/>
        <w:rPr>
          <w:rFonts w:asciiTheme="minorHAnsi" w:hAnsiTheme="minorHAnsi"/>
          <w:sz w:val="20"/>
          <w:szCs w:val="20"/>
        </w:rPr>
      </w:pPr>
      <w:r w:rsidRPr="00F563CD">
        <w:rPr>
          <w:rFonts w:asciiTheme="minorHAnsi" w:eastAsia="Calibri" w:hAnsiTheme="minorHAnsi" w:cs="Calibri"/>
          <w:b/>
          <w:bCs/>
          <w:sz w:val="20"/>
          <w:szCs w:val="20"/>
        </w:rPr>
        <w:t xml:space="preserve">Strategija za transpoziciju i implementaciju pravne tekovine EU za Poglavlje 12, uključujući opšti Akcioni plan i detaljni Akcioni plan za iskorjenjivanje klasične kuge svinje, </w:t>
      </w:r>
      <w:r w:rsidRPr="00F563CD">
        <w:rPr>
          <w:rFonts w:asciiTheme="minorHAnsi" w:eastAsia="Calibri" w:hAnsiTheme="minorHAnsi" w:cs="Calibri"/>
          <w:bCs/>
          <w:sz w:val="20"/>
          <w:szCs w:val="20"/>
        </w:rPr>
        <w:t xml:space="preserve">koji su usvojeni u decembru 2019. godine, ukratko predstavljaju kontinuirane napore za buduću transpoziciju, usklađivanje i </w:t>
      </w:r>
      <w:r w:rsidR="00672161" w:rsidRPr="00F563CD">
        <w:rPr>
          <w:rFonts w:asciiTheme="minorHAnsi" w:eastAsia="Calibri" w:hAnsiTheme="minorHAnsi" w:cs="Calibri"/>
          <w:bCs/>
          <w:sz w:val="20"/>
          <w:szCs w:val="20"/>
        </w:rPr>
        <w:t>implementaciju, imajući</w:t>
      </w:r>
      <w:r w:rsidRPr="00F563CD">
        <w:rPr>
          <w:rFonts w:asciiTheme="minorHAnsi" w:eastAsia="Calibri" w:hAnsiTheme="minorHAnsi" w:cs="Calibri"/>
          <w:bCs/>
          <w:sz w:val="20"/>
          <w:szCs w:val="20"/>
        </w:rPr>
        <w:t xml:space="preserve"> u vidu trenutno stanje u Poglavlju 12, ali i razvoj događaja nakon 20</w:t>
      </w:r>
      <w:r w:rsidR="00672161" w:rsidRPr="00F563CD">
        <w:rPr>
          <w:rFonts w:asciiTheme="minorHAnsi" w:eastAsia="Calibri" w:hAnsiTheme="minorHAnsi" w:cs="Calibri"/>
          <w:bCs/>
          <w:sz w:val="20"/>
          <w:szCs w:val="20"/>
        </w:rPr>
        <w:t>21</w:t>
      </w:r>
      <w:r w:rsidRPr="00F563CD">
        <w:rPr>
          <w:rFonts w:asciiTheme="minorHAnsi" w:eastAsia="Calibri" w:hAnsiTheme="minorHAnsi" w:cs="Calibri"/>
          <w:bCs/>
          <w:sz w:val="20"/>
          <w:szCs w:val="20"/>
        </w:rPr>
        <w:t xml:space="preserve">. godine. U Izvještaju o napretku EK navodi se da, u ovom poglavlju, Crna Gora ostaje umjereno spremna. </w:t>
      </w:r>
      <w:r w:rsidRPr="00F563CD">
        <w:rPr>
          <w:rFonts w:asciiTheme="minorHAnsi" w:hAnsiTheme="minorHAnsi"/>
          <w:sz w:val="20"/>
          <w:szCs w:val="20"/>
        </w:rPr>
        <w:t xml:space="preserve">Ostvaren je </w:t>
      </w:r>
      <w:r w:rsidRPr="00F563CD">
        <w:rPr>
          <w:rFonts w:asciiTheme="minorHAnsi" w:hAnsiTheme="minorHAnsi"/>
          <w:b/>
          <w:bCs/>
          <w:sz w:val="20"/>
          <w:szCs w:val="20"/>
        </w:rPr>
        <w:t xml:space="preserve">dobar napredak </w:t>
      </w:r>
      <w:r w:rsidRPr="00F563CD">
        <w:rPr>
          <w:rFonts w:asciiTheme="minorHAnsi" w:hAnsiTheme="minorHAnsi"/>
          <w:sz w:val="20"/>
          <w:szCs w:val="20"/>
        </w:rPr>
        <w:t xml:space="preserve">u pogledu prošlogodišnjih preporuka, naročito u vezi sa sprovođenjem nacionalne strategije za usklađivanje sa pravnom tekovinom EU i njenu implementaciju. Nastavljen je rad na unapređenju objekata i realizaciji programa.  U predstojećoj godini Crna Gora naročito treba da: nastavi sprovođenje revidirane strategije za usklađivanje sa pravnom tekovinom EU i njenu implementaciju; nastavi da podržava tekuće procese za unapređenje prehrambenih objekata; nastavi sa jačanjem administrativnih kapaciteta i infrastruktura, naročito u vezi sa kontrolama bezbjednosti hrane i realizuje robustni nadzor bolesti i vakcinaciju, po potrebi. U </w:t>
      </w:r>
      <w:r w:rsidRPr="00F563CD">
        <w:rPr>
          <w:rFonts w:asciiTheme="minorHAnsi" w:hAnsiTheme="minorHAnsi"/>
          <w:sz w:val="20"/>
          <w:szCs w:val="20"/>
        </w:rPr>
        <w:lastRenderedPageBreak/>
        <w:t>predstojećoj godini, Crna Gora treba naročito da ubrza aktivnosti implementacije kako bi ispunila završna mjerila: u skladu s pravnom tekovinom, da uspostavi i razvije relevantne administrativne strukture, naročito za kontrolu bezbjednosti hrane, kao i da dodatno unaprijedi njihove administrativne kapacitet i infrastrukturu. Crna Gora pokazuje da će imati dovoljno administrativnih kapaciteta da pravilno implementira i primjenjuje svu pravnu tekovinu u okviru ovog poglavlja.</w:t>
      </w:r>
      <w:r w:rsidRPr="00F563CD">
        <w:rPr>
          <w:rFonts w:asciiTheme="minorHAnsi" w:hAnsiTheme="minorHAnsi"/>
          <w:sz w:val="17"/>
          <w:szCs w:val="17"/>
        </w:rPr>
        <w:t xml:space="preserve"> </w:t>
      </w:r>
    </w:p>
    <w:p w14:paraId="1D46258B" w14:textId="77777777" w:rsidR="00047EF8" w:rsidRPr="00F563CD" w:rsidRDefault="00047EF8" w:rsidP="00047EF8">
      <w:pPr>
        <w:pStyle w:val="ListParagraph"/>
        <w:numPr>
          <w:ilvl w:val="0"/>
          <w:numId w:val="23"/>
        </w:numPr>
        <w:spacing w:line="240" w:lineRule="auto"/>
        <w:jc w:val="both"/>
        <w:rPr>
          <w:rFonts w:asciiTheme="minorHAnsi" w:eastAsia="Calibri" w:hAnsiTheme="minorHAnsi" w:cs="Calibri"/>
          <w:sz w:val="20"/>
          <w:szCs w:val="20"/>
        </w:rPr>
      </w:pPr>
      <w:r w:rsidRPr="00F563CD">
        <w:rPr>
          <w:rFonts w:asciiTheme="minorHAnsi" w:eastAsia="Calibri" w:hAnsiTheme="minorHAnsi" w:cs="Calibri"/>
          <w:b/>
          <w:bCs/>
          <w:sz w:val="20"/>
          <w:szCs w:val="20"/>
        </w:rPr>
        <w:t xml:space="preserve">Revidirana Strategija o šumama i šumarstvu 2014 – 2023 s Planom razvoja – </w:t>
      </w:r>
      <w:r w:rsidRPr="00F563CD">
        <w:rPr>
          <w:rFonts w:asciiTheme="minorHAnsi" w:eastAsia="Calibri" w:hAnsiTheme="minorHAnsi" w:cs="Calibri"/>
          <w:bCs/>
          <w:sz w:val="20"/>
          <w:szCs w:val="20"/>
        </w:rPr>
        <w:t>čiji je ključni cilj</w:t>
      </w:r>
      <w:r w:rsidRPr="00F563CD">
        <w:rPr>
          <w:rFonts w:asciiTheme="minorHAnsi" w:eastAsia="Calibri" w:hAnsiTheme="minorHAnsi" w:cs="Calibri"/>
          <w:sz w:val="20"/>
          <w:szCs w:val="20"/>
        </w:rPr>
        <w:t xml:space="preserve"> da unaprijedi uslove svih šuma u Crnoj Gori, da osigura njihovu funkciju u uspostavljanju ekološke i ekonomske ravnoteže, kao i druge njihove funkcije, i da obezbijedi održivost.</w:t>
      </w:r>
    </w:p>
    <w:p w14:paraId="271AF9F3" w14:textId="77777777" w:rsidR="00047EF8" w:rsidRPr="00F563CD" w:rsidRDefault="00047EF8" w:rsidP="00047EF8">
      <w:pPr>
        <w:spacing w:line="240" w:lineRule="auto"/>
        <w:jc w:val="both"/>
        <w:rPr>
          <w:rFonts w:asciiTheme="minorHAnsi" w:hAnsiTheme="minorHAnsi"/>
          <w:b/>
          <w:sz w:val="20"/>
          <w:szCs w:val="20"/>
        </w:rPr>
      </w:pPr>
      <w:r w:rsidRPr="00F563CD">
        <w:rPr>
          <w:rFonts w:asciiTheme="minorHAnsi" w:eastAsia="Calibri" w:hAnsiTheme="minorHAnsi" w:cs="Calibri"/>
          <w:b/>
          <w:i/>
          <w:iCs/>
          <w:sz w:val="20"/>
          <w:szCs w:val="20"/>
        </w:rPr>
        <w:t>Tematski prioritet 4: Ribarstvo</w:t>
      </w:r>
    </w:p>
    <w:p w14:paraId="50F39872"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U dijelu koji se odnosi na TP4, </w:t>
      </w:r>
      <w:r w:rsidRPr="00F563CD">
        <w:rPr>
          <w:rFonts w:asciiTheme="minorHAnsi" w:eastAsia="Calibri" w:hAnsiTheme="minorHAnsi" w:cs="Calibri"/>
          <w:b/>
          <w:bCs/>
          <w:sz w:val="20"/>
          <w:szCs w:val="20"/>
        </w:rPr>
        <w:t>Strategija ribarstva Crne Gore (koju je Vlada usvojila za period 2015-2020, s Akcionim planom za transpoziciju, implementaciju i primjenu pravne tekovine EU)</w:t>
      </w:r>
      <w:r w:rsidRPr="00F563CD">
        <w:rPr>
          <w:rFonts w:asciiTheme="minorHAnsi" w:eastAsia="Calibri" w:hAnsiTheme="minorHAnsi" w:cs="Calibri"/>
          <w:sz w:val="20"/>
          <w:szCs w:val="20"/>
        </w:rPr>
        <w:t xml:space="preserve"> u potpunosti je usklađena sa IPA III programskim okvirom i specifičnim ciljem iz TP4, koji podrazumijeva razvijanje sposobnosti za suočavanje sa pritiskom konkurencije i akterima na tržištu, progresivno usklađivanje sa pravilima i standardima Unije i promovisanje akvakulture. Strategija pruža plan akcije za sveobuhvatnu reformu i opšti strateški okvir za ribarstvo i akvakulturu, i definiše ključne korake koje Crna Gora treba da preduzme u pripremi za ispunjavanje obaveza koje su predviđene Zajedničkom ribarskom politikom (ZRP), uključujući i Zajedničku organizaciju tržišta za proizvode ribarstva i akvakulture).</w:t>
      </w:r>
    </w:p>
    <w:p w14:paraId="2C2C3DF5"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U procesu pripreme za pristupne pregovore, Vlada Crne Gore se angažovala u izradi novih strategija i ažuriranja postojećih kako bi u predstojećem periodu postigla uspješniji fokus i utvrdila redosljed reformskih napora u državi. Ovo takođe predstavlja zahtjev koji proizilazi iz početnih mjerila za određena pregovaračka poglavlja.</w:t>
      </w:r>
    </w:p>
    <w:p w14:paraId="3851B31A"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Opšti cilj </w:t>
      </w:r>
      <w:r w:rsidRPr="00F563CD">
        <w:rPr>
          <w:rFonts w:asciiTheme="minorHAnsi" w:eastAsia="Calibri" w:hAnsiTheme="minorHAnsi" w:cs="Calibri"/>
          <w:b/>
          <w:bCs/>
          <w:i/>
          <w:iCs/>
          <w:sz w:val="20"/>
          <w:szCs w:val="20"/>
        </w:rPr>
        <w:t xml:space="preserve">Prozora 4 </w:t>
      </w:r>
      <w:r w:rsidRPr="00F563CD">
        <w:rPr>
          <w:rFonts w:asciiTheme="minorHAnsi" w:eastAsia="Calibri" w:hAnsiTheme="minorHAnsi" w:cs="Calibri"/>
          <w:sz w:val="20"/>
          <w:szCs w:val="20"/>
        </w:rPr>
        <w:t>podrazumijeva jačanje ekonomskog i socijalnog razvoja, između ostalog i kroz obrazovanje, inovacije, socijalnu inkluziju i politike zapošljavanja, sa posebnim fokusom na razvoju privatnog sektora, kao što je poljoprivreda, ruralni i industrijski razvoj. U tom kontekstu, sve gore navedene strategije su relevantne za TP3 i TP4, imajući u vidu da Crna Gora prepoznaje poljoprivredu i ruralni razvoj kao jedno od glavnih područja, sa značajnim potencijalom za ekonomski rast. Strategije su razvijene na održivom konceptu crnogorske poljoprivrede, koji se reflektuje kroz funkcionisanje uravnoteženog ruralnog i regionalnog razvoja, ekonomsku funkciju, društvenu i prirodnu i kulturnu funkciju. Rast tražnje za poljoprivrednim proizvodima, koji se javlja kao posljedica razvoja turizma, ukazuje na realistične izglede za napredak u ovom sektoru. Prethodnih godina su unaprijeđeni kapaciteti obrade u nekoliko sektora, i oni predstavljaju dobar primjer razvoja nove dodatne vrijednosti proizvoda koji se nude na tržištu. Veterinarstvo, bezbjednost hrane i fitosanitarni poslovi su neodvojivi od poljoprivrede i ruralnog razvoja, zbog jednog broja standarda i propisa kojih poljoprivredni proizvođači treba da se pridržavaju, a koji se odnose na bezbjednost hrane koju proizvode, kao što su higijenski standardi u objektima poljoprivrednih gazdinstava, staranje o životinjama, itd. Sektor ribarstva i akvakulture ima značajan potencijal za razvoj, dok je značaj šumskih resursa za Crnu Goru neosporan, kako u pogledu privrede, tako i u ekološkom i društvenom smislu.</w:t>
      </w:r>
    </w:p>
    <w:p w14:paraId="3150B0C8" w14:textId="77777777" w:rsidR="00047EF8" w:rsidRPr="00F563CD" w:rsidRDefault="00047EF8" w:rsidP="00047EF8">
      <w:pPr>
        <w:pStyle w:val="Heading2"/>
        <w:numPr>
          <w:ilvl w:val="0"/>
          <w:numId w:val="30"/>
        </w:numPr>
        <w:rPr>
          <w:rFonts w:asciiTheme="minorHAnsi" w:hAnsiTheme="minorHAnsi" w:cs="Arial"/>
          <w:smallCaps/>
          <w:color w:val="auto"/>
          <w:sz w:val="24"/>
          <w:szCs w:val="24"/>
        </w:rPr>
      </w:pPr>
      <w:bookmarkStart w:id="52" w:name="_Toc91500279"/>
      <w:bookmarkEnd w:id="51"/>
      <w:r w:rsidRPr="00F563CD">
        <w:rPr>
          <w:rFonts w:asciiTheme="minorHAnsi" w:hAnsiTheme="minorHAnsi" w:cs="Arial"/>
          <w:smallCaps/>
          <w:color w:val="auto"/>
          <w:sz w:val="24"/>
          <w:szCs w:val="24"/>
        </w:rPr>
        <w:t>Povezanost strategija zemlje korisnice sa politikom proširenja</w:t>
      </w:r>
      <w:bookmarkEnd w:id="52"/>
    </w:p>
    <w:p w14:paraId="7F9AB54E" w14:textId="77777777" w:rsidR="00047EF8" w:rsidRPr="00F563CD" w:rsidRDefault="00047EF8" w:rsidP="00047EF8">
      <w:pPr>
        <w:spacing w:after="0" w:line="240" w:lineRule="auto"/>
        <w:jc w:val="both"/>
        <w:rPr>
          <w:rFonts w:asciiTheme="minorHAnsi" w:hAnsiTheme="minorHAnsi" w:cs="Calibri"/>
          <w:b/>
          <w:bCs/>
          <w:i/>
          <w:color w:val="000066"/>
          <w:sz w:val="20"/>
          <w:szCs w:val="20"/>
        </w:rPr>
      </w:pPr>
    </w:p>
    <w:p w14:paraId="6D2A6A91" w14:textId="77777777" w:rsidR="00047EF8" w:rsidRPr="00F563CD" w:rsidRDefault="00047EF8" w:rsidP="00047EF8">
      <w:pPr>
        <w:spacing w:after="0" w:line="240" w:lineRule="auto"/>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Nacionalne strategije izrađene su u skladu s okvirom politike proširenja EU.</w:t>
      </w:r>
    </w:p>
    <w:p w14:paraId="0F4738FC" w14:textId="77777777" w:rsidR="00047EF8" w:rsidRPr="00F563CD" w:rsidRDefault="00047EF8" w:rsidP="00047EF8">
      <w:pPr>
        <w:spacing w:after="0" w:line="240" w:lineRule="auto"/>
        <w:rPr>
          <w:rFonts w:asciiTheme="minorHAnsi" w:hAnsiTheme="minorHAnsi"/>
          <w:lang w:val="fr-BE"/>
        </w:rPr>
      </w:pPr>
    </w:p>
    <w:p w14:paraId="3A61DC36" w14:textId="77777777" w:rsidR="00047EF8" w:rsidRPr="00F563CD" w:rsidRDefault="00047EF8" w:rsidP="00047EF8">
      <w:pPr>
        <w:spacing w:line="240" w:lineRule="auto"/>
        <w:jc w:val="both"/>
        <w:rPr>
          <w:rFonts w:asciiTheme="minorHAnsi" w:eastAsia="Calibri" w:hAnsiTheme="minorHAnsi" w:cs="Calibri"/>
          <w:b/>
          <w:bCs/>
          <w:i/>
          <w:iCs/>
          <w:sz w:val="20"/>
          <w:szCs w:val="20"/>
          <w:lang w:val="fr-BE"/>
        </w:rPr>
      </w:pPr>
      <w:r w:rsidRPr="00F563CD">
        <w:rPr>
          <w:rFonts w:asciiTheme="minorHAnsi" w:eastAsia="Calibri" w:hAnsiTheme="minorHAnsi" w:cs="Calibri"/>
          <w:b/>
          <w:bCs/>
          <w:i/>
          <w:iCs/>
          <w:sz w:val="20"/>
          <w:szCs w:val="20"/>
          <w:lang w:val="fr-BE"/>
        </w:rPr>
        <w:t xml:space="preserve">Tematski prioritet </w:t>
      </w:r>
      <w:proofErr w:type="gramStart"/>
      <w:r w:rsidRPr="00F563CD">
        <w:rPr>
          <w:rFonts w:asciiTheme="minorHAnsi" w:eastAsia="Calibri" w:hAnsiTheme="minorHAnsi" w:cs="Calibri"/>
          <w:b/>
          <w:bCs/>
          <w:i/>
          <w:iCs/>
          <w:sz w:val="20"/>
          <w:szCs w:val="20"/>
          <w:lang w:val="fr-BE"/>
        </w:rPr>
        <w:t>1:</w:t>
      </w:r>
      <w:proofErr w:type="gramEnd"/>
      <w:r w:rsidRPr="00F563CD">
        <w:rPr>
          <w:rFonts w:asciiTheme="minorHAnsi" w:eastAsia="Calibri" w:hAnsiTheme="minorHAnsi" w:cs="Calibri"/>
          <w:b/>
          <w:bCs/>
          <w:i/>
          <w:iCs/>
          <w:sz w:val="20"/>
          <w:szCs w:val="20"/>
          <w:lang w:val="fr-BE"/>
        </w:rPr>
        <w:t xml:space="preserve"> Obrazovanje, zapošljavanje, socijalna zaštita i inskluzivne politike i zdravstvo </w:t>
      </w:r>
    </w:p>
    <w:p w14:paraId="5749D417" w14:textId="77777777" w:rsidR="00047EF8" w:rsidRPr="00F563CD" w:rsidRDefault="00047EF8" w:rsidP="00047EF8">
      <w:pPr>
        <w:spacing w:line="240" w:lineRule="auto"/>
        <w:jc w:val="both"/>
        <w:rPr>
          <w:rFonts w:asciiTheme="minorHAnsi" w:eastAsia="Calibri" w:hAnsiTheme="minorHAnsi" w:cs="Calibri"/>
          <w:b/>
          <w:bCs/>
          <w:iCs/>
          <w:sz w:val="20"/>
          <w:szCs w:val="20"/>
          <w:u w:val="single"/>
          <w:lang w:val="fr-BE"/>
        </w:rPr>
      </w:pPr>
      <w:r w:rsidRPr="00F563CD">
        <w:rPr>
          <w:rFonts w:asciiTheme="minorHAnsi" w:eastAsia="Calibri" w:hAnsiTheme="minorHAnsi" w:cs="Calibri"/>
          <w:b/>
          <w:bCs/>
          <w:iCs/>
          <w:sz w:val="20"/>
          <w:szCs w:val="20"/>
          <w:u w:val="single"/>
          <w:lang w:val="fr-BE"/>
        </w:rPr>
        <w:t>Obrazovanje</w:t>
      </w:r>
      <w:r w:rsidRPr="00F563CD">
        <w:rPr>
          <w:rFonts w:asciiTheme="minorHAnsi" w:eastAsia="Calibri" w:hAnsiTheme="minorHAnsi" w:cs="Calibri"/>
          <w:b/>
          <w:bCs/>
          <w:iCs/>
          <w:sz w:val="20"/>
          <w:szCs w:val="20"/>
          <w:lang w:val="fr-BE"/>
        </w:rPr>
        <w:t xml:space="preserve"> </w:t>
      </w:r>
    </w:p>
    <w:p w14:paraId="465A5357" w14:textId="77777777" w:rsidR="00047EF8" w:rsidRPr="00F563CD" w:rsidRDefault="00047EF8" w:rsidP="00047EF8">
      <w:pPr>
        <w:spacing w:line="240" w:lineRule="auto"/>
        <w:jc w:val="both"/>
        <w:rPr>
          <w:rFonts w:asciiTheme="minorHAnsi" w:eastAsia="Calibri" w:hAnsiTheme="minorHAnsi" w:cs="Calibri"/>
          <w:bCs/>
          <w:iCs/>
          <w:sz w:val="20"/>
          <w:szCs w:val="20"/>
          <w:lang w:val="fr-BE"/>
        </w:rPr>
      </w:pPr>
      <w:r w:rsidRPr="00F563CD">
        <w:rPr>
          <w:rFonts w:asciiTheme="minorHAnsi" w:eastAsia="Calibri" w:hAnsiTheme="minorHAnsi" w:cs="Calibri"/>
          <w:sz w:val="20"/>
          <w:szCs w:val="20"/>
          <w:lang w:val="fr-BE"/>
        </w:rPr>
        <w:t xml:space="preserve">Predviđene intervencije usklađene su sa </w:t>
      </w:r>
      <w:r w:rsidRPr="00F563CD">
        <w:rPr>
          <w:rFonts w:asciiTheme="minorHAnsi" w:eastAsia="Calibri" w:hAnsiTheme="minorHAnsi" w:cs="Calibri"/>
          <w:b/>
          <w:bCs/>
          <w:sz w:val="20"/>
          <w:szCs w:val="20"/>
          <w:lang w:val="fr-BE"/>
        </w:rPr>
        <w:t xml:space="preserve">Ekonomskim i investicionim planom za Zapadni Balkan </w:t>
      </w:r>
      <w:r w:rsidRPr="00F563CD">
        <w:rPr>
          <w:rFonts w:asciiTheme="minorHAnsi" w:eastAsia="Calibri" w:hAnsiTheme="minorHAnsi" w:cs="Calibri"/>
          <w:b/>
          <w:bCs/>
          <w:sz w:val="20"/>
          <w:szCs w:val="20"/>
          <w:vertAlign w:val="superscript"/>
        </w:rPr>
        <w:footnoteReference w:id="28"/>
      </w:r>
      <w:r w:rsidRPr="00F563CD">
        <w:rPr>
          <w:rFonts w:asciiTheme="minorHAnsi" w:eastAsia="Calibri" w:hAnsiTheme="minorHAnsi" w:cs="Calibri"/>
          <w:sz w:val="20"/>
          <w:szCs w:val="20"/>
          <w:lang w:val="fr-BE"/>
        </w:rPr>
        <w:t>, imajući u vidu da investicije u budućnost podrazumijevaju takođe investicije u istraživanje, inovacije, zdravstvo, obrazovanje, kulturu, mlade i sport.</w:t>
      </w:r>
      <w:r w:rsidRPr="00F563CD">
        <w:rPr>
          <w:rFonts w:asciiTheme="minorHAnsi" w:eastAsia="Calibri" w:hAnsiTheme="minorHAnsi" w:cs="Calibri"/>
          <w:bCs/>
          <w:iCs/>
          <w:sz w:val="20"/>
          <w:szCs w:val="20"/>
          <w:lang w:val="fr-BE"/>
        </w:rPr>
        <w:t xml:space="preserve"> Kroz investicije u ljudski potencijal poseban naglasak se stavlja na reforme kojima se obezbjeđuju relevantna znanja, vještine i kompetencije potrebne za rješavanje pitanja nepodudarnosti između ponude vještina i tražnje za vještinama na tržištu rada, između ostalog i putem učenja kroz rad u stručnom obrazovanju, kao i obuka i praktične nastave u visokom obrazovanju. Predviđene intervencije su usklađene s Agendom za Zapadni Balkan o inovacijama, istraživanju, obrazovanju, mladima, kulturi i sportu, koja je pokrenuta na Samitu EU-Zapadni Balkan koji je održan 6. </w:t>
      </w:r>
      <w:proofErr w:type="gramStart"/>
      <w:r w:rsidRPr="00F563CD">
        <w:rPr>
          <w:rFonts w:asciiTheme="minorHAnsi" w:eastAsia="Calibri" w:hAnsiTheme="minorHAnsi" w:cs="Calibri"/>
          <w:bCs/>
          <w:iCs/>
          <w:sz w:val="20"/>
          <w:szCs w:val="20"/>
          <w:lang w:val="fr-BE"/>
        </w:rPr>
        <w:t>oktobra</w:t>
      </w:r>
      <w:proofErr w:type="gramEnd"/>
      <w:r w:rsidRPr="00F563CD">
        <w:rPr>
          <w:rFonts w:asciiTheme="minorHAnsi" w:eastAsia="Calibri" w:hAnsiTheme="minorHAnsi" w:cs="Calibri"/>
          <w:bCs/>
          <w:iCs/>
          <w:sz w:val="20"/>
          <w:szCs w:val="20"/>
          <w:lang w:val="fr-BE"/>
        </w:rPr>
        <w:t xml:space="preserve"> na Brdu, u Sloveniji, a kojom se postavlja okvir za susjedne države i regionalne inicijative za period do 2027. </w:t>
      </w:r>
      <w:proofErr w:type="gramStart"/>
      <w:r w:rsidRPr="00F563CD">
        <w:rPr>
          <w:rFonts w:asciiTheme="minorHAnsi" w:eastAsia="Calibri" w:hAnsiTheme="minorHAnsi" w:cs="Calibri"/>
          <w:bCs/>
          <w:iCs/>
          <w:sz w:val="20"/>
          <w:szCs w:val="20"/>
          <w:lang w:val="fr-BE"/>
        </w:rPr>
        <w:t>godine</w:t>
      </w:r>
      <w:proofErr w:type="gramEnd"/>
      <w:r w:rsidRPr="00F563CD">
        <w:rPr>
          <w:rFonts w:asciiTheme="minorHAnsi" w:eastAsia="Calibri" w:hAnsiTheme="minorHAnsi" w:cs="Calibri"/>
          <w:bCs/>
          <w:iCs/>
          <w:sz w:val="20"/>
          <w:szCs w:val="20"/>
          <w:lang w:val="fr-BE"/>
        </w:rPr>
        <w:t xml:space="preserve">. </w:t>
      </w:r>
    </w:p>
    <w:p w14:paraId="123C1A68"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lastRenderedPageBreak/>
        <w:t>Predviđene intervencije su u skladu i sa Evropskim stubom socijalnih prava i prava svih građana na kvalitetno cjeloživotno učenje.</w:t>
      </w:r>
    </w:p>
    <w:p w14:paraId="26CDCD8B"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Predviđenim intervencijama uzima se u obzir i Digitalna agenda EU i Digitalna agenda za Zapadni Balkan, uključujući i uvođenje EU alata kao što je SELFIE, za kreiranje obrazovanja, razvijanje institucija i izgradnju nastavnog kadra koji može da odgovori na potrebe digitalnog doba.</w:t>
      </w:r>
    </w:p>
    <w:p w14:paraId="40530518"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Predviđene intervencije su u skladu sa Paketom proširenja EK za 2021. </w:t>
      </w:r>
      <w:proofErr w:type="gramStart"/>
      <w:r w:rsidRPr="00F563CD">
        <w:rPr>
          <w:rFonts w:asciiTheme="minorHAnsi" w:eastAsia="Calibri" w:hAnsiTheme="minorHAnsi" w:cs="Calibri"/>
          <w:sz w:val="20"/>
          <w:szCs w:val="20"/>
          <w:lang w:val="fr-BE"/>
        </w:rPr>
        <w:t>godinu</w:t>
      </w:r>
      <w:proofErr w:type="gramEnd"/>
      <w:r w:rsidRPr="00F563CD">
        <w:rPr>
          <w:rFonts w:asciiTheme="minorHAnsi" w:eastAsia="Calibri" w:hAnsiTheme="minorHAnsi" w:cs="Calibri"/>
          <w:sz w:val="20"/>
          <w:szCs w:val="20"/>
          <w:lang w:val="fr-BE"/>
        </w:rPr>
        <w:t xml:space="preserve"> i preporukama za Poglavlje 26 koje predviđaju pružanje inkluzivnog obrazovanja i jednak pristup kvalitetnom obrazovanju, kao i uspostavljanje sistema za monitoring i evaluaciju praktične nastave, na nivou visokog, ali i stručnog obrazovanja.</w:t>
      </w:r>
    </w:p>
    <w:p w14:paraId="4BF73B04" w14:textId="77777777" w:rsidR="00047EF8" w:rsidRPr="00F563CD" w:rsidRDefault="00047EF8" w:rsidP="00047EF8">
      <w:pPr>
        <w:spacing w:line="240" w:lineRule="auto"/>
        <w:jc w:val="both"/>
        <w:rPr>
          <w:rFonts w:asciiTheme="minorHAnsi" w:eastAsia="Calibri" w:hAnsiTheme="minorHAnsi" w:cs="Calibri"/>
          <w:b/>
          <w:bCs/>
          <w:sz w:val="20"/>
          <w:szCs w:val="20"/>
          <w:lang w:val="fr-BE"/>
        </w:rPr>
      </w:pPr>
      <w:r w:rsidRPr="00F563CD">
        <w:rPr>
          <w:rFonts w:asciiTheme="minorHAnsi" w:eastAsia="Calibri" w:hAnsiTheme="minorHAnsi" w:cs="Calibri"/>
          <w:b/>
          <w:bCs/>
          <w:sz w:val="20"/>
          <w:szCs w:val="20"/>
          <w:lang w:val="fr-BE"/>
        </w:rPr>
        <w:t xml:space="preserve">Evropski zeleni dogovor – Zelena agenda za Zapadni Balkan </w:t>
      </w:r>
      <w:r w:rsidRPr="00F563CD">
        <w:rPr>
          <w:rFonts w:asciiTheme="minorHAnsi" w:eastAsia="Calibri" w:hAnsiTheme="minorHAnsi" w:cs="Calibri"/>
          <w:bCs/>
          <w:sz w:val="20"/>
          <w:szCs w:val="20"/>
          <w:lang w:val="fr-BE"/>
        </w:rPr>
        <w:t>konstatuje pozitivan uticaj obrazovanja na odnos prema životnoj sredini, počev od najranijeg uzrasta, kao i u procesu prekvalifikacije zaposlenih koji dolaze iz industrija koje su u procesu tranzicije, te stoga obrazovni programi treba da uključe ključne kompetencije i vještine koje su potrebne za procese u zelenoj ekonomiji, što će u krajnjem osigurati spremnost i kapacitete zaposlenih za tržište rada i društvo sjutrašnjice.</w:t>
      </w:r>
    </w:p>
    <w:p w14:paraId="669FE55D"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Strateški okvir u ovoj oblasti odslikava ovu inicijativu kroz izradu nastavnih programa i uvođenje obrazovnih programa za održivi razvoj, usvajanje znanja o klimatskim promjenama, zaštiti životne sredine, biodiverzitetu, pružanje prilike studentima da stiču znanja o poslovima u oblasti zelene ekonomije i zelenim poslovima koji doprinose zaštiti i obnavljaju kvaliteta životne sredine, i zelenim sektorima kao što su energetska efikasnost ili proizvodnja energije iz obnovljivih izvora (solarna energija i energija vjetra).</w:t>
      </w:r>
    </w:p>
    <w:p w14:paraId="1F2F039E" w14:textId="77777777" w:rsidR="00047EF8" w:rsidRPr="00F563CD" w:rsidRDefault="00047EF8" w:rsidP="00047EF8">
      <w:pPr>
        <w:spacing w:line="240" w:lineRule="auto"/>
        <w:jc w:val="both"/>
        <w:rPr>
          <w:rFonts w:asciiTheme="minorHAnsi" w:eastAsia="Calibri" w:hAnsiTheme="minorHAnsi"/>
          <w:lang w:val="fr-BE"/>
        </w:rPr>
      </w:pPr>
      <w:r w:rsidRPr="00F563CD">
        <w:rPr>
          <w:rFonts w:asciiTheme="minorHAnsi" w:eastAsia="Calibri" w:hAnsiTheme="minorHAnsi" w:cs="Calibri"/>
          <w:sz w:val="20"/>
          <w:szCs w:val="20"/>
          <w:lang w:val="fr-BE"/>
        </w:rPr>
        <w:t>U</w:t>
      </w:r>
      <w:r w:rsidRPr="00F563CD">
        <w:rPr>
          <w:rFonts w:asciiTheme="minorHAnsi" w:eastAsia="Calibri" w:hAnsiTheme="minorHAnsi" w:cs="Calibri"/>
          <w:b/>
          <w:sz w:val="20"/>
          <w:szCs w:val="20"/>
          <w:lang w:val="fr-BE"/>
        </w:rPr>
        <w:t xml:space="preserve"> Strategiji proširenja</w:t>
      </w:r>
      <w:r w:rsidRPr="00F563CD">
        <w:rPr>
          <w:rFonts w:asciiTheme="minorHAnsi" w:eastAsia="Calibri" w:hAnsiTheme="minorHAnsi" w:cs="Calibri"/>
          <w:sz w:val="20"/>
          <w:szCs w:val="20"/>
          <w:lang w:val="fr-BE"/>
        </w:rPr>
        <w:t xml:space="preserve"> </w:t>
      </w:r>
      <w:r w:rsidRPr="00F563CD">
        <w:rPr>
          <w:rFonts w:asciiTheme="minorHAnsi" w:eastAsia="Calibri" w:hAnsiTheme="minorHAnsi" w:cs="Calibri"/>
          <w:b/>
          <w:bCs/>
          <w:sz w:val="20"/>
          <w:szCs w:val="20"/>
          <w:lang w:val="fr-BE"/>
        </w:rPr>
        <w:t>2018</w:t>
      </w:r>
      <w:r w:rsidRPr="00F563CD">
        <w:rPr>
          <w:rFonts w:asciiTheme="minorHAnsi" w:eastAsia="Calibri" w:hAnsiTheme="minorHAnsi" w:cs="Calibri"/>
          <w:b/>
          <w:bCs/>
          <w:sz w:val="20"/>
          <w:szCs w:val="20"/>
          <w:vertAlign w:val="superscript"/>
        </w:rPr>
        <w:footnoteReference w:id="29"/>
      </w:r>
      <w:r w:rsidRPr="00F563CD">
        <w:rPr>
          <w:rFonts w:asciiTheme="minorHAnsi" w:eastAsia="Calibri" w:hAnsiTheme="minorHAnsi" w:cs="Calibri"/>
          <w:sz w:val="20"/>
          <w:szCs w:val="20"/>
          <w:lang w:val="fr-BE"/>
        </w:rPr>
        <w:t xml:space="preserve"> navodi se da će biti obezbijeđena dodatna podrška za obrazovanje, stručno obrazovanje i obuke, kao i obuke nastavnika. Predviđene intervencije su usmjerene na socijalnu dimenziju socio-ekonomskog razvoja u okviru Strategije za Zapadni Balkan. Ovom akcijom obezbijeđena je podrška za unapređenje procesa kreiranja politika, implementaciju i koordinaciju u okviru sektora zapošljavanja, obrazovanja i socijalne zaštite (EESP). Kako se navodi, potrebne su dodatne aktivnosti kojima će biti unaprijeđena konkurentnost ekonomija na Zapadnom Balkanu, čime se rješava pitanje visoke stope nezaposlenosti, naročito među mladima. U sektoru obrazovanja, nacionalne strategije su usmjerene na sveobuhvatne reforme koje podrazumijevaju rješavanje najznačajnijih izazova i prioriteta: kvalitet procesa nastave i učenja, kojim se mogu unaprijediti ishodi učenja i rezultati studenata, jednakost i pristupačnost, stvaraju se uslovi za potpuno i jednako učešće sve djece u inkluzivnom obrazovanju, bez diskriminacije, uz podsticaj za pružanje izuzetno potrebnih i relevantnih znanja, vještina i kompetencija, uključujući i digitalne i tehnološke kompetencije. </w:t>
      </w:r>
    </w:p>
    <w:p w14:paraId="69AA8E47"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Predviđene intervencije su relevantne za implementaciju </w:t>
      </w:r>
      <w:r w:rsidRPr="00F563CD">
        <w:rPr>
          <w:rFonts w:asciiTheme="minorHAnsi" w:eastAsia="Calibri" w:hAnsiTheme="minorHAnsi" w:cs="Calibri"/>
          <w:b/>
          <w:sz w:val="20"/>
          <w:szCs w:val="20"/>
          <w:lang w:val="fr-BE"/>
        </w:rPr>
        <w:t>Politike proširenja EU 2020</w:t>
      </w:r>
      <w:r w:rsidRPr="00F563CD">
        <w:rPr>
          <w:rFonts w:asciiTheme="minorHAnsi" w:eastAsia="Calibri" w:hAnsiTheme="minorHAnsi" w:cs="Calibri"/>
          <w:sz w:val="20"/>
          <w:szCs w:val="20"/>
          <w:lang w:val="fr-BE"/>
        </w:rPr>
        <w:t>, u kojoj se navodi da je i pored visoke stope upisa, u Crnoj Gori i dalje postoji problem kvaliteta obrazovanje i neodgovarajućih stručnih vještina, kako za lica koja su završila programe stručnog osposobljavanja, tako i kod lica koja su stekla visoko obrazovanje.</w:t>
      </w:r>
    </w:p>
    <w:p w14:paraId="4F211761"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Kako se navodi u </w:t>
      </w:r>
      <w:r w:rsidRPr="00F563CD">
        <w:rPr>
          <w:rFonts w:asciiTheme="minorHAnsi" w:eastAsia="Calibri" w:hAnsiTheme="minorHAnsi" w:cs="Calibri"/>
          <w:b/>
          <w:sz w:val="20"/>
          <w:szCs w:val="20"/>
          <w:lang w:val="fr-BE"/>
        </w:rPr>
        <w:t xml:space="preserve">Izvještaju EK za Crnu Goru za 2021. </w:t>
      </w:r>
      <w:proofErr w:type="gramStart"/>
      <w:r w:rsidRPr="00F563CD">
        <w:rPr>
          <w:rFonts w:asciiTheme="minorHAnsi" w:eastAsia="Calibri" w:hAnsiTheme="minorHAnsi" w:cs="Calibri"/>
          <w:b/>
          <w:sz w:val="20"/>
          <w:szCs w:val="20"/>
          <w:lang w:val="fr-BE"/>
        </w:rPr>
        <w:t>godinu</w:t>
      </w:r>
      <w:proofErr w:type="gramEnd"/>
      <w:r w:rsidRPr="00F563CD">
        <w:rPr>
          <w:rFonts w:asciiTheme="minorHAnsi" w:eastAsia="Calibri" w:hAnsiTheme="minorHAnsi" w:cs="Calibri"/>
          <w:sz w:val="20"/>
          <w:szCs w:val="20"/>
          <w:lang w:val="fr-BE"/>
        </w:rPr>
        <w:t>, opšte obrazovne ishode  treba unaprijediti u skladu sa potrebama tržišta, i na taj način podsticati zapošljivost.</w:t>
      </w:r>
    </w:p>
    <w:p w14:paraId="438AB90F"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Predviđena intervencija oslanja se na </w:t>
      </w:r>
      <w:r w:rsidRPr="00F563CD">
        <w:rPr>
          <w:rFonts w:asciiTheme="minorHAnsi" w:eastAsia="Calibri" w:hAnsiTheme="minorHAnsi" w:cs="Calibri"/>
          <w:b/>
          <w:bCs/>
          <w:sz w:val="20"/>
          <w:szCs w:val="20"/>
          <w:lang w:val="fr-BE"/>
        </w:rPr>
        <w:t xml:space="preserve">Program ekonomskih reformi 2021 – 2023 (PER), </w:t>
      </w:r>
      <w:r w:rsidRPr="00F563CD">
        <w:rPr>
          <w:rFonts w:asciiTheme="minorHAnsi" w:eastAsia="Calibri" w:hAnsiTheme="minorHAnsi" w:cs="Calibri"/>
          <w:bCs/>
          <w:sz w:val="20"/>
          <w:szCs w:val="20"/>
          <w:lang w:val="fr-BE"/>
        </w:rPr>
        <w:t xml:space="preserve">kojim je identifikovano da vještine i znanja koja nudi obrazovni sistem </w:t>
      </w:r>
      <w:r w:rsidRPr="00F563CD">
        <w:rPr>
          <w:rFonts w:asciiTheme="minorHAnsi" w:eastAsia="Calibri" w:hAnsiTheme="minorHAnsi" w:cs="Calibri"/>
          <w:sz w:val="20"/>
          <w:szCs w:val="20"/>
          <w:lang w:val="fr-BE"/>
        </w:rPr>
        <w:t xml:space="preserve">nisu usaglašeni sa vještinama i znanjima koje zahtijeva tržište rada. U okviru Ministarskog dijaloga koji je održan u maju 2019.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Evropska komisija i Savjet EU dostavili su smjernice u okviru šest politika za pripremu PER 2020, od kojih se jedna odnosi na uspostavljanje valjanih mehanizama za monitoring i evaluaciju procesa implementacije i rezultata praktičnog učenja.</w:t>
      </w:r>
    </w:p>
    <w:p w14:paraId="3BEA3F9A" w14:textId="77777777" w:rsidR="00047EF8" w:rsidRPr="00F563CD" w:rsidRDefault="00047EF8" w:rsidP="00047EF8">
      <w:pPr>
        <w:spacing w:line="240" w:lineRule="auto"/>
        <w:jc w:val="both"/>
        <w:rPr>
          <w:rFonts w:asciiTheme="minorHAnsi" w:eastAsia="Calibri" w:hAnsiTheme="minorHAnsi" w:cs="Calibri"/>
          <w:color w:val="000000" w:themeColor="text1"/>
          <w:sz w:val="20"/>
          <w:szCs w:val="20"/>
        </w:rPr>
      </w:pPr>
      <w:r w:rsidRPr="00F563CD">
        <w:rPr>
          <w:rFonts w:asciiTheme="minorHAnsi" w:eastAsia="Calibri" w:hAnsiTheme="minorHAnsi" w:cs="Calibri"/>
          <w:color w:val="000000" w:themeColor="text1"/>
          <w:sz w:val="20"/>
          <w:szCs w:val="20"/>
          <w:lang w:val="fr-BE"/>
        </w:rPr>
        <w:t xml:space="preserve">Osim toga, program Obrazovanja za održivi razvoj u crnogorskom obrazovnom sistemu sprovodi se već gotovo cijelu deceniju. Određene oblasti iz ovog programa bile su zastupljene i u ranijem formalnom obrazovanju, kao obavezni ili izborni predmeti, a od 2013, 2014 i 2015. </w:t>
      </w:r>
      <w:proofErr w:type="gramStart"/>
      <w:r w:rsidRPr="00F563CD">
        <w:rPr>
          <w:rFonts w:asciiTheme="minorHAnsi" w:eastAsia="Calibri" w:hAnsiTheme="minorHAnsi" w:cs="Calibri"/>
          <w:color w:val="000000" w:themeColor="text1"/>
          <w:sz w:val="20"/>
          <w:szCs w:val="20"/>
          <w:lang w:val="fr-BE"/>
        </w:rPr>
        <w:t>godine</w:t>
      </w:r>
      <w:proofErr w:type="gramEnd"/>
      <w:r w:rsidRPr="00F563CD">
        <w:rPr>
          <w:rFonts w:asciiTheme="minorHAnsi" w:eastAsia="Calibri" w:hAnsiTheme="minorHAnsi" w:cs="Calibri"/>
          <w:color w:val="000000" w:themeColor="text1"/>
          <w:sz w:val="20"/>
          <w:szCs w:val="20"/>
          <w:lang w:val="fr-BE"/>
        </w:rPr>
        <w:t xml:space="preserve">, objedinjene su kroz jedinstveni interdisciplinarni obrazovni program. I mada još uvijek nisu formulisani kroz jedinstvenu nacionalnu strategiju obrazovanja za održivi razvoj, ovi ciljevi su horizontalno umetnuti u mnoge obrazovne strategije, kao što je Nacionalna strategija za održivi razvoj do 2030. </w:t>
      </w:r>
      <w:proofErr w:type="gramStart"/>
      <w:r w:rsidRPr="00F563CD">
        <w:rPr>
          <w:rFonts w:asciiTheme="minorHAnsi" w:eastAsia="Calibri" w:hAnsiTheme="minorHAnsi" w:cs="Calibri"/>
          <w:color w:val="000000" w:themeColor="text1"/>
          <w:sz w:val="20"/>
          <w:szCs w:val="20"/>
          <w:lang w:val="fr-BE"/>
        </w:rPr>
        <w:t>godine</w:t>
      </w:r>
      <w:proofErr w:type="gramEnd"/>
      <w:r w:rsidRPr="00F563CD">
        <w:rPr>
          <w:rFonts w:asciiTheme="minorHAnsi" w:eastAsia="Calibri" w:hAnsiTheme="minorHAnsi" w:cs="Calibri"/>
          <w:color w:val="000000" w:themeColor="text1"/>
          <w:sz w:val="20"/>
          <w:szCs w:val="20"/>
          <w:lang w:val="fr-BE"/>
        </w:rPr>
        <w:t xml:space="preserve">, i potpuno su usklađeni sa jednim brojem regionalnih i globalnih strategija, kao što je </w:t>
      </w:r>
      <w:r w:rsidRPr="00F563CD">
        <w:rPr>
          <w:rFonts w:asciiTheme="minorHAnsi" w:eastAsia="Calibri" w:hAnsiTheme="minorHAnsi" w:cs="Calibri"/>
          <w:sz w:val="20"/>
          <w:szCs w:val="20"/>
          <w:lang w:val="fr-BE"/>
        </w:rPr>
        <w:t xml:space="preserve">Mediteranska strategija </w:t>
      </w:r>
      <w:r w:rsidRPr="00F563CD">
        <w:rPr>
          <w:rFonts w:asciiTheme="minorHAnsi" w:eastAsia="Calibri" w:hAnsiTheme="minorHAnsi" w:cs="Calibri"/>
          <w:color w:val="000000" w:themeColor="text1"/>
          <w:sz w:val="20"/>
          <w:szCs w:val="20"/>
          <w:lang w:val="fr-BE"/>
        </w:rPr>
        <w:t>obrazovanja za održivi razvoj</w:t>
      </w:r>
      <w:r w:rsidRPr="00F563CD">
        <w:rPr>
          <w:rFonts w:asciiTheme="minorHAnsi" w:eastAsia="Calibri" w:hAnsiTheme="minorHAnsi" w:cs="Calibri"/>
          <w:sz w:val="20"/>
          <w:szCs w:val="20"/>
          <w:lang w:val="fr-BE"/>
        </w:rPr>
        <w:t xml:space="preserve">, UNECE strategija obrazovanja i UN agenda 2030. Na ovoj osnovi je izrađen Okvirni program ključnih kompetencija. U pitanju je okvirni dokument koji je izrađen u okviru </w:t>
      </w:r>
      <w:r w:rsidRPr="00F563CD">
        <w:rPr>
          <w:rFonts w:asciiTheme="minorHAnsi" w:hAnsiTheme="minorHAnsi"/>
          <w:sz w:val="20"/>
          <w:szCs w:val="20"/>
          <w:lang w:val="fr-BE"/>
        </w:rPr>
        <w:t xml:space="preserve">Sektorskog operativnog </w:t>
      </w:r>
      <w:r w:rsidRPr="00F563CD">
        <w:rPr>
          <w:rStyle w:val="Emphasis"/>
          <w:rFonts w:asciiTheme="minorHAnsi" w:hAnsiTheme="minorHAnsi"/>
          <w:sz w:val="20"/>
          <w:szCs w:val="20"/>
          <w:lang w:val="fr-BE"/>
        </w:rPr>
        <w:t>programa</w:t>
      </w:r>
      <w:r w:rsidRPr="00F563CD">
        <w:rPr>
          <w:rFonts w:asciiTheme="minorHAnsi" w:hAnsiTheme="minorHAnsi"/>
          <w:sz w:val="20"/>
          <w:szCs w:val="20"/>
          <w:lang w:val="fr-BE"/>
        </w:rPr>
        <w:t xml:space="preserve"> za zapošljavanje, obrazovanje i socijalnu zaštitu</w:t>
      </w:r>
      <w:r w:rsidRPr="00F563CD">
        <w:rPr>
          <w:rFonts w:asciiTheme="minorHAnsi" w:eastAsia="Calibri" w:hAnsiTheme="minorHAnsi" w:cs="Calibri"/>
          <w:sz w:val="20"/>
          <w:szCs w:val="20"/>
          <w:lang w:val="fr-BE"/>
        </w:rPr>
        <w:t xml:space="preserve"> (SOPEES 2015-2017) u okviru ugovora o </w:t>
      </w:r>
      <w:proofErr w:type="gramStart"/>
      <w:r w:rsidRPr="00F563CD">
        <w:rPr>
          <w:rFonts w:asciiTheme="minorHAnsi" w:eastAsia="Calibri" w:hAnsiTheme="minorHAnsi" w:cs="Calibri"/>
          <w:sz w:val="20"/>
          <w:szCs w:val="20"/>
          <w:lang w:val="fr-BE"/>
        </w:rPr>
        <w:t xml:space="preserve">uslugama </w:t>
      </w:r>
      <w:r w:rsidRPr="00F563CD">
        <w:rPr>
          <w:rFonts w:asciiTheme="minorHAnsi" w:eastAsia="Calibri" w:hAnsiTheme="minorHAnsi" w:cs="Calibri"/>
          <w:i/>
          <w:sz w:val="20"/>
          <w:szCs w:val="20"/>
          <w:lang w:val="fr-BE"/>
        </w:rPr>
        <w:t>,,</w:t>
      </w:r>
      <w:proofErr w:type="gramEnd"/>
      <w:r w:rsidRPr="00F563CD">
        <w:rPr>
          <w:rStyle w:val="Emphasis"/>
          <w:rFonts w:asciiTheme="minorHAnsi" w:hAnsiTheme="minorHAnsi"/>
          <w:sz w:val="20"/>
          <w:szCs w:val="20"/>
          <w:lang w:val="fr-BE"/>
        </w:rPr>
        <w:t>Integracija ključnih kompetencija</w:t>
      </w:r>
      <w:r w:rsidRPr="00F563CD">
        <w:rPr>
          <w:rFonts w:asciiTheme="minorHAnsi" w:hAnsiTheme="minorHAnsi"/>
          <w:sz w:val="20"/>
          <w:szCs w:val="20"/>
          <w:lang w:val="fr-BE"/>
        </w:rPr>
        <w:t xml:space="preserve"> u obrazovni sistem Crne Gore’’. </w:t>
      </w:r>
      <w:r w:rsidRPr="00F563CD">
        <w:rPr>
          <w:rFonts w:asciiTheme="minorHAnsi" w:hAnsiTheme="minorHAnsi"/>
          <w:sz w:val="20"/>
          <w:szCs w:val="20"/>
        </w:rPr>
        <w:t xml:space="preserve">Projekat se </w:t>
      </w:r>
      <w:r w:rsidRPr="00F563CD">
        <w:rPr>
          <w:rFonts w:asciiTheme="minorHAnsi" w:hAnsiTheme="minorHAnsi"/>
          <w:sz w:val="20"/>
          <w:szCs w:val="20"/>
        </w:rPr>
        <w:lastRenderedPageBreak/>
        <w:t>realizuje u periodu od septembra 2019. godine do decembra 2021. godine. Ovaj okvirni obrazovni program postavlja osnovu za ponovno sagledavanje i planiranje obrazovanja, kroz sve aspekte ovog procesa, u dijelu koji se odnosi na kompetencije za cjeloživotno učenje, tretiranjem svih nivoa obrazovanja i domena (kao što su planiranje politika, uticaj na strateško planiranje u obrazovanju, revidiranje obrazovnih programa, nastavnih procesa i procesa učenja prema ishodima koji su okrenuti kompetencijama, inicijalni i kontinuirani razvoj nastavnika, osiguranje kvaliteta, procjena, itd), uzimajući u obzir horizontalne i interdisciplinarne vještine.</w:t>
      </w:r>
    </w:p>
    <w:p w14:paraId="2496D7E8"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Nacionalni okvir je izrađen u skladu sa Evropskim okvirom ključnih kompetencija za cjeloživotno učenje iz 2018</w:t>
      </w:r>
      <w:r w:rsidRPr="00F563CD">
        <w:rPr>
          <w:rFonts w:asciiTheme="minorHAnsi" w:eastAsia="Calibri" w:hAnsiTheme="minorHAnsi" w:cs="Calibri"/>
          <w:sz w:val="20"/>
          <w:szCs w:val="20"/>
          <w:vertAlign w:val="superscript"/>
        </w:rPr>
        <w:footnoteReference w:id="30"/>
      </w:r>
      <w:r w:rsidRPr="00F563CD">
        <w:rPr>
          <w:rFonts w:asciiTheme="minorHAnsi" w:eastAsia="Calibri" w:hAnsiTheme="minorHAnsi" w:cs="Calibri"/>
          <w:sz w:val="20"/>
          <w:szCs w:val="20"/>
        </w:rPr>
        <w:t>, na koji se velikim dijelom i oslanja.</w:t>
      </w:r>
    </w:p>
    <w:p w14:paraId="49E59468"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eastAsia="Calibri" w:hAnsiTheme="minorHAnsi" w:cs="Calibri"/>
          <w:b/>
          <w:bCs/>
          <w:sz w:val="20"/>
          <w:szCs w:val="20"/>
          <w:u w:val="single"/>
        </w:rPr>
        <w:t>Zapošljavanje</w:t>
      </w:r>
    </w:p>
    <w:p w14:paraId="077B2B4F"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Nacionalni strateški okvir u oblasti zapošljavanja, usklađen je sa glavnim ciljevima politike proširenja EU, kako je i predstavljeno u niže navedenim dokumentima. </w:t>
      </w:r>
    </w:p>
    <w:p w14:paraId="1B391ACB" w14:textId="77777777" w:rsidR="00047EF8" w:rsidRPr="00F563CD" w:rsidRDefault="00047EF8" w:rsidP="00047EF8">
      <w:pPr>
        <w:spacing w:line="240" w:lineRule="auto"/>
        <w:jc w:val="both"/>
        <w:rPr>
          <w:rFonts w:asciiTheme="minorHAnsi" w:eastAsia="Calibri" w:hAnsiTheme="minorHAnsi" w:cs="Calibri"/>
          <w:b/>
          <w:bCs/>
          <w:sz w:val="20"/>
          <w:szCs w:val="20"/>
        </w:rPr>
      </w:pPr>
      <w:r w:rsidRPr="00F563CD">
        <w:rPr>
          <w:rFonts w:asciiTheme="minorHAnsi" w:eastAsia="Calibri" w:hAnsiTheme="minorHAnsi" w:cs="Calibri"/>
          <w:b/>
          <w:bCs/>
          <w:sz w:val="20"/>
          <w:szCs w:val="20"/>
        </w:rPr>
        <w:t xml:space="preserve">Ekonomski i investicioni plan za Zapadni Balkan </w:t>
      </w:r>
      <w:r w:rsidRPr="00F563CD">
        <w:rPr>
          <w:rFonts w:asciiTheme="minorHAnsi" w:eastAsia="Calibri" w:hAnsiTheme="minorHAnsi" w:cs="Calibri"/>
          <w:bCs/>
          <w:sz w:val="20"/>
          <w:szCs w:val="20"/>
        </w:rPr>
        <w:t xml:space="preserve">ukazuje na slabu konkurentnost, visoku nezaposlenost i značajan odliv intelektualaca. U pogledu investicija u ljudski potencijal, EU ima za cilj da pruži podršku razvoju ljudskih resursa u oblasti obrazovanja i osposobljavanja, zapošljavanja i socijalne zaštite, i inkluzije. U dokumentu se navodi da postoji potreba za podsticanjem učešća na tržištu rada, naročito za mlade i žene, marginalizovane grupe i manjinsku populaciju, prije svega Rome. Za potrebe pružanja podrške zapošljavanju, otvaranja rješenja i prilika za mlade ljude na lokalnom nivou, Komisija predlaže vodeću inicijativu koja se odnosi na Garanciju za mlade. </w:t>
      </w:r>
    </w:p>
    <w:p w14:paraId="78C58DD9" w14:textId="77777777" w:rsidR="00047EF8" w:rsidRPr="00F563CD" w:rsidRDefault="00047EF8" w:rsidP="00047EF8">
      <w:pPr>
        <w:spacing w:line="240" w:lineRule="auto"/>
        <w:jc w:val="both"/>
        <w:rPr>
          <w:rFonts w:asciiTheme="minorHAnsi" w:eastAsia="Calibri" w:hAnsiTheme="minorHAnsi" w:cs="Calibri"/>
          <w:i/>
          <w:sz w:val="20"/>
          <w:szCs w:val="20"/>
        </w:rPr>
      </w:pPr>
      <w:r w:rsidRPr="00F563CD">
        <w:rPr>
          <w:rFonts w:asciiTheme="minorHAnsi" w:eastAsia="Calibri" w:hAnsiTheme="minorHAnsi" w:cs="Calibri"/>
          <w:b/>
          <w:bCs/>
          <w:sz w:val="20"/>
          <w:szCs w:val="20"/>
        </w:rPr>
        <w:t xml:space="preserve">Pregovarački okvir </w:t>
      </w:r>
      <w:r w:rsidRPr="00F563CD">
        <w:rPr>
          <w:rFonts w:asciiTheme="minorHAnsi" w:eastAsia="Calibri" w:hAnsiTheme="minorHAnsi" w:cs="Calibri"/>
          <w:bCs/>
          <w:sz w:val="20"/>
          <w:szCs w:val="20"/>
        </w:rPr>
        <w:t>u oblasti zapošljavanja</w:t>
      </w:r>
      <w:r w:rsidRPr="00F563CD">
        <w:rPr>
          <w:rFonts w:asciiTheme="minorHAnsi" w:eastAsia="Calibri" w:hAnsiTheme="minorHAnsi" w:cs="Calibri"/>
          <w:sz w:val="20"/>
          <w:szCs w:val="20"/>
        </w:rPr>
        <w:t xml:space="preserve"> razmatra se u okviru Poglavlja 19, koje se odnosi na socijalnu politiku i zapošljavanje, i Poglavlja 2, koje se odnosi na slobodu kretanja radnika. Pregovaračko poglavlje 19 otvoreno je 2016. godine, dok je Poglavlje 2 otvoreno 2017. godine. U ovom poglavlju postoje tri završna mjerila, koja se odnose na (1) izmjene i dopune Zakona o radu i </w:t>
      </w:r>
      <w:r w:rsidRPr="00F563CD">
        <w:rPr>
          <w:rFonts w:asciiTheme="minorHAnsi" w:hAnsiTheme="minorHAnsi"/>
          <w:bCs/>
          <w:sz w:val="20"/>
          <w:szCs w:val="20"/>
        </w:rPr>
        <w:t>Zakona o zaštiti i zdravlju na radu, dokaz da postoje adekvatne administrativne strukture i kapaciteti za pravilno sprovođenje pravne tekovine u oblasti rada i zaštite i zdravlja na radu, naročito kroz jačanje sistema inspekcije rada;</w:t>
      </w:r>
      <w:r w:rsidRPr="00F563CD">
        <w:rPr>
          <w:rFonts w:asciiTheme="minorHAnsi" w:eastAsia="Calibri" w:hAnsiTheme="minorHAnsi" w:cs="Calibri"/>
          <w:sz w:val="20"/>
          <w:szCs w:val="20"/>
        </w:rPr>
        <w:t xml:space="preserve"> (2) </w:t>
      </w:r>
      <w:r w:rsidRPr="00F563CD">
        <w:rPr>
          <w:rFonts w:asciiTheme="minorHAnsi" w:hAnsiTheme="minorHAnsi"/>
          <w:bCs/>
          <w:sz w:val="20"/>
          <w:szCs w:val="20"/>
        </w:rPr>
        <w:t>izmjene i dopune Zakona o zabrani diskriminacije i ravnopravnosti između žena i muškaraca u zapošljavanju i socijalnoj politici i odgovarajuće administrativne i implementacione kapacitete;</w:t>
      </w:r>
      <w:r w:rsidRPr="00F563CD">
        <w:rPr>
          <w:rFonts w:asciiTheme="minorHAnsi" w:eastAsia="Calibri" w:hAnsiTheme="minorHAnsi" w:cs="Calibri"/>
          <w:sz w:val="20"/>
          <w:szCs w:val="20"/>
        </w:rPr>
        <w:t xml:space="preserve"> (3) </w:t>
      </w:r>
      <w:r w:rsidRPr="00F563CD">
        <w:rPr>
          <w:rFonts w:asciiTheme="minorHAnsi" w:hAnsiTheme="minorHAnsi"/>
          <w:bCs/>
          <w:sz w:val="20"/>
          <w:szCs w:val="20"/>
        </w:rPr>
        <w:t>osnaživanje administrativnih kapaciteta u cilju obezbjeđivanja djelotvornog sprovođenja zakonodavstva i politike u oblastima zapošljavanja i socijalne politike.</w:t>
      </w:r>
    </w:p>
    <w:p w14:paraId="4DDFAF33" w14:textId="77777777" w:rsidR="00047EF8" w:rsidRPr="00F563CD" w:rsidRDefault="00047EF8" w:rsidP="00047EF8">
      <w:pPr>
        <w:pStyle w:val="Default"/>
        <w:jc w:val="both"/>
        <w:rPr>
          <w:rFonts w:asciiTheme="minorHAnsi" w:hAnsiTheme="minorHAnsi" w:cstheme="minorHAnsi"/>
          <w:sz w:val="22"/>
          <w:szCs w:val="22"/>
        </w:rPr>
      </w:pPr>
      <w:r w:rsidRPr="00F563CD">
        <w:rPr>
          <w:rFonts w:asciiTheme="minorHAnsi" w:hAnsiTheme="minorHAnsi" w:cstheme="minorHAnsi"/>
          <w:b/>
          <w:bCs/>
          <w:sz w:val="20"/>
          <w:szCs w:val="22"/>
        </w:rPr>
        <w:t xml:space="preserve">U Izvještaju EK za Crnu Goru za 2020. godinu </w:t>
      </w:r>
      <w:r w:rsidRPr="00F563CD">
        <w:rPr>
          <w:rFonts w:asciiTheme="minorHAnsi" w:hAnsiTheme="minorHAnsi" w:cstheme="minorHAnsi"/>
          <w:bCs/>
          <w:sz w:val="20"/>
          <w:szCs w:val="22"/>
        </w:rPr>
        <w:t>se navodi da je</w:t>
      </w:r>
      <w:r w:rsidRPr="00F563CD">
        <w:rPr>
          <w:rFonts w:asciiTheme="minorHAnsi" w:hAnsiTheme="minorHAnsi" w:cstheme="minorHAnsi"/>
          <w:b/>
          <w:bCs/>
          <w:sz w:val="20"/>
          <w:szCs w:val="22"/>
        </w:rPr>
        <w:t xml:space="preserve"> </w:t>
      </w:r>
      <w:r w:rsidRPr="00F563CD">
        <w:rPr>
          <w:rFonts w:asciiTheme="minorHAnsi" w:hAnsiTheme="minorHAnsi" w:cstheme="minorHAnsi"/>
          <w:sz w:val="20"/>
          <w:szCs w:val="22"/>
        </w:rPr>
        <w:t xml:space="preserve">Crna Gora ostvarila </w:t>
      </w:r>
      <w:r w:rsidRPr="00F563CD">
        <w:rPr>
          <w:rFonts w:asciiTheme="minorHAnsi" w:hAnsiTheme="minorHAnsi" w:cstheme="minorHAnsi"/>
          <w:b/>
          <w:bCs/>
          <w:sz w:val="20"/>
          <w:szCs w:val="22"/>
        </w:rPr>
        <w:t xml:space="preserve">određeni nivo spremnosti </w:t>
      </w:r>
      <w:r w:rsidRPr="00F563CD">
        <w:rPr>
          <w:rFonts w:asciiTheme="minorHAnsi" w:hAnsiTheme="minorHAnsi" w:cstheme="minorHAnsi"/>
          <w:sz w:val="20"/>
          <w:szCs w:val="22"/>
        </w:rPr>
        <w:t xml:space="preserve">u oblasti socijalne politike i zapošljavanja. I mada su uslovi funkcionisanja na tržištu rada unaprijeđeni, stopa nezaposlenosti i dalje je visoka, naročito među ženama, mladima, Romima i nekvalifikovanom radnom snagom. Mjere aktivne politike zapošljavanja i koordinacija između službi zapošljavanja i socijalnih službi bilježe ograničen napredak. Izazovi za predstojeću godinu uključuju implementaciju revidiranog Zakona o radu, revidiranje Zakona o zabrani </w:t>
      </w:r>
      <w:r w:rsidRPr="00F563CD">
        <w:rPr>
          <w:rFonts w:asciiTheme="minorHAnsi" w:hAnsiTheme="minorHAnsi" w:cstheme="minorHAnsi"/>
          <w:sz w:val="20"/>
          <w:szCs w:val="20"/>
        </w:rPr>
        <w:t>diskriminacije, uvođenje kvalitetnijih mjera zapošljavanja koje su namijenjene mladima, ženama, licima sa posebnim potrebama i manjinama; dodatne napore za suzbijanje sive ekonomije; unapređenje mjera koje imaju za cilj smanjenje neformalnosti,</w:t>
      </w:r>
      <w:r w:rsidRPr="00F563CD">
        <w:rPr>
          <w:rFonts w:asciiTheme="minorHAnsi" w:hAnsiTheme="minorHAnsi" w:cstheme="minorHAnsi"/>
          <w:sz w:val="22"/>
          <w:szCs w:val="22"/>
        </w:rPr>
        <w:t xml:space="preserve"> </w:t>
      </w:r>
      <w:r w:rsidRPr="00F563CD">
        <w:rPr>
          <w:rFonts w:asciiTheme="minorHAnsi" w:hAnsiTheme="minorHAnsi" w:cstheme="minorHAnsi"/>
          <w:sz w:val="20"/>
          <w:szCs w:val="20"/>
        </w:rPr>
        <w:t xml:space="preserve">ulaganje dodatnih napora u borbu protiv sive ekonomije, i aktivniji rad na problemima vezanim za zaštitu na radu. </w:t>
      </w:r>
    </w:p>
    <w:p w14:paraId="19510AA0" w14:textId="77777777" w:rsidR="00047EF8" w:rsidRPr="00F563CD" w:rsidRDefault="00047EF8" w:rsidP="00047EF8">
      <w:pPr>
        <w:pStyle w:val="Default"/>
        <w:jc w:val="both"/>
        <w:rPr>
          <w:rFonts w:asciiTheme="minorHAnsi" w:hAnsiTheme="minorHAnsi" w:cstheme="minorHAnsi"/>
          <w:sz w:val="22"/>
          <w:szCs w:val="22"/>
        </w:rPr>
      </w:pPr>
    </w:p>
    <w:p w14:paraId="55116075" w14:textId="77777777" w:rsidR="00047EF8" w:rsidRPr="00F563CD" w:rsidRDefault="00047EF8" w:rsidP="00047EF8">
      <w:pPr>
        <w:pStyle w:val="Default"/>
        <w:jc w:val="both"/>
        <w:rPr>
          <w:rFonts w:asciiTheme="minorHAnsi" w:hAnsiTheme="minorHAnsi" w:cstheme="minorHAnsi"/>
          <w:sz w:val="20"/>
          <w:szCs w:val="22"/>
        </w:rPr>
      </w:pPr>
      <w:r w:rsidRPr="00F563CD">
        <w:rPr>
          <w:rFonts w:asciiTheme="minorHAnsi" w:hAnsiTheme="minorHAnsi" w:cstheme="minorHAnsi"/>
          <w:sz w:val="20"/>
          <w:szCs w:val="22"/>
        </w:rPr>
        <w:t xml:space="preserve">Osim toga, Crna Gora treba da unaprijedi podršku socijalnoj zaštiti i njenu reformu, na osnovu politika baziranih na dokazima, uz snažnije veze sa aktiviranjem u zapošljavanju i socijalnom inkluzijom. </w:t>
      </w:r>
    </w:p>
    <w:p w14:paraId="16AE5B86" w14:textId="77777777" w:rsidR="00047EF8" w:rsidRPr="00F563CD" w:rsidRDefault="00047EF8" w:rsidP="00047EF8">
      <w:pPr>
        <w:pStyle w:val="Default"/>
        <w:jc w:val="both"/>
        <w:rPr>
          <w:rFonts w:asciiTheme="minorHAnsi" w:hAnsiTheme="minorHAnsi" w:cstheme="minorHAnsi"/>
          <w:sz w:val="22"/>
          <w:szCs w:val="22"/>
        </w:rPr>
      </w:pPr>
    </w:p>
    <w:p w14:paraId="39F9D030" w14:textId="77777777" w:rsidR="00047EF8" w:rsidRPr="00F563CD" w:rsidRDefault="00047EF8" w:rsidP="00047EF8">
      <w:pPr>
        <w:spacing w:line="240" w:lineRule="auto"/>
        <w:jc w:val="both"/>
        <w:rPr>
          <w:rFonts w:asciiTheme="minorHAnsi" w:hAnsiTheme="minorHAnsi"/>
          <w:sz w:val="20"/>
          <w:szCs w:val="20"/>
          <w:lang w:val="bs-Latn-BA"/>
        </w:rPr>
      </w:pPr>
      <w:r w:rsidRPr="00F563CD">
        <w:rPr>
          <w:rFonts w:asciiTheme="minorHAnsi" w:hAnsiTheme="minorHAnsi"/>
          <w:b/>
          <w:sz w:val="20"/>
          <w:szCs w:val="20"/>
          <w:lang w:val="bs-Latn-BA"/>
        </w:rPr>
        <w:t xml:space="preserve">Izvještaj EK za 2021. godinu </w:t>
      </w:r>
      <w:r w:rsidRPr="00F563CD">
        <w:rPr>
          <w:rFonts w:asciiTheme="minorHAnsi" w:hAnsiTheme="minorHAnsi"/>
          <w:sz w:val="20"/>
          <w:szCs w:val="20"/>
          <w:lang w:val="bs-Latn-BA"/>
        </w:rPr>
        <w:t>bilježi da Crna Gora treba da nastavi da sprovodi radno zakonodavstvo i izrađuje mjere kvalitetnog zapošljavanja koje su usmjerene ka mladima i ženama, osobama s invaliditetom, manjinama i ranjivim licima na koje utiče pandemija. Paralelno sa tim, treba da preduzme korake u cilju uspostavljanja i sprovođenja Garancije za mlade, izradom Plana sprovođenja garancije za mlade u skladu s modelom i smjernicama EU. Ostaje i preporuka da se uvedu mjere za rješavanje pitanja sive ekonomije, dok se dodatno preporučuje da na osnovu Mape puta za reformu socijalne zaštite, Crna Gora nastavi da sprovodi reformu sistema socijalne zaštite utemeljenu na dokazima, imajući u vidu veze s aktiviranjem zapošljavanja i socijalnu zaštitu, kao i da nastavi s koracima ka deinstitucionalizaciji.</w:t>
      </w:r>
    </w:p>
    <w:p w14:paraId="3FB4973B" w14:textId="77777777" w:rsidR="00047EF8" w:rsidRPr="00F563CD" w:rsidRDefault="00047EF8" w:rsidP="00047EF8">
      <w:pPr>
        <w:spacing w:line="240" w:lineRule="auto"/>
        <w:jc w:val="both"/>
        <w:rPr>
          <w:rFonts w:asciiTheme="minorHAnsi" w:eastAsia="Calibri" w:hAnsiTheme="minorHAnsi" w:cs="Calibri"/>
          <w:sz w:val="20"/>
          <w:szCs w:val="20"/>
          <w:lang w:val="bs-Latn-BA"/>
        </w:rPr>
      </w:pPr>
      <w:r w:rsidRPr="00F563CD">
        <w:rPr>
          <w:rFonts w:asciiTheme="minorHAnsi" w:eastAsia="Calibri" w:hAnsiTheme="minorHAnsi" w:cs="Calibri"/>
          <w:b/>
          <w:sz w:val="20"/>
          <w:szCs w:val="20"/>
          <w:lang w:val="bs-Latn-BA"/>
        </w:rPr>
        <w:t>Odbor za stabilizaciju i pridruživanje</w:t>
      </w:r>
      <w:r w:rsidRPr="00F563CD">
        <w:rPr>
          <w:rFonts w:asciiTheme="minorHAnsi" w:eastAsia="Calibri" w:hAnsiTheme="minorHAnsi" w:cs="Calibri"/>
          <w:sz w:val="20"/>
          <w:szCs w:val="20"/>
          <w:lang w:val="bs-Latn-BA"/>
        </w:rPr>
        <w:t xml:space="preserve"> (decembar 2020.godine) naglasio je značaj suzbijanja sive ekonomije i ukazao je na potrebu da se osnaži učešće žena i mladih na tržištu rada, kao i da se riješi pitanje nesrazmjernog odnosa visoke stope </w:t>
      </w:r>
      <w:r w:rsidRPr="00F563CD">
        <w:rPr>
          <w:rFonts w:asciiTheme="minorHAnsi" w:eastAsia="Calibri" w:hAnsiTheme="minorHAnsi" w:cs="Calibri"/>
          <w:sz w:val="20"/>
          <w:szCs w:val="20"/>
          <w:lang w:val="bs-Latn-BA"/>
        </w:rPr>
        <w:lastRenderedPageBreak/>
        <w:t>dugoročne nezaposlenosti na tržištu rada, uključujući i unapređenje aktivnih politika zapošljavanja u skladu s preporukama iz PER.</w:t>
      </w:r>
    </w:p>
    <w:p w14:paraId="0E1A8B74" w14:textId="77777777" w:rsidR="00047EF8" w:rsidRPr="00F563CD" w:rsidRDefault="00047EF8" w:rsidP="00047EF8">
      <w:pPr>
        <w:spacing w:line="240" w:lineRule="auto"/>
        <w:jc w:val="both"/>
        <w:rPr>
          <w:rFonts w:asciiTheme="minorHAnsi" w:eastAsia="Calibri" w:hAnsiTheme="minorHAnsi" w:cs="Calibri"/>
          <w:sz w:val="20"/>
          <w:szCs w:val="20"/>
          <w:lang w:val="bs-Latn-BA"/>
        </w:rPr>
      </w:pPr>
      <w:r w:rsidRPr="00F563CD">
        <w:rPr>
          <w:rFonts w:asciiTheme="minorHAnsi" w:eastAsia="Calibri" w:hAnsiTheme="minorHAnsi" w:cs="Calibri"/>
          <w:b/>
          <w:bCs/>
          <w:sz w:val="20"/>
          <w:szCs w:val="20"/>
          <w:lang w:val="bs-Latn-BA"/>
        </w:rPr>
        <w:t>Program ekonomskih reformi (PER) 2021 - 2023</w:t>
      </w:r>
      <w:r w:rsidRPr="00F563CD">
        <w:rPr>
          <w:rFonts w:asciiTheme="minorHAnsi" w:eastAsia="Calibri" w:hAnsiTheme="minorHAnsi" w:cs="Calibri"/>
          <w:sz w:val="20"/>
          <w:szCs w:val="20"/>
          <w:lang w:val="bs-Latn-BA"/>
        </w:rPr>
        <w:t xml:space="preserve"> identifikuje glavne izazove na tržištu rada kao što je nizak nivo inkluzije ranjivih grupa, naročito mladih i žena, dugoročna nezaposlenost i neformalna zaposlenost, nedovoljna usaglašenost između ponude i tražnje na tržištu rada, što je uslovilo situaciju u kojoj tržište rada apsorbuje značajan procenat inostrane radne snage uprkos relativno visokoj stopi nezaposlenosti. Program uključuje reformsku mjeru 16: povećano učešće na tržištu rada, naročito za osjetljive grupe nezaposlenih lica i reformsku mjeru 17: usvajanje Nacionalne strategija zapošljavanja 2021-2024, koja će uključiti procjenu rezultata važeće strategije, buduće smjernice EK u pogledu politike zapošljavanja, posebno u svrhu novoustanovljenog Evropskog stuba socijalnih prava i ciljeva održivog razvoja. </w:t>
      </w:r>
    </w:p>
    <w:p w14:paraId="2B648C87" w14:textId="77777777" w:rsidR="00047EF8" w:rsidRPr="00F563CD" w:rsidRDefault="00047EF8" w:rsidP="00047EF8">
      <w:pPr>
        <w:spacing w:line="240" w:lineRule="auto"/>
        <w:jc w:val="both"/>
        <w:rPr>
          <w:rFonts w:asciiTheme="minorHAnsi" w:eastAsia="Calibri" w:hAnsiTheme="minorHAnsi" w:cs="Calibri"/>
          <w:sz w:val="20"/>
          <w:szCs w:val="20"/>
          <w:lang w:val="bs-Latn-BA"/>
        </w:rPr>
      </w:pPr>
      <w:r w:rsidRPr="00F563CD">
        <w:rPr>
          <w:rFonts w:asciiTheme="minorHAnsi" w:eastAsia="Calibri" w:hAnsiTheme="minorHAnsi" w:cs="Calibri"/>
          <w:sz w:val="20"/>
          <w:szCs w:val="20"/>
          <w:lang w:val="bs-Latn-BA"/>
        </w:rPr>
        <w:t xml:space="preserve">Prvi nacrt strukturnih mjera u okviru </w:t>
      </w:r>
      <w:r w:rsidRPr="00F563CD">
        <w:rPr>
          <w:rFonts w:asciiTheme="minorHAnsi" w:eastAsia="Calibri" w:hAnsiTheme="minorHAnsi" w:cs="Calibri"/>
          <w:b/>
          <w:sz w:val="20"/>
          <w:szCs w:val="20"/>
          <w:lang w:val="bs-Latn-BA"/>
        </w:rPr>
        <w:t>Programa ekonomskih reformi</w:t>
      </w:r>
      <w:r w:rsidRPr="00F563CD">
        <w:rPr>
          <w:rFonts w:asciiTheme="minorHAnsi" w:eastAsia="Calibri" w:hAnsiTheme="minorHAnsi" w:cs="Calibri"/>
          <w:sz w:val="20"/>
          <w:szCs w:val="20"/>
          <w:lang w:val="bs-Latn-BA"/>
        </w:rPr>
        <w:t xml:space="preserve"> </w:t>
      </w:r>
      <w:r w:rsidRPr="00F563CD">
        <w:rPr>
          <w:rFonts w:asciiTheme="minorHAnsi" w:eastAsia="Calibri" w:hAnsiTheme="minorHAnsi" w:cs="Calibri"/>
          <w:b/>
          <w:sz w:val="20"/>
          <w:szCs w:val="20"/>
          <w:lang w:val="bs-Latn-BA"/>
        </w:rPr>
        <w:t xml:space="preserve">(2022-2024) </w:t>
      </w:r>
      <w:r w:rsidRPr="00F563CD">
        <w:rPr>
          <w:rFonts w:asciiTheme="minorHAnsi" w:eastAsia="Calibri" w:hAnsiTheme="minorHAnsi" w:cs="Calibri"/>
          <w:sz w:val="20"/>
          <w:szCs w:val="20"/>
          <w:lang w:val="bs-Latn-BA"/>
        </w:rPr>
        <w:t>pripremljen je</w:t>
      </w:r>
      <w:r w:rsidRPr="00F563CD">
        <w:rPr>
          <w:rFonts w:asciiTheme="minorHAnsi" w:eastAsia="Calibri" w:hAnsiTheme="minorHAnsi" w:cs="Calibri"/>
          <w:b/>
          <w:sz w:val="20"/>
          <w:szCs w:val="20"/>
          <w:lang w:val="bs-Latn-BA"/>
        </w:rPr>
        <w:t xml:space="preserve"> </w:t>
      </w:r>
      <w:r w:rsidRPr="00F563CD">
        <w:rPr>
          <w:rFonts w:asciiTheme="minorHAnsi" w:eastAsia="Calibri" w:hAnsiTheme="minorHAnsi" w:cs="Calibri"/>
          <w:sz w:val="20"/>
          <w:szCs w:val="20"/>
          <w:lang w:val="bs-Latn-BA"/>
        </w:rPr>
        <w:t>tokom 2021. godine. Predložene su tri reformske mjere za oblast koja se odnosi na z</w:t>
      </w:r>
      <w:r w:rsidR="0072283E" w:rsidRPr="00F563CD">
        <w:rPr>
          <w:rFonts w:asciiTheme="minorHAnsi" w:eastAsia="Calibri" w:hAnsiTheme="minorHAnsi" w:cs="Calibri"/>
          <w:sz w:val="20"/>
          <w:szCs w:val="20"/>
          <w:lang w:val="bs-Latn-BA"/>
        </w:rPr>
        <w:t>apošljavanje i tržište rada, međ</w:t>
      </w:r>
      <w:r w:rsidRPr="00F563CD">
        <w:rPr>
          <w:rFonts w:asciiTheme="minorHAnsi" w:eastAsia="Calibri" w:hAnsiTheme="minorHAnsi" w:cs="Calibri"/>
          <w:sz w:val="20"/>
          <w:szCs w:val="20"/>
          <w:lang w:val="bs-Latn-BA"/>
        </w:rPr>
        <w:t xml:space="preserve">u kojima je i program Garancija za mlade u crnoj Gori, što predstavlja direktan odgovor Crne Gore na zaključke sa ministarskog sastanka. </w:t>
      </w:r>
    </w:p>
    <w:p w14:paraId="4B6FD109" w14:textId="77777777" w:rsidR="00047EF8" w:rsidRPr="00F563CD" w:rsidRDefault="00047EF8" w:rsidP="00047EF8">
      <w:pPr>
        <w:spacing w:line="240" w:lineRule="auto"/>
        <w:jc w:val="both"/>
        <w:rPr>
          <w:rFonts w:asciiTheme="minorHAnsi" w:eastAsia="Calibri" w:hAnsiTheme="minorHAnsi" w:cs="Calibri"/>
          <w:sz w:val="20"/>
          <w:szCs w:val="20"/>
          <w:lang w:val="bs-Latn-BA"/>
        </w:rPr>
      </w:pPr>
      <w:r w:rsidRPr="00F563CD">
        <w:rPr>
          <w:rFonts w:asciiTheme="minorHAnsi" w:eastAsia="Calibri" w:hAnsiTheme="minorHAnsi" w:cs="Calibri"/>
          <w:sz w:val="20"/>
          <w:szCs w:val="20"/>
          <w:lang w:val="bs-Latn-BA"/>
        </w:rPr>
        <w:t xml:space="preserve">U </w:t>
      </w:r>
      <w:r w:rsidRPr="00F563CD">
        <w:rPr>
          <w:rFonts w:asciiTheme="minorHAnsi" w:eastAsia="Calibri" w:hAnsiTheme="minorHAnsi" w:cs="Calibri"/>
          <w:b/>
          <w:sz w:val="20"/>
          <w:szCs w:val="20"/>
          <w:lang w:val="bs-Latn-BA"/>
        </w:rPr>
        <w:t>Zajedničkim zaključcima o Crnoj Gori sa</w:t>
      </w:r>
      <w:r w:rsidRPr="00F563CD">
        <w:rPr>
          <w:rFonts w:asciiTheme="minorHAnsi" w:eastAsia="Calibri" w:hAnsiTheme="minorHAnsi" w:cs="Calibri"/>
          <w:b/>
          <w:bCs/>
          <w:sz w:val="20"/>
          <w:szCs w:val="20"/>
          <w:lang w:val="bs-Latn-BA"/>
        </w:rPr>
        <w:t xml:space="preserve"> ekonomskog i finansijskog dijaloga između EU i Zapadnog Balkana i Turske</w:t>
      </w:r>
      <w:r w:rsidRPr="00F563CD">
        <w:rPr>
          <w:rFonts w:asciiTheme="minorHAnsi" w:eastAsia="Calibri" w:hAnsiTheme="minorHAnsi" w:cs="Calibri"/>
          <w:sz w:val="20"/>
          <w:szCs w:val="20"/>
          <w:lang w:val="bs-Latn-BA"/>
        </w:rPr>
        <w:t xml:space="preserve"> od 19. maja 2020. godine navodi se da se u pogledu određenih strukturnih reformi, glavni izazovi uzrokovani virusom COVID-19 odnose na sektor javnog zdravlja, održavanje zaposlenosti i unapređenje socijalne zaštite, unapređenje poslovnog okruženja i pružanje podrške privatnom sektoru. Crna Gora je, između ostalog, pozvana da preduzme mjere u cilju očuvanja zaposlenosti, primjenom kratkoročnih poslovnih šema i fleksibilnih radnih angažmana, ali i kroz veću primjenu aktivnih politika tržišta rada, kako bi se olakšao proces prelaska na tržište rada i kako bi se pružila podrška zaposlenim licima koji su u riziku da izgube posao. </w:t>
      </w:r>
    </w:p>
    <w:p w14:paraId="1BB336BD" w14:textId="77777777" w:rsidR="00047EF8" w:rsidRPr="00F563CD" w:rsidRDefault="00047EF8" w:rsidP="00047EF8">
      <w:pPr>
        <w:spacing w:after="0" w:line="240" w:lineRule="auto"/>
        <w:jc w:val="both"/>
        <w:rPr>
          <w:rFonts w:asciiTheme="minorHAnsi" w:eastAsia="Calibri" w:hAnsiTheme="minorHAnsi" w:cs="Calibri"/>
          <w:bCs/>
          <w:sz w:val="20"/>
          <w:szCs w:val="20"/>
          <w:lang w:val="bs-Latn-BA"/>
        </w:rPr>
      </w:pPr>
      <w:r w:rsidRPr="00F563CD">
        <w:rPr>
          <w:rFonts w:asciiTheme="minorHAnsi" w:eastAsia="Calibri" w:hAnsiTheme="minorHAnsi" w:cs="Calibri"/>
          <w:b/>
          <w:bCs/>
          <w:sz w:val="20"/>
          <w:szCs w:val="20"/>
          <w:lang w:val="bs-Latn-BA"/>
        </w:rPr>
        <w:t xml:space="preserve">Evropski stub socijalnih prava </w:t>
      </w:r>
      <w:r w:rsidRPr="00F563CD">
        <w:rPr>
          <w:rFonts w:asciiTheme="minorHAnsi" w:eastAsia="Calibri" w:hAnsiTheme="minorHAnsi" w:cs="Calibri"/>
          <w:bCs/>
          <w:sz w:val="20"/>
          <w:szCs w:val="20"/>
          <w:lang w:val="bs-Latn-BA"/>
        </w:rPr>
        <w:t xml:space="preserve">predstavlja inicijativu koju je pokrenula Evropska komisija, i koja definiše 20 ključnih principa i prava koji su od suštinskog značaja za pravedna i funkcionalna tržišta rada i sisteme zaštite u 21. vijeku. Akcionim planom za </w:t>
      </w:r>
      <w:r w:rsidRPr="00F563CD">
        <w:rPr>
          <w:rFonts w:asciiTheme="minorHAnsi" w:eastAsia="Calibri" w:hAnsiTheme="minorHAnsi" w:cs="Calibri"/>
          <w:b/>
          <w:bCs/>
          <w:sz w:val="20"/>
          <w:szCs w:val="20"/>
          <w:lang w:val="bs-Latn-BA"/>
        </w:rPr>
        <w:t>Evropski stub socijalnih prava</w:t>
      </w:r>
      <w:r w:rsidRPr="00F563CD">
        <w:rPr>
          <w:rFonts w:asciiTheme="minorHAnsi" w:eastAsia="Calibri" w:hAnsiTheme="minorHAnsi" w:cs="Calibri"/>
          <w:bCs/>
          <w:sz w:val="20"/>
          <w:szCs w:val="20"/>
          <w:lang w:val="bs-Latn-BA"/>
        </w:rPr>
        <w:t>, koji je predstavljen u martu 2021. godine,</w:t>
      </w:r>
      <w:r w:rsidRPr="00F563CD">
        <w:rPr>
          <w:rFonts w:asciiTheme="minorHAnsi" w:eastAsia="Calibri" w:hAnsiTheme="minorHAnsi" w:cs="Calibri"/>
          <w:b/>
          <w:bCs/>
          <w:sz w:val="20"/>
          <w:szCs w:val="20"/>
          <w:lang w:val="bs-Latn-BA"/>
        </w:rPr>
        <w:t xml:space="preserve"> </w:t>
      </w:r>
      <w:r w:rsidRPr="00F563CD">
        <w:rPr>
          <w:rFonts w:asciiTheme="minorHAnsi" w:eastAsia="Calibri" w:hAnsiTheme="minorHAnsi" w:cs="Calibri"/>
          <w:bCs/>
          <w:sz w:val="20"/>
          <w:szCs w:val="20"/>
          <w:lang w:val="bs-Latn-BA"/>
        </w:rPr>
        <w:t>EK je</w:t>
      </w:r>
      <w:r w:rsidRPr="00F563CD">
        <w:rPr>
          <w:rFonts w:asciiTheme="minorHAnsi" w:eastAsia="Calibri" w:hAnsiTheme="minorHAnsi" w:cs="Calibri"/>
          <w:b/>
          <w:bCs/>
          <w:sz w:val="20"/>
          <w:szCs w:val="20"/>
          <w:lang w:val="bs-Latn-BA"/>
        </w:rPr>
        <w:t xml:space="preserve"> </w:t>
      </w:r>
      <w:r w:rsidRPr="00F563CD">
        <w:rPr>
          <w:rFonts w:asciiTheme="minorHAnsi" w:eastAsia="Calibri" w:hAnsiTheme="minorHAnsi" w:cs="Calibri"/>
          <w:bCs/>
          <w:sz w:val="20"/>
          <w:szCs w:val="20"/>
          <w:lang w:val="bs-Latn-BA"/>
        </w:rPr>
        <w:t xml:space="preserve">definisala konkretne inicijative kojima se Evropski stub socijalnih prava može pretočiti u realnost. </w:t>
      </w:r>
    </w:p>
    <w:p w14:paraId="4547BCCA" w14:textId="77777777" w:rsidR="00047EF8" w:rsidRPr="00F563CD" w:rsidRDefault="00047EF8" w:rsidP="00047EF8">
      <w:pPr>
        <w:spacing w:after="0" w:line="240" w:lineRule="auto"/>
        <w:jc w:val="both"/>
        <w:rPr>
          <w:rFonts w:asciiTheme="minorHAnsi" w:eastAsia="Calibri" w:hAnsiTheme="minorHAnsi" w:cs="Calibri"/>
          <w:sz w:val="20"/>
          <w:szCs w:val="20"/>
          <w:lang w:val="bs-Latn-BA"/>
        </w:rPr>
      </w:pPr>
      <w:r w:rsidRPr="00F563CD">
        <w:rPr>
          <w:rFonts w:asciiTheme="minorHAnsi" w:eastAsia="Calibri" w:hAnsiTheme="minorHAnsi" w:cs="Calibri"/>
          <w:sz w:val="20"/>
          <w:szCs w:val="20"/>
          <w:lang w:val="bs-Latn-BA"/>
        </w:rPr>
        <w:t>Predlog obuhvata 3 glavna EU cilja koje treba ostvariti do 2030. godine u oblasti zapošljavanja, vještina i socijalne zaštite:</w:t>
      </w:r>
    </w:p>
    <w:p w14:paraId="6C2259D6" w14:textId="77777777" w:rsidR="00047EF8" w:rsidRPr="00F563CD" w:rsidRDefault="00047EF8" w:rsidP="00047EF8">
      <w:p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Najmanje 78% stanovništva uzrasta između 20 i 64 godine treba da bude zaposleno do 2030;</w:t>
      </w:r>
    </w:p>
    <w:p w14:paraId="7CDD5961" w14:textId="77777777" w:rsidR="00047EF8" w:rsidRPr="00F563CD" w:rsidRDefault="00047EF8" w:rsidP="00047EF8">
      <w:p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Najmanje 60% ukupnog odraslog stanovništva treba da učestvuje u programima obuke svake godine;</w:t>
      </w:r>
    </w:p>
    <w:p w14:paraId="52BADB25" w14:textId="77777777" w:rsidR="00047EF8" w:rsidRPr="00F563CD" w:rsidRDefault="00047EF8" w:rsidP="00047EF8">
      <w:pPr>
        <w:spacing w:after="0"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Broj ljudi koji su u riziku od siromaštva ili društvene isključenosti treba da bude umanjen za najmanje 15 miliona do 2030.</w:t>
      </w:r>
    </w:p>
    <w:p w14:paraId="6575EC7C" w14:textId="77777777" w:rsidR="00047EF8" w:rsidRPr="00F563CD" w:rsidRDefault="00047EF8" w:rsidP="00047EF8">
      <w:pPr>
        <w:spacing w:after="0" w:line="240" w:lineRule="auto"/>
        <w:jc w:val="both"/>
        <w:rPr>
          <w:rFonts w:asciiTheme="minorHAnsi" w:eastAsia="Calibri" w:hAnsiTheme="minorHAnsi" w:cs="Calibri"/>
          <w:sz w:val="20"/>
          <w:szCs w:val="20"/>
          <w:highlight w:val="yellow"/>
        </w:rPr>
      </w:pPr>
    </w:p>
    <w:p w14:paraId="77FE4D46"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bCs/>
          <w:sz w:val="20"/>
          <w:szCs w:val="20"/>
        </w:rPr>
        <w:t>Preporuke Komisije o djelotvornoj aktivnoj podršci zapošljavanju</w:t>
      </w:r>
      <w:r w:rsidRPr="00F563CD">
        <w:rPr>
          <w:rFonts w:asciiTheme="minorHAnsi" w:eastAsia="Calibri" w:hAnsiTheme="minorHAnsi" w:cs="Calibri"/>
          <w:sz w:val="20"/>
          <w:szCs w:val="20"/>
          <w:vertAlign w:val="superscript"/>
        </w:rPr>
        <w:footnoteReference w:id="31"/>
      </w:r>
      <w:r w:rsidRPr="00F563CD">
        <w:rPr>
          <w:rFonts w:asciiTheme="minorHAnsi" w:eastAsia="Calibri" w:hAnsiTheme="minorHAnsi" w:cs="Calibri"/>
          <w:sz w:val="20"/>
          <w:szCs w:val="20"/>
        </w:rPr>
        <w:t xml:space="preserve"> odnose se na izradu koherentnih paketa politika za podršku prelasku na tržište rada, kombinovanje privremenih i trajnih mjera, kako bi se odgovorilo na izazove tržišta rada koji su izazvani pandemijom i kako bi se uspješno sprovela zelena i digitalna tranzicija. Paketi politika će uključiti (1) podsticaje za zapošljavanje i tranziciju i podršku preduzetništvu, (2) mogućnosti za dokvalifikaciju i prekvalifikaciju, i mjere podrške, (3) dodatnu podršku koju pružaju službe zapošljavanja pri promjeni posla. Države u procesu proširenja će na svom putu ka EU nastaviti da ispunjavaju socijalne standarde i politike EU kroz proces koji je predviđen Programom ekonomskih reformi.</w:t>
      </w:r>
    </w:p>
    <w:p w14:paraId="71E77CC6" w14:textId="77777777" w:rsidR="00047EF8" w:rsidRPr="00F563CD" w:rsidRDefault="00047EF8" w:rsidP="00047EF8">
      <w:pPr>
        <w:spacing w:line="240" w:lineRule="auto"/>
        <w:jc w:val="both"/>
        <w:rPr>
          <w:rFonts w:asciiTheme="minorHAnsi" w:eastAsia="Calibri" w:hAnsiTheme="minorHAnsi" w:cs="Calibri"/>
          <w:b/>
          <w:bCs/>
          <w:iCs/>
          <w:sz w:val="20"/>
          <w:szCs w:val="20"/>
          <w:u w:val="single"/>
        </w:rPr>
      </w:pPr>
      <w:r w:rsidRPr="00F563CD">
        <w:rPr>
          <w:rFonts w:asciiTheme="minorHAnsi" w:eastAsia="Calibri" w:hAnsiTheme="minorHAnsi" w:cs="Calibri"/>
          <w:b/>
          <w:bCs/>
          <w:iCs/>
          <w:sz w:val="20"/>
          <w:szCs w:val="20"/>
          <w:u w:val="single"/>
        </w:rPr>
        <w:t>Socijalne politike</w:t>
      </w:r>
    </w:p>
    <w:p w14:paraId="58AAABFE"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Strateški okvir za socijalne politike je u velikoj mjeri usklađen je sa razvojem događaja u EU u oblasti socijalne zaštite i relevantan je za kontekst pristupanja EU i pregovore u poglavljima, 2, 19 i 23. U </w:t>
      </w:r>
      <w:r w:rsidRPr="00F563CD">
        <w:rPr>
          <w:rFonts w:asciiTheme="minorHAnsi" w:eastAsia="Calibri" w:hAnsiTheme="minorHAnsi" w:cs="Calibri"/>
          <w:b/>
          <w:sz w:val="20"/>
          <w:szCs w:val="20"/>
        </w:rPr>
        <w:t>Izvještaju EK za Crnu Goru u 2019</w:t>
      </w:r>
      <w:r w:rsidRPr="00F563CD">
        <w:rPr>
          <w:rFonts w:asciiTheme="minorHAnsi" w:eastAsia="Calibri" w:hAnsiTheme="minorHAnsi" w:cs="Calibri"/>
          <w:sz w:val="20"/>
          <w:szCs w:val="20"/>
        </w:rPr>
        <w:t xml:space="preserve">. godini navodi se </w:t>
      </w:r>
      <w:proofErr w:type="gramStart"/>
      <w:r w:rsidRPr="00F563CD">
        <w:rPr>
          <w:rFonts w:asciiTheme="minorHAnsi" w:eastAsia="Calibri" w:hAnsiTheme="minorHAnsi" w:cs="Calibri"/>
          <w:sz w:val="20"/>
          <w:szCs w:val="20"/>
        </w:rPr>
        <w:t>da ,,Crna</w:t>
      </w:r>
      <w:proofErr w:type="gramEnd"/>
      <w:r w:rsidRPr="00F563CD">
        <w:rPr>
          <w:rFonts w:asciiTheme="minorHAnsi" w:eastAsia="Calibri" w:hAnsiTheme="minorHAnsi" w:cs="Calibri"/>
          <w:sz w:val="20"/>
          <w:szCs w:val="20"/>
        </w:rPr>
        <w:t xml:space="preserve"> Gora ima određeni nivo spremnosti u oblasti socijalne politike i zapošljavanja’’, da ,,proces usklađivanja sa pravnom tekovinom EU još uvijek traje’’, i još se dodaje ,,da su zahtjevi koji se odnose na izradu inkluzivne politike utemeljene na dokazima i pripremu zakonodavstva tek djelimično ispunjeni.’’ Osim toga, u Izvještaju za 2019. godinu navodi se da </w:t>
      </w:r>
      <w:proofErr w:type="gramStart"/>
      <w:r w:rsidRPr="00F563CD">
        <w:rPr>
          <w:rFonts w:asciiTheme="minorHAnsi" w:eastAsia="Calibri" w:hAnsiTheme="minorHAnsi" w:cs="Calibri"/>
          <w:sz w:val="20"/>
          <w:szCs w:val="20"/>
        </w:rPr>
        <w:t>će ,,prikupljanje</w:t>
      </w:r>
      <w:proofErr w:type="gramEnd"/>
      <w:r w:rsidRPr="00F563CD">
        <w:rPr>
          <w:rFonts w:asciiTheme="minorHAnsi" w:eastAsia="Calibri" w:hAnsiTheme="minorHAnsi" w:cs="Calibri"/>
          <w:sz w:val="20"/>
          <w:szCs w:val="20"/>
        </w:rPr>
        <w:t xml:space="preserve"> administrativnih podataka i njihova sistemska upotreba za potrebe kreiranja politika i izrade zakona, unaprijediti ukupnu administraciju’’. U Izvještaju iz 2019. se još navodi i </w:t>
      </w:r>
      <w:proofErr w:type="gramStart"/>
      <w:r w:rsidRPr="00F563CD">
        <w:rPr>
          <w:rFonts w:asciiTheme="minorHAnsi" w:eastAsia="Calibri" w:hAnsiTheme="minorHAnsi" w:cs="Calibri"/>
          <w:sz w:val="20"/>
          <w:szCs w:val="20"/>
        </w:rPr>
        <w:t>da ,,usluge</w:t>
      </w:r>
      <w:proofErr w:type="gramEnd"/>
      <w:r w:rsidRPr="00F563CD">
        <w:rPr>
          <w:rFonts w:asciiTheme="minorHAnsi" w:eastAsia="Calibri" w:hAnsiTheme="minorHAnsi" w:cs="Calibri"/>
          <w:sz w:val="20"/>
          <w:szCs w:val="20"/>
        </w:rPr>
        <w:t xml:space="preserve"> alternativne njege treba da budu osnažene i razrađene kako bi se na taj način dovšila reforma deinstitucionalizacije.’’</w:t>
      </w:r>
    </w:p>
    <w:p w14:paraId="2695170D" w14:textId="77777777" w:rsidR="00047EF8" w:rsidRPr="00F563CD" w:rsidRDefault="00047EF8" w:rsidP="00047EF8">
      <w:pPr>
        <w:spacing w:line="240" w:lineRule="auto"/>
        <w:jc w:val="both"/>
        <w:rPr>
          <w:rFonts w:asciiTheme="minorHAnsi" w:eastAsia="Calibri" w:hAnsiTheme="minorHAnsi" w:cs="Calibri"/>
          <w:b/>
          <w:bCs/>
          <w:sz w:val="20"/>
          <w:szCs w:val="20"/>
        </w:rPr>
      </w:pPr>
      <w:r w:rsidRPr="00F563CD">
        <w:rPr>
          <w:rFonts w:asciiTheme="minorHAnsi" w:eastAsia="Calibri" w:hAnsiTheme="minorHAnsi" w:cs="Calibri"/>
          <w:b/>
          <w:bCs/>
          <w:sz w:val="20"/>
          <w:szCs w:val="20"/>
        </w:rPr>
        <w:t xml:space="preserve">U Izvještaju o napretku za 2020. godinu </w:t>
      </w:r>
      <w:r w:rsidRPr="00F563CD">
        <w:rPr>
          <w:rFonts w:asciiTheme="minorHAnsi" w:eastAsia="Calibri" w:hAnsiTheme="minorHAnsi" w:cs="Calibri"/>
          <w:bCs/>
          <w:sz w:val="20"/>
          <w:szCs w:val="20"/>
        </w:rPr>
        <w:t xml:space="preserve">navodi se </w:t>
      </w:r>
      <w:r w:rsidRPr="00F563CD">
        <w:rPr>
          <w:rFonts w:asciiTheme="minorHAnsi" w:hAnsiTheme="minorHAnsi"/>
          <w:sz w:val="20"/>
          <w:szCs w:val="20"/>
        </w:rPr>
        <w:t xml:space="preserve">da treba ojačati kapacitete centara za socijalni rad da bi se podržao prelaz iz institucionalnog pružanja usluga ka brizi u zajednici za djecu sa smetnjama u razvoju, osobe sa invaliditetom i starije. Što se tiče </w:t>
      </w:r>
      <w:r w:rsidRPr="00F563CD">
        <w:rPr>
          <w:rFonts w:asciiTheme="minorHAnsi" w:hAnsiTheme="minorHAnsi"/>
          <w:b/>
          <w:bCs/>
          <w:sz w:val="20"/>
          <w:szCs w:val="20"/>
        </w:rPr>
        <w:t xml:space="preserve">deinstitucionalizacije </w:t>
      </w:r>
      <w:r w:rsidRPr="00F563CD">
        <w:rPr>
          <w:rFonts w:asciiTheme="minorHAnsi" w:hAnsiTheme="minorHAnsi"/>
          <w:sz w:val="20"/>
          <w:szCs w:val="20"/>
        </w:rPr>
        <w:t xml:space="preserve">djece u sistemu staranja, nije postignuto dovoljno da bi se obezbijedilo da Crna Gora uspješno nastavi uspostavljanje usluga u zajednici i porodici. Potrebno je uložiti dodatne napore kako bi se uspostavio sistem održivih </w:t>
      </w:r>
      <w:r w:rsidRPr="00F563CD">
        <w:rPr>
          <w:rFonts w:asciiTheme="minorHAnsi" w:hAnsiTheme="minorHAnsi"/>
          <w:sz w:val="20"/>
          <w:szCs w:val="20"/>
        </w:rPr>
        <w:lastRenderedPageBreak/>
        <w:t>i efikasnih usluga koji će biti dostupan romskoj i egipćanskoj zajednici, i u vezi sa tim je potrebno unaprijediti sistem monitoringa i izvještavanja.</w:t>
      </w:r>
    </w:p>
    <w:p w14:paraId="40A21727"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eastAsia="Calibri" w:hAnsiTheme="minorHAnsi" w:cs="Calibri"/>
          <w:b/>
          <w:bCs/>
          <w:sz w:val="20"/>
          <w:szCs w:val="20"/>
        </w:rPr>
        <w:t xml:space="preserve">U Izvještaju o napretku za Crnu Goru za 2021. godinu </w:t>
      </w:r>
      <w:r w:rsidRPr="00F563CD">
        <w:rPr>
          <w:rFonts w:asciiTheme="minorHAnsi" w:hAnsiTheme="minorHAnsi"/>
          <w:sz w:val="20"/>
          <w:szCs w:val="20"/>
        </w:rPr>
        <w:t xml:space="preserve">navodi se da je Crna Gora dostigla </w:t>
      </w:r>
      <w:r w:rsidRPr="00F563CD">
        <w:rPr>
          <w:rFonts w:asciiTheme="minorHAnsi" w:hAnsiTheme="minorHAnsi"/>
          <w:b/>
          <w:bCs/>
          <w:sz w:val="20"/>
          <w:szCs w:val="20"/>
        </w:rPr>
        <w:t xml:space="preserve">određeni nivo spremnosti </w:t>
      </w:r>
      <w:r w:rsidRPr="00F563CD">
        <w:rPr>
          <w:rFonts w:asciiTheme="minorHAnsi" w:hAnsiTheme="minorHAnsi"/>
          <w:sz w:val="20"/>
          <w:szCs w:val="20"/>
        </w:rPr>
        <w:t xml:space="preserve">u oblasti socijalne politike i zapošljavanja. Međutim, naglasak na jačanju usluga u porodici i usluga u zajednici je ograničen. Centri za socijalni rad, koji treba da su proaktivniji u borbi protiv krize, i dalje nemaju dovoljan broj zaposlenih. Potrebno je unaprijediti mehanizme za praćenje i izvještavanje, tako da nisu stvoreni uslovi za izradu politike utemeljene na dokazima. Nadalje, centrima za socijalni rad trebaju ojačani kapaciteti kako bi mogli da pomognu u prelazu sa pružanja usluga u ustanovama na brigu u zajednici. Zavodu za socijalnu i dječiju zaštitu, koji trenutno zapošljava 20 službenika, i dalje trebaju resursi, dok se usluge koje se pružaju na lokalnom nivou smatraju neadekvatnim jer opštinama nedostaju finansijska sredstva. Što se tiče </w:t>
      </w:r>
      <w:r w:rsidRPr="00F563CD">
        <w:rPr>
          <w:rFonts w:asciiTheme="minorHAnsi" w:hAnsiTheme="minorHAnsi"/>
          <w:b/>
          <w:bCs/>
          <w:sz w:val="20"/>
          <w:szCs w:val="20"/>
        </w:rPr>
        <w:t xml:space="preserve">deinstitucionalizacije </w:t>
      </w:r>
      <w:r w:rsidRPr="00F563CD">
        <w:rPr>
          <w:rFonts w:asciiTheme="minorHAnsi" w:hAnsiTheme="minorHAnsi"/>
          <w:sz w:val="20"/>
          <w:szCs w:val="20"/>
        </w:rPr>
        <w:t xml:space="preserve">djece u sistemu staranja, ostvaren je nedovoljan napredak u nastavku prelaza na usluge u zajednici i porodici. Iako je država uvela sistem „porodičnog </w:t>
      </w:r>
      <w:proofErr w:type="gramStart"/>
      <w:r w:rsidRPr="00F563CD">
        <w:rPr>
          <w:rFonts w:asciiTheme="minorHAnsi" w:hAnsiTheme="minorHAnsi"/>
          <w:sz w:val="20"/>
          <w:szCs w:val="20"/>
        </w:rPr>
        <w:t>saradnika“</w:t>
      </w:r>
      <w:proofErr w:type="gramEnd"/>
      <w:r w:rsidRPr="00F563CD">
        <w:rPr>
          <w:rFonts w:asciiTheme="minorHAnsi" w:hAnsiTheme="minorHAnsi"/>
          <w:sz w:val="20"/>
          <w:szCs w:val="20"/>
        </w:rPr>
        <w:t>, još uvijek nije uvela profesionalno starateljstvo. Savjet za brigu o osobama s invaliditetom ponovo je osnovan u junu 2020. godine, ali članovi tek treba da budu imenovani.</w:t>
      </w:r>
    </w:p>
    <w:p w14:paraId="255F0D4F"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bCs/>
          <w:sz w:val="20"/>
          <w:szCs w:val="20"/>
        </w:rPr>
        <w:t xml:space="preserve">Akcioni plan za Poglavlje 19 </w:t>
      </w:r>
      <w:r w:rsidRPr="00F563CD">
        <w:rPr>
          <w:rFonts w:asciiTheme="minorHAnsi" w:eastAsia="Calibri" w:hAnsiTheme="minorHAnsi" w:cs="Calibri"/>
          <w:bCs/>
          <w:sz w:val="20"/>
          <w:szCs w:val="20"/>
        </w:rPr>
        <w:t xml:space="preserve">ima za </w:t>
      </w:r>
      <w:proofErr w:type="gramStart"/>
      <w:r w:rsidRPr="00F563CD">
        <w:rPr>
          <w:rFonts w:asciiTheme="minorHAnsi" w:eastAsia="Calibri" w:hAnsiTheme="minorHAnsi" w:cs="Calibri"/>
          <w:bCs/>
          <w:sz w:val="20"/>
          <w:szCs w:val="20"/>
        </w:rPr>
        <w:t xml:space="preserve">cilj </w:t>
      </w:r>
      <w:r w:rsidRPr="00F563CD">
        <w:rPr>
          <w:rFonts w:asciiTheme="minorHAnsi" w:eastAsia="Calibri" w:hAnsiTheme="minorHAnsi" w:cs="Calibri"/>
          <w:sz w:val="20"/>
          <w:szCs w:val="20"/>
        </w:rPr>
        <w:t>,,unapređenje</w:t>
      </w:r>
      <w:proofErr w:type="gramEnd"/>
      <w:r w:rsidRPr="00F563CD">
        <w:rPr>
          <w:rFonts w:asciiTheme="minorHAnsi" w:eastAsia="Calibri" w:hAnsiTheme="minorHAnsi" w:cs="Calibri"/>
          <w:sz w:val="20"/>
          <w:szCs w:val="20"/>
        </w:rPr>
        <w:t xml:space="preserve"> kvaliteta života i stvaranje uslova za nezavisni i produktivan život za pojedince i porodice’’ kroz proces pružanja ,,usluga koje korisnike ohrabruju da ostanu u porodičnom okruženju.’’</w:t>
      </w:r>
    </w:p>
    <w:p w14:paraId="4A8E56E1" w14:textId="77777777" w:rsidR="00047EF8" w:rsidRPr="00F563CD" w:rsidRDefault="00047EF8" w:rsidP="00047EF8">
      <w:pPr>
        <w:spacing w:line="240" w:lineRule="auto"/>
        <w:jc w:val="both"/>
        <w:rPr>
          <w:rFonts w:asciiTheme="minorHAnsi" w:hAnsiTheme="minorHAnsi"/>
          <w:b/>
          <w:bCs/>
          <w:sz w:val="20"/>
          <w:szCs w:val="20"/>
        </w:rPr>
      </w:pPr>
      <w:bookmarkStart w:id="53" w:name="_Hlk86226826"/>
      <w:r w:rsidRPr="00F563CD">
        <w:rPr>
          <w:rFonts w:asciiTheme="minorHAnsi" w:hAnsiTheme="minorHAnsi"/>
          <w:b/>
          <w:bCs/>
          <w:sz w:val="20"/>
          <w:szCs w:val="20"/>
        </w:rPr>
        <w:t xml:space="preserve">Evropski stub socijalnih prava </w:t>
      </w:r>
      <w:r w:rsidRPr="00F563CD">
        <w:rPr>
          <w:rFonts w:asciiTheme="minorHAnsi" w:eastAsia="Calibri" w:hAnsiTheme="minorHAnsi" w:cs="Calibri"/>
          <w:bCs/>
          <w:sz w:val="20"/>
          <w:szCs w:val="20"/>
        </w:rPr>
        <w:t xml:space="preserve">predstavlja inicijativu koju je pokrenula Evropska komisija i koja definiše 20 ključnih principa i prava koji su od suštinskog značaja za pravedna i funkcionalna tržišta rada i sisteme zaštite u 21. vijeku. Akcionim planom za </w:t>
      </w:r>
      <w:r w:rsidRPr="00F563CD">
        <w:rPr>
          <w:rFonts w:asciiTheme="minorHAnsi" w:eastAsia="Calibri" w:hAnsiTheme="minorHAnsi" w:cs="Calibri"/>
          <w:b/>
          <w:bCs/>
          <w:sz w:val="20"/>
          <w:szCs w:val="20"/>
        </w:rPr>
        <w:t>Evropski stub socijalnih prava</w:t>
      </w:r>
      <w:r w:rsidRPr="00F563CD">
        <w:rPr>
          <w:rFonts w:asciiTheme="minorHAnsi" w:eastAsia="Calibri" w:hAnsiTheme="minorHAnsi" w:cs="Calibri"/>
          <w:bCs/>
          <w:sz w:val="20"/>
          <w:szCs w:val="20"/>
        </w:rPr>
        <w:t xml:space="preserve"> EK je</w:t>
      </w:r>
      <w:r w:rsidRPr="00F563CD">
        <w:rPr>
          <w:rFonts w:asciiTheme="minorHAnsi" w:eastAsia="Calibri" w:hAnsiTheme="minorHAnsi" w:cs="Calibri"/>
          <w:b/>
          <w:bCs/>
          <w:sz w:val="20"/>
          <w:szCs w:val="20"/>
        </w:rPr>
        <w:t xml:space="preserve"> </w:t>
      </w:r>
      <w:r w:rsidRPr="00F563CD">
        <w:rPr>
          <w:rFonts w:asciiTheme="minorHAnsi" w:eastAsia="Calibri" w:hAnsiTheme="minorHAnsi" w:cs="Calibri"/>
          <w:bCs/>
          <w:sz w:val="20"/>
          <w:szCs w:val="20"/>
        </w:rPr>
        <w:t xml:space="preserve">definisala konkretne inicijative za realizaciju ovog stuba. </w:t>
      </w:r>
      <w:r w:rsidRPr="00F563CD">
        <w:rPr>
          <w:rFonts w:asciiTheme="minorHAnsi" w:hAnsiTheme="minorHAnsi"/>
          <w:b/>
          <w:bCs/>
          <w:sz w:val="20"/>
          <w:szCs w:val="20"/>
        </w:rPr>
        <w:t xml:space="preserve">Evropski stub socijalnih prava (2021) </w:t>
      </w:r>
      <w:r w:rsidRPr="00F563CD">
        <w:rPr>
          <w:rFonts w:asciiTheme="minorHAnsi" w:hAnsiTheme="minorHAnsi"/>
          <w:bCs/>
          <w:sz w:val="20"/>
          <w:szCs w:val="20"/>
        </w:rPr>
        <w:t xml:space="preserve">definiše konkretne akcije za dalje sprovođenje principa Evropskog stupa socijalnih prava i dostizanje glavnog </w:t>
      </w:r>
      <w:r w:rsidRPr="00F563CD">
        <w:rPr>
          <w:rFonts w:asciiTheme="minorHAnsi" w:eastAsia="Calibri" w:hAnsiTheme="minorHAnsi" w:cs="Calibri"/>
          <w:sz w:val="20"/>
          <w:szCs w:val="20"/>
        </w:rPr>
        <w:t>cilja EU koji treba ostvariti do 2030. godine u oblasti socijalne zaštite</w:t>
      </w:r>
      <w:proofErr w:type="gramStart"/>
      <w:r w:rsidRPr="00F563CD">
        <w:rPr>
          <w:rFonts w:asciiTheme="minorHAnsi" w:eastAsia="Calibri" w:hAnsiTheme="minorHAnsi" w:cs="Calibri"/>
          <w:sz w:val="20"/>
          <w:szCs w:val="20"/>
        </w:rPr>
        <w:t>: ,,Broj</w:t>
      </w:r>
      <w:proofErr w:type="gramEnd"/>
      <w:r w:rsidRPr="00F563CD">
        <w:rPr>
          <w:rFonts w:asciiTheme="minorHAnsi" w:eastAsia="Calibri" w:hAnsiTheme="minorHAnsi" w:cs="Calibri"/>
          <w:sz w:val="20"/>
          <w:szCs w:val="20"/>
        </w:rPr>
        <w:t xml:space="preserve"> ljudi koji su u riziku od siromaštva ili društvene isključenosti treba da bude umanjen za najmanje 15 miliona.''</w:t>
      </w:r>
    </w:p>
    <w:p w14:paraId="51A7E502" w14:textId="77777777" w:rsidR="00047EF8" w:rsidRPr="00F563CD" w:rsidRDefault="00047EF8" w:rsidP="00047EF8">
      <w:pPr>
        <w:spacing w:line="240" w:lineRule="auto"/>
        <w:jc w:val="both"/>
        <w:rPr>
          <w:rFonts w:asciiTheme="minorHAnsi" w:hAnsiTheme="minorHAnsi"/>
          <w:b/>
          <w:bCs/>
          <w:sz w:val="20"/>
          <w:szCs w:val="20"/>
        </w:rPr>
      </w:pPr>
      <w:bookmarkStart w:id="54" w:name="_Hlk87010862"/>
      <w:r w:rsidRPr="00F563CD">
        <w:rPr>
          <w:rFonts w:asciiTheme="minorHAnsi" w:hAnsiTheme="minorHAnsi"/>
          <w:sz w:val="20"/>
          <w:szCs w:val="20"/>
        </w:rPr>
        <w:t xml:space="preserve">Komisija je 2021. godine usvojila </w:t>
      </w:r>
      <w:r w:rsidRPr="00F563CD">
        <w:rPr>
          <w:rFonts w:asciiTheme="minorHAnsi" w:hAnsiTheme="minorHAnsi"/>
          <w:b/>
          <w:bCs/>
          <w:sz w:val="20"/>
          <w:szCs w:val="20"/>
        </w:rPr>
        <w:t>Strategiju EU o pravima djeteta</w:t>
      </w:r>
      <w:r w:rsidRPr="00F563CD">
        <w:rPr>
          <w:rFonts w:asciiTheme="minorHAnsi" w:hAnsiTheme="minorHAnsi"/>
          <w:bCs/>
          <w:sz w:val="20"/>
          <w:szCs w:val="20"/>
        </w:rPr>
        <w:t xml:space="preserve"> i</w:t>
      </w:r>
      <w:r w:rsidRPr="00F563CD">
        <w:rPr>
          <w:rFonts w:asciiTheme="minorHAnsi" w:hAnsiTheme="minorHAnsi"/>
          <w:b/>
          <w:bCs/>
          <w:sz w:val="20"/>
          <w:szCs w:val="20"/>
        </w:rPr>
        <w:t xml:space="preserve"> Evropsku garanciju za djecu, </w:t>
      </w:r>
      <w:r w:rsidRPr="00F563CD">
        <w:rPr>
          <w:rFonts w:asciiTheme="minorHAnsi" w:hAnsiTheme="minorHAnsi"/>
          <w:bCs/>
          <w:sz w:val="20"/>
          <w:szCs w:val="20"/>
        </w:rPr>
        <w:t xml:space="preserve">kao novi sveobuhvatni okvir politika EU, kojim se obezbjeđuje zaštita svoj djeci i osigurava se pristup osnovnim uslugama za ugroženu djecu. Jedna od tematskih oblasti koje se pominju u Strategiji jeste socio-ekonomska inkluzija, zdravlje i obrazovanje. U tom kontekstu, akcije EU u borbi protiv siromaštva, podsticanje inkluzivnosti i okruženja koje je naklonjeno djeci, osnaživanje zdravstvenih i obrazovnih sistema, između ostalog, uključuju uspostavljanje </w:t>
      </w:r>
      <w:r w:rsidRPr="00F563CD">
        <w:rPr>
          <w:rFonts w:asciiTheme="minorHAnsi" w:hAnsiTheme="minorHAnsi"/>
          <w:b/>
          <w:bCs/>
          <w:sz w:val="20"/>
          <w:szCs w:val="20"/>
        </w:rPr>
        <w:t>Evropske garancije za djecu</w:t>
      </w:r>
      <w:r w:rsidRPr="00F563CD">
        <w:rPr>
          <w:rFonts w:asciiTheme="minorHAnsi" w:hAnsiTheme="minorHAnsi"/>
          <w:bCs/>
          <w:sz w:val="20"/>
          <w:szCs w:val="20"/>
        </w:rPr>
        <w:t xml:space="preserve">. Budući da ona podrazumijeva primjenu načela 11 iz Evropskog stuba socijalnih prava, koje se odnosi </w:t>
      </w:r>
      <w:proofErr w:type="gramStart"/>
      <w:r w:rsidRPr="00F563CD">
        <w:rPr>
          <w:rFonts w:asciiTheme="minorHAnsi" w:hAnsiTheme="minorHAnsi"/>
          <w:bCs/>
          <w:sz w:val="20"/>
          <w:szCs w:val="20"/>
        </w:rPr>
        <w:t>na ,,Brigu</w:t>
      </w:r>
      <w:proofErr w:type="gramEnd"/>
      <w:r w:rsidRPr="00F563CD">
        <w:rPr>
          <w:rFonts w:asciiTheme="minorHAnsi" w:hAnsiTheme="minorHAnsi"/>
          <w:bCs/>
          <w:sz w:val="20"/>
          <w:szCs w:val="20"/>
        </w:rPr>
        <w:t xml:space="preserve"> o djeci i podršku za djecu'', Garancija samim tim predstavlja ključni ostvareni rezultat Akcionog plana uz Evropski stub za socijalna prava, kojim su predviđene konkretne inicijative za realizaciju Evropskog stuba socijalnih prava u praksi. </w:t>
      </w:r>
    </w:p>
    <w:bookmarkEnd w:id="53"/>
    <w:bookmarkEnd w:id="54"/>
    <w:p w14:paraId="31094D74"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Cs/>
          <w:sz w:val="20"/>
          <w:szCs w:val="20"/>
        </w:rPr>
        <w:t>U</w:t>
      </w:r>
      <w:r w:rsidRPr="00F563CD">
        <w:rPr>
          <w:rFonts w:asciiTheme="minorHAnsi" w:eastAsia="Calibri" w:hAnsiTheme="minorHAnsi" w:cs="Calibri"/>
          <w:b/>
          <w:bCs/>
          <w:sz w:val="20"/>
          <w:szCs w:val="20"/>
        </w:rPr>
        <w:t xml:space="preserve"> Izvještaju za Crnu Goru o rezultatima koje je država kandidat ostvarila u odnosu na Evropski stub socijalnih prava </w:t>
      </w:r>
      <w:r w:rsidRPr="00F563CD">
        <w:rPr>
          <w:rFonts w:asciiTheme="minorHAnsi" w:eastAsia="Calibri" w:hAnsiTheme="minorHAnsi" w:cs="Calibri"/>
          <w:bCs/>
          <w:sz w:val="20"/>
          <w:szCs w:val="20"/>
        </w:rPr>
        <w:t>navodi se da</w:t>
      </w:r>
      <w:r w:rsidRPr="00F563CD">
        <w:rPr>
          <w:rFonts w:asciiTheme="minorHAnsi" w:eastAsia="Calibri" w:hAnsiTheme="minorHAnsi" w:cs="Calibri"/>
          <w:b/>
          <w:bCs/>
          <w:sz w:val="20"/>
          <w:szCs w:val="20"/>
        </w:rPr>
        <w:t xml:space="preserve"> </w:t>
      </w:r>
      <w:proofErr w:type="gramStart"/>
      <w:r w:rsidRPr="00F563CD">
        <w:rPr>
          <w:rFonts w:asciiTheme="minorHAnsi" w:eastAsia="Calibri" w:hAnsiTheme="minorHAnsi" w:cs="Calibri"/>
          <w:bCs/>
          <w:sz w:val="20"/>
          <w:szCs w:val="20"/>
        </w:rPr>
        <w:t>se ,,Crna</w:t>
      </w:r>
      <w:proofErr w:type="gramEnd"/>
      <w:r w:rsidRPr="00F563CD">
        <w:rPr>
          <w:rFonts w:asciiTheme="minorHAnsi" w:eastAsia="Calibri" w:hAnsiTheme="minorHAnsi" w:cs="Calibri"/>
          <w:bCs/>
          <w:sz w:val="20"/>
          <w:szCs w:val="20"/>
        </w:rPr>
        <w:t xml:space="preserve"> Gora suočava s izazovima u pogledu ispunjavanja brojnih indikatora iz Pregleda socijalnih pokazatelja, koji je uspostavljen kao podrška Evropskom stubu socijalnih prava.'' U izvještaju za Crnu Goru se navodi </w:t>
      </w:r>
      <w:proofErr w:type="gramStart"/>
      <w:r w:rsidRPr="00F563CD">
        <w:rPr>
          <w:rFonts w:asciiTheme="minorHAnsi" w:eastAsia="Calibri" w:hAnsiTheme="minorHAnsi" w:cs="Calibri"/>
          <w:bCs/>
          <w:sz w:val="20"/>
          <w:szCs w:val="20"/>
        </w:rPr>
        <w:t>da ,,sveukupna</w:t>
      </w:r>
      <w:proofErr w:type="gramEnd"/>
      <w:r w:rsidRPr="00F563CD">
        <w:rPr>
          <w:rFonts w:asciiTheme="minorHAnsi" w:eastAsia="Calibri" w:hAnsiTheme="minorHAnsi" w:cs="Calibri"/>
          <w:bCs/>
          <w:sz w:val="20"/>
          <w:szCs w:val="20"/>
        </w:rPr>
        <w:t xml:space="preserve"> efikasnost sistema socijalne zaštite još uvijek nije dostigla zadovoljavajući nivo.'' U izvještaju se dalje navodi </w:t>
      </w:r>
      <w:proofErr w:type="gramStart"/>
      <w:r w:rsidRPr="00F563CD">
        <w:rPr>
          <w:rFonts w:asciiTheme="minorHAnsi" w:eastAsia="Calibri" w:hAnsiTheme="minorHAnsi" w:cs="Calibri"/>
          <w:bCs/>
          <w:sz w:val="20"/>
          <w:szCs w:val="20"/>
        </w:rPr>
        <w:t>da ,</w:t>
      </w:r>
      <w:proofErr w:type="gramEnd"/>
      <w:r w:rsidRPr="00F563CD">
        <w:rPr>
          <w:rFonts w:asciiTheme="minorHAnsi" w:eastAsia="Calibri" w:hAnsiTheme="minorHAnsi" w:cs="Calibri"/>
          <w:bCs/>
          <w:sz w:val="20"/>
          <w:szCs w:val="20"/>
        </w:rPr>
        <w:t xml:space="preserve">, Crna Gora izdvaja značajna sredstva za socijalnu zaštitu, no još uvijek postoje brojni problemi, što zahtijeva dublju analizu cijelog sistema socijalne zaštite.'' U izvještaju je konstatovano </w:t>
      </w:r>
      <w:r w:rsidRPr="00F563CD">
        <w:rPr>
          <w:rFonts w:asciiTheme="minorHAnsi" w:eastAsia="Calibri" w:hAnsiTheme="minorHAnsi" w:cs="Calibri"/>
          <w:sz w:val="20"/>
          <w:szCs w:val="20"/>
        </w:rPr>
        <w:t xml:space="preserve">da </w:t>
      </w:r>
      <w:proofErr w:type="gramStart"/>
      <w:r w:rsidRPr="00F563CD">
        <w:rPr>
          <w:rFonts w:asciiTheme="minorHAnsi" w:eastAsia="Calibri" w:hAnsiTheme="minorHAnsi" w:cs="Calibri"/>
          <w:sz w:val="20"/>
          <w:szCs w:val="20"/>
        </w:rPr>
        <w:t>su  ,</w:t>
      </w:r>
      <w:proofErr w:type="gramEnd"/>
      <w:r w:rsidRPr="00F563CD">
        <w:rPr>
          <w:rFonts w:asciiTheme="minorHAnsi" w:eastAsia="Calibri" w:hAnsiTheme="minorHAnsi" w:cs="Calibri"/>
          <w:sz w:val="20"/>
          <w:szCs w:val="20"/>
        </w:rPr>
        <w:t xml:space="preserve">,djeca više izložena riziku od siromaštva, pa čak i u situaciji kada se opšta stopa siromaštva smanjila, kod djece je i ona dalje veća od prosječne. Usluge dugoročne njege su ograničene samim tim što veliki broj starijih lica u Crnoj Gori ne može da priušti profesionalne usluge”. Marginalizacija određenih društvenih </w:t>
      </w:r>
      <w:proofErr w:type="gramStart"/>
      <w:r w:rsidRPr="00F563CD">
        <w:rPr>
          <w:rFonts w:asciiTheme="minorHAnsi" w:eastAsia="Calibri" w:hAnsiTheme="minorHAnsi" w:cs="Calibri"/>
          <w:sz w:val="20"/>
          <w:szCs w:val="20"/>
        </w:rPr>
        <w:t>grupa,  prije</w:t>
      </w:r>
      <w:proofErr w:type="gramEnd"/>
      <w:r w:rsidRPr="00F563CD">
        <w:rPr>
          <w:rFonts w:asciiTheme="minorHAnsi" w:eastAsia="Calibri" w:hAnsiTheme="minorHAnsi" w:cs="Calibri"/>
          <w:sz w:val="20"/>
          <w:szCs w:val="20"/>
        </w:rPr>
        <w:t xml:space="preserve"> svega lica sa posebnim potrebama, i dalje je veoma izražena, i stoga "strukturna ograničenja za njihovo učešće na tržištu rada i socijalnu integraciju, i dalje predstavljaju značajan problem  i veliki izazov za buduće politike". Kada je u pitanju ključno područje reformi u sistemu socijalne i dječije zaštite, u izvještaju se navodi da je potrebno unaprijediti rad centara za socijalni rad. </w:t>
      </w:r>
    </w:p>
    <w:p w14:paraId="4CED18CE"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Opšti cilj IPA III podrške EU u okviru Prozora 4 podrazumijeva osnaživanje ekonomskog i socijalnog razvoja. </w:t>
      </w:r>
      <w:r w:rsidRPr="00F563CD">
        <w:rPr>
          <w:rFonts w:asciiTheme="minorHAnsi" w:eastAsia="Calibri" w:hAnsiTheme="minorHAnsi" w:cs="Calibri"/>
          <w:b/>
          <w:sz w:val="20"/>
          <w:szCs w:val="20"/>
        </w:rPr>
        <w:t xml:space="preserve">Predložene aktivnosti će obezbijediti direktnu podršku Vladi Crne Gore u njenim nastojanjima da izradi sveobuhvatne nacionalne i lokalne strategije za socijalnu i dječiju zaštitu </w:t>
      </w:r>
      <w:r w:rsidRPr="00F563CD">
        <w:rPr>
          <w:rFonts w:asciiTheme="minorHAnsi" w:eastAsia="Calibri" w:hAnsiTheme="minorHAnsi" w:cs="Calibri"/>
          <w:sz w:val="20"/>
          <w:szCs w:val="20"/>
        </w:rPr>
        <w:t xml:space="preserve">za period 2023-2030, u skladu sa </w:t>
      </w:r>
      <w:r w:rsidRPr="00F563CD">
        <w:rPr>
          <w:rFonts w:asciiTheme="minorHAnsi" w:eastAsia="Calibri" w:hAnsiTheme="minorHAnsi" w:cs="Calibri"/>
          <w:b/>
          <w:sz w:val="20"/>
          <w:szCs w:val="20"/>
        </w:rPr>
        <w:t xml:space="preserve">Stubom EU socijalnih prava </w:t>
      </w:r>
      <w:r w:rsidRPr="00F563CD">
        <w:rPr>
          <w:rFonts w:asciiTheme="minorHAnsi" w:eastAsia="Calibri" w:hAnsiTheme="minorHAnsi" w:cs="Calibri"/>
          <w:sz w:val="20"/>
          <w:szCs w:val="20"/>
        </w:rPr>
        <w:t>i</w:t>
      </w:r>
      <w:r w:rsidRPr="00F563CD">
        <w:rPr>
          <w:rFonts w:asciiTheme="minorHAnsi" w:eastAsia="Calibri" w:hAnsiTheme="minorHAnsi" w:cs="Calibri"/>
          <w:b/>
          <w:sz w:val="20"/>
          <w:szCs w:val="20"/>
        </w:rPr>
        <w:t xml:space="preserve"> Agendom UN 2030</w:t>
      </w:r>
      <w:r w:rsidRPr="00F563CD">
        <w:rPr>
          <w:rFonts w:asciiTheme="minorHAnsi" w:eastAsia="Calibri" w:hAnsiTheme="minorHAnsi" w:cs="Calibri"/>
          <w:sz w:val="20"/>
          <w:szCs w:val="20"/>
        </w:rPr>
        <w:t xml:space="preserve">, i da unaprijedi proces deinstitucionalizacije i transformacije institucija za zbrinjavanje lica. Predviđenim aktivnostima, institucijama u sistemu socijalne i dječije zaštite biće obezbijeđeni hardver i softver, što će omogućiti bolju tehnološku i sistemsku konekciju sa službama zapošljavanja, čime će biti </w:t>
      </w:r>
      <w:proofErr w:type="gramStart"/>
      <w:r w:rsidRPr="00F563CD">
        <w:rPr>
          <w:rFonts w:asciiTheme="minorHAnsi" w:eastAsia="Calibri" w:hAnsiTheme="minorHAnsi" w:cs="Calibri"/>
          <w:sz w:val="20"/>
          <w:szCs w:val="20"/>
        </w:rPr>
        <w:t>unaprijeđena ,,sveukupna</w:t>
      </w:r>
      <w:proofErr w:type="gramEnd"/>
      <w:r w:rsidRPr="00F563CD">
        <w:rPr>
          <w:rFonts w:asciiTheme="minorHAnsi" w:eastAsia="Calibri" w:hAnsiTheme="minorHAnsi" w:cs="Calibri"/>
          <w:sz w:val="20"/>
          <w:szCs w:val="20"/>
        </w:rPr>
        <w:t xml:space="preserve"> efikasnost sistema socijalne zaštite.'' Osim toga, predložene aktivnosti će obezbijediti direktnu podršku Vladi Crne Gore u njenim nastojanjima </w:t>
      </w:r>
      <w:r w:rsidRPr="00F563CD">
        <w:rPr>
          <w:rFonts w:asciiTheme="minorHAnsi" w:eastAsia="Calibri" w:hAnsiTheme="minorHAnsi" w:cs="Calibri"/>
          <w:sz w:val="20"/>
          <w:szCs w:val="20"/>
        </w:rPr>
        <w:lastRenderedPageBreak/>
        <w:t>da nastavi i unaprijedi proces deinstitucionalizacije, i omogućiće primjenu Regulative EU br.1301/2013</w:t>
      </w:r>
      <w:r w:rsidRPr="00F563CD">
        <w:rPr>
          <w:rFonts w:asciiTheme="minorHAnsi" w:eastAsia="Calibri" w:hAnsiTheme="minorHAnsi" w:cs="Calibri"/>
          <w:sz w:val="20"/>
          <w:szCs w:val="20"/>
          <w:vertAlign w:val="superscript"/>
        </w:rPr>
        <w:footnoteReference w:id="32"/>
      </w:r>
      <w:r w:rsidRPr="00F563CD">
        <w:rPr>
          <w:rFonts w:asciiTheme="minorHAnsi" w:eastAsia="Calibri" w:hAnsiTheme="minorHAnsi" w:cs="Calibri"/>
          <w:sz w:val="20"/>
          <w:szCs w:val="20"/>
        </w:rPr>
        <w:t xml:space="preserve"> kroz grant šeme za razvoj i implementaciju svih vrsta internih, porodičnih, usluga, usluga za zbrinjavanje lica, kao i drugih usluga u zajednici. </w:t>
      </w:r>
    </w:p>
    <w:p w14:paraId="3EDD837B" w14:textId="77777777" w:rsidR="00047EF8" w:rsidRPr="00F563CD" w:rsidRDefault="00047EF8" w:rsidP="00047EF8">
      <w:pPr>
        <w:spacing w:line="240" w:lineRule="auto"/>
        <w:jc w:val="both"/>
        <w:rPr>
          <w:rFonts w:asciiTheme="minorHAnsi" w:eastAsia="Calibri" w:hAnsiTheme="minorHAnsi" w:cs="Calibri"/>
          <w:b/>
          <w:bCs/>
          <w:iCs/>
          <w:sz w:val="20"/>
          <w:szCs w:val="20"/>
          <w:u w:val="single"/>
        </w:rPr>
      </w:pPr>
      <w:r w:rsidRPr="00F563CD">
        <w:rPr>
          <w:rFonts w:asciiTheme="minorHAnsi" w:eastAsia="Calibri" w:hAnsiTheme="minorHAnsi" w:cs="Calibri"/>
          <w:b/>
          <w:bCs/>
          <w:iCs/>
          <w:sz w:val="20"/>
          <w:szCs w:val="20"/>
          <w:u w:val="single"/>
        </w:rPr>
        <w:t>Zdravstvo</w:t>
      </w:r>
    </w:p>
    <w:p w14:paraId="5309EE0F"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Budući da je Crna Gora u procesu pristupanja EU, planiranje razvoja zdravstvenog sistema pripada socijalnom, zakonodavnom i ekonomskom okviru EU. Crna Gora je takođe članica SZO, međunarodnog tijela koje upravlja i koordinira zdravstvenim politikama država članica Ujedinjenih nacija (UN).  </w:t>
      </w:r>
    </w:p>
    <w:p w14:paraId="3EFE9043"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Strateški okvir za oblast zdravstva u Crnoj Gori usklađen je sa sljedećim evropskim strategijama:</w:t>
      </w:r>
    </w:p>
    <w:p w14:paraId="46F139E0" w14:textId="77777777" w:rsidR="00047EF8" w:rsidRPr="00F563CD" w:rsidRDefault="00047EF8" w:rsidP="00047EF8">
      <w:pPr>
        <w:spacing w:line="240" w:lineRule="auto"/>
        <w:jc w:val="both"/>
        <w:rPr>
          <w:rFonts w:asciiTheme="minorHAnsi" w:eastAsia="Calibri" w:hAnsiTheme="minorHAnsi" w:cs="Calibri"/>
          <w:sz w:val="20"/>
          <w:szCs w:val="20"/>
        </w:rPr>
      </w:pPr>
      <w:proofErr w:type="gramStart"/>
      <w:r w:rsidRPr="00F563CD">
        <w:rPr>
          <w:rFonts w:asciiTheme="minorHAnsi" w:eastAsia="Calibri" w:hAnsiTheme="minorHAnsi" w:cs="Calibri"/>
          <w:b/>
          <w:bCs/>
          <w:sz w:val="20"/>
          <w:szCs w:val="20"/>
        </w:rPr>
        <w:t>,,</w:t>
      </w:r>
      <w:proofErr w:type="gramEnd"/>
      <w:r w:rsidRPr="00F563CD">
        <w:rPr>
          <w:rFonts w:asciiTheme="minorHAnsi" w:eastAsia="Calibri" w:hAnsiTheme="minorHAnsi" w:cs="Calibri"/>
          <w:b/>
          <w:bCs/>
          <w:sz w:val="20"/>
          <w:szCs w:val="20"/>
        </w:rPr>
        <w:t>Zdravlje 2020</w:t>
      </w:r>
      <w:r w:rsidRPr="00F563CD">
        <w:rPr>
          <w:rFonts w:asciiTheme="minorHAnsi" w:eastAsia="Calibri" w:hAnsiTheme="minorHAnsi" w:cs="Calibri"/>
          <w:sz w:val="20"/>
          <w:szCs w:val="20"/>
        </w:rPr>
        <w:t xml:space="preserve">” – </w:t>
      </w:r>
      <w:r w:rsidRPr="00F563CD">
        <w:rPr>
          <w:rFonts w:asciiTheme="minorHAnsi" w:hAnsiTheme="minorHAnsi"/>
          <w:sz w:val="20"/>
          <w:szCs w:val="20"/>
        </w:rPr>
        <w:t xml:space="preserve">novi evropski </w:t>
      </w:r>
      <w:r w:rsidRPr="00F563CD">
        <w:rPr>
          <w:rStyle w:val="Emphasis"/>
          <w:rFonts w:asciiTheme="minorHAnsi" w:hAnsiTheme="minorHAnsi"/>
          <w:sz w:val="20"/>
          <w:szCs w:val="20"/>
        </w:rPr>
        <w:t>politički okvir</w:t>
      </w:r>
      <w:r w:rsidRPr="00F563CD">
        <w:rPr>
          <w:rFonts w:asciiTheme="minorHAnsi" w:hAnsiTheme="minorHAnsi"/>
          <w:sz w:val="20"/>
          <w:szCs w:val="20"/>
        </w:rPr>
        <w:t xml:space="preserve"> i strategija </w:t>
      </w:r>
      <w:r w:rsidRPr="00F563CD">
        <w:rPr>
          <w:rStyle w:val="Emphasis"/>
          <w:rFonts w:asciiTheme="minorHAnsi" w:hAnsiTheme="minorHAnsi"/>
          <w:sz w:val="20"/>
          <w:szCs w:val="20"/>
        </w:rPr>
        <w:t>razvoja zdravstva</w:t>
      </w:r>
      <w:r w:rsidRPr="00F563CD">
        <w:rPr>
          <w:rFonts w:asciiTheme="minorHAnsi" w:hAnsiTheme="minorHAnsi"/>
          <w:sz w:val="20"/>
          <w:szCs w:val="20"/>
        </w:rPr>
        <w:t xml:space="preserve"> za 21. vijek za SZO evropski region usvojen 2012.</w:t>
      </w:r>
    </w:p>
    <w:p w14:paraId="2F46108E"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Unapređenje zdravlja je sastavni dio </w:t>
      </w:r>
      <w:r w:rsidRPr="00F563CD">
        <w:rPr>
          <w:rFonts w:asciiTheme="minorHAnsi" w:eastAsia="Calibri" w:hAnsiTheme="minorHAnsi" w:cs="Calibri"/>
          <w:b/>
          <w:sz w:val="20"/>
          <w:szCs w:val="20"/>
        </w:rPr>
        <w:t>nove Strategije EU za ekonomski rast</w:t>
      </w:r>
      <w:r w:rsidRPr="00F563CD">
        <w:rPr>
          <w:rFonts w:asciiTheme="minorHAnsi" w:eastAsia="Calibri" w:hAnsiTheme="minorHAnsi" w:cs="Calibri"/>
          <w:sz w:val="20"/>
          <w:szCs w:val="20"/>
        </w:rPr>
        <w:t xml:space="preserve">, drugim riječima, ova zdravstvena politika je značajna za dostizanje ciljeva koji podrazumijevaju pametan i inkluzivan rast do 2020. godine, zato što isključivo zdravi i aktivni ljudi mogu pozitivno da utiču na produktivnost, zapošljavanje, promjene u populaciji i inovacije čine zdravstveni sektor održivim. </w:t>
      </w:r>
    </w:p>
    <w:p w14:paraId="2DF5EAAF"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sz w:val="20"/>
          <w:szCs w:val="20"/>
        </w:rPr>
        <w:t>Treći višegodišnji program djelovanja EU u oblasti zdravstva</w:t>
      </w:r>
      <w:r w:rsidRPr="00F563CD">
        <w:rPr>
          <w:rFonts w:asciiTheme="minorHAnsi" w:eastAsia="Calibri" w:hAnsiTheme="minorHAnsi" w:cs="Calibri"/>
          <w:sz w:val="20"/>
          <w:szCs w:val="20"/>
        </w:rPr>
        <w:t xml:space="preserve"> (2014-2020) (Regulativa (EU) br. 282/2014 Evropskog parlamenta i Savjeta). Osnovni ciljevi trećeg evropskog zdravstvenog programa 2014-2020 odnose se na unapređenje zdravlja, sprečavanje bolesti, promovisanje zdravih stilova života, uz poštovanje </w:t>
      </w:r>
      <w:proofErr w:type="gramStart"/>
      <w:r w:rsidRPr="00F563CD">
        <w:rPr>
          <w:rFonts w:asciiTheme="minorHAnsi" w:eastAsia="Calibri" w:hAnsiTheme="minorHAnsi" w:cs="Calibri"/>
          <w:sz w:val="20"/>
          <w:szCs w:val="20"/>
        </w:rPr>
        <w:t>principa ,,zdravlje</w:t>
      </w:r>
      <w:proofErr w:type="gramEnd"/>
      <w:r w:rsidRPr="00F563CD">
        <w:rPr>
          <w:rFonts w:asciiTheme="minorHAnsi" w:eastAsia="Calibri" w:hAnsiTheme="minorHAnsi" w:cs="Calibri"/>
          <w:sz w:val="20"/>
          <w:szCs w:val="20"/>
        </w:rPr>
        <w:t xml:space="preserve"> u svim politikama'', zaštitu građana od prekograničnih zdravstvenih prijetnji, </w:t>
      </w:r>
      <w:r w:rsidRPr="00F563CD">
        <w:rPr>
          <w:rFonts w:asciiTheme="minorHAnsi" w:hAnsiTheme="minorHAnsi"/>
          <w:sz w:val="20"/>
          <w:szCs w:val="20"/>
        </w:rPr>
        <w:t xml:space="preserve">doprinos inovativnom, efikasnom i održivom zdravstvenom sistemu i unapređenje pristupa boljoj i sigurnijoj zdravstvenoj zaštiti. </w:t>
      </w:r>
    </w:p>
    <w:p w14:paraId="4E38FFE9"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b/>
          <w:bCs/>
          <w:sz w:val="20"/>
          <w:szCs w:val="20"/>
        </w:rPr>
        <w:t xml:space="preserve">Strategija razvoja zdravstva 2022-2026, </w:t>
      </w:r>
      <w:r w:rsidRPr="00F563CD">
        <w:rPr>
          <w:rFonts w:asciiTheme="minorHAnsi" w:hAnsiTheme="minorHAnsi"/>
          <w:bCs/>
          <w:sz w:val="20"/>
          <w:szCs w:val="20"/>
        </w:rPr>
        <w:t>koja je</w:t>
      </w:r>
      <w:r w:rsidRPr="00F563CD">
        <w:rPr>
          <w:rFonts w:asciiTheme="minorHAnsi" w:hAnsiTheme="minorHAnsi"/>
          <w:b/>
          <w:bCs/>
          <w:sz w:val="20"/>
          <w:szCs w:val="20"/>
        </w:rPr>
        <w:t xml:space="preserve"> </w:t>
      </w:r>
      <w:r w:rsidRPr="00F563CD">
        <w:rPr>
          <w:rFonts w:asciiTheme="minorHAnsi" w:hAnsiTheme="minorHAnsi"/>
          <w:sz w:val="20"/>
          <w:szCs w:val="20"/>
        </w:rPr>
        <w:t xml:space="preserve">u izradi, identifikovaće glavne praznine i nedostatke u funkcionisanju zdravstvenog sistema, i definisaće neophodne aktivnosti za unapređenje stanja u predstojećem periodu. Kriza uzrokovana pandemijom koronavirusa otvorila je nekoliko pitanja, </w:t>
      </w:r>
      <w:r w:rsidRPr="00F563CD">
        <w:rPr>
          <w:rFonts w:asciiTheme="minorHAnsi" w:eastAsia="Calibri" w:hAnsiTheme="minorHAnsi" w:cs="Calibri"/>
          <w:sz w:val="20"/>
          <w:szCs w:val="20"/>
        </w:rPr>
        <w:t>prije svega ona koja se odnose na odgovor na prethodnu epidemiju gripa/pandemiju, kao i na međunarodne zdravstvene propise. Većina država u Evropskom regionu SZO doživjele su neuspjeh i stoga je potreban dodatni angažman kako bi se takve situacije preduprijedile u budućnosti i kako bi se umanjio njihov uticaj.</w:t>
      </w:r>
    </w:p>
    <w:p w14:paraId="7BBE5A4B" w14:textId="77777777" w:rsidR="00047EF8" w:rsidRPr="00F563CD" w:rsidRDefault="00047EF8" w:rsidP="00047EF8">
      <w:pPr>
        <w:spacing w:line="240" w:lineRule="auto"/>
        <w:jc w:val="both"/>
        <w:rPr>
          <w:rFonts w:asciiTheme="minorHAnsi" w:hAnsiTheme="minorHAnsi" w:cstheme="minorHAnsi"/>
        </w:rPr>
      </w:pPr>
      <w:r w:rsidRPr="00F563CD">
        <w:rPr>
          <w:rFonts w:asciiTheme="minorHAnsi" w:hAnsiTheme="minorHAnsi" w:cstheme="minorHAnsi"/>
          <w:sz w:val="20"/>
          <w:szCs w:val="20"/>
        </w:rPr>
        <w:t>U</w:t>
      </w:r>
      <w:r w:rsidRPr="00F563CD">
        <w:rPr>
          <w:rFonts w:asciiTheme="minorHAnsi" w:hAnsiTheme="minorHAnsi" w:cstheme="minorHAnsi"/>
          <w:b/>
          <w:sz w:val="20"/>
          <w:szCs w:val="20"/>
        </w:rPr>
        <w:t xml:space="preserve"> Evropskoj strategiji za prevenciju i kontrolu hroničnih nezaraznih bolesti </w:t>
      </w:r>
      <w:r w:rsidRPr="00F563CD">
        <w:rPr>
          <w:rFonts w:asciiTheme="minorHAnsi" w:hAnsiTheme="minorHAnsi" w:cstheme="minorHAnsi"/>
          <w:sz w:val="20"/>
          <w:szCs w:val="20"/>
        </w:rPr>
        <w:t>se</w:t>
      </w:r>
      <w:r w:rsidRPr="00F563CD">
        <w:rPr>
          <w:rFonts w:asciiTheme="minorHAnsi" w:hAnsiTheme="minorHAnsi" w:cstheme="minorHAnsi"/>
          <w:b/>
          <w:sz w:val="20"/>
          <w:szCs w:val="20"/>
        </w:rPr>
        <w:t xml:space="preserve"> </w:t>
      </w:r>
      <w:r w:rsidRPr="00F563CD">
        <w:rPr>
          <w:rFonts w:asciiTheme="minorHAnsi" w:hAnsiTheme="minorHAnsi" w:cstheme="minorHAnsi"/>
          <w:sz w:val="20"/>
          <w:szCs w:val="20"/>
        </w:rPr>
        <w:t xml:space="preserve">ističe da su ključni razlozi prerane smrtnosti u okviru evropskog regiona kardiovaskularne bolesti, što zahtijeva fokusiranje na cijelu populaciju i ciljani pristup kontroli korišćenja duvana; smanjenje konzumiranja soli, zasićenih masti i trans-masnih kisjelina (trans-masti); kontolu hipertenzije i, naročito u istočnoj Evropi, kontrolu korišćenja alkohola i korišćenja šećera, u cilju prevencije dijabetesa. </w:t>
      </w:r>
    </w:p>
    <w:p w14:paraId="509AE87B" w14:textId="77777777" w:rsidR="00047EF8" w:rsidRPr="00F563CD" w:rsidRDefault="00047EF8" w:rsidP="00047EF8">
      <w:pPr>
        <w:spacing w:line="240" w:lineRule="auto"/>
        <w:jc w:val="both"/>
        <w:rPr>
          <w:rFonts w:asciiTheme="minorHAnsi" w:hAnsiTheme="minorHAnsi" w:cstheme="minorHAnsi"/>
          <w:b/>
          <w:sz w:val="20"/>
          <w:szCs w:val="20"/>
        </w:rPr>
      </w:pPr>
      <w:r w:rsidRPr="00F563CD">
        <w:rPr>
          <w:rFonts w:asciiTheme="minorHAnsi" w:eastAsia="Calibri" w:hAnsiTheme="minorHAnsi" w:cstheme="minorHAnsi"/>
          <w:b/>
          <w:i/>
          <w:iCs/>
          <w:sz w:val="20"/>
          <w:szCs w:val="20"/>
        </w:rPr>
        <w:t xml:space="preserve">Tematski prioritet 2: Razvoj privatnog sektora, trgovine, istraživanja i inovacija </w:t>
      </w:r>
    </w:p>
    <w:p w14:paraId="61D58CA0" w14:textId="77777777" w:rsidR="00047EF8" w:rsidRPr="00F563CD" w:rsidRDefault="00047EF8" w:rsidP="00047EF8">
      <w:pPr>
        <w:spacing w:line="240" w:lineRule="auto"/>
        <w:jc w:val="both"/>
        <w:rPr>
          <w:rFonts w:asciiTheme="minorHAnsi" w:hAnsiTheme="minorHAnsi" w:cstheme="minorHAnsi"/>
          <w:sz w:val="20"/>
          <w:szCs w:val="20"/>
        </w:rPr>
      </w:pPr>
      <w:r w:rsidRPr="00F563CD">
        <w:rPr>
          <w:rFonts w:asciiTheme="minorHAnsi" w:hAnsiTheme="minorHAnsi" w:cstheme="minorHAnsi"/>
          <w:sz w:val="20"/>
          <w:szCs w:val="20"/>
        </w:rPr>
        <w:t xml:space="preserve">Strateški okvir za razvoj privatnog sektora je usklađen sa dolje navedenim politikama proširenja EU. </w:t>
      </w:r>
    </w:p>
    <w:p w14:paraId="5880BD13" w14:textId="2305289B" w:rsidR="00047EF8" w:rsidRPr="00F563CD" w:rsidRDefault="00047EF8" w:rsidP="00047EF8">
      <w:pPr>
        <w:spacing w:line="240" w:lineRule="auto"/>
        <w:jc w:val="both"/>
        <w:rPr>
          <w:rFonts w:asciiTheme="minorHAnsi" w:eastAsia="Calibri" w:hAnsiTheme="minorHAnsi" w:cstheme="minorHAnsi"/>
          <w:sz w:val="20"/>
          <w:szCs w:val="20"/>
        </w:rPr>
      </w:pPr>
      <w:r w:rsidRPr="00F563CD">
        <w:rPr>
          <w:rFonts w:asciiTheme="minorHAnsi" w:eastAsia="Calibri" w:hAnsiTheme="minorHAnsi" w:cstheme="minorHAnsi"/>
          <w:b/>
          <w:sz w:val="20"/>
          <w:szCs w:val="20"/>
        </w:rPr>
        <w:t xml:space="preserve">Izvještaj EK za Crnu Goru 2020. </w:t>
      </w:r>
      <w:r w:rsidRPr="00F563CD">
        <w:rPr>
          <w:rFonts w:asciiTheme="minorHAnsi" w:eastAsia="Calibri" w:hAnsiTheme="minorHAnsi" w:cstheme="minorHAnsi"/>
          <w:sz w:val="20"/>
          <w:szCs w:val="20"/>
        </w:rPr>
        <w:t xml:space="preserve">ocjenjuje da je crnogorska ekonomija umjereno spremna da se nosi sa pritiskom konkurencije unutar EU i preporučuje dalji razvoj ključne infrastrukture i fiskalne odgovornosti, kao i potpunu usklađenosti sa pravilima konkurentnosti i javnih nabavki, kao ključnim oblastima koje treba dodatno ojačati u cilju unapređenja </w:t>
      </w:r>
      <w:r w:rsidR="00DA5F8F" w:rsidRPr="00F563CD">
        <w:rPr>
          <w:rFonts w:asciiTheme="minorHAnsi" w:eastAsia="Calibri" w:hAnsiTheme="minorHAnsi" w:cstheme="minorHAnsi"/>
          <w:sz w:val="20"/>
          <w:szCs w:val="20"/>
        </w:rPr>
        <w:t>konkurentnosti ekonomije</w:t>
      </w:r>
      <w:r w:rsidRPr="00F563CD">
        <w:rPr>
          <w:rFonts w:asciiTheme="minorHAnsi" w:eastAsia="Calibri" w:hAnsiTheme="minorHAnsi" w:cstheme="minorHAnsi"/>
          <w:sz w:val="20"/>
          <w:szCs w:val="20"/>
        </w:rPr>
        <w:t xml:space="preserve">. U vezi sa malim i srednjim preduzećima (MSP), EK smatra da </w:t>
      </w:r>
      <w:r w:rsidR="00DA5F8F" w:rsidRPr="00F563CD">
        <w:rPr>
          <w:rFonts w:asciiTheme="minorHAnsi" w:eastAsia="Calibri" w:hAnsiTheme="minorHAnsi" w:cstheme="minorHAnsi"/>
          <w:sz w:val="20"/>
          <w:szCs w:val="20"/>
        </w:rPr>
        <w:t>je pojednostavljenje</w:t>
      </w:r>
      <w:r w:rsidRPr="00F563CD">
        <w:rPr>
          <w:rFonts w:asciiTheme="minorHAnsi" w:eastAsia="Calibri" w:hAnsiTheme="minorHAnsi" w:cstheme="minorHAnsi"/>
          <w:sz w:val="20"/>
          <w:szCs w:val="20"/>
        </w:rPr>
        <w:t xml:space="preserve"> pristupa finansiranju od ključnog značaja za povećanje konkurentnosti, sa posebnim naglaskom na povećanju izvoza. Prema </w:t>
      </w:r>
      <w:r w:rsidRPr="00F563CD">
        <w:rPr>
          <w:rFonts w:asciiTheme="minorHAnsi" w:eastAsia="Calibri" w:hAnsiTheme="minorHAnsi" w:cstheme="minorHAnsi"/>
          <w:b/>
          <w:sz w:val="20"/>
          <w:szCs w:val="20"/>
        </w:rPr>
        <w:t xml:space="preserve">Aktu o malim preduzećima (SBA), </w:t>
      </w:r>
      <w:r w:rsidRPr="00F563CD">
        <w:rPr>
          <w:rFonts w:asciiTheme="minorHAnsi" w:eastAsia="Calibri" w:hAnsiTheme="minorHAnsi" w:cstheme="minorHAnsi"/>
          <w:sz w:val="20"/>
          <w:szCs w:val="20"/>
        </w:rPr>
        <w:t xml:space="preserve">ekonomski profil koji prati i Indeks politike MSP: Zapadni Balkan i Turska 2019, crnogorski rezultat je u dijelu MSP u najvećem dijelu unaprijeđen u dijelu zelene ekonomije (Dimenzija 9) i u dijelu koji se odnosi na usluge podrške biznisu, gdje država ostvaruje WTB prosjek (Dimenzija 5a). Mali pomaci su ostvareni u dijelu pristupa finansijama (Dimenzija 6), dok je ekonomija obilježila blagi pad u domenu inovacija (Dimenzija 8b) i podrške internacionalizaciji MSP (Dimenzija 10). Ova Akcija prati SBA preporuke tako što podršku usmjerava ka daljem unapređenju savjetodavnih usluga i nefinansijske podrške za MSP, sa primarnim ciljem da se jačaju njihovi kapaciteti u dijelu pristupa finansijama i međunarodne konkurentosti.  </w:t>
      </w:r>
    </w:p>
    <w:p w14:paraId="5DE271C5" w14:textId="77777777" w:rsidR="00047EF8" w:rsidRPr="00F563CD" w:rsidRDefault="00047EF8" w:rsidP="00047EF8">
      <w:pPr>
        <w:spacing w:line="240" w:lineRule="auto"/>
        <w:jc w:val="both"/>
        <w:rPr>
          <w:rFonts w:asciiTheme="minorHAnsi" w:eastAsia="Calibri" w:hAnsiTheme="minorHAnsi" w:cstheme="minorHAnsi"/>
          <w:sz w:val="20"/>
          <w:szCs w:val="20"/>
        </w:rPr>
      </w:pPr>
      <w:r w:rsidRPr="00F563CD">
        <w:rPr>
          <w:rFonts w:asciiTheme="minorHAnsi" w:eastAsia="Calibri" w:hAnsiTheme="minorHAnsi" w:cstheme="minorHAnsi"/>
          <w:b/>
          <w:sz w:val="20"/>
          <w:szCs w:val="20"/>
        </w:rPr>
        <w:t xml:space="preserve">Izvještaj EK za Crnu Goru 2021. </w:t>
      </w:r>
      <w:r w:rsidRPr="00F563CD">
        <w:rPr>
          <w:rFonts w:asciiTheme="minorHAnsi" w:eastAsia="Calibri" w:hAnsiTheme="minorHAnsi" w:cstheme="minorHAnsi"/>
          <w:sz w:val="20"/>
          <w:szCs w:val="20"/>
        </w:rPr>
        <w:t xml:space="preserve">ocjenjuje da je Crna Gora postigla određeni napredak i da je umjereno spremna da se nosi sa pritiskom konkurencije i tržišnim snagama u okviru EU. Crna Gora je umjereno spremna/ima dobar nivo spremnosti u domenu preduzetništva i industrijske politike. Određeni napredak je ostvaren u sprovođenju industrijske politike, u skladu sa </w:t>
      </w:r>
      <w:r w:rsidRPr="00F563CD">
        <w:rPr>
          <w:rFonts w:asciiTheme="minorHAnsi" w:eastAsia="Calibri" w:hAnsiTheme="minorHAnsi" w:cstheme="minorHAnsi"/>
          <w:sz w:val="20"/>
          <w:szCs w:val="20"/>
        </w:rPr>
        <w:lastRenderedPageBreak/>
        <w:t>preporukama iz 2020. godine. Značajni napori su preduzeti u pogledu razvoja hitne podrške preduzećima tokom ekonomske krize izazvane pandemijom virusa COVID-19. Vezano za preduzeća i instrumente industrijske politike, Crna Gora je, u okviru sveobuhvatnog Programa za unaprjeđenje konkurentnosti privrede, nastavila da spovodi različite programe za razvoj preduzetništva i privatnog sektora. Crna Gora ima dobar nivo spremnosti u sektoru istraživanja i inovacija. Određeni napredak je postignut u pogledu dvije preporuke iz 2020. godine, koje se odnose na kontinuirano sprovođenje Strategije o pametnoj specijalizaciji i povećano učešće u Horizont 2020. Ulaganja u istraživanje i razvoj (R&amp;D) nastavljaju da rastu, međutim država i dalje ostaje skroman inovator.</w:t>
      </w:r>
    </w:p>
    <w:p w14:paraId="533373AC" w14:textId="77777777" w:rsidR="00047EF8" w:rsidRPr="00F563CD" w:rsidRDefault="00047EF8" w:rsidP="00047EF8">
      <w:pPr>
        <w:spacing w:line="240" w:lineRule="auto"/>
        <w:jc w:val="both"/>
        <w:rPr>
          <w:rFonts w:asciiTheme="minorHAnsi" w:eastAsia="Calibri" w:hAnsiTheme="minorHAnsi" w:cstheme="minorHAnsi"/>
          <w:sz w:val="20"/>
          <w:szCs w:val="20"/>
        </w:rPr>
      </w:pPr>
      <w:r w:rsidRPr="00F563CD">
        <w:rPr>
          <w:rFonts w:asciiTheme="minorHAnsi" w:eastAsia="Calibri" w:hAnsiTheme="minorHAnsi" w:cstheme="minorHAnsi"/>
          <w:b/>
          <w:sz w:val="20"/>
          <w:szCs w:val="20"/>
        </w:rPr>
        <w:t>Pristupno partnerstvo</w:t>
      </w:r>
      <w:r w:rsidRPr="00F563CD">
        <w:rPr>
          <w:rFonts w:asciiTheme="minorHAnsi" w:eastAsia="Calibri" w:hAnsiTheme="minorHAnsi" w:cstheme="minorHAnsi"/>
          <w:sz w:val="20"/>
          <w:szCs w:val="20"/>
        </w:rPr>
        <w:t xml:space="preserve"> definiše okvir procesa pristupanja i uspostavlja: ključne prioritetne oblasti u kojima države kandidati moraju ostvariti napredak i pretpristupnu podršku. Pristupno partnerstvo sa Crnom Gorom se, u svojim kratkoročnim i dugoročnim prioritetima, poziva na evropske standarde. Shodno tome, sljedeći paragraf odražava vezu između PP i Pristupnog partnerstva</w:t>
      </w:r>
      <w:proofErr w:type="gramStart"/>
      <w:r w:rsidRPr="00F563CD">
        <w:rPr>
          <w:rFonts w:asciiTheme="minorHAnsi" w:eastAsia="Calibri" w:hAnsiTheme="minorHAnsi" w:cstheme="minorHAnsi"/>
          <w:sz w:val="20"/>
          <w:szCs w:val="20"/>
        </w:rPr>
        <w:t>: ,,ovo</w:t>
      </w:r>
      <w:proofErr w:type="gramEnd"/>
      <w:r w:rsidRPr="00F563CD">
        <w:rPr>
          <w:rFonts w:asciiTheme="minorHAnsi" w:eastAsia="Calibri" w:hAnsiTheme="minorHAnsi" w:cstheme="minorHAnsi"/>
          <w:sz w:val="20"/>
          <w:szCs w:val="20"/>
        </w:rPr>
        <w:t xml:space="preserve"> se odnosi na određeni dio pravne tekovine EU, tj. unutrašnje tržište (sloboda kretanja robe i kapitala, carine i porezi, konkurentnost, javne nabavke, pravo intelektualne svojine, finansijske usluge, privredno pravo, zapošljavanje i socijalne politike, statistika), sektorske politike (industrija i MSP, poljoprivreda i ribarstvo, životna sredina, saobraćaj, energetika, informaciono društvo i mediji, finansijska kontrola, statistika, (…) Crna Gora mora ići ka usklađivanju zakonodavstva sa pravnom tekovinom EU u ovim oblastima, a nakon toga treba i da je sprovodi.’’</w:t>
      </w:r>
    </w:p>
    <w:p w14:paraId="77E976E8" w14:textId="77777777" w:rsidR="00047EF8" w:rsidRPr="00F563CD" w:rsidRDefault="00047EF8" w:rsidP="00047EF8">
      <w:pPr>
        <w:spacing w:line="240" w:lineRule="auto"/>
        <w:jc w:val="both"/>
        <w:rPr>
          <w:rFonts w:asciiTheme="minorHAnsi" w:hAnsiTheme="minorHAnsi" w:cstheme="minorHAnsi"/>
          <w:sz w:val="20"/>
          <w:szCs w:val="20"/>
        </w:rPr>
      </w:pPr>
      <w:r w:rsidRPr="00F563CD">
        <w:rPr>
          <w:rFonts w:asciiTheme="minorHAnsi" w:eastAsia="Calibri" w:hAnsiTheme="minorHAnsi" w:cstheme="minorHAnsi"/>
          <w:b/>
          <w:sz w:val="20"/>
          <w:szCs w:val="20"/>
        </w:rPr>
        <w:t xml:space="preserve">Program ekonomskih reformi (PER) 2020-2022 </w:t>
      </w:r>
      <w:r w:rsidRPr="00F563CD">
        <w:rPr>
          <w:rFonts w:asciiTheme="minorHAnsi" w:eastAsia="Calibri" w:hAnsiTheme="minorHAnsi" w:cstheme="minorHAnsi"/>
          <w:sz w:val="20"/>
          <w:szCs w:val="20"/>
        </w:rPr>
        <w:t xml:space="preserve">predstavlja osnovni instrument za ekonomski dijalog sa Crnom Gorom. Tokom prethodnih godina, PER je detaljno definisao smetnje koje se odnose na konkurentnost, ekonomski rast i razvoj države. Evropska komisija i Savjet su za izradu PER 2020, na Ministarskom dijalogu održanom u maju 2019. godine, izdale smjernicu br. 6. Smjernica br.6: Pojačati učešće na tržištu rada naročito mladih ljudi, žena i lica sa niskim kvalifikacijama kroz jačanje mjera aktivnog zapošljavanja, uključujući unaprijeđene mjere mjera za sticanje novih i usavršavanje postojećih vještina.  Unaprijediti koordinaciju između politike zapošljavanja i socijalnih usluga. Uspostaviti valjan mehanizam za monitoring i evaluaciju sprovođenja i rezultata praktične nastave u stručnom i visokom obrazovanju. </w:t>
      </w:r>
    </w:p>
    <w:p w14:paraId="528391EC" w14:textId="77777777" w:rsidR="00047EF8" w:rsidRPr="00F563CD" w:rsidRDefault="00047EF8" w:rsidP="00047EF8">
      <w:pPr>
        <w:spacing w:line="240" w:lineRule="auto"/>
        <w:jc w:val="both"/>
        <w:rPr>
          <w:rFonts w:asciiTheme="minorHAnsi" w:eastAsia="Calibri" w:hAnsiTheme="minorHAnsi" w:cstheme="minorHAnsi"/>
          <w:sz w:val="20"/>
          <w:szCs w:val="20"/>
        </w:rPr>
      </w:pPr>
      <w:r w:rsidRPr="00F563CD">
        <w:rPr>
          <w:rFonts w:asciiTheme="minorHAnsi" w:eastAsia="Calibri" w:hAnsiTheme="minorHAnsi" w:cstheme="minorHAnsi"/>
          <w:sz w:val="20"/>
          <w:szCs w:val="20"/>
        </w:rPr>
        <w:t xml:space="preserve">U ovom trenutku, ugovorne obaveze između EU i Crne Gore su regulisane </w:t>
      </w:r>
      <w:r w:rsidRPr="00F563CD">
        <w:rPr>
          <w:rFonts w:asciiTheme="minorHAnsi" w:eastAsia="Calibri" w:hAnsiTheme="minorHAnsi" w:cstheme="minorHAnsi"/>
          <w:b/>
          <w:sz w:val="20"/>
          <w:szCs w:val="20"/>
        </w:rPr>
        <w:t>Sporazumom o stabilizaciji i pridruživanju (SSP)</w:t>
      </w:r>
      <w:r w:rsidRPr="00F563CD">
        <w:rPr>
          <w:rFonts w:asciiTheme="minorHAnsi" w:eastAsia="Calibri" w:hAnsiTheme="minorHAnsi" w:cstheme="minorHAnsi"/>
          <w:sz w:val="20"/>
          <w:szCs w:val="20"/>
        </w:rPr>
        <w:t xml:space="preserve"> koji se takođe odnosi i na jačanje saradnje u oblasti slobode kretanja robe, kao i na usklađivanje crnogorskog tehničkog zakonodavstva, sistema ocjene usaglašenosti i procedura nadgledanja tržišta sa postojećim u Evropskoj uniji. </w:t>
      </w:r>
    </w:p>
    <w:p w14:paraId="1C81FD74" w14:textId="77777777" w:rsidR="00047EF8" w:rsidRPr="00F563CD" w:rsidRDefault="00047EF8" w:rsidP="00047EF8">
      <w:pPr>
        <w:spacing w:line="240" w:lineRule="auto"/>
        <w:jc w:val="both"/>
        <w:rPr>
          <w:rFonts w:asciiTheme="minorHAnsi" w:eastAsia="Calibri" w:hAnsiTheme="minorHAnsi" w:cstheme="minorHAnsi"/>
          <w:sz w:val="20"/>
          <w:szCs w:val="20"/>
        </w:rPr>
      </w:pPr>
      <w:r w:rsidRPr="00F563CD">
        <w:rPr>
          <w:rFonts w:asciiTheme="minorHAnsi" w:eastAsia="Calibri" w:hAnsiTheme="minorHAnsi" w:cstheme="minorHAnsi"/>
          <w:sz w:val="20"/>
          <w:szCs w:val="20"/>
        </w:rPr>
        <w:t xml:space="preserve">U vezi sa ekonomskim kriterijumom, Savjet za stabilizaciju i pridruživanje je pozdravio dostavljanje petog PER-a u februaru 2020. godine od strane Crne Gore. Savjet za stabilizaciju i pridruživanje je pozvao Crnu Goru da obezbijedi pažljivo i blagovremeno praćenje smjernica sadržanih u Zajedničkim zaključcima ekonomskog i finansijskog dijaloga između EU, Zapadnog Balkana i Turske, koji su usvojeni 17. maja 2019. godine. Savjet za stabilizaciju i pridruživanje je ohrabrio Crnu Goru da učini dodatne napore u obezbjeđivanju fiskalne održivosti, kontroli javnog duga, </w:t>
      </w:r>
      <w:r w:rsidRPr="00F563CD">
        <w:rPr>
          <w:rFonts w:asciiTheme="minorHAnsi" w:eastAsia="Calibri" w:hAnsiTheme="minorHAnsi" w:cstheme="minorHAnsi"/>
          <w:b/>
          <w:sz w:val="20"/>
          <w:szCs w:val="20"/>
        </w:rPr>
        <w:t xml:space="preserve">unaprjeđenju poslovnog i investicionog okruženja, diverzifikaciji ekonomije, kao i jačanju produktivnosti i konkurentnosti ekonomije. </w:t>
      </w:r>
      <w:r w:rsidRPr="00F563CD">
        <w:rPr>
          <w:rFonts w:asciiTheme="minorHAnsi" w:eastAsia="Calibri" w:hAnsiTheme="minorHAnsi" w:cstheme="minorHAnsi"/>
          <w:sz w:val="20"/>
          <w:szCs w:val="20"/>
        </w:rPr>
        <w:t>Takođe,</w:t>
      </w:r>
      <w:r w:rsidRPr="00F563CD">
        <w:rPr>
          <w:rFonts w:asciiTheme="minorHAnsi" w:eastAsia="Calibri" w:hAnsiTheme="minorHAnsi" w:cstheme="minorHAnsi"/>
          <w:b/>
          <w:sz w:val="20"/>
          <w:szCs w:val="20"/>
        </w:rPr>
        <w:t xml:space="preserve"> </w:t>
      </w:r>
      <w:r w:rsidRPr="00F563CD">
        <w:rPr>
          <w:rFonts w:asciiTheme="minorHAnsi" w:eastAsia="Calibri" w:hAnsiTheme="minorHAnsi" w:cstheme="minorHAnsi"/>
          <w:sz w:val="20"/>
          <w:szCs w:val="20"/>
        </w:rPr>
        <w:t xml:space="preserve">u skladu sa Deklaracijom usvojenom na Samitu EU-Zapadni Balkan u Zagrebu 6. maja 2020. godine. Kao naredni korak, Evropska komisija je pozvana da izradi snažan ekonomski i investicioni plan za region, koji bi imao za cilj jačanje ekonomija kroz unaprjeđenje konkurentnosti, bolju povezanost unutar regiona i povezanost sa EU. Kao rezultat, Zapadni Balkan bi trebao da bude u mogućnosti (1) da se u potpunosti poveže sa EU jedinstvenim tržištem (2) da otvara nova radna mjesta i stvara preduzetničke mogućnosti (3) da unaprijedi poslovnu i investicionu klimu (4) da promoviše Zelenu agendu za Zapadni Balkan i (5) da jača digitalnu ekonomiju i povezanost.  </w:t>
      </w:r>
    </w:p>
    <w:p w14:paraId="41E50223" w14:textId="77777777" w:rsidR="00047EF8" w:rsidRPr="00F563CD" w:rsidRDefault="00047EF8" w:rsidP="00047EF8">
      <w:pPr>
        <w:spacing w:line="240" w:lineRule="auto"/>
        <w:jc w:val="both"/>
        <w:rPr>
          <w:rFonts w:asciiTheme="minorHAnsi" w:hAnsiTheme="minorHAnsi" w:cstheme="minorHAnsi"/>
          <w:sz w:val="20"/>
          <w:szCs w:val="20"/>
          <w:lang w:val="fr-BE"/>
        </w:rPr>
      </w:pPr>
      <w:r w:rsidRPr="00F563CD">
        <w:rPr>
          <w:rFonts w:asciiTheme="minorHAnsi" w:hAnsiTheme="minorHAnsi" w:cstheme="minorHAnsi"/>
          <w:b/>
          <w:sz w:val="20"/>
          <w:szCs w:val="20"/>
          <w:lang w:val="fr-BE"/>
        </w:rPr>
        <w:t xml:space="preserve">Nacionalni plan usvajanja pravne tekovine EU. </w:t>
      </w:r>
      <w:r w:rsidRPr="00F563CD">
        <w:rPr>
          <w:rFonts w:asciiTheme="minorHAnsi" w:hAnsiTheme="minorHAnsi" w:cstheme="minorHAnsi"/>
          <w:sz w:val="20"/>
          <w:szCs w:val="20"/>
          <w:lang w:val="fr-BE"/>
        </w:rPr>
        <w:t xml:space="preserve">Vlada je u aprilu 2018. </w:t>
      </w:r>
      <w:proofErr w:type="gramStart"/>
      <w:r w:rsidRPr="00F563CD">
        <w:rPr>
          <w:rFonts w:asciiTheme="minorHAnsi" w:hAnsiTheme="minorHAnsi" w:cstheme="minorHAnsi"/>
          <w:sz w:val="20"/>
          <w:szCs w:val="20"/>
          <w:lang w:val="fr-BE"/>
        </w:rPr>
        <w:t>godine</w:t>
      </w:r>
      <w:proofErr w:type="gramEnd"/>
      <w:r w:rsidRPr="00F563CD">
        <w:rPr>
          <w:rFonts w:asciiTheme="minorHAnsi" w:hAnsiTheme="minorHAnsi" w:cstheme="minorHAnsi"/>
          <w:sz w:val="20"/>
          <w:szCs w:val="20"/>
          <w:lang w:val="fr-BE"/>
        </w:rPr>
        <w:t xml:space="preserve"> usvojila akcione planove za akreditaciju i standardizaciju. U vezi sa horizontalnim zakonodavstvom, crnogorski pravni okvir za slobodu kretanja robe, uključujući bezbjednost proizvoda, je velikim dijelom usklađen sa pravnom tekovinom EU. Kao što je preporučeno u prošlogodišnjem Izvještaju, Crna Gora je ažurirala Akcioni plan za usklađivanje sa pravnom tekovinom EU vezanom za ovo poglavlje, kako bi unijela sve izmjene i uticala na kašnjenja u usklađivanju. Međutim, postoji velik broj neusklađenih akata sekunadrnog zakonodavstva, kao i konstantan nedostak administrativn</w:t>
      </w:r>
      <w:r w:rsidR="0073678D" w:rsidRPr="00F563CD">
        <w:rPr>
          <w:rFonts w:asciiTheme="minorHAnsi" w:hAnsiTheme="minorHAnsi" w:cstheme="minorHAnsi"/>
          <w:sz w:val="20"/>
          <w:szCs w:val="20"/>
          <w:lang w:val="fr-BE"/>
        </w:rPr>
        <w:t>ih kapaciteta neophodnih za spro</w:t>
      </w:r>
      <w:r w:rsidRPr="00F563CD">
        <w:rPr>
          <w:rFonts w:asciiTheme="minorHAnsi" w:hAnsiTheme="minorHAnsi" w:cstheme="minorHAnsi"/>
          <w:sz w:val="20"/>
          <w:szCs w:val="20"/>
          <w:lang w:val="fr-BE"/>
        </w:rPr>
        <w:t>vođenje novog zakonodavstva.</w:t>
      </w:r>
    </w:p>
    <w:p w14:paraId="098FDEFF" w14:textId="77777777" w:rsidR="00047EF8" w:rsidRPr="00F563CD" w:rsidRDefault="00047EF8" w:rsidP="00047EF8">
      <w:pPr>
        <w:spacing w:line="240" w:lineRule="auto"/>
        <w:jc w:val="both"/>
        <w:rPr>
          <w:rFonts w:asciiTheme="minorHAnsi" w:eastAsia="Calibri" w:hAnsiTheme="minorHAnsi" w:cstheme="minorHAnsi"/>
          <w:b/>
          <w:sz w:val="20"/>
          <w:szCs w:val="20"/>
          <w:lang w:val="fr-BE"/>
        </w:rPr>
      </w:pPr>
      <w:r w:rsidRPr="00F563CD">
        <w:rPr>
          <w:rFonts w:asciiTheme="minorHAnsi" w:eastAsia="Calibri" w:hAnsiTheme="minorHAnsi" w:cstheme="minorHAnsi"/>
          <w:b/>
          <w:sz w:val="20"/>
          <w:szCs w:val="20"/>
          <w:lang w:val="fr-BE"/>
        </w:rPr>
        <w:t xml:space="preserve">Ekonomski i investicioni plan za Zapadni Balkan </w:t>
      </w:r>
      <w:r w:rsidRPr="00F563CD">
        <w:rPr>
          <w:rFonts w:asciiTheme="minorHAnsi" w:eastAsia="Calibri" w:hAnsiTheme="minorHAnsi" w:cstheme="minorHAnsi"/>
          <w:sz w:val="20"/>
          <w:szCs w:val="20"/>
          <w:lang w:val="fr-BE"/>
        </w:rPr>
        <w:t>identifikuje 10 investicionih vodećih inicijativa i ima za cilj da p</w:t>
      </w:r>
      <w:r w:rsidR="0073678D" w:rsidRPr="00F563CD">
        <w:rPr>
          <w:rFonts w:asciiTheme="minorHAnsi" w:eastAsia="Calibri" w:hAnsiTheme="minorHAnsi" w:cstheme="minorHAnsi"/>
          <w:sz w:val="20"/>
          <w:szCs w:val="20"/>
          <w:lang w:val="fr-BE"/>
        </w:rPr>
        <w:t xml:space="preserve">ruži podršku </w:t>
      </w:r>
      <w:r w:rsidRPr="00F563CD">
        <w:rPr>
          <w:rFonts w:asciiTheme="minorHAnsi" w:eastAsia="Calibri" w:hAnsiTheme="minorHAnsi" w:cstheme="minorHAnsi"/>
          <w:sz w:val="20"/>
          <w:szCs w:val="20"/>
          <w:lang w:val="fr-BE"/>
        </w:rPr>
        <w:t xml:space="preserve">dugoročnom oporavku, ubrza zelenu i digitalnu tranziciju, podrži regionalnu saradnju i približavanje EU. </w:t>
      </w:r>
      <w:r w:rsidR="000102DB" w:rsidRPr="00F563CD">
        <w:rPr>
          <w:rFonts w:asciiTheme="minorHAnsi" w:eastAsia="Calibri" w:hAnsiTheme="minorHAnsi" w:cstheme="minorHAnsi"/>
          <w:sz w:val="20"/>
          <w:szCs w:val="20"/>
          <w:lang w:val="fr-BE"/>
        </w:rPr>
        <w:t xml:space="preserve">U </w:t>
      </w:r>
      <w:r w:rsidRPr="00F563CD">
        <w:rPr>
          <w:rFonts w:asciiTheme="minorHAnsi" w:eastAsia="Calibri" w:hAnsiTheme="minorHAnsi" w:cstheme="minorHAnsi"/>
          <w:sz w:val="20"/>
          <w:szCs w:val="20"/>
          <w:lang w:val="fr-BE"/>
        </w:rPr>
        <w:t>Plan</w:t>
      </w:r>
      <w:r w:rsidR="000102DB" w:rsidRPr="00F563CD">
        <w:rPr>
          <w:rFonts w:asciiTheme="minorHAnsi" w:eastAsia="Calibri" w:hAnsiTheme="minorHAnsi" w:cstheme="minorHAnsi"/>
          <w:sz w:val="20"/>
          <w:szCs w:val="20"/>
          <w:lang w:val="fr-BE"/>
        </w:rPr>
        <w:t xml:space="preserve">u </w:t>
      </w:r>
      <w:proofErr w:type="gramStart"/>
      <w:r w:rsidR="000102DB" w:rsidRPr="00F563CD">
        <w:rPr>
          <w:rFonts w:asciiTheme="minorHAnsi" w:eastAsia="Calibri" w:hAnsiTheme="minorHAnsi" w:cstheme="minorHAnsi"/>
          <w:sz w:val="20"/>
          <w:szCs w:val="20"/>
          <w:lang w:val="fr-BE"/>
        </w:rPr>
        <w:t xml:space="preserve">je </w:t>
      </w:r>
      <w:r w:rsidRPr="00F563CD">
        <w:rPr>
          <w:rFonts w:asciiTheme="minorHAnsi" w:eastAsia="Calibri" w:hAnsiTheme="minorHAnsi" w:cstheme="minorHAnsi"/>
          <w:sz w:val="20"/>
          <w:szCs w:val="20"/>
          <w:lang w:val="fr-BE"/>
        </w:rPr>
        <w:t xml:space="preserve"> </w:t>
      </w:r>
      <w:r w:rsidR="000102DB" w:rsidRPr="00F563CD">
        <w:rPr>
          <w:rFonts w:asciiTheme="minorHAnsi" w:eastAsia="Calibri" w:hAnsiTheme="minorHAnsi" w:cstheme="minorHAnsi"/>
          <w:sz w:val="20"/>
          <w:szCs w:val="20"/>
          <w:lang w:val="fr-BE"/>
        </w:rPr>
        <w:t>istaknuto</w:t>
      </w:r>
      <w:proofErr w:type="gramEnd"/>
      <w:r w:rsidRPr="00F563CD">
        <w:rPr>
          <w:rFonts w:asciiTheme="minorHAnsi" w:eastAsia="Calibri" w:hAnsiTheme="minorHAnsi" w:cstheme="minorHAnsi"/>
          <w:sz w:val="20"/>
          <w:szCs w:val="20"/>
          <w:lang w:val="fr-BE"/>
        </w:rPr>
        <w:t xml:space="preserve"> da su razvoj privatnog sekt</w:t>
      </w:r>
      <w:r w:rsidR="000102DB" w:rsidRPr="00F563CD">
        <w:rPr>
          <w:rFonts w:asciiTheme="minorHAnsi" w:eastAsia="Calibri" w:hAnsiTheme="minorHAnsi" w:cstheme="minorHAnsi"/>
          <w:sz w:val="20"/>
          <w:szCs w:val="20"/>
          <w:lang w:val="fr-BE"/>
        </w:rPr>
        <w:t>ora i trgovine ključni za unapr</w:t>
      </w:r>
      <w:r w:rsidRPr="00F563CD">
        <w:rPr>
          <w:rFonts w:asciiTheme="minorHAnsi" w:eastAsia="Calibri" w:hAnsiTheme="minorHAnsi" w:cstheme="minorHAnsi"/>
          <w:sz w:val="20"/>
          <w:szCs w:val="20"/>
          <w:lang w:val="fr-BE"/>
        </w:rPr>
        <w:t>eđenje konkurentnosti regiona i otvaranje novih radnih mjesta. Vodeća inicijativa 9 – Ulaganje u konkurentnost privatnog sektora kroz pružanje finansijske podrške usmjerene na jačanje konkurentnosti MSP u strateškim sektorima, očuvanje zelenog rasta i cirkularne ekonomije, je kroz novi Garantni fond za Zapadni Balkan usklađena sa nacionalnim</w:t>
      </w:r>
      <w:r w:rsidR="0088328A" w:rsidRPr="00F563CD">
        <w:rPr>
          <w:rFonts w:asciiTheme="minorHAnsi" w:eastAsia="Calibri" w:hAnsiTheme="minorHAnsi" w:cstheme="minorHAnsi"/>
          <w:sz w:val="20"/>
          <w:szCs w:val="20"/>
          <w:lang w:val="fr-BE"/>
        </w:rPr>
        <w:t xml:space="preserve"> stra</w:t>
      </w:r>
      <w:r w:rsidRPr="00F563CD">
        <w:rPr>
          <w:rFonts w:asciiTheme="minorHAnsi" w:eastAsia="Calibri" w:hAnsiTheme="minorHAnsi" w:cstheme="minorHAnsi"/>
          <w:sz w:val="20"/>
          <w:szCs w:val="20"/>
          <w:lang w:val="fr-BE"/>
        </w:rPr>
        <w:t xml:space="preserve">tegijama, tj. </w:t>
      </w:r>
      <w:proofErr w:type="gramStart"/>
      <w:r w:rsidRPr="00F563CD">
        <w:rPr>
          <w:rFonts w:asciiTheme="minorHAnsi" w:eastAsia="Calibri" w:hAnsiTheme="minorHAnsi" w:cstheme="minorHAnsi"/>
          <w:sz w:val="20"/>
          <w:szCs w:val="20"/>
          <w:lang w:val="fr-BE"/>
        </w:rPr>
        <w:t>industrijskom</w:t>
      </w:r>
      <w:proofErr w:type="gramEnd"/>
      <w:r w:rsidRPr="00F563CD">
        <w:rPr>
          <w:rFonts w:asciiTheme="minorHAnsi" w:eastAsia="Calibri" w:hAnsiTheme="minorHAnsi" w:cstheme="minorHAnsi"/>
          <w:sz w:val="20"/>
          <w:szCs w:val="20"/>
          <w:lang w:val="fr-BE"/>
        </w:rPr>
        <w:t xml:space="preserve"> politikom i S3. Nacionalne strategije, koje predstavljaju mjere podrške sprovođenju Vodeće inicijative 9 Ekonomskog i investiocionog plana za Zapadni Balkan, imaju za </w:t>
      </w:r>
      <w:r w:rsidRPr="00F563CD">
        <w:rPr>
          <w:rFonts w:asciiTheme="minorHAnsi" w:eastAsia="Calibri" w:hAnsiTheme="minorHAnsi" w:cstheme="minorHAnsi"/>
          <w:sz w:val="20"/>
          <w:szCs w:val="20"/>
          <w:lang w:val="fr-BE"/>
        </w:rPr>
        <w:lastRenderedPageBreak/>
        <w:t>cilj unaprjeđenje preduzetničkih kapaciteta u crnogorskoj ekonomiji, sprovođenje S3 razvojnih principa, razvijanje</w:t>
      </w:r>
      <w:r w:rsidR="0088328A" w:rsidRPr="00F563CD">
        <w:rPr>
          <w:rFonts w:asciiTheme="minorHAnsi" w:eastAsia="Calibri" w:hAnsiTheme="minorHAnsi" w:cstheme="minorHAnsi"/>
          <w:sz w:val="20"/>
          <w:szCs w:val="20"/>
          <w:lang w:val="fr-BE"/>
        </w:rPr>
        <w:t xml:space="preserve"> ženskog preduzentništvo, unapr</w:t>
      </w:r>
      <w:r w:rsidR="0027489B" w:rsidRPr="00F563CD">
        <w:rPr>
          <w:rFonts w:asciiTheme="minorHAnsi" w:eastAsia="Calibri" w:hAnsiTheme="minorHAnsi" w:cstheme="minorHAnsi"/>
          <w:sz w:val="20"/>
          <w:szCs w:val="20"/>
          <w:lang w:val="fr-BE"/>
        </w:rPr>
        <w:t xml:space="preserve">eđenje </w:t>
      </w:r>
      <w:r w:rsidRPr="00F563CD">
        <w:rPr>
          <w:rFonts w:asciiTheme="minorHAnsi" w:eastAsia="Calibri" w:hAnsiTheme="minorHAnsi" w:cstheme="minorHAnsi"/>
          <w:sz w:val="20"/>
          <w:szCs w:val="20"/>
          <w:lang w:val="fr-BE"/>
        </w:rPr>
        <w:t>pristupa finansijama, kao i jačanje efikasnosti poslovnih operacija.</w:t>
      </w:r>
      <w:r w:rsidRPr="00F563CD">
        <w:rPr>
          <w:rFonts w:asciiTheme="minorHAnsi" w:hAnsiTheme="minorHAnsi" w:cstheme="minorHAnsi"/>
          <w:iCs/>
          <w:sz w:val="20"/>
          <w:szCs w:val="20"/>
          <w:lang w:val="fr-BE"/>
        </w:rPr>
        <w:t xml:space="preserve"> </w:t>
      </w:r>
      <w:r w:rsidRPr="00F563CD">
        <w:rPr>
          <w:rFonts w:asciiTheme="minorHAnsi" w:eastAsia="Calibri" w:hAnsiTheme="minorHAnsi" w:cstheme="minorHAnsi"/>
          <w:b/>
          <w:sz w:val="20"/>
          <w:szCs w:val="20"/>
          <w:lang w:val="fr-BE"/>
        </w:rPr>
        <w:t xml:space="preserve"> </w:t>
      </w:r>
    </w:p>
    <w:p w14:paraId="6F6A8DCA" w14:textId="77777777" w:rsidR="00047EF8" w:rsidRPr="00F563CD" w:rsidRDefault="00047EF8" w:rsidP="00047EF8">
      <w:pPr>
        <w:spacing w:after="0" w:line="240" w:lineRule="auto"/>
        <w:jc w:val="both"/>
        <w:rPr>
          <w:rFonts w:asciiTheme="minorHAnsi" w:hAnsiTheme="minorHAnsi" w:cstheme="minorHAnsi"/>
          <w:iCs/>
          <w:sz w:val="20"/>
          <w:szCs w:val="20"/>
          <w:lang w:val="fr-BE"/>
        </w:rPr>
      </w:pPr>
      <w:r w:rsidRPr="00F563CD">
        <w:rPr>
          <w:rFonts w:asciiTheme="minorHAnsi" w:hAnsiTheme="minorHAnsi" w:cstheme="minorHAnsi"/>
          <w:iCs/>
          <w:sz w:val="20"/>
          <w:szCs w:val="20"/>
          <w:lang w:val="fr-BE"/>
        </w:rPr>
        <w:t xml:space="preserve">Saopštenje Evropske komisije </w:t>
      </w:r>
      <w:r w:rsidRPr="00F563CD">
        <w:rPr>
          <w:rFonts w:asciiTheme="minorHAnsi" w:hAnsiTheme="minorHAnsi" w:cstheme="minorHAnsi"/>
          <w:i/>
          <w:iCs/>
          <w:sz w:val="20"/>
          <w:szCs w:val="20"/>
          <w:lang w:val="fr-BE"/>
        </w:rPr>
        <w:t>Ulaganje u pametnu, inovativnu i održivu industriju - Inovirana EU strategija industrijske politike</w:t>
      </w:r>
      <w:r w:rsidRPr="00F563CD">
        <w:rPr>
          <w:rFonts w:asciiTheme="minorHAnsi" w:hAnsiTheme="minorHAnsi" w:cstheme="minorHAnsi"/>
          <w:iCs/>
          <w:sz w:val="20"/>
          <w:szCs w:val="20"/>
          <w:lang w:val="fr-BE"/>
        </w:rPr>
        <w:t xml:space="preserve"> naglašava potrebu za jačanjem sposobnosti EU industrije za kontinuiranim prilagođavanjem i inoviranjem kroz olakšane investicije u nove tehnologije i prihvatanje izmjena koje donosi povećana digitalizacija i tranzicija na niskokarbonsku i cir</w:t>
      </w:r>
      <w:r w:rsidR="0027489B" w:rsidRPr="00F563CD">
        <w:rPr>
          <w:rFonts w:asciiTheme="minorHAnsi" w:hAnsiTheme="minorHAnsi" w:cstheme="minorHAnsi"/>
          <w:iCs/>
          <w:sz w:val="20"/>
          <w:szCs w:val="20"/>
          <w:lang w:val="fr-BE"/>
        </w:rPr>
        <w:t>kularniju ekonomiju. U skladu s</w:t>
      </w:r>
      <w:r w:rsidRPr="00F563CD">
        <w:rPr>
          <w:rFonts w:asciiTheme="minorHAnsi" w:hAnsiTheme="minorHAnsi" w:cstheme="minorHAnsi"/>
          <w:iCs/>
          <w:sz w:val="20"/>
          <w:szCs w:val="20"/>
          <w:lang w:val="fr-BE"/>
        </w:rPr>
        <w:t xml:space="preserve"> EU principima vezanim za industrijski razvoj, u narednom periodu je ključna saradnja između javnog sektora i kompanija, dok se od industrijskog</w:t>
      </w:r>
      <w:r w:rsidR="00A5057A" w:rsidRPr="00F563CD">
        <w:rPr>
          <w:rFonts w:asciiTheme="minorHAnsi" w:hAnsiTheme="minorHAnsi" w:cstheme="minorHAnsi"/>
          <w:iCs/>
          <w:sz w:val="20"/>
          <w:szCs w:val="20"/>
          <w:lang w:val="fr-BE"/>
        </w:rPr>
        <w:t xml:space="preserve"> sektora očekuje da radi na nad</w:t>
      </w:r>
      <w:r w:rsidRPr="00F563CD">
        <w:rPr>
          <w:rFonts w:asciiTheme="minorHAnsi" w:hAnsiTheme="minorHAnsi" w:cstheme="minorHAnsi"/>
          <w:iCs/>
          <w:sz w:val="20"/>
          <w:szCs w:val="20"/>
          <w:lang w:val="fr-BE"/>
        </w:rPr>
        <w:t>gradnji tehnološke b</w:t>
      </w:r>
      <w:r w:rsidR="00A5057A" w:rsidRPr="00F563CD">
        <w:rPr>
          <w:rFonts w:asciiTheme="minorHAnsi" w:hAnsiTheme="minorHAnsi" w:cstheme="minorHAnsi"/>
          <w:iCs/>
          <w:sz w:val="20"/>
          <w:szCs w:val="20"/>
          <w:lang w:val="fr-BE"/>
        </w:rPr>
        <w:t>aze, nad</w:t>
      </w:r>
      <w:r w:rsidRPr="00F563CD">
        <w:rPr>
          <w:rFonts w:asciiTheme="minorHAnsi" w:hAnsiTheme="minorHAnsi" w:cstheme="minorHAnsi"/>
          <w:iCs/>
          <w:sz w:val="20"/>
          <w:szCs w:val="20"/>
          <w:lang w:val="fr-BE"/>
        </w:rPr>
        <w:t>gradnji poslovnih modela koji su prilagođeni budućim potrebama, internalizaciji principa održivog razvoja i prihvatanju inovacija.</w:t>
      </w:r>
    </w:p>
    <w:p w14:paraId="65CE5E37" w14:textId="77777777" w:rsidR="00047EF8" w:rsidRPr="00F563CD" w:rsidRDefault="00047EF8" w:rsidP="00047EF8">
      <w:pPr>
        <w:spacing w:after="0" w:line="240" w:lineRule="auto"/>
        <w:jc w:val="both"/>
        <w:rPr>
          <w:rFonts w:asciiTheme="minorHAnsi" w:hAnsiTheme="minorHAnsi" w:cstheme="minorHAnsi"/>
          <w:iCs/>
          <w:sz w:val="20"/>
          <w:szCs w:val="20"/>
          <w:lang w:val="fr-BE"/>
        </w:rPr>
      </w:pPr>
    </w:p>
    <w:p w14:paraId="39014A1C" w14:textId="77777777" w:rsidR="00047EF8" w:rsidRPr="00F563CD" w:rsidRDefault="00A5057A" w:rsidP="00047EF8">
      <w:pPr>
        <w:spacing w:after="0" w:line="240" w:lineRule="auto"/>
        <w:jc w:val="both"/>
        <w:rPr>
          <w:rFonts w:asciiTheme="minorHAnsi" w:hAnsiTheme="minorHAnsi" w:cstheme="minorHAnsi"/>
          <w:iCs/>
          <w:sz w:val="20"/>
          <w:szCs w:val="20"/>
          <w:lang w:val="fr-BE"/>
        </w:rPr>
      </w:pPr>
      <w:r w:rsidRPr="00F563CD">
        <w:rPr>
          <w:rFonts w:asciiTheme="minorHAnsi" w:hAnsiTheme="minorHAnsi" w:cstheme="minorHAnsi"/>
          <w:iCs/>
          <w:sz w:val="20"/>
          <w:szCs w:val="20"/>
          <w:lang w:val="fr-BE"/>
        </w:rPr>
        <w:t>U dokumentu</w:t>
      </w:r>
      <w:r w:rsidRPr="00F563CD">
        <w:rPr>
          <w:rFonts w:asciiTheme="minorHAnsi" w:hAnsiTheme="minorHAnsi" w:cstheme="minorHAnsi"/>
          <w:i/>
          <w:iCs/>
          <w:sz w:val="20"/>
          <w:szCs w:val="20"/>
          <w:u w:val="single"/>
          <w:lang w:val="fr-BE"/>
        </w:rPr>
        <w:t xml:space="preserve"> </w:t>
      </w:r>
      <w:r w:rsidR="00047EF8" w:rsidRPr="00F563CD">
        <w:rPr>
          <w:rFonts w:asciiTheme="minorHAnsi" w:hAnsiTheme="minorHAnsi" w:cstheme="minorHAnsi"/>
          <w:i/>
          <w:iCs/>
          <w:sz w:val="20"/>
          <w:szCs w:val="20"/>
          <w:u w:val="single"/>
          <w:lang w:val="fr-BE"/>
        </w:rPr>
        <w:t xml:space="preserve">Povezanošću do konkurentnog jedinstvenog digitalnog tržišta – U susret evropskom gigabitnom društvu </w:t>
      </w:r>
      <w:r w:rsidR="00047EF8" w:rsidRPr="00F563CD">
        <w:rPr>
          <w:rFonts w:asciiTheme="minorHAnsi" w:hAnsiTheme="minorHAnsi" w:cstheme="minorHAnsi"/>
          <w:iCs/>
          <w:sz w:val="20"/>
          <w:szCs w:val="20"/>
          <w:lang w:val="fr-BE"/>
        </w:rPr>
        <w:t xml:space="preserve">ističe </w:t>
      </w:r>
      <w:r w:rsidRPr="00F563CD">
        <w:rPr>
          <w:rFonts w:asciiTheme="minorHAnsi" w:hAnsiTheme="minorHAnsi" w:cstheme="minorHAnsi"/>
          <w:iCs/>
          <w:sz w:val="20"/>
          <w:szCs w:val="20"/>
          <w:lang w:val="fr-BE"/>
        </w:rPr>
        <w:t xml:space="preserve">se </w:t>
      </w:r>
      <w:r w:rsidR="00047EF8" w:rsidRPr="00F563CD">
        <w:rPr>
          <w:rFonts w:asciiTheme="minorHAnsi" w:hAnsiTheme="minorHAnsi" w:cstheme="minorHAnsi"/>
          <w:iCs/>
          <w:sz w:val="20"/>
          <w:szCs w:val="20"/>
          <w:lang w:val="fr-BE"/>
        </w:rPr>
        <w:t xml:space="preserve">da je pristup internetu </w:t>
      </w:r>
      <w:r w:rsidRPr="00F563CD">
        <w:rPr>
          <w:rFonts w:asciiTheme="minorHAnsi" w:hAnsiTheme="minorHAnsi" w:cstheme="minorHAnsi"/>
          <w:iCs/>
          <w:sz w:val="20"/>
          <w:szCs w:val="20"/>
          <w:lang w:val="fr-BE"/>
        </w:rPr>
        <w:t xml:space="preserve">danas </w:t>
      </w:r>
      <w:r w:rsidR="00047EF8" w:rsidRPr="00F563CD">
        <w:rPr>
          <w:rFonts w:asciiTheme="minorHAnsi" w:hAnsiTheme="minorHAnsi" w:cstheme="minorHAnsi"/>
          <w:iCs/>
          <w:sz w:val="20"/>
          <w:szCs w:val="20"/>
          <w:lang w:val="fr-BE"/>
        </w:rPr>
        <w:t xml:space="preserve">važan </w:t>
      </w:r>
      <w:r w:rsidRPr="00F563CD">
        <w:rPr>
          <w:rFonts w:asciiTheme="minorHAnsi" w:hAnsiTheme="minorHAnsi" w:cstheme="minorHAnsi"/>
          <w:iCs/>
          <w:sz w:val="20"/>
          <w:szCs w:val="20"/>
          <w:lang w:val="fr-BE"/>
        </w:rPr>
        <w:t xml:space="preserve">upravo </w:t>
      </w:r>
      <w:r w:rsidR="00047EF8" w:rsidRPr="00F563CD">
        <w:rPr>
          <w:rFonts w:asciiTheme="minorHAnsi" w:hAnsiTheme="minorHAnsi" w:cstheme="minorHAnsi"/>
          <w:iCs/>
          <w:sz w:val="20"/>
          <w:szCs w:val="20"/>
          <w:lang w:val="fr-BE"/>
        </w:rPr>
        <w:t xml:space="preserve">u onoj mjeri u kojoj je struja bila značajna tokom druge industrijske revolucije, kako za ekonomiju, tako i za društvo. Naredni talas konkurentnosti i inovacija će biti zasnovan na benefitima koje će jedinstveno digitalno tržište imati po biznis i građane.  </w:t>
      </w:r>
    </w:p>
    <w:p w14:paraId="0184DDC1" w14:textId="77777777" w:rsidR="00047EF8" w:rsidRPr="00F563CD" w:rsidRDefault="00047EF8" w:rsidP="00047EF8">
      <w:pPr>
        <w:spacing w:after="0" w:line="240" w:lineRule="auto"/>
        <w:jc w:val="both"/>
        <w:rPr>
          <w:rFonts w:asciiTheme="minorHAnsi" w:hAnsiTheme="minorHAnsi" w:cstheme="minorHAnsi"/>
          <w:iCs/>
          <w:sz w:val="20"/>
          <w:szCs w:val="20"/>
          <w:lang w:val="fr-BE"/>
        </w:rPr>
      </w:pPr>
    </w:p>
    <w:p w14:paraId="613BF6D3" w14:textId="77777777" w:rsidR="00047EF8" w:rsidRPr="00F563CD" w:rsidRDefault="00047EF8" w:rsidP="00047EF8">
      <w:pPr>
        <w:spacing w:after="0" w:line="240" w:lineRule="auto"/>
        <w:jc w:val="both"/>
        <w:rPr>
          <w:rFonts w:asciiTheme="minorHAnsi" w:hAnsiTheme="minorHAnsi" w:cstheme="minorHAnsi"/>
          <w:iCs/>
          <w:sz w:val="20"/>
          <w:szCs w:val="20"/>
          <w:lang w:val="fr-BE"/>
        </w:rPr>
      </w:pPr>
      <w:r w:rsidRPr="00F563CD">
        <w:rPr>
          <w:rFonts w:asciiTheme="minorHAnsi" w:hAnsiTheme="minorHAnsi" w:cstheme="minorHAnsi"/>
          <w:iCs/>
          <w:sz w:val="20"/>
          <w:szCs w:val="20"/>
          <w:lang w:val="fr-BE"/>
        </w:rPr>
        <w:t xml:space="preserve">Nacionalni strateški okvir takođe obuhvata priorotete </w:t>
      </w:r>
      <w:r w:rsidRPr="00F563CD">
        <w:rPr>
          <w:rFonts w:asciiTheme="minorHAnsi" w:hAnsiTheme="minorHAnsi" w:cstheme="minorHAnsi"/>
          <w:b/>
          <w:iCs/>
          <w:sz w:val="20"/>
          <w:szCs w:val="20"/>
          <w:lang w:val="fr-BE"/>
        </w:rPr>
        <w:t>Strategije za Zapadni Bakan</w:t>
      </w:r>
      <w:r w:rsidRPr="00F563CD">
        <w:rPr>
          <w:rFonts w:asciiTheme="minorHAnsi" w:hAnsiTheme="minorHAnsi" w:cstheme="minorHAnsi"/>
          <w:iCs/>
          <w:sz w:val="20"/>
          <w:szCs w:val="20"/>
          <w:lang w:val="fr-BE"/>
        </w:rPr>
        <w:t xml:space="preserve"> investiranjem u socio-ekonomski razvoj, u cilju povećanja rasta i otvaranja novih radnih mjesta. Ove strategije se fokusiraju na inovacije, istraživanje i razvoj, slijedeći time agendu Vodeće inicjative 3. </w:t>
      </w:r>
    </w:p>
    <w:p w14:paraId="5478E1F5" w14:textId="77777777" w:rsidR="00047EF8" w:rsidRPr="00F563CD" w:rsidRDefault="00047EF8" w:rsidP="00047EF8">
      <w:pPr>
        <w:spacing w:after="0" w:line="240" w:lineRule="auto"/>
        <w:jc w:val="both"/>
        <w:rPr>
          <w:rFonts w:asciiTheme="minorHAnsi" w:hAnsiTheme="minorHAnsi" w:cstheme="minorHAnsi"/>
          <w:iCs/>
          <w:sz w:val="20"/>
          <w:szCs w:val="20"/>
          <w:lang w:val="fr-BE"/>
        </w:rPr>
      </w:pPr>
    </w:p>
    <w:p w14:paraId="3C81491F" w14:textId="77777777" w:rsidR="00047EF8" w:rsidRPr="00F563CD" w:rsidRDefault="00047EF8" w:rsidP="00047EF8">
      <w:pPr>
        <w:shd w:val="clear" w:color="auto" w:fill="FFFFFF"/>
        <w:spacing w:line="240" w:lineRule="auto"/>
        <w:jc w:val="both"/>
        <w:rPr>
          <w:rFonts w:asciiTheme="minorHAnsi" w:hAnsiTheme="minorHAnsi" w:cstheme="minorHAnsi"/>
          <w:iCs/>
          <w:sz w:val="20"/>
          <w:szCs w:val="20"/>
          <w:lang w:val="fr-BE"/>
        </w:rPr>
      </w:pPr>
      <w:r w:rsidRPr="00F563CD">
        <w:rPr>
          <w:rFonts w:asciiTheme="minorHAnsi" w:hAnsiTheme="minorHAnsi" w:cstheme="minorHAnsi"/>
          <w:iCs/>
          <w:sz w:val="20"/>
          <w:szCs w:val="20"/>
          <w:lang w:val="fr-BE"/>
        </w:rPr>
        <w:t xml:space="preserve">Obaveze Crne Gore vezane za pregovarački proces u potpunosti se reflektuju na nacionalna strateška dokumenta. Strateški okvir koji je relevantan za nauku i istraživanje podržava pripreme Crne Gore za Poglavlje 25 </w:t>
      </w:r>
      <w:r w:rsidRPr="00F563CD">
        <w:rPr>
          <w:rFonts w:asciiTheme="minorHAnsi" w:hAnsiTheme="minorHAnsi" w:cstheme="minorHAnsi"/>
          <w:b/>
          <w:iCs/>
          <w:sz w:val="20"/>
          <w:szCs w:val="20"/>
          <w:lang w:val="fr-BE"/>
        </w:rPr>
        <w:t>Nauka i istraživanje</w:t>
      </w:r>
      <w:r w:rsidRPr="00F563CD">
        <w:rPr>
          <w:rFonts w:asciiTheme="minorHAnsi" w:hAnsiTheme="minorHAnsi" w:cstheme="minorHAnsi"/>
          <w:iCs/>
          <w:sz w:val="20"/>
          <w:szCs w:val="20"/>
          <w:lang w:val="fr-BE"/>
        </w:rPr>
        <w:t xml:space="preserve">, u kojem je država već ostvarila </w:t>
      </w:r>
      <w:r w:rsidRPr="00F563CD">
        <w:rPr>
          <w:rFonts w:asciiTheme="minorHAnsi" w:hAnsiTheme="minorHAnsi" w:cstheme="minorHAnsi"/>
          <w:b/>
          <w:iCs/>
          <w:sz w:val="20"/>
          <w:szCs w:val="20"/>
          <w:lang w:val="fr-BE"/>
        </w:rPr>
        <w:t xml:space="preserve">dobar nivo spremnosti </w:t>
      </w:r>
      <w:r w:rsidRPr="00F563CD">
        <w:rPr>
          <w:rFonts w:asciiTheme="minorHAnsi" w:hAnsiTheme="minorHAnsi" w:cstheme="minorHAnsi"/>
          <w:iCs/>
          <w:sz w:val="20"/>
          <w:szCs w:val="20"/>
          <w:lang w:val="fr-BE"/>
        </w:rPr>
        <w:t xml:space="preserve">(Poglavlje je privremeno zatvoreno 2012. </w:t>
      </w:r>
      <w:proofErr w:type="gramStart"/>
      <w:r w:rsidRPr="00F563CD">
        <w:rPr>
          <w:rFonts w:asciiTheme="minorHAnsi" w:hAnsiTheme="minorHAnsi" w:cstheme="minorHAnsi"/>
          <w:iCs/>
          <w:sz w:val="20"/>
          <w:szCs w:val="20"/>
          <w:lang w:val="fr-BE"/>
        </w:rPr>
        <w:t>godine</w:t>
      </w:r>
      <w:proofErr w:type="gramEnd"/>
      <w:r w:rsidRPr="00F563CD">
        <w:rPr>
          <w:rFonts w:asciiTheme="minorHAnsi" w:hAnsiTheme="minorHAnsi" w:cstheme="minorHAnsi"/>
          <w:iCs/>
          <w:sz w:val="20"/>
          <w:szCs w:val="20"/>
          <w:lang w:val="fr-BE"/>
        </w:rPr>
        <w:t>).</w:t>
      </w:r>
    </w:p>
    <w:p w14:paraId="46DF114A" w14:textId="01BA4ED8" w:rsidR="00047EF8" w:rsidRPr="00F563CD" w:rsidRDefault="00047EF8" w:rsidP="00047EF8">
      <w:pPr>
        <w:spacing w:line="240" w:lineRule="auto"/>
        <w:jc w:val="both"/>
        <w:rPr>
          <w:rFonts w:asciiTheme="minorHAnsi" w:hAnsiTheme="minorHAnsi" w:cstheme="minorHAnsi"/>
          <w:iCs/>
          <w:sz w:val="20"/>
          <w:szCs w:val="20"/>
          <w:lang w:val="fr-BE"/>
        </w:rPr>
      </w:pPr>
      <w:r w:rsidRPr="00F563CD">
        <w:rPr>
          <w:rFonts w:asciiTheme="minorHAnsi" w:hAnsiTheme="minorHAnsi" w:cstheme="minorHAnsi"/>
          <w:iCs/>
          <w:sz w:val="20"/>
          <w:szCs w:val="20"/>
          <w:lang w:val="fr-BE"/>
        </w:rPr>
        <w:t xml:space="preserve">Crna Gora teži usklađivanju svog istraživačkog sistema sa </w:t>
      </w:r>
      <w:r w:rsidRPr="00F563CD">
        <w:rPr>
          <w:rFonts w:asciiTheme="minorHAnsi" w:hAnsiTheme="minorHAnsi" w:cstheme="minorHAnsi"/>
          <w:b/>
          <w:iCs/>
          <w:sz w:val="20"/>
          <w:szCs w:val="20"/>
          <w:lang w:val="fr-BE"/>
        </w:rPr>
        <w:t>Evropskim istraživačkim prostorom (ERA)</w:t>
      </w:r>
      <w:r w:rsidRPr="00F563CD">
        <w:rPr>
          <w:rFonts w:asciiTheme="minorHAnsi" w:hAnsiTheme="minorHAnsi" w:cstheme="minorHAnsi"/>
          <w:iCs/>
          <w:sz w:val="20"/>
          <w:szCs w:val="20"/>
          <w:lang w:val="fr-BE"/>
        </w:rPr>
        <w:t xml:space="preserve">, u kojem je ‘’Otvorena nauka’’ postala uobičajeni način poslovanja istraživača, finansijera istraživanja i ostalih zainteresovanih lica. Odredbe Programa ostvarivanja principa ‘’Otvorena nauka’’ u Crnoj Gori (2020-2022) su usklađene sa zahtjevima koji se odnose na otvoreni pristup publikacijama i istraživačkim podacima u Horizontu 2020, okvirnom programu za istraživanje i inovacije (2014-2020), uzimajući u obzir razvoj Otvorene nauke koja će biti uključena u Horizont Evropa okvirni program za istraživanje i inovacije (2021-2027), tj. </w:t>
      </w:r>
      <w:proofErr w:type="gramStart"/>
      <w:r w:rsidRPr="00F563CD">
        <w:rPr>
          <w:rFonts w:asciiTheme="minorHAnsi" w:hAnsiTheme="minorHAnsi" w:cstheme="minorHAnsi"/>
          <w:iCs/>
          <w:sz w:val="20"/>
          <w:szCs w:val="20"/>
          <w:lang w:val="fr-BE"/>
        </w:rPr>
        <w:t>dio</w:t>
      </w:r>
      <w:proofErr w:type="gramEnd"/>
      <w:r w:rsidRPr="00F563CD">
        <w:rPr>
          <w:rFonts w:asciiTheme="minorHAnsi" w:hAnsiTheme="minorHAnsi" w:cstheme="minorHAnsi"/>
          <w:iCs/>
          <w:sz w:val="20"/>
          <w:szCs w:val="20"/>
          <w:lang w:val="fr-BE"/>
        </w:rPr>
        <w:t xml:space="preserve"> koji se odnosi na istraživačku infrastrukturu, vještine i obuke, kao i na ocjenu istraživanja. Poseban fokus treba staviti na otvoreni pristup istraživačkim infrastrukturama, s obzirom da to omogućava privlačenje izvrsnih istraživača i obezbjeđivanje pristupa </w:t>
      </w:r>
      <w:r w:rsidR="00DA5F8F" w:rsidRPr="00F563CD">
        <w:rPr>
          <w:rFonts w:asciiTheme="minorHAnsi" w:hAnsiTheme="minorHAnsi" w:cstheme="minorHAnsi"/>
          <w:iCs/>
          <w:sz w:val="20"/>
          <w:szCs w:val="20"/>
          <w:lang w:val="fr-BE"/>
        </w:rPr>
        <w:t>relevantnim mrežama</w:t>
      </w:r>
      <w:r w:rsidRPr="00F563CD">
        <w:rPr>
          <w:rFonts w:asciiTheme="minorHAnsi" w:hAnsiTheme="minorHAnsi" w:cstheme="minorHAnsi"/>
          <w:iCs/>
          <w:sz w:val="20"/>
          <w:szCs w:val="20"/>
          <w:lang w:val="fr-BE"/>
        </w:rPr>
        <w:t xml:space="preserve"> istraživača. U narednom periodu, treba uložiti napore u jačanje vidljivosti nacionalne infrastrukture, kako bi ista bila otvorena za potencijalne korisnike. Ovakav pristup, takođe, stvara bolje šanse za podsticanje interdisciplinarnosti, međunarodne i međusektorske mobilnosti, kao i za bolju upotrebu EU i drugih dostupnih fondova, prije svega zahvaljujući integraciji različitih aktera oko zajedničkih prioriteta.</w:t>
      </w:r>
    </w:p>
    <w:p w14:paraId="76A7145A" w14:textId="77777777" w:rsidR="00047EF8" w:rsidRPr="00F563CD" w:rsidRDefault="00047EF8" w:rsidP="00047EF8">
      <w:pPr>
        <w:spacing w:line="240" w:lineRule="auto"/>
        <w:jc w:val="both"/>
        <w:rPr>
          <w:rFonts w:asciiTheme="minorHAnsi" w:hAnsiTheme="minorHAnsi" w:cstheme="minorHAnsi"/>
          <w:iCs/>
          <w:sz w:val="20"/>
          <w:szCs w:val="20"/>
          <w:lang w:val="fr-BE"/>
        </w:rPr>
      </w:pPr>
      <w:r w:rsidRPr="00F563CD">
        <w:rPr>
          <w:rFonts w:asciiTheme="minorHAnsi" w:hAnsiTheme="minorHAnsi" w:cstheme="minorHAnsi"/>
          <w:iCs/>
          <w:sz w:val="20"/>
          <w:szCs w:val="20"/>
          <w:lang w:val="fr-BE"/>
        </w:rPr>
        <w:t xml:space="preserve">Strateški okvir koji pokriva razvoj privatnog sektora, istraživanje i inovacije je u skladu sa politikama </w:t>
      </w:r>
      <w:r w:rsidRPr="00F563CD">
        <w:rPr>
          <w:rFonts w:asciiTheme="minorHAnsi" w:hAnsiTheme="minorHAnsi" w:cstheme="minorHAnsi"/>
          <w:b/>
          <w:iCs/>
          <w:sz w:val="20"/>
          <w:szCs w:val="20"/>
          <w:lang w:val="fr-BE"/>
        </w:rPr>
        <w:t>Evropskog zelenog dogovora</w:t>
      </w:r>
      <w:r w:rsidRPr="00F563CD">
        <w:rPr>
          <w:rFonts w:asciiTheme="minorHAnsi" w:hAnsiTheme="minorHAnsi" w:cstheme="minorHAnsi"/>
          <w:iCs/>
          <w:sz w:val="20"/>
          <w:szCs w:val="20"/>
          <w:lang w:val="fr-BE"/>
        </w:rPr>
        <w:t xml:space="preserve">. Predviđeno je da istraživanje i inovacije vode Evropski zeleni dogovor, pri čemu će ključnu ulogu u njemu imati Horizont Evropa okvirni program za istraživanje i inovacije (2021-2027). Korak u tom pravcu jeste i Program ostvarivanja principa ‘’Otvorena nauka’’ u Crnoj Gori, kojim se stvaraju preduslovi za uspješno učešće države u programu Horizont Evropa kroz sprovođenje principa Otvorene nauke. Ciljevi Strategije o naučnoistraživačkoj djelatnosti usmjereni su na podsticanje novih tehnologija, međunarodnu saradnju i saradnju sa privatnim sektorom, čime će se istraživanje i razvoj neizbježno usmjeriti ka pronalaženju održivih rješenja i mogućnosti za zelene inovacije. Strategija o pametnoj specijalizaciji je </w:t>
      </w:r>
      <w:r w:rsidR="0001783A" w:rsidRPr="00F563CD">
        <w:rPr>
          <w:rFonts w:asciiTheme="minorHAnsi" w:hAnsiTheme="minorHAnsi" w:cstheme="minorHAnsi"/>
          <w:iCs/>
          <w:sz w:val="20"/>
          <w:szCs w:val="20"/>
          <w:lang w:val="fr-BE"/>
        </w:rPr>
        <w:t xml:space="preserve">definisala </w:t>
      </w:r>
      <w:r w:rsidRPr="00F563CD">
        <w:rPr>
          <w:rFonts w:asciiTheme="minorHAnsi" w:hAnsiTheme="minorHAnsi" w:cstheme="minorHAnsi"/>
          <w:iCs/>
          <w:sz w:val="20"/>
          <w:szCs w:val="20"/>
          <w:lang w:val="fr-BE"/>
        </w:rPr>
        <w:t xml:space="preserve">‘’Održivu Crnu Goru’’ </w:t>
      </w:r>
      <w:r w:rsidR="0001783A" w:rsidRPr="00F563CD">
        <w:rPr>
          <w:rFonts w:asciiTheme="minorHAnsi" w:hAnsiTheme="minorHAnsi" w:cstheme="minorHAnsi"/>
          <w:iCs/>
          <w:sz w:val="20"/>
          <w:szCs w:val="20"/>
          <w:lang w:val="fr-BE"/>
        </w:rPr>
        <w:t xml:space="preserve">kao </w:t>
      </w:r>
      <w:r w:rsidRPr="00F563CD">
        <w:rPr>
          <w:rFonts w:asciiTheme="minorHAnsi" w:hAnsiTheme="minorHAnsi" w:cstheme="minorHAnsi"/>
          <w:iCs/>
          <w:sz w:val="20"/>
          <w:szCs w:val="20"/>
          <w:lang w:val="fr-BE"/>
        </w:rPr>
        <w:t>svoj strateški pravac</w:t>
      </w:r>
      <w:r w:rsidR="0001783A" w:rsidRPr="00F563CD">
        <w:rPr>
          <w:rFonts w:asciiTheme="minorHAnsi" w:hAnsiTheme="minorHAnsi" w:cstheme="minorHAnsi"/>
          <w:iCs/>
          <w:sz w:val="20"/>
          <w:szCs w:val="20"/>
          <w:lang w:val="fr-BE"/>
        </w:rPr>
        <w:t>,</w:t>
      </w:r>
      <w:r w:rsidRPr="00F563CD">
        <w:rPr>
          <w:rFonts w:asciiTheme="minorHAnsi" w:hAnsiTheme="minorHAnsi" w:cstheme="minorHAnsi"/>
          <w:iCs/>
          <w:sz w:val="20"/>
          <w:szCs w:val="20"/>
          <w:lang w:val="fr-BE"/>
        </w:rPr>
        <w:t xml:space="preserve"> u kojem su zaštita životne sredine i efikasno korišćenje izvora prepoznati kao prioriteti za finansiranje inovacija, kao i primjena novih tehnologija koje izvore koriste na efikasniji način.   </w:t>
      </w:r>
    </w:p>
    <w:p w14:paraId="02C4C40C" w14:textId="77777777" w:rsidR="00047EF8" w:rsidRPr="00F563CD" w:rsidRDefault="00047EF8" w:rsidP="00047EF8">
      <w:pPr>
        <w:spacing w:after="0" w:line="240" w:lineRule="auto"/>
        <w:jc w:val="both"/>
        <w:rPr>
          <w:rFonts w:asciiTheme="minorHAnsi" w:hAnsiTheme="minorHAnsi" w:cstheme="minorHAnsi"/>
          <w:b/>
          <w:iCs/>
          <w:sz w:val="20"/>
          <w:szCs w:val="20"/>
          <w:u w:val="single"/>
          <w:lang w:val="fr-BE"/>
        </w:rPr>
      </w:pPr>
      <w:r w:rsidRPr="00F563CD">
        <w:rPr>
          <w:rFonts w:asciiTheme="minorHAnsi" w:hAnsiTheme="minorHAnsi" w:cstheme="minorHAnsi"/>
          <w:b/>
          <w:iCs/>
          <w:sz w:val="20"/>
          <w:szCs w:val="20"/>
          <w:u w:val="single"/>
          <w:lang w:val="fr-BE"/>
        </w:rPr>
        <w:t>Preporuke koje pro</w:t>
      </w:r>
      <w:r w:rsidR="005D340B" w:rsidRPr="00F563CD">
        <w:rPr>
          <w:rFonts w:asciiTheme="minorHAnsi" w:hAnsiTheme="minorHAnsi" w:cstheme="minorHAnsi"/>
          <w:b/>
          <w:iCs/>
          <w:sz w:val="20"/>
          <w:szCs w:val="20"/>
          <w:u w:val="single"/>
          <w:lang w:val="fr-BE"/>
        </w:rPr>
        <w:t>izilaze</w:t>
      </w:r>
      <w:r w:rsidRPr="00F563CD">
        <w:rPr>
          <w:rFonts w:asciiTheme="minorHAnsi" w:hAnsiTheme="minorHAnsi" w:cstheme="minorHAnsi"/>
          <w:b/>
          <w:iCs/>
          <w:sz w:val="20"/>
          <w:szCs w:val="20"/>
          <w:u w:val="single"/>
          <w:lang w:val="fr-BE"/>
        </w:rPr>
        <w:t xml:space="preserve"> iz Paketa proširenja</w:t>
      </w:r>
    </w:p>
    <w:p w14:paraId="51A1C3DE" w14:textId="77777777" w:rsidR="00047EF8" w:rsidRPr="00F563CD" w:rsidRDefault="00047EF8" w:rsidP="00047EF8">
      <w:pPr>
        <w:spacing w:after="0" w:line="240" w:lineRule="auto"/>
        <w:jc w:val="both"/>
        <w:rPr>
          <w:rFonts w:asciiTheme="minorHAnsi" w:hAnsiTheme="minorHAnsi" w:cstheme="minorHAnsi"/>
          <w:b/>
          <w:iCs/>
          <w:sz w:val="20"/>
          <w:szCs w:val="20"/>
          <w:u w:val="single"/>
          <w:lang w:val="fr-BE"/>
        </w:rPr>
      </w:pPr>
    </w:p>
    <w:p w14:paraId="45E40EBE" w14:textId="77777777" w:rsidR="00047EF8" w:rsidRPr="00F563CD" w:rsidRDefault="00047EF8" w:rsidP="00047EF8">
      <w:pPr>
        <w:spacing w:after="0" w:line="240" w:lineRule="auto"/>
        <w:jc w:val="both"/>
        <w:rPr>
          <w:rFonts w:asciiTheme="minorHAnsi" w:hAnsiTheme="minorHAnsi" w:cstheme="minorHAnsi"/>
          <w:b/>
          <w:iCs/>
          <w:sz w:val="20"/>
          <w:szCs w:val="20"/>
          <w:u w:val="single"/>
          <w:lang w:val="fr-BE"/>
        </w:rPr>
      </w:pPr>
      <w:r w:rsidRPr="00F563CD">
        <w:rPr>
          <w:rFonts w:asciiTheme="minorHAnsi" w:eastAsia="Calibri" w:hAnsiTheme="minorHAnsi" w:cstheme="minorHAnsi"/>
          <w:b/>
          <w:sz w:val="20"/>
          <w:szCs w:val="20"/>
          <w:lang w:val="fr-BE"/>
        </w:rPr>
        <w:t xml:space="preserve">Izvještaj EK za Crnu Goru </w:t>
      </w:r>
      <w:r w:rsidRPr="00F563CD">
        <w:rPr>
          <w:rFonts w:asciiTheme="minorHAnsi" w:hAnsiTheme="minorHAnsi" w:cstheme="minorHAnsi"/>
          <w:b/>
          <w:iCs/>
          <w:sz w:val="20"/>
          <w:szCs w:val="20"/>
          <w:lang w:val="fr-BE"/>
        </w:rPr>
        <w:t xml:space="preserve">2021. </w:t>
      </w:r>
      <w:proofErr w:type="gramStart"/>
      <w:r w:rsidRPr="00F563CD">
        <w:rPr>
          <w:rFonts w:asciiTheme="minorHAnsi" w:hAnsiTheme="minorHAnsi" w:cstheme="minorHAnsi"/>
          <w:iCs/>
          <w:sz w:val="20"/>
          <w:szCs w:val="20"/>
          <w:lang w:val="fr-BE"/>
        </w:rPr>
        <w:t>ocjenjuje</w:t>
      </w:r>
      <w:proofErr w:type="gramEnd"/>
      <w:r w:rsidRPr="00F563CD">
        <w:rPr>
          <w:rFonts w:asciiTheme="minorHAnsi" w:hAnsiTheme="minorHAnsi" w:cstheme="minorHAnsi"/>
          <w:b/>
          <w:iCs/>
          <w:sz w:val="20"/>
          <w:szCs w:val="20"/>
          <w:lang w:val="fr-BE"/>
        </w:rPr>
        <w:t xml:space="preserve"> </w:t>
      </w:r>
      <w:r w:rsidRPr="00F563CD">
        <w:rPr>
          <w:rFonts w:asciiTheme="minorHAnsi" w:hAnsiTheme="minorHAnsi" w:cstheme="minorHAnsi"/>
          <w:iCs/>
          <w:sz w:val="20"/>
          <w:szCs w:val="20"/>
          <w:lang w:val="fr-BE"/>
        </w:rPr>
        <w:t xml:space="preserve">da je Crna Gora ostvarila određeni napredak, te da ostaje umjereno spremna u pogledu kapaciteta za suočavanje sa pritiskom konkurencije i tržišnim snagama unutar EU. </w:t>
      </w:r>
      <w:r w:rsidRPr="00F563CD">
        <w:rPr>
          <w:rFonts w:asciiTheme="minorHAnsi" w:eastAsia="Calibri" w:hAnsiTheme="minorHAnsi" w:cstheme="minorHAnsi"/>
          <w:b/>
          <w:sz w:val="20"/>
          <w:szCs w:val="20"/>
          <w:lang w:val="fr-BE"/>
        </w:rPr>
        <w:t>Izvještaj EK za Crnu Goru 2021.</w:t>
      </w:r>
      <w:r w:rsidRPr="00F563CD">
        <w:rPr>
          <w:rFonts w:asciiTheme="minorHAnsi" w:hAnsiTheme="minorHAnsi" w:cstheme="minorHAnsi"/>
          <w:iCs/>
          <w:sz w:val="20"/>
          <w:szCs w:val="20"/>
          <w:lang w:val="fr-BE"/>
        </w:rPr>
        <w:t xml:space="preserve"> </w:t>
      </w:r>
      <w:proofErr w:type="gramStart"/>
      <w:r w:rsidRPr="00F563CD">
        <w:rPr>
          <w:rFonts w:asciiTheme="minorHAnsi" w:hAnsiTheme="minorHAnsi" w:cstheme="minorHAnsi"/>
          <w:iCs/>
          <w:sz w:val="20"/>
          <w:szCs w:val="20"/>
          <w:lang w:val="fr-BE"/>
        </w:rPr>
        <w:t>naglašava</w:t>
      </w:r>
      <w:proofErr w:type="gramEnd"/>
      <w:r w:rsidRPr="00F563CD">
        <w:rPr>
          <w:rFonts w:asciiTheme="minorHAnsi" w:hAnsiTheme="minorHAnsi" w:cstheme="minorHAnsi"/>
          <w:iCs/>
          <w:sz w:val="20"/>
          <w:szCs w:val="20"/>
          <w:lang w:val="fr-BE"/>
        </w:rPr>
        <w:t xml:space="preserve"> dobar nivo spremnosti preduzeća i industrijske politike. Ulaganje u znanje i ljudski kapital je izuzetno skromno, što dalje rezultira slabim inovacijama i nivoom produktivnosti lokalnih kompanija. Rezultati obrazovanja moraju biti poboljšani u cjelosti, kao i odredbe koje se odnose na </w:t>
      </w:r>
      <w:r w:rsidRPr="00F563CD">
        <w:rPr>
          <w:rFonts w:asciiTheme="minorHAnsi" w:eastAsia="Calibri" w:hAnsiTheme="minorHAnsi" w:cstheme="minorHAnsi"/>
          <w:sz w:val="20"/>
          <w:szCs w:val="20"/>
          <w:lang w:val="fr-BE"/>
        </w:rPr>
        <w:t xml:space="preserve">sticanje novih i usavršavanje postojećih vještina. Ekonomija predstavlja slabu industrijsku osnovu i karakteriše je nizak stepen aktivnosti koje imaju dodatu vrijednost, a ograničena je malim tržištem i niskim stepenom tehnološkog </w:t>
      </w:r>
      <w:r w:rsidRPr="00F563CD">
        <w:rPr>
          <w:rFonts w:asciiTheme="minorHAnsi" w:eastAsia="Calibri" w:hAnsiTheme="minorHAnsi" w:cstheme="minorHAnsi"/>
          <w:i/>
          <w:sz w:val="20"/>
          <w:szCs w:val="20"/>
          <w:lang w:val="fr-BE"/>
        </w:rPr>
        <w:t>know how</w:t>
      </w:r>
      <w:r w:rsidRPr="00F563CD">
        <w:rPr>
          <w:rFonts w:asciiTheme="minorHAnsi" w:eastAsia="Calibri" w:hAnsiTheme="minorHAnsi" w:cstheme="minorHAnsi"/>
          <w:sz w:val="20"/>
          <w:szCs w:val="20"/>
          <w:lang w:val="fr-BE"/>
        </w:rPr>
        <w:t xml:space="preserve"> kod većine lokalnih kompanija. Konzistentnost i povezanost između različitih ključnih nacionalnih strategija i programa koje se odnose na industrijsku politiku, pametnu specijalizaciju, kao i PER biće dalje osnaženi kroz IPA III podršku. Primjenom sektorskog pristupa, IPA III može doprinijeti obezbjeđivanju sveobuhvatne podrške za cjelovite intervencije, sa ciljem jačanja ekonomske konkurentnosti. </w:t>
      </w:r>
    </w:p>
    <w:p w14:paraId="59165980" w14:textId="77777777" w:rsidR="00047EF8" w:rsidRPr="00F563CD" w:rsidRDefault="00047EF8" w:rsidP="00047EF8">
      <w:pPr>
        <w:spacing w:after="0" w:line="240" w:lineRule="auto"/>
        <w:jc w:val="both"/>
        <w:rPr>
          <w:rFonts w:asciiTheme="minorHAnsi" w:hAnsiTheme="minorHAnsi" w:cstheme="minorHAnsi"/>
          <w:iCs/>
          <w:sz w:val="20"/>
          <w:szCs w:val="20"/>
          <w:lang w:val="fr-BE"/>
        </w:rPr>
      </w:pPr>
      <w:r w:rsidRPr="00F563CD">
        <w:rPr>
          <w:rFonts w:asciiTheme="minorHAnsi" w:hAnsiTheme="minorHAnsi" w:cstheme="minorHAnsi"/>
          <w:b/>
          <w:iCs/>
          <w:sz w:val="20"/>
          <w:szCs w:val="20"/>
          <w:lang w:val="fr-BE"/>
        </w:rPr>
        <w:lastRenderedPageBreak/>
        <w:t>EU Agenda Zapadnog Balkana za inovacije</w:t>
      </w:r>
      <w:r w:rsidRPr="00F563CD">
        <w:rPr>
          <w:rFonts w:asciiTheme="minorHAnsi" w:hAnsiTheme="minorHAnsi" w:cstheme="minorHAnsi"/>
          <w:iCs/>
          <w:sz w:val="20"/>
          <w:szCs w:val="20"/>
          <w:lang w:val="fr-BE"/>
        </w:rPr>
        <w:t xml:space="preserve">, između ostalog, definiše ciljeve koji se odnose na transformaciju istraživanja i eko-sistema inovacija, u skladu ka EU standardima, unapređenje istraživanja i eko-sistema inovacija, kako bi se jačali inovativni kapaciteti u okviru regiona i kako bi se gradilo društvo zasnovano na znanju. U Izvještaju za Crnu Goru 2020. </w:t>
      </w:r>
      <w:proofErr w:type="gramStart"/>
      <w:r w:rsidRPr="00F563CD">
        <w:rPr>
          <w:rFonts w:asciiTheme="minorHAnsi" w:hAnsiTheme="minorHAnsi" w:cstheme="minorHAnsi"/>
          <w:iCs/>
          <w:sz w:val="20"/>
          <w:szCs w:val="20"/>
          <w:lang w:val="fr-BE"/>
        </w:rPr>
        <w:t>navodi</w:t>
      </w:r>
      <w:proofErr w:type="gramEnd"/>
      <w:r w:rsidRPr="00F563CD">
        <w:rPr>
          <w:rFonts w:asciiTheme="minorHAnsi" w:hAnsiTheme="minorHAnsi" w:cstheme="minorHAnsi"/>
          <w:iCs/>
          <w:sz w:val="20"/>
          <w:szCs w:val="20"/>
          <w:lang w:val="fr-BE"/>
        </w:rPr>
        <w:t xml:space="preserve"> se</w:t>
      </w:r>
      <w:r w:rsidR="00AB4861" w:rsidRPr="00F563CD">
        <w:rPr>
          <w:rFonts w:asciiTheme="minorHAnsi" w:hAnsiTheme="minorHAnsi" w:cstheme="minorHAnsi"/>
          <w:iCs/>
          <w:sz w:val="20"/>
          <w:szCs w:val="20"/>
          <w:lang w:val="fr-BE"/>
        </w:rPr>
        <w:t xml:space="preserve"> da</w:t>
      </w:r>
      <w:r w:rsidRPr="00F563CD">
        <w:rPr>
          <w:rFonts w:asciiTheme="minorHAnsi" w:hAnsiTheme="minorHAnsi" w:cstheme="minorHAnsi"/>
          <w:iCs/>
          <w:sz w:val="20"/>
          <w:szCs w:val="20"/>
          <w:lang w:val="fr-BE"/>
        </w:rPr>
        <w:t>: Unutrašnja i međuministarska saradnja na tehničkom i političkom nivou mora biti značajno unaprijeđena, kako bi se obezbijedila konzistentnost i usklađenost između različitih ključnih strategija i programa, naročito u domenu industrijske politike, pametne specjalizacije i PER-a (Poglavlje 20). Preporuke u Poglavlju 25 podrazumijevaju da Crna Gora nastavi sa sprovođenjem Strategije pametne specijalizacije i intenzivira ulaganja u istraživanje i inovacije, kao i da nastavi sa jačanjem učešća u EU okvirnom programu za istraživanje i inovacije. Akcioni plan za Zajedničko regionalno tržište (ZRT) do 2024. godine kao prioritet definiše stvaranje regionalnog industrijskog i inovativnog područja, dok se kao rezultati očekuju nadogradnja industrijske baze i inovativnih infrastruktura kroz podršku mladim preduzetnicima i startapovima, osnivanje kompanija u ranoj dobi, uvođenje mehanizama za razmjenu znanja sa dijasporom, podsticanje zelenog i ženskog preduzetništva i podrška održivim regionalnim lancima nabavki i njihova integracije u evropske i globalne mreže, u kontekstu obnove povezivanja i regionalizacije vrijednosti i lanaca snadbijevanja. Unapređenje ekonomskog rasta i otvaranje novih radnih mjesta na Zapadnom Balkanu zahtijeva promjene koje bi išle ka ekonomskom modelu koji je zasnovan na produktivnosti i orjentisan ka izvozu, a u kojem su istraživanje i inovacije integrisane u industrijski razvoj.</w:t>
      </w:r>
    </w:p>
    <w:p w14:paraId="49747278" w14:textId="77777777" w:rsidR="00047EF8" w:rsidRPr="00F563CD" w:rsidRDefault="00047EF8" w:rsidP="00047EF8">
      <w:pPr>
        <w:spacing w:after="0" w:line="240" w:lineRule="auto"/>
        <w:jc w:val="both"/>
        <w:rPr>
          <w:rFonts w:asciiTheme="minorHAnsi" w:hAnsiTheme="minorHAnsi" w:cstheme="minorHAnsi"/>
          <w:iCs/>
          <w:sz w:val="20"/>
          <w:szCs w:val="20"/>
          <w:lang w:val="fr-BE"/>
        </w:rPr>
      </w:pPr>
    </w:p>
    <w:p w14:paraId="13583FCF" w14:textId="77777777" w:rsidR="00047EF8" w:rsidRPr="00F563CD" w:rsidRDefault="00047EF8" w:rsidP="00047EF8">
      <w:pPr>
        <w:spacing w:after="0" w:line="240" w:lineRule="auto"/>
        <w:jc w:val="both"/>
        <w:rPr>
          <w:rFonts w:asciiTheme="minorHAnsi" w:hAnsiTheme="minorHAnsi" w:cstheme="minorHAnsi"/>
          <w:iCs/>
          <w:sz w:val="20"/>
          <w:szCs w:val="20"/>
          <w:lang w:val="fr-BE"/>
        </w:rPr>
      </w:pPr>
      <w:r w:rsidRPr="00F563CD">
        <w:rPr>
          <w:rFonts w:asciiTheme="minorHAnsi" w:eastAsia="Calibri" w:hAnsiTheme="minorHAnsi" w:cstheme="minorHAnsi"/>
          <w:b/>
          <w:sz w:val="20"/>
          <w:szCs w:val="20"/>
          <w:lang w:val="fr-BE"/>
        </w:rPr>
        <w:t xml:space="preserve">Izvještaj EK za Crnu Goru 2021. </w:t>
      </w:r>
      <w:proofErr w:type="gramStart"/>
      <w:r w:rsidRPr="00F563CD">
        <w:rPr>
          <w:rFonts w:asciiTheme="minorHAnsi" w:hAnsiTheme="minorHAnsi" w:cstheme="minorHAnsi"/>
          <w:iCs/>
          <w:sz w:val="20"/>
          <w:szCs w:val="20"/>
          <w:lang w:val="fr-BE"/>
        </w:rPr>
        <w:t>prepoznaje</w:t>
      </w:r>
      <w:proofErr w:type="gramEnd"/>
      <w:r w:rsidRPr="00F563CD">
        <w:rPr>
          <w:rFonts w:asciiTheme="minorHAnsi" w:hAnsiTheme="minorHAnsi" w:cstheme="minorHAnsi"/>
          <w:iCs/>
          <w:sz w:val="20"/>
          <w:szCs w:val="20"/>
          <w:lang w:val="fr-BE"/>
        </w:rPr>
        <w:t xml:space="preserve"> potrebu za daljim jačanjem administrativnih kapaciteta, kako bi se obezbijedila primjena pravne tekovine EU. Na osnovu preporuka iz </w:t>
      </w:r>
      <w:r w:rsidRPr="00F563CD">
        <w:rPr>
          <w:rFonts w:asciiTheme="minorHAnsi" w:eastAsia="Calibri" w:hAnsiTheme="minorHAnsi" w:cstheme="minorHAnsi"/>
          <w:b/>
          <w:sz w:val="20"/>
          <w:szCs w:val="20"/>
          <w:lang w:val="fr-BE"/>
        </w:rPr>
        <w:t>Izvještaja EK za Crnu Goru 2021</w:t>
      </w:r>
      <w:r w:rsidRPr="00F563CD">
        <w:rPr>
          <w:rFonts w:asciiTheme="minorHAnsi" w:hAnsiTheme="minorHAnsi" w:cstheme="minorHAnsi"/>
          <w:iCs/>
          <w:sz w:val="20"/>
          <w:szCs w:val="20"/>
          <w:lang w:val="fr-BE"/>
        </w:rPr>
        <w:t>,</w:t>
      </w:r>
      <w:r w:rsidRPr="00F563CD">
        <w:rPr>
          <w:rFonts w:asciiTheme="minorHAnsi" w:hAnsiTheme="minorHAnsi" w:cstheme="minorHAnsi"/>
          <w:b/>
          <w:iCs/>
          <w:sz w:val="20"/>
          <w:szCs w:val="20"/>
          <w:lang w:val="fr-BE"/>
        </w:rPr>
        <w:t xml:space="preserve"> </w:t>
      </w:r>
      <w:r w:rsidRPr="00F563CD">
        <w:rPr>
          <w:rFonts w:asciiTheme="minorHAnsi" w:hAnsiTheme="minorHAnsi" w:cstheme="minorHAnsi"/>
          <w:iCs/>
          <w:sz w:val="20"/>
          <w:szCs w:val="20"/>
          <w:lang w:val="fr-BE"/>
        </w:rPr>
        <w:t xml:space="preserve">IPA III će se fokusirati na (i) akcije koje se odnose na sprovođenje revidirane industrijske politike i ostalih ključnih nacionalnih strategija (S3 Strategija,) koje se odnose na dalje unapređenje funkcionisanja poslovnog sektora, naročito MSP i preduzetnika i (ii) unapređenje institucionalnih kapaciteta za valjano sprovođenje pravne tekovine EU, u skladu sa nacionalnim strateškim smjernicama i preporukama iz Paketa proširenja.  </w:t>
      </w:r>
    </w:p>
    <w:p w14:paraId="3B94B65A" w14:textId="77777777" w:rsidR="00047EF8" w:rsidRPr="00F563CD" w:rsidRDefault="00047EF8" w:rsidP="00047EF8">
      <w:pPr>
        <w:spacing w:after="0" w:line="240" w:lineRule="auto"/>
        <w:jc w:val="both"/>
        <w:rPr>
          <w:rFonts w:asciiTheme="minorHAnsi" w:hAnsiTheme="minorHAnsi" w:cstheme="minorHAnsi"/>
          <w:iCs/>
          <w:sz w:val="20"/>
          <w:szCs w:val="20"/>
          <w:lang w:val="fr-BE"/>
        </w:rPr>
      </w:pPr>
    </w:p>
    <w:p w14:paraId="53245F7B" w14:textId="77777777" w:rsidR="00047EF8" w:rsidRPr="00F563CD" w:rsidRDefault="00047EF8" w:rsidP="00047EF8">
      <w:pPr>
        <w:spacing w:after="0" w:line="240" w:lineRule="auto"/>
        <w:jc w:val="both"/>
        <w:rPr>
          <w:rFonts w:asciiTheme="minorHAnsi" w:hAnsiTheme="minorHAnsi" w:cstheme="minorHAnsi"/>
          <w:iCs/>
          <w:sz w:val="20"/>
          <w:szCs w:val="20"/>
          <w:lang w:val="fr-BE"/>
        </w:rPr>
      </w:pPr>
      <w:r w:rsidRPr="00F563CD">
        <w:rPr>
          <w:rFonts w:asciiTheme="minorHAnsi" w:hAnsiTheme="minorHAnsi" w:cstheme="minorHAnsi"/>
          <w:iCs/>
          <w:sz w:val="20"/>
          <w:szCs w:val="20"/>
          <w:lang w:val="fr-BE"/>
        </w:rPr>
        <w:t xml:space="preserve">U skladu sa nalazima sadržanim </w:t>
      </w:r>
      <w:r w:rsidRPr="00F563CD">
        <w:rPr>
          <w:rFonts w:asciiTheme="minorHAnsi" w:hAnsiTheme="minorHAnsi" w:cstheme="minorHAnsi"/>
          <w:b/>
          <w:iCs/>
          <w:sz w:val="20"/>
          <w:szCs w:val="20"/>
          <w:lang w:val="fr-BE"/>
        </w:rPr>
        <w:t>u Aktu o malim preduzećima,</w:t>
      </w:r>
      <w:r w:rsidRPr="00F563CD">
        <w:rPr>
          <w:rFonts w:asciiTheme="minorHAnsi" w:hAnsiTheme="minorHAnsi" w:cstheme="minorHAnsi"/>
          <w:iCs/>
          <w:sz w:val="20"/>
          <w:szCs w:val="20"/>
          <w:lang w:val="fr-BE"/>
        </w:rPr>
        <w:t xml:space="preserve"> IPA III prati preporuke iz tog dokumenta kroz definisanje podrške za dalje unaprjeđenje savjetodavnih usluga i nefinansijske podrške MSP, sa konačnim ciljem da se jačaju njihovi kapaciteti za pristup finansijama i međunarodnu konkurentnost.   </w:t>
      </w:r>
    </w:p>
    <w:p w14:paraId="356FC1C8" w14:textId="77777777" w:rsidR="00047EF8" w:rsidRPr="00F563CD" w:rsidRDefault="00047EF8" w:rsidP="00047EF8">
      <w:pPr>
        <w:spacing w:after="0" w:line="240" w:lineRule="auto"/>
        <w:jc w:val="both"/>
        <w:rPr>
          <w:rFonts w:asciiTheme="minorHAnsi" w:hAnsiTheme="minorHAnsi" w:cstheme="minorHAnsi"/>
          <w:i/>
          <w:sz w:val="20"/>
          <w:szCs w:val="20"/>
          <w:lang w:val="fr-BE"/>
        </w:rPr>
      </w:pPr>
    </w:p>
    <w:p w14:paraId="1B69F62B" w14:textId="77777777" w:rsidR="00047EF8" w:rsidRPr="00F563CD" w:rsidRDefault="00047EF8" w:rsidP="00047EF8">
      <w:pPr>
        <w:spacing w:after="0" w:line="240" w:lineRule="auto"/>
        <w:jc w:val="both"/>
        <w:rPr>
          <w:rFonts w:asciiTheme="minorHAnsi" w:hAnsiTheme="minorHAnsi" w:cstheme="minorHAnsi"/>
          <w:iCs/>
          <w:sz w:val="20"/>
          <w:szCs w:val="20"/>
          <w:lang w:val="fr-BE"/>
        </w:rPr>
      </w:pPr>
      <w:r w:rsidRPr="00F563CD">
        <w:rPr>
          <w:rFonts w:asciiTheme="minorHAnsi" w:hAnsiTheme="minorHAnsi" w:cstheme="minorHAnsi"/>
          <w:iCs/>
          <w:sz w:val="20"/>
          <w:szCs w:val="20"/>
          <w:lang w:val="fr-BE"/>
        </w:rPr>
        <w:t xml:space="preserve">U skladu sa operativnim </w:t>
      </w:r>
      <w:r w:rsidRPr="00F563CD">
        <w:rPr>
          <w:rFonts w:asciiTheme="minorHAnsi" w:hAnsiTheme="minorHAnsi" w:cstheme="minorHAnsi"/>
          <w:b/>
          <w:iCs/>
          <w:sz w:val="20"/>
          <w:szCs w:val="20"/>
          <w:lang w:val="fr-BE"/>
        </w:rPr>
        <w:t>Planom za adresiranje preporuka iz Izvještaja EK za Crnu Goru u Poglavlju 6 – Privredno pravo</w:t>
      </w:r>
      <w:r w:rsidRPr="00F563CD">
        <w:rPr>
          <w:rFonts w:asciiTheme="minorHAnsi" w:hAnsiTheme="minorHAnsi" w:cstheme="minorHAnsi"/>
          <w:iCs/>
          <w:sz w:val="20"/>
          <w:szCs w:val="20"/>
          <w:lang w:val="fr-BE"/>
        </w:rPr>
        <w:t>, neophodno je obezbijediti dalju harmonizaciju crnogorskog Kodeksa koroporativnog urpavljanja sa principima korporativnog upravljanja koji važe u EU.</w:t>
      </w:r>
    </w:p>
    <w:p w14:paraId="4B15814C" w14:textId="77777777" w:rsidR="00047EF8" w:rsidRPr="00F563CD" w:rsidRDefault="00047EF8" w:rsidP="00047EF8">
      <w:pPr>
        <w:spacing w:after="0" w:line="240" w:lineRule="auto"/>
        <w:jc w:val="both"/>
        <w:rPr>
          <w:rFonts w:asciiTheme="minorHAnsi" w:hAnsiTheme="minorHAnsi" w:cstheme="minorHAnsi"/>
          <w:iCs/>
          <w:sz w:val="20"/>
          <w:szCs w:val="20"/>
          <w:lang w:val="fr-BE"/>
        </w:rPr>
      </w:pPr>
    </w:p>
    <w:p w14:paraId="218F0321" w14:textId="20D4DFEC" w:rsidR="00047EF8" w:rsidRPr="00F563CD" w:rsidRDefault="00047EF8" w:rsidP="00047EF8">
      <w:pPr>
        <w:spacing w:line="240" w:lineRule="auto"/>
        <w:jc w:val="both"/>
        <w:rPr>
          <w:rFonts w:asciiTheme="minorHAnsi" w:hAnsiTheme="minorHAnsi" w:cstheme="minorHAnsi"/>
          <w:iCs/>
          <w:sz w:val="20"/>
          <w:szCs w:val="20"/>
          <w:lang w:val="fr-BE"/>
        </w:rPr>
      </w:pPr>
      <w:r w:rsidRPr="00F563CD">
        <w:rPr>
          <w:rFonts w:asciiTheme="minorHAnsi" w:hAnsiTheme="minorHAnsi" w:cstheme="minorHAnsi"/>
          <w:iCs/>
          <w:sz w:val="20"/>
          <w:szCs w:val="20"/>
          <w:lang w:val="fr-BE"/>
        </w:rPr>
        <w:t xml:space="preserve">Jedan od ciljeva </w:t>
      </w:r>
      <w:r w:rsidRPr="00F563CD">
        <w:rPr>
          <w:rFonts w:asciiTheme="minorHAnsi" w:hAnsiTheme="minorHAnsi" w:cstheme="minorHAnsi"/>
          <w:b/>
          <w:iCs/>
          <w:sz w:val="20"/>
          <w:szCs w:val="20"/>
          <w:lang w:val="fr-BE"/>
        </w:rPr>
        <w:t>Nacionalne procjene rizika od pranja novca i finansiranja terorizma</w:t>
      </w:r>
      <w:r w:rsidRPr="00F563CD">
        <w:rPr>
          <w:rFonts w:asciiTheme="minorHAnsi" w:hAnsiTheme="minorHAnsi" w:cstheme="minorHAnsi"/>
          <w:iCs/>
          <w:sz w:val="20"/>
          <w:szCs w:val="20"/>
          <w:lang w:val="fr-BE"/>
        </w:rPr>
        <w:t xml:space="preserve"> odnosi se na efikasniju kontrolu institucija, unapređenje tehničkih i IT kapaciteta i mehanizama za sprovođenje mjera, u okviru nadležnosti Komisije za tržište kapitala u oblasti </w:t>
      </w:r>
      <w:r w:rsidR="00A075A1" w:rsidRPr="00F563CD">
        <w:rPr>
          <w:rFonts w:asciiTheme="minorHAnsi" w:hAnsiTheme="minorHAnsi" w:cstheme="minorHAnsi"/>
          <w:iCs/>
          <w:sz w:val="20"/>
          <w:szCs w:val="20"/>
          <w:lang w:val="fr-BE"/>
        </w:rPr>
        <w:t>sprečavanja</w:t>
      </w:r>
      <w:r w:rsidRPr="00F563CD">
        <w:rPr>
          <w:rFonts w:asciiTheme="minorHAnsi" w:hAnsiTheme="minorHAnsi" w:cstheme="minorHAnsi"/>
          <w:iCs/>
          <w:sz w:val="20"/>
          <w:szCs w:val="20"/>
          <w:lang w:val="fr-BE"/>
        </w:rPr>
        <w:t xml:space="preserve"> pranja novca. U skladu sa Nacionalnom procjenom rizika od pranja novca i finansiranja terorizma i Akcionim planom, neophodno je razviti softver za nadzor tijela koja učestvuju na tržištu kapitala u domenu prevencije pranja novca. Ove obaveze su usklađene sa potrebom za daljim razvojem i izgradnjom kapaciteta u oblasti sprečavanja pranja novca na način kako je i definisano u relevan</w:t>
      </w:r>
      <w:r w:rsidR="00DA5F8F" w:rsidRPr="00F563CD">
        <w:rPr>
          <w:rFonts w:asciiTheme="minorHAnsi" w:hAnsiTheme="minorHAnsi" w:cstheme="minorHAnsi"/>
          <w:iCs/>
          <w:sz w:val="20"/>
          <w:szCs w:val="20"/>
          <w:lang w:val="fr-BE"/>
        </w:rPr>
        <w:t>tnim pregovaračkim poglavljima.</w:t>
      </w:r>
    </w:p>
    <w:p w14:paraId="0677CE3A" w14:textId="77777777" w:rsidR="00047EF8" w:rsidRPr="00F563CD" w:rsidRDefault="00047EF8" w:rsidP="00047EF8">
      <w:pPr>
        <w:spacing w:line="240" w:lineRule="auto"/>
        <w:contextualSpacing/>
        <w:jc w:val="both"/>
        <w:rPr>
          <w:rFonts w:asciiTheme="minorHAnsi" w:hAnsiTheme="minorHAnsi" w:cstheme="minorHAnsi"/>
          <w:b/>
          <w:i/>
          <w:sz w:val="20"/>
          <w:szCs w:val="20"/>
          <w:lang w:val="fr-BE"/>
        </w:rPr>
      </w:pPr>
      <w:r w:rsidRPr="00F563CD">
        <w:rPr>
          <w:rFonts w:asciiTheme="minorHAnsi" w:hAnsiTheme="minorHAnsi" w:cstheme="minorHAnsi"/>
          <w:b/>
          <w:i/>
          <w:sz w:val="20"/>
          <w:szCs w:val="20"/>
          <w:lang w:val="fr-BE"/>
        </w:rPr>
        <w:t xml:space="preserve">Tematski prioritet </w:t>
      </w:r>
      <w:proofErr w:type="gramStart"/>
      <w:r w:rsidRPr="00F563CD">
        <w:rPr>
          <w:rFonts w:asciiTheme="minorHAnsi" w:hAnsiTheme="minorHAnsi" w:cstheme="minorHAnsi"/>
          <w:b/>
          <w:i/>
          <w:sz w:val="20"/>
          <w:szCs w:val="20"/>
          <w:lang w:val="fr-BE"/>
        </w:rPr>
        <w:t>3:</w:t>
      </w:r>
      <w:proofErr w:type="gramEnd"/>
      <w:r w:rsidRPr="00F563CD">
        <w:rPr>
          <w:rFonts w:asciiTheme="minorHAnsi" w:hAnsiTheme="minorHAnsi" w:cstheme="minorHAnsi"/>
          <w:b/>
          <w:i/>
          <w:sz w:val="20"/>
          <w:szCs w:val="20"/>
          <w:lang w:val="fr-BE"/>
        </w:rPr>
        <w:t xml:space="preserve"> Poljoprivreda i ruralni razvoj i Tematski prioritet 4: Ribarstvo</w:t>
      </w:r>
    </w:p>
    <w:p w14:paraId="3D2F3441" w14:textId="77777777" w:rsidR="00047EF8" w:rsidRPr="00F563CD" w:rsidRDefault="00047EF8" w:rsidP="00047EF8">
      <w:pPr>
        <w:spacing w:after="0" w:line="240" w:lineRule="auto"/>
        <w:jc w:val="both"/>
        <w:rPr>
          <w:rFonts w:asciiTheme="minorHAnsi" w:hAnsiTheme="minorHAnsi" w:cstheme="minorHAnsi"/>
          <w:iCs/>
          <w:sz w:val="20"/>
          <w:szCs w:val="20"/>
          <w:lang w:val="fr-BE"/>
        </w:rPr>
      </w:pPr>
    </w:p>
    <w:p w14:paraId="56F46965" w14:textId="77777777" w:rsidR="00047EF8" w:rsidRPr="00F563CD" w:rsidRDefault="00047EF8" w:rsidP="00047EF8">
      <w:pPr>
        <w:spacing w:line="240" w:lineRule="auto"/>
        <w:jc w:val="both"/>
        <w:rPr>
          <w:rFonts w:asciiTheme="minorHAnsi" w:hAnsiTheme="minorHAnsi" w:cstheme="minorHAnsi"/>
          <w:iCs/>
          <w:sz w:val="20"/>
          <w:szCs w:val="20"/>
          <w:lang w:val="fr-BE"/>
        </w:rPr>
      </w:pPr>
      <w:r w:rsidRPr="00F563CD">
        <w:rPr>
          <w:rFonts w:asciiTheme="minorHAnsi" w:hAnsiTheme="minorHAnsi" w:cstheme="minorHAnsi"/>
          <w:iCs/>
          <w:sz w:val="20"/>
          <w:szCs w:val="20"/>
          <w:lang w:val="fr-BE"/>
        </w:rPr>
        <w:t>Važeće relevantne nacionalne strategije su u skladu sa ključnim dostignućima EU</w:t>
      </w:r>
      <w:r w:rsidRPr="00F563CD">
        <w:rPr>
          <w:rFonts w:asciiTheme="minorHAnsi" w:hAnsiTheme="minorHAnsi" w:cstheme="minorHAnsi"/>
          <w:b/>
          <w:iCs/>
          <w:sz w:val="20"/>
          <w:szCs w:val="20"/>
          <w:lang w:val="fr-BE"/>
        </w:rPr>
        <w:t xml:space="preserve"> Zajedničke poljoprivredne politike i Zajedničke politike za ribarstvo</w:t>
      </w:r>
      <w:r w:rsidRPr="00F563CD">
        <w:rPr>
          <w:rFonts w:asciiTheme="minorHAnsi" w:hAnsiTheme="minorHAnsi" w:cstheme="minorHAnsi"/>
          <w:iCs/>
          <w:sz w:val="20"/>
          <w:szCs w:val="20"/>
          <w:lang w:val="fr-BE"/>
        </w:rPr>
        <w:t xml:space="preserve"> i relevantne su u kontekstu procesa pristupanja EU i pregovaračkih poglavlja 11, 12 i 13. Ključni dokumenti kojima se uspostavlja vladina politika vezana za pristupanje EU </w:t>
      </w:r>
      <w:r w:rsidR="009071B7" w:rsidRPr="00F563CD">
        <w:rPr>
          <w:rFonts w:asciiTheme="minorHAnsi" w:hAnsiTheme="minorHAnsi" w:cstheme="minorHAnsi"/>
          <w:iCs/>
          <w:sz w:val="20"/>
          <w:szCs w:val="20"/>
          <w:lang w:val="fr-BE"/>
        </w:rPr>
        <w:t>uključuju</w:t>
      </w:r>
      <w:r w:rsidRPr="00F563CD">
        <w:rPr>
          <w:rFonts w:asciiTheme="minorHAnsi" w:hAnsiTheme="minorHAnsi" w:cstheme="minorHAnsi"/>
          <w:iCs/>
          <w:sz w:val="20"/>
          <w:szCs w:val="20"/>
          <w:lang w:val="fr-BE"/>
        </w:rPr>
        <w:t xml:space="preserve"> </w:t>
      </w:r>
      <w:r w:rsidRPr="00F563CD">
        <w:rPr>
          <w:rFonts w:asciiTheme="minorHAnsi" w:hAnsiTheme="minorHAnsi" w:cstheme="minorHAnsi"/>
          <w:b/>
          <w:iCs/>
          <w:sz w:val="20"/>
          <w:szCs w:val="20"/>
          <w:lang w:val="fr-BE"/>
        </w:rPr>
        <w:t>Program pristupanja Crne Gore EU za period 2020-2022, Akcioni plan za usaglašavanje sa pravnom tekovinom za Poglavlje 11</w:t>
      </w:r>
      <w:r w:rsidRPr="00F563CD">
        <w:rPr>
          <w:rFonts w:asciiTheme="minorHAnsi" w:hAnsiTheme="minorHAnsi" w:cstheme="minorHAnsi"/>
          <w:iCs/>
          <w:sz w:val="20"/>
          <w:szCs w:val="20"/>
          <w:lang w:val="fr-BE"/>
        </w:rPr>
        <w:t xml:space="preserve">, inovirana </w:t>
      </w:r>
      <w:r w:rsidRPr="00F563CD">
        <w:rPr>
          <w:rFonts w:asciiTheme="minorHAnsi" w:hAnsiTheme="minorHAnsi" w:cstheme="minorHAnsi"/>
          <w:b/>
          <w:sz w:val="20"/>
          <w:szCs w:val="20"/>
          <w:lang w:val="fr-BE"/>
        </w:rPr>
        <w:t>Stategija Crne Gore za transpoziciju i implementaciju pravne tekovine EU za Poglavlje 12</w:t>
      </w:r>
      <w:r w:rsidRPr="00F563CD">
        <w:rPr>
          <w:rFonts w:asciiTheme="minorHAnsi" w:hAnsiTheme="minorHAnsi" w:cstheme="minorHAnsi"/>
          <w:sz w:val="20"/>
          <w:szCs w:val="20"/>
          <w:lang w:val="fr-BE"/>
        </w:rPr>
        <w:t xml:space="preserve">, uključujući Opšti akcioni plan i </w:t>
      </w:r>
      <w:r w:rsidRPr="00F563CD">
        <w:rPr>
          <w:rFonts w:asciiTheme="minorHAnsi" w:hAnsiTheme="minorHAnsi" w:cstheme="minorHAnsi"/>
          <w:b/>
          <w:sz w:val="20"/>
          <w:szCs w:val="20"/>
          <w:lang w:val="fr-BE"/>
        </w:rPr>
        <w:t>Strategiju ribarstva Crne Gore</w:t>
      </w:r>
      <w:r w:rsidRPr="00F563CD">
        <w:rPr>
          <w:rFonts w:asciiTheme="minorHAnsi" w:hAnsiTheme="minorHAnsi" w:cstheme="minorHAnsi"/>
          <w:sz w:val="20"/>
          <w:szCs w:val="20"/>
          <w:lang w:val="fr-BE"/>
        </w:rPr>
        <w:t xml:space="preserve"> </w:t>
      </w:r>
      <w:r w:rsidRPr="00F563CD">
        <w:rPr>
          <w:rFonts w:asciiTheme="minorHAnsi" w:hAnsiTheme="minorHAnsi" w:cstheme="minorHAnsi"/>
          <w:b/>
          <w:sz w:val="20"/>
          <w:szCs w:val="20"/>
          <w:lang w:val="fr-BE"/>
        </w:rPr>
        <w:t xml:space="preserve">(koja je usvojena od strane Vlade za period 2015-2020, sa Akcionim planom za transpoziciju, implementaciju i primjenu pravne tekovine EU). </w:t>
      </w:r>
      <w:r w:rsidRPr="00F563CD">
        <w:rPr>
          <w:rFonts w:asciiTheme="minorHAnsi" w:hAnsiTheme="minorHAnsi" w:cstheme="minorHAnsi"/>
          <w:iCs/>
          <w:sz w:val="20"/>
          <w:szCs w:val="20"/>
          <w:lang w:val="fr-BE"/>
        </w:rPr>
        <w:t xml:space="preserve">     </w:t>
      </w:r>
    </w:p>
    <w:p w14:paraId="797C21FA" w14:textId="44A3AD8E" w:rsidR="00047EF8" w:rsidRPr="00F563CD" w:rsidRDefault="00047EF8" w:rsidP="00047EF8">
      <w:pPr>
        <w:spacing w:line="240" w:lineRule="auto"/>
        <w:jc w:val="both"/>
        <w:rPr>
          <w:rFonts w:asciiTheme="minorHAnsi" w:hAnsiTheme="minorHAnsi" w:cstheme="minorHAnsi"/>
          <w:iCs/>
          <w:sz w:val="20"/>
          <w:szCs w:val="20"/>
          <w:lang w:val="fr-BE"/>
        </w:rPr>
      </w:pPr>
      <w:r w:rsidRPr="00F563CD">
        <w:rPr>
          <w:rFonts w:asciiTheme="minorHAnsi" w:hAnsiTheme="minorHAnsi" w:cstheme="minorHAnsi"/>
          <w:iCs/>
          <w:sz w:val="20"/>
          <w:szCs w:val="20"/>
          <w:lang w:val="fr-BE"/>
        </w:rPr>
        <w:t xml:space="preserve">Nacionalne strategije su relevante za sprovođenje </w:t>
      </w:r>
      <w:r w:rsidR="00DA5F8F" w:rsidRPr="00F563CD">
        <w:rPr>
          <w:rFonts w:asciiTheme="minorHAnsi" w:hAnsiTheme="minorHAnsi" w:cstheme="minorHAnsi"/>
          <w:b/>
          <w:iCs/>
          <w:sz w:val="20"/>
          <w:szCs w:val="20"/>
          <w:lang w:val="fr-BE"/>
        </w:rPr>
        <w:t>EU politike proširenja za 2021</w:t>
      </w:r>
      <w:r w:rsidRPr="00F563CD">
        <w:rPr>
          <w:rFonts w:asciiTheme="minorHAnsi" w:hAnsiTheme="minorHAnsi" w:cstheme="minorHAnsi"/>
          <w:b/>
          <w:iCs/>
          <w:sz w:val="20"/>
          <w:szCs w:val="20"/>
          <w:lang w:val="fr-BE"/>
        </w:rPr>
        <w:t xml:space="preserve">. </w:t>
      </w:r>
      <w:proofErr w:type="gramStart"/>
      <w:r w:rsidRPr="00F563CD">
        <w:rPr>
          <w:rFonts w:asciiTheme="minorHAnsi" w:hAnsiTheme="minorHAnsi" w:cstheme="minorHAnsi"/>
          <w:b/>
          <w:iCs/>
          <w:sz w:val="20"/>
          <w:szCs w:val="20"/>
          <w:lang w:val="fr-BE"/>
        </w:rPr>
        <w:t>godinu</w:t>
      </w:r>
      <w:proofErr w:type="gramEnd"/>
      <w:r w:rsidRPr="00F563CD">
        <w:rPr>
          <w:rFonts w:asciiTheme="minorHAnsi" w:hAnsiTheme="minorHAnsi" w:cstheme="minorHAnsi"/>
          <w:iCs/>
          <w:sz w:val="20"/>
          <w:szCs w:val="20"/>
          <w:lang w:val="fr-BE"/>
        </w:rPr>
        <w:t xml:space="preserve">, kojom se naglašava da je odrađen značajan dio posla koji je vezan za usklađivanje i pripremu za sprovođenje pravne tekovine EU u većini oblasti, te da u narednom periodu Crna Gora treba da se fokusira na dalje jačanje administrativnih kapaciteta u cilju obezbjeđivanja primjene pravne tekovine EU i adresira ključna pitanja </w:t>
      </w:r>
      <w:r w:rsidRPr="00323519">
        <w:rPr>
          <w:rFonts w:asciiTheme="minorHAnsi" w:hAnsiTheme="minorHAnsi" w:cstheme="minorHAnsi"/>
          <w:iCs/>
          <w:sz w:val="20"/>
          <w:szCs w:val="20"/>
          <w:lang w:val="fr-BE"/>
        </w:rPr>
        <w:t xml:space="preserve">identifikovana u </w:t>
      </w:r>
      <w:r w:rsidR="00DA5F8F" w:rsidRPr="00323519">
        <w:rPr>
          <w:rFonts w:asciiTheme="minorHAnsi" w:eastAsia="Calibri" w:hAnsiTheme="minorHAnsi" w:cstheme="minorHAnsi"/>
          <w:b/>
          <w:sz w:val="20"/>
          <w:szCs w:val="20"/>
          <w:lang w:val="fr-BE"/>
        </w:rPr>
        <w:t xml:space="preserve">Izvještaju EK za Crnu Goru </w:t>
      </w:r>
      <w:r w:rsidR="00323519" w:rsidRPr="00323519">
        <w:rPr>
          <w:rFonts w:asciiTheme="minorHAnsi" w:eastAsia="Calibri" w:hAnsiTheme="minorHAnsi" w:cstheme="minorHAnsi"/>
          <w:b/>
          <w:sz w:val="20"/>
          <w:szCs w:val="20"/>
          <w:lang w:val="fr-BE"/>
        </w:rPr>
        <w:t>2021</w:t>
      </w:r>
      <w:r w:rsidRPr="00323519">
        <w:rPr>
          <w:rFonts w:asciiTheme="minorHAnsi" w:hAnsiTheme="minorHAnsi" w:cstheme="minorHAnsi"/>
          <w:iCs/>
          <w:sz w:val="20"/>
          <w:szCs w:val="20"/>
          <w:lang w:val="fr-BE"/>
        </w:rPr>
        <w:t>.</w:t>
      </w:r>
      <w:r w:rsidRPr="00F563CD">
        <w:rPr>
          <w:rFonts w:asciiTheme="minorHAnsi" w:hAnsiTheme="minorHAnsi" w:cstheme="minorHAnsi"/>
          <w:iCs/>
          <w:sz w:val="20"/>
          <w:szCs w:val="20"/>
          <w:lang w:val="fr-BE"/>
        </w:rPr>
        <w:t xml:space="preserve"> </w:t>
      </w:r>
    </w:p>
    <w:p w14:paraId="2A306F4E" w14:textId="77777777" w:rsidR="00047EF8" w:rsidRPr="00F563CD" w:rsidRDefault="00047EF8" w:rsidP="00047EF8">
      <w:pPr>
        <w:spacing w:line="240" w:lineRule="auto"/>
        <w:jc w:val="both"/>
        <w:rPr>
          <w:rFonts w:asciiTheme="minorHAnsi" w:hAnsiTheme="minorHAnsi" w:cstheme="minorHAnsi"/>
          <w:iCs/>
          <w:sz w:val="20"/>
          <w:szCs w:val="20"/>
          <w:lang w:val="fr-BE"/>
        </w:rPr>
      </w:pPr>
      <w:r w:rsidRPr="00F563CD">
        <w:rPr>
          <w:rFonts w:asciiTheme="minorHAnsi" w:hAnsiTheme="minorHAnsi" w:cstheme="minorHAnsi"/>
          <w:b/>
          <w:iCs/>
          <w:sz w:val="20"/>
          <w:szCs w:val="20"/>
          <w:lang w:val="fr-BE"/>
        </w:rPr>
        <w:t xml:space="preserve">Program ekonomskih reformi 2020-2022 </w:t>
      </w:r>
      <w:r w:rsidRPr="00F563CD">
        <w:rPr>
          <w:rFonts w:asciiTheme="minorHAnsi" w:hAnsiTheme="minorHAnsi" w:cstheme="minorHAnsi"/>
          <w:iCs/>
          <w:sz w:val="20"/>
          <w:szCs w:val="20"/>
          <w:lang w:val="fr-BE"/>
        </w:rPr>
        <w:t>se zasniva na relevantnim sektorskim strategijama vezanim za sprovođenje strukturnih reformi, među kojima su identifikovani poljoprivreda i ruralni razvoj (reforme u ovom sektoru, između ostalog, treba da obezbijede usklađenost i sprovođenje pravne tekovine EU u Poglavljima 11, 12 i 13).</w:t>
      </w:r>
    </w:p>
    <w:p w14:paraId="1F2AC400" w14:textId="77777777" w:rsidR="00047EF8" w:rsidRPr="00F563CD" w:rsidRDefault="00047EF8" w:rsidP="00047EF8">
      <w:pPr>
        <w:spacing w:line="240" w:lineRule="auto"/>
        <w:jc w:val="both"/>
        <w:rPr>
          <w:rFonts w:asciiTheme="minorHAnsi" w:hAnsiTheme="minorHAnsi" w:cstheme="minorHAnsi"/>
          <w:b/>
          <w:iCs/>
          <w:sz w:val="20"/>
          <w:szCs w:val="20"/>
          <w:lang w:val="fr-BE"/>
        </w:rPr>
      </w:pPr>
      <w:r w:rsidRPr="00F563CD">
        <w:rPr>
          <w:rFonts w:asciiTheme="minorHAnsi" w:hAnsiTheme="minorHAnsi" w:cstheme="minorHAnsi"/>
          <w:b/>
          <w:iCs/>
          <w:sz w:val="20"/>
          <w:szCs w:val="20"/>
          <w:lang w:val="fr-BE"/>
        </w:rPr>
        <w:lastRenderedPageBreak/>
        <w:t xml:space="preserve">U EU strategiji za Zapadni Balkan </w:t>
      </w:r>
      <w:r w:rsidRPr="00F563CD">
        <w:rPr>
          <w:rFonts w:asciiTheme="minorHAnsi" w:hAnsiTheme="minorHAnsi" w:cstheme="minorHAnsi"/>
          <w:iCs/>
          <w:sz w:val="20"/>
          <w:szCs w:val="20"/>
          <w:lang w:val="fr-BE"/>
        </w:rPr>
        <w:t>se,</w:t>
      </w:r>
      <w:r w:rsidRPr="00F563CD">
        <w:rPr>
          <w:rFonts w:asciiTheme="minorHAnsi" w:hAnsiTheme="minorHAnsi" w:cstheme="minorHAnsi"/>
          <w:b/>
          <w:iCs/>
          <w:sz w:val="20"/>
          <w:szCs w:val="20"/>
          <w:lang w:val="fr-BE"/>
        </w:rPr>
        <w:t xml:space="preserve"> </w:t>
      </w:r>
      <w:r w:rsidRPr="00F563CD">
        <w:rPr>
          <w:rFonts w:asciiTheme="minorHAnsi" w:hAnsiTheme="minorHAnsi" w:cstheme="minorHAnsi"/>
          <w:iCs/>
          <w:sz w:val="20"/>
          <w:szCs w:val="20"/>
          <w:lang w:val="fr-BE"/>
        </w:rPr>
        <w:t xml:space="preserve">između ostalog, ističe da se strukturne reforme </w:t>
      </w:r>
      <w:r w:rsidR="00574921" w:rsidRPr="00F563CD">
        <w:rPr>
          <w:rFonts w:asciiTheme="minorHAnsi" w:hAnsiTheme="minorHAnsi" w:cstheme="minorHAnsi"/>
          <w:iCs/>
          <w:sz w:val="20"/>
          <w:szCs w:val="20"/>
          <w:lang w:val="fr-BE"/>
        </w:rPr>
        <w:t>predviđene Programom</w:t>
      </w:r>
      <w:r w:rsidRPr="00F563CD">
        <w:rPr>
          <w:rFonts w:asciiTheme="minorHAnsi" w:hAnsiTheme="minorHAnsi" w:cstheme="minorHAnsi"/>
          <w:iCs/>
          <w:sz w:val="20"/>
          <w:szCs w:val="20"/>
          <w:lang w:val="fr-BE"/>
        </w:rPr>
        <w:t xml:space="preserve"> ekonomskih reformi moraju ozbiljnije sprovoditi, kao i da se mora staviti fokus na primjenu EU pravila i standarda, pri čemu se ističe </w:t>
      </w:r>
      <w:proofErr w:type="gramStart"/>
      <w:r w:rsidRPr="00F563CD">
        <w:rPr>
          <w:rFonts w:asciiTheme="minorHAnsi" w:hAnsiTheme="minorHAnsi" w:cstheme="minorHAnsi"/>
          <w:iCs/>
          <w:sz w:val="20"/>
          <w:szCs w:val="20"/>
          <w:lang w:val="fr-BE"/>
        </w:rPr>
        <w:t>da ,,</w:t>
      </w:r>
      <w:proofErr w:type="gramEnd"/>
      <w:r w:rsidRPr="00F563CD">
        <w:rPr>
          <w:rFonts w:asciiTheme="minorHAnsi" w:hAnsiTheme="minorHAnsi" w:cstheme="minorHAnsi"/>
          <w:iCs/>
          <w:sz w:val="20"/>
          <w:szCs w:val="20"/>
          <w:lang w:val="fr-BE"/>
        </w:rPr>
        <w:t>dosta toga preostaje da se uradi na sveukupnom usklađivanju sa pravnom tekovinom EU, na uspostavljanju i izgradnji institucija i obezbjeđivanju kapaciteta za sprovođenje pravne tekovine EU’’.</w:t>
      </w:r>
    </w:p>
    <w:p w14:paraId="46AE0479" w14:textId="77777777" w:rsidR="00047EF8" w:rsidRPr="00F563CD" w:rsidRDefault="00047EF8" w:rsidP="00047EF8">
      <w:pPr>
        <w:spacing w:line="240" w:lineRule="auto"/>
        <w:jc w:val="both"/>
        <w:rPr>
          <w:rFonts w:asciiTheme="minorHAnsi" w:hAnsiTheme="minorHAnsi" w:cstheme="minorHAnsi"/>
          <w:sz w:val="20"/>
          <w:szCs w:val="20"/>
          <w:lang w:val="fr-BE"/>
        </w:rPr>
      </w:pPr>
      <w:r w:rsidRPr="00F563CD">
        <w:rPr>
          <w:rFonts w:asciiTheme="minorHAnsi" w:hAnsiTheme="minorHAnsi" w:cstheme="minorHAnsi"/>
          <w:sz w:val="20"/>
          <w:szCs w:val="20"/>
          <w:lang w:val="fr-BE"/>
        </w:rPr>
        <w:t xml:space="preserve">Zdraviji i održiviji EU prehrambeni sistem, kao konačan cilj predloženih intervencija, u centru je pažnje Evropskog zelenog dogovora. Ministarstvo poljoprivrede, šumarstva i vodoprivrede je uključeno u proces razvoja novih strategija ili inoviranja postojećih, u cilju pažljivijeg fokusiranja i definisanja redosljeda reformskih aktivnosti države u narednom periodu i doprinosa sprovođenju </w:t>
      </w:r>
      <w:r w:rsidRPr="00F563CD">
        <w:rPr>
          <w:rFonts w:asciiTheme="minorHAnsi" w:hAnsiTheme="minorHAnsi" w:cstheme="minorHAnsi"/>
          <w:b/>
          <w:sz w:val="20"/>
          <w:szCs w:val="20"/>
          <w:lang w:val="fr-BE"/>
        </w:rPr>
        <w:t>Zelene Agende za Zapadni Balkan</w:t>
      </w:r>
      <w:r w:rsidRPr="00F563CD">
        <w:rPr>
          <w:rFonts w:asciiTheme="minorHAnsi" w:hAnsiTheme="minorHAnsi" w:cstheme="minorHAnsi"/>
          <w:sz w:val="20"/>
          <w:szCs w:val="20"/>
          <w:lang w:val="fr-BE"/>
        </w:rPr>
        <w:t>, naročit</w:t>
      </w:r>
      <w:r w:rsidR="00136F2E" w:rsidRPr="00F563CD">
        <w:rPr>
          <w:rFonts w:asciiTheme="minorHAnsi" w:hAnsiTheme="minorHAnsi" w:cstheme="minorHAnsi"/>
          <w:sz w:val="20"/>
          <w:szCs w:val="20"/>
          <w:lang w:val="fr-BE"/>
        </w:rPr>
        <w:t>o u vezi sa stubom 5 koji se od</w:t>
      </w:r>
      <w:r w:rsidRPr="00F563CD">
        <w:rPr>
          <w:rFonts w:asciiTheme="minorHAnsi" w:hAnsiTheme="minorHAnsi" w:cstheme="minorHAnsi"/>
          <w:sz w:val="20"/>
          <w:szCs w:val="20"/>
          <w:lang w:val="fr-BE"/>
        </w:rPr>
        <w:t xml:space="preserve">nosi na održivi prehrambeni sistem i ruralna područja, uporedo s otklanjanjem nedostataka koji su identifikovani u ostalim stubovima vezanim za sektor hrane (npr. </w:t>
      </w:r>
      <w:proofErr w:type="gramStart"/>
      <w:r w:rsidRPr="00F563CD">
        <w:rPr>
          <w:rFonts w:asciiTheme="minorHAnsi" w:hAnsiTheme="minorHAnsi" w:cstheme="minorHAnsi"/>
          <w:sz w:val="20"/>
          <w:szCs w:val="20"/>
          <w:lang w:val="fr-BE"/>
        </w:rPr>
        <w:t>otpad</w:t>
      </w:r>
      <w:proofErr w:type="gramEnd"/>
      <w:r w:rsidRPr="00F563CD">
        <w:rPr>
          <w:rFonts w:asciiTheme="minorHAnsi" w:hAnsiTheme="minorHAnsi" w:cstheme="minorHAnsi"/>
          <w:sz w:val="20"/>
          <w:szCs w:val="20"/>
          <w:lang w:val="fr-BE"/>
        </w:rPr>
        <w:t xml:space="preserve">, pakovanje, saobraćaj, potrošnja, itd.).   </w:t>
      </w:r>
    </w:p>
    <w:p w14:paraId="1CEE72F2" w14:textId="77777777" w:rsidR="00047EF8" w:rsidRPr="00F563CD" w:rsidRDefault="00047EF8" w:rsidP="00047EF8">
      <w:pPr>
        <w:pStyle w:val="FootnoteText"/>
        <w:rPr>
          <w:rFonts w:asciiTheme="minorHAnsi" w:hAnsiTheme="minorHAnsi"/>
          <w:lang w:val="fr-BE"/>
        </w:rPr>
      </w:pPr>
    </w:p>
    <w:p w14:paraId="02BC715B" w14:textId="77777777" w:rsidR="00047EF8" w:rsidRPr="00F563CD" w:rsidRDefault="00047EF8" w:rsidP="00047EF8">
      <w:pPr>
        <w:pStyle w:val="Heading2"/>
        <w:numPr>
          <w:ilvl w:val="0"/>
          <w:numId w:val="30"/>
        </w:numPr>
        <w:spacing w:before="0" w:after="200" w:line="240" w:lineRule="auto"/>
        <w:rPr>
          <w:rFonts w:asciiTheme="minorHAnsi" w:hAnsiTheme="minorHAnsi" w:cs="Arial"/>
          <w:smallCaps/>
          <w:color w:val="auto"/>
          <w:sz w:val="24"/>
          <w:szCs w:val="24"/>
        </w:rPr>
      </w:pPr>
      <w:bookmarkStart w:id="55" w:name="_Toc91500280"/>
      <w:r w:rsidRPr="00F563CD">
        <w:rPr>
          <w:rFonts w:asciiTheme="minorHAnsi" w:hAnsiTheme="minorHAnsi" w:cs="Arial"/>
          <w:smallCaps/>
          <w:color w:val="auto"/>
          <w:sz w:val="24"/>
          <w:szCs w:val="24"/>
        </w:rPr>
        <w:t>Sektorska analiza</w:t>
      </w:r>
      <w:bookmarkEnd w:id="55"/>
      <w:r w:rsidRPr="00F563CD">
        <w:rPr>
          <w:rFonts w:asciiTheme="minorHAnsi" w:hAnsiTheme="minorHAnsi" w:cs="Arial"/>
          <w:smallCaps/>
          <w:color w:val="auto"/>
          <w:sz w:val="24"/>
          <w:szCs w:val="24"/>
        </w:rPr>
        <w:t xml:space="preserve"> </w:t>
      </w:r>
    </w:p>
    <w:p w14:paraId="12554F75" w14:textId="77777777" w:rsidR="00047EF8" w:rsidRPr="00F563CD" w:rsidRDefault="00047EF8" w:rsidP="00047EF8">
      <w:pPr>
        <w:spacing w:line="240" w:lineRule="auto"/>
        <w:jc w:val="both"/>
        <w:rPr>
          <w:rFonts w:asciiTheme="minorHAnsi" w:eastAsia="Calibri" w:hAnsiTheme="minorHAnsi" w:cs="Calibri"/>
          <w:b/>
          <w:bCs/>
          <w:i/>
          <w:iCs/>
          <w:sz w:val="20"/>
          <w:szCs w:val="20"/>
        </w:rPr>
      </w:pPr>
      <w:r w:rsidRPr="00F563CD">
        <w:rPr>
          <w:rFonts w:asciiTheme="minorHAnsi" w:eastAsia="Calibri" w:hAnsiTheme="minorHAnsi" w:cs="Calibri"/>
          <w:b/>
          <w:bCs/>
          <w:i/>
          <w:iCs/>
          <w:sz w:val="20"/>
          <w:szCs w:val="20"/>
        </w:rPr>
        <w:t xml:space="preserve">Tematski prioritet 1: Obrazovanje, zapošljavanje, socijalna zaštita, politike inkluzije i zdravlje </w:t>
      </w:r>
    </w:p>
    <w:p w14:paraId="6DD5F31A" w14:textId="77777777" w:rsidR="00047EF8" w:rsidRPr="00F563CD" w:rsidRDefault="00047EF8" w:rsidP="00047EF8">
      <w:pPr>
        <w:spacing w:line="240" w:lineRule="auto"/>
        <w:jc w:val="both"/>
        <w:rPr>
          <w:rFonts w:asciiTheme="minorHAnsi" w:eastAsia="Calibri" w:hAnsiTheme="minorHAnsi" w:cs="Calibri"/>
          <w:b/>
          <w:bCs/>
          <w:iCs/>
          <w:sz w:val="20"/>
          <w:szCs w:val="20"/>
          <w:u w:val="single"/>
        </w:rPr>
      </w:pPr>
      <w:r w:rsidRPr="00F563CD">
        <w:rPr>
          <w:rFonts w:asciiTheme="minorHAnsi" w:eastAsia="Calibri" w:hAnsiTheme="minorHAnsi" w:cs="Calibri"/>
          <w:b/>
          <w:bCs/>
          <w:iCs/>
          <w:sz w:val="20"/>
          <w:szCs w:val="20"/>
          <w:u w:val="single"/>
        </w:rPr>
        <w:t xml:space="preserve">Obrazovanje </w:t>
      </w:r>
    </w:p>
    <w:p w14:paraId="43DC14BF"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eastAsia="Calibri" w:hAnsiTheme="minorHAnsi" w:cs="Calibri"/>
          <w:sz w:val="20"/>
          <w:szCs w:val="20"/>
        </w:rPr>
        <w:t>Strateški okvir relevantan za oblast obrazovanja čine strategije, programi i akcioni planovi, koji su hijerarhijski prilagođeni i uglavnom usklađeni sa Uredbom o načinu i postupku izrade, usklađivanja i praćenja sprovođenja strateških dokumenata</w:t>
      </w:r>
      <w:r w:rsidRPr="00F563CD">
        <w:rPr>
          <w:rFonts w:asciiTheme="minorHAnsi" w:eastAsia="Calibri" w:hAnsiTheme="minorHAnsi" w:cs="Calibri"/>
          <w:sz w:val="20"/>
          <w:szCs w:val="20"/>
          <w:vertAlign w:val="superscript"/>
        </w:rPr>
        <w:footnoteReference w:id="33"/>
      </w:r>
      <w:r w:rsidRPr="00F563CD">
        <w:rPr>
          <w:rFonts w:asciiTheme="minorHAnsi" w:eastAsia="Calibri" w:hAnsiTheme="minorHAnsi" w:cs="Calibri"/>
          <w:sz w:val="20"/>
          <w:szCs w:val="20"/>
        </w:rPr>
        <w:t xml:space="preserve"> i Metodologijom razvijanja politika, izrade i praćenja sprovođenja strateških dokumenata. Oblast obrazovanja karakteriše kompleksan </w:t>
      </w:r>
      <w:r w:rsidRPr="00F563CD">
        <w:rPr>
          <w:rFonts w:asciiTheme="minorHAnsi" w:eastAsia="Calibri" w:hAnsiTheme="minorHAnsi" w:cs="Calibri"/>
          <w:b/>
          <w:sz w:val="20"/>
          <w:szCs w:val="20"/>
        </w:rPr>
        <w:t>strateški okvir</w:t>
      </w:r>
      <w:r w:rsidRPr="00F563CD">
        <w:rPr>
          <w:rFonts w:asciiTheme="minorHAnsi" w:eastAsia="Calibri" w:hAnsiTheme="minorHAnsi" w:cs="Calibri"/>
          <w:sz w:val="20"/>
          <w:szCs w:val="20"/>
        </w:rPr>
        <w:t xml:space="preserve">, ne samo u smislu broja strategija već i broja multidisciplinarnih i srodnih pitanja. Godina 2020. je za većinu strategija bila posljednja godina sprovođenja i godina kada je trebalo pripremiti novi strateški okvir za period nakon 2020. godine. Zbog epidemije COVID-19, većina aktivnosti strateškog planiranja je odgođena. Strategije relevantne za oblast obrazovanja su pripremljene na osnovu dostupnih analiza, koje su dale osnovu za kreiranje politike zasnovane na dokazima. Novije strategije kao što su: </w:t>
      </w:r>
      <w:r w:rsidRPr="00F563CD">
        <w:rPr>
          <w:rFonts w:asciiTheme="minorHAnsi" w:eastAsia="Calibri" w:hAnsiTheme="minorHAnsi" w:cs="Calibri"/>
          <w:b/>
          <w:sz w:val="20"/>
          <w:szCs w:val="20"/>
        </w:rPr>
        <w:t xml:space="preserve">Strategija ranog i predškolskog vaspitanja i obrazovanja 2021-2025, Strategija inkluzivnog obrazovanja 2019-2025, Strategija razvoja stručnog obrazovanja u Crnoj Gori 2020-2024 i nacrt Strategije visokog obrazovanja 2020-2025 </w:t>
      </w:r>
      <w:r w:rsidRPr="00F563CD">
        <w:rPr>
          <w:rFonts w:asciiTheme="minorHAnsi" w:eastAsia="Calibri" w:hAnsiTheme="minorHAnsi" w:cs="Calibri"/>
          <w:sz w:val="20"/>
          <w:szCs w:val="20"/>
        </w:rPr>
        <w:t>su pripremljene na osnovu naknadne (</w:t>
      </w:r>
      <w:r w:rsidRPr="00F563CD">
        <w:rPr>
          <w:rFonts w:asciiTheme="minorHAnsi" w:eastAsia="Calibri" w:hAnsiTheme="minorHAnsi" w:cs="Calibri"/>
          <w:i/>
          <w:sz w:val="20"/>
          <w:szCs w:val="20"/>
        </w:rPr>
        <w:t>ex-post</w:t>
      </w:r>
      <w:r w:rsidRPr="00F563CD">
        <w:rPr>
          <w:rFonts w:asciiTheme="minorHAnsi" w:eastAsia="Calibri" w:hAnsiTheme="minorHAnsi" w:cs="Calibri"/>
          <w:sz w:val="20"/>
          <w:szCs w:val="20"/>
        </w:rPr>
        <w:t>) analize prethodnih strategija (analitičkih izvještaja), nacionalnih statističkih podataka i administrativnih podataka, te analitičkih izvještaja relevantnih međunarodnih organizacija, koji su dali strateško usmjerenje. Sve strategije su pripremljene kroz participativne procese konsultacija sa širokim spektrom zainteresovanih strana i kroz javne rasprave prije njihovog usvajanja. Mehanizmi za njihovo praćenje i izvještavanje su definisani i operacionalizovani kroz prateće akcione planove. Međusektorska saradnja ostaje ključni preduslov za postizanje postavljenih prioriteta. Međutim, programski kapaciteti ostaju izazov usljed različitih razloga, uključujući: uređenje strateškog planiranja, koje sprečava sistemski, holistički i na rezultate orijentisan pristup razvoju ljudskog kapitala; institucionalno uređenje koje karakteriše tradicija centralizovanog upravljanja, koja otežava zajedničko donošenje odluka zasnovano na istinskom socijalnom partnerstvu i na osnaživanju različitih aktera izvan državnog aparata; ograničeni institucionalni kapaciteti, u smislu ljudskih, materijalnih i finansijskih resursa; slab sistem praćenja i evaluacije, uz nesistematično korišćenje podataka, koje onemogućava korišćenje rezultata različitih inovativnih pilot projekata za njihovo unapređenje kroz ambicioznu i ​​jedinstvenu reformu stručnog i visokog obrazovanja</w:t>
      </w:r>
      <w:r w:rsidRPr="00F563CD">
        <w:rPr>
          <w:rFonts w:asciiTheme="minorHAnsi" w:eastAsia="Calibri" w:hAnsiTheme="minorHAnsi" w:cs="Calibri"/>
          <w:sz w:val="20"/>
          <w:szCs w:val="20"/>
          <w:vertAlign w:val="superscript"/>
        </w:rPr>
        <w:footnoteReference w:id="34"/>
      </w:r>
      <w:r w:rsidRPr="00F563CD">
        <w:rPr>
          <w:rFonts w:asciiTheme="minorHAnsi" w:hAnsiTheme="minorHAnsi"/>
          <w:sz w:val="20"/>
          <w:szCs w:val="20"/>
        </w:rPr>
        <w:t xml:space="preserve">. </w:t>
      </w:r>
    </w:p>
    <w:p w14:paraId="6D14B73B" w14:textId="77777777" w:rsidR="00047EF8" w:rsidRPr="00F563CD" w:rsidRDefault="00047EF8" w:rsidP="00047EF8">
      <w:pPr>
        <w:spacing w:line="240" w:lineRule="auto"/>
        <w:jc w:val="both"/>
        <w:rPr>
          <w:rFonts w:asciiTheme="minorHAnsi" w:eastAsia="Calibri" w:hAnsiTheme="minorHAnsi" w:cs="Calibri"/>
          <w:b/>
          <w:sz w:val="20"/>
          <w:szCs w:val="20"/>
        </w:rPr>
      </w:pPr>
      <w:r w:rsidRPr="00F563CD">
        <w:rPr>
          <w:rFonts w:asciiTheme="minorHAnsi" w:eastAsia="Calibri" w:hAnsiTheme="minorHAnsi" w:cs="Calibri"/>
          <w:sz w:val="20"/>
          <w:szCs w:val="20"/>
        </w:rPr>
        <w:t>Nakon parlamentarnih izbora 2020. godine, struktura i nadležnosti državne uprave su doživjele suštinske promjene, pa je nadležnost prethodnog Ministarstva prosvjete proširena na Ministarstvo prosvjete, nauke, kulture i sporta. Ministarstvo je vodeća institucija koja ima ukupnu odgovornost za razvoj i sprovođenje obrazovne politike u Crnoj Gori. Funkcije i aktivnosti koje Ministarstvo obavlja obuhvataju istraživanje, planiranje, razvoj, nadzor i upravljanje predškolskim, osnovnim, srednjim, višim, visokim i sistemom obrazovanja odraslih.</w:t>
      </w:r>
      <w:r w:rsidRPr="00F563CD">
        <w:rPr>
          <w:rFonts w:asciiTheme="minorHAnsi" w:hAnsiTheme="minorHAnsi"/>
        </w:rPr>
        <w:t xml:space="preserve"> </w:t>
      </w:r>
      <w:r w:rsidRPr="00F563CD">
        <w:rPr>
          <w:rFonts w:asciiTheme="minorHAnsi" w:eastAsia="Calibri" w:hAnsiTheme="minorHAnsi" w:cs="Calibri"/>
          <w:sz w:val="20"/>
          <w:szCs w:val="20"/>
        </w:rPr>
        <w:t xml:space="preserve">U proces realizacije aktivnosti biće uključeni i Centar za stručno obrazovanje, Ispitni centar, Nacionalni savjet za obrazovanje, Savjet za kvalifikacije, Odbor za stručno obrazovanje i Odbor za obrazovanje odraslih kao organi Nacionalnog savjeta koji se osnivaju na principu socijalnog partnerstva; Savjet za visoko obrazovanje, Agencija za kontrolu i obezbjeđenje kvaliteta visokog obrazovanja (AKOKVO), visokoškolske ustanove i druge institucije, gdje je to relevantno. </w:t>
      </w:r>
    </w:p>
    <w:p w14:paraId="4EC63616"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b/>
          <w:sz w:val="20"/>
          <w:szCs w:val="20"/>
        </w:rPr>
        <w:t>Budžet</w:t>
      </w:r>
      <w:r w:rsidRPr="00F563CD">
        <w:rPr>
          <w:rFonts w:asciiTheme="minorHAnsi" w:hAnsiTheme="minorHAnsi"/>
          <w:sz w:val="20"/>
          <w:szCs w:val="20"/>
        </w:rPr>
        <w:t xml:space="preserve"> Ministarstva prosvjete, nauke, kulture i sporta je dio Budžeta Crne Gore, koji donosi Skupština na godišnjem nivou, i utvrđuje visinu sredstava za sektor obrazovanja. Ministarstvo prosvjete, nauke, kulture i sporta primjenjuje Programski </w:t>
      </w:r>
      <w:r w:rsidRPr="00F563CD">
        <w:rPr>
          <w:rFonts w:asciiTheme="minorHAnsi" w:hAnsiTheme="minorHAnsi"/>
          <w:sz w:val="20"/>
          <w:szCs w:val="20"/>
        </w:rPr>
        <w:lastRenderedPageBreak/>
        <w:t>budžet koji se sastoji od 10 programa. Osim toga, Vlada kroz Kapitalni budžet izdvaja posebna sredstva za obrazovni sistem. Značajan iznos sredstava u okviru Kapitalnog budžeta izdvaja se za unapređenje školske infrastrukture. Javno finansiranje do-univerzitetskog obrazovanja se u potpunosti vrši sa centralnog nivoa, uz određeni doprinos lokalnih samouprava. U pogledu finansiranja javnih visokoškolskih ustanova (VU), Vlada, na osnovu mišljenja Savjeta za visoko obrazovanje, utvrđuje visinu sredstava za finansiranje javnih ustanova i studenata u tim ustanovama za svaku akademsku godinu. Finansijsko izvještavanje i revizija su relativno dobri, ali su periodični finansijski izvještaji ograničeni na puko evidentiranje da li su troškovi nastali ili ne. Nedostaju elementi procjene isplativosti ili efikasnosti. Izdvajanje iz BDP-a za oblast obrazovanja iznosi oko 4,5%</w:t>
      </w:r>
      <w:r w:rsidRPr="00F563CD">
        <w:rPr>
          <w:rFonts w:asciiTheme="minorHAnsi" w:eastAsia="Calibri" w:hAnsiTheme="minorHAnsi" w:cs="Calibri"/>
          <w:sz w:val="20"/>
          <w:szCs w:val="20"/>
          <w:vertAlign w:val="superscript"/>
        </w:rPr>
        <w:footnoteReference w:id="35"/>
      </w:r>
      <w:r w:rsidRPr="00F563CD">
        <w:rPr>
          <w:rFonts w:asciiTheme="minorHAnsi" w:eastAsia="Calibri" w:hAnsiTheme="minorHAnsi" w:cs="Calibri"/>
          <w:sz w:val="20"/>
          <w:szCs w:val="20"/>
        </w:rPr>
        <w:t xml:space="preserve">. </w:t>
      </w:r>
    </w:p>
    <w:p w14:paraId="2515DA50"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Na nivou Vlade uspostavljeno je nekoliko mehanizama za sveukupnu </w:t>
      </w:r>
      <w:r w:rsidRPr="00F563CD">
        <w:rPr>
          <w:rFonts w:asciiTheme="minorHAnsi" w:eastAsia="Calibri" w:hAnsiTheme="minorHAnsi" w:cs="Calibri"/>
          <w:b/>
          <w:sz w:val="20"/>
          <w:szCs w:val="20"/>
        </w:rPr>
        <w:t>koordinaciju</w:t>
      </w:r>
      <w:r w:rsidRPr="00F563CD">
        <w:rPr>
          <w:rFonts w:asciiTheme="minorHAnsi" w:eastAsia="Calibri" w:hAnsiTheme="minorHAnsi" w:cs="Calibri"/>
          <w:sz w:val="20"/>
          <w:szCs w:val="20"/>
        </w:rPr>
        <w:t xml:space="preserve"> sektora obrazovanja, zapošljavanja i socijalne inkluzije, od kojih je ključni Vladina Komisija za ekonomsku politiku i finansijski sistem koja razmatra sve relevantne zakonske i strateške dokumente. Pored toga, za pripremu svih zakonskih i strateških dokumenata se formiraju radne grupe, sa uključenim svim relevantnim akterima iz državne i javne uprave, kao i socijalnim partnerima, nevladinim organizacijama i drugim relevantnim stranama. </w:t>
      </w:r>
    </w:p>
    <w:p w14:paraId="5264ED41"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Na nacionalnom nivou ne postoje dobro definisani alati i mehanizmi za </w:t>
      </w:r>
      <w:r w:rsidRPr="00F563CD">
        <w:rPr>
          <w:rFonts w:asciiTheme="minorHAnsi" w:eastAsia="Calibri" w:hAnsiTheme="minorHAnsi" w:cs="Calibri"/>
          <w:b/>
          <w:sz w:val="20"/>
          <w:szCs w:val="20"/>
        </w:rPr>
        <w:t>praćenje i evaluaciju</w:t>
      </w:r>
      <w:r w:rsidRPr="00F563CD">
        <w:rPr>
          <w:rFonts w:asciiTheme="minorHAnsi" w:eastAsia="Calibri" w:hAnsiTheme="minorHAnsi" w:cs="Calibri"/>
          <w:sz w:val="20"/>
          <w:szCs w:val="20"/>
        </w:rPr>
        <w:t xml:space="preserve">, osim instrumenta za izvještavanje koji se koristi za provjeru da li su aktivnosti ili akcije sprovedene ili ne. Informacioni sistem crnogorskog obrazovanja (MEIS) je glavna tačka gdje se objedinjavaju svi statistički podaci u vezi sa preduniverzitetskim obrazovanjem, uključujući sve podatke o pružaocima usluga stručnog obrazovanja i studentima. Od školske 2018/19 godine, poseban modul MEIS-a je počeo prikupljati informacije o pružaocima usluga obrazovanja odraslih, kao i o obukama koje se nude i sprovode. Koegzistiraju različite baze podataka koje bi mogle pomoći praćenje, pod uslovom da su usklađene i konzistentne. Strategijom razvoja stručnog obrazovanja je predviđeno uspostavljanje koordinacionog tijela za praćenje i izvještavanje o implementaciji akcionog plana. Napori u ovoj oblasti su konstantni, i postignut je određeni napredak, kako na nacionalnom tako i na sektorskom nivou, u pogledu proizvodnje podataka. Analiza, tumačenje i upotreba podataka ostaju upitni. Poseban izazov predstavlja redovno praćenje i evaluacija praktičnog učenja u stručnom i visokom obrazovanju, što bi pomoglo povećanju zapošljivosti studenata. </w:t>
      </w:r>
    </w:p>
    <w:p w14:paraId="04EEA751"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U Paketu proširenja Evropske komisije za 2021. godinu se navodi procjena da Crna Gora ima </w:t>
      </w:r>
      <w:r w:rsidRPr="00F563CD">
        <w:rPr>
          <w:rFonts w:asciiTheme="minorHAnsi" w:eastAsia="Calibri" w:hAnsiTheme="minorHAnsi" w:cs="Calibri"/>
          <w:b/>
          <w:sz w:val="20"/>
          <w:szCs w:val="20"/>
        </w:rPr>
        <w:t>dobar nivo spremnosti</w:t>
      </w:r>
      <w:r w:rsidRPr="00F563CD">
        <w:rPr>
          <w:rFonts w:asciiTheme="minorHAnsi" w:eastAsia="Calibri" w:hAnsiTheme="minorHAnsi" w:cs="Calibri"/>
          <w:sz w:val="20"/>
          <w:szCs w:val="20"/>
        </w:rPr>
        <w:t xml:space="preserve"> u poglavlju 26. Određeni napredak je postignut u pogledu preporuka iz 2020. godine o nastavku reforme obrazovanja, posebno u oblasti stručnog obrazovanja i usavršavanja. Ostale preporuke zahtijevaju više napora, poput one o praćenju i evaluaciji praktičnog učenja. Pandemija COVID-19 je ozbiljno uticala na sektor obrazovanja, čiji je odgovor na pandemiju bio fokusiran na održavanje kontinuiteta kroz učenje na daljinu. </w:t>
      </w:r>
    </w:p>
    <w:p w14:paraId="52957397"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eastAsia="Calibri" w:hAnsiTheme="minorHAnsi" w:cs="Calibri"/>
          <w:b/>
          <w:bCs/>
          <w:sz w:val="20"/>
          <w:szCs w:val="20"/>
          <w:u w:val="single"/>
        </w:rPr>
        <w:t xml:space="preserve">Politike zapošljavanja </w:t>
      </w:r>
    </w:p>
    <w:p w14:paraId="4A80454A"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Strateški okvir podrazumijeva glavnu sektorsku strategiju zapošljavanja koja je trajala do 2020. godine. Planirano je da se nova </w:t>
      </w:r>
      <w:r w:rsidRPr="00F563CD">
        <w:rPr>
          <w:rFonts w:asciiTheme="minorHAnsi" w:eastAsia="Calibri" w:hAnsiTheme="minorHAnsi" w:cs="Calibri"/>
          <w:b/>
          <w:sz w:val="20"/>
          <w:szCs w:val="20"/>
        </w:rPr>
        <w:t>Nacionalna strategija zapošljavanja za period 2021-2025</w:t>
      </w:r>
      <w:r w:rsidRPr="00F563CD">
        <w:rPr>
          <w:rFonts w:asciiTheme="minorHAnsi" w:eastAsia="Calibri" w:hAnsiTheme="minorHAnsi" w:cs="Calibri"/>
          <w:sz w:val="20"/>
          <w:szCs w:val="20"/>
        </w:rPr>
        <w:t xml:space="preserve"> donese 2021. godine. Strategija po prvi put stavlja fokus na mjere i programe politike aktivnog zapošljavanja, prilagođene specifičnim ciljnim grupama. Strategija se priprema u skladu sa Metodologijom razvijanja politika, izrade i praćenja sprovođenja strateških dokumenata. Strateški okvir karakterišu složena multidisciplinarna pitanja, posebno u oblasti obrazovanja, poreza i socijalne politike. Nova Strategija se priprema na osnovu naknadne (</w:t>
      </w:r>
      <w:r w:rsidRPr="00F563CD">
        <w:rPr>
          <w:rFonts w:asciiTheme="minorHAnsi" w:eastAsia="Calibri" w:hAnsiTheme="minorHAnsi" w:cs="Calibri"/>
          <w:i/>
          <w:sz w:val="20"/>
          <w:szCs w:val="20"/>
        </w:rPr>
        <w:t>ex-post</w:t>
      </w:r>
      <w:r w:rsidRPr="00F563CD">
        <w:rPr>
          <w:rFonts w:asciiTheme="minorHAnsi" w:eastAsia="Calibri" w:hAnsiTheme="minorHAnsi" w:cs="Calibri"/>
          <w:sz w:val="20"/>
          <w:szCs w:val="20"/>
        </w:rPr>
        <w:t xml:space="preserve">) analize prethodne strategije i najnovijih dešavanja u ovoj oblasti politike. Strategija zapošljavanja se priprema kroz participativne procese konsultacija sa širokim spektrom zainteresovanih strana i prolazi kroz javnu raspravu prije usvajanja. Mehanizmi za praćenje i izvještavanje su definisani i operacionalizovani kroz prateće akcione planove. </w:t>
      </w:r>
    </w:p>
    <w:p w14:paraId="35EF1521"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Nakon parlamentarnih izbora 2020. godine došlo je do promjena u strukturi državne uprave. Ministarstvo rada i socijalnog staranja je novom Uredbom o organizaciji i načinu rada državne uprave („Službeni list Crne </w:t>
      </w:r>
      <w:proofErr w:type="gramStart"/>
      <w:r w:rsidRPr="00F563CD">
        <w:rPr>
          <w:rFonts w:asciiTheme="minorHAnsi" w:hAnsiTheme="minorHAnsi"/>
          <w:sz w:val="20"/>
          <w:szCs w:val="20"/>
        </w:rPr>
        <w:t>Gore“</w:t>
      </w:r>
      <w:proofErr w:type="gramEnd"/>
      <w:r w:rsidRPr="00F563CD">
        <w:rPr>
          <w:rFonts w:asciiTheme="minorHAnsi" w:hAnsiTheme="minorHAnsi"/>
          <w:sz w:val="20"/>
          <w:szCs w:val="20"/>
        </w:rPr>
        <w:t xml:space="preserve">, br. 18/2020) izgubilo status pravnog lica, pa je oblast socijalne politike prenijeta na Ministarstvo finansija i socijalnog staranja, dok je nadležnost za oblast zapošljavanja i radnih odnosa dodijeljena Ministarstvu ekonomskog razvoja. Glavne funkcije Ministarstva u vezi sa zapošljavanjem su upravljanje i sprovođenje nacionalnih politika i programa koji se odnose na: tržište rada i propise o radu, penzijsku reformu i sve druge aspekte zapošljavanja. </w:t>
      </w:r>
    </w:p>
    <w:p w14:paraId="300A6663"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Što se tiče administrativnih kapaciteta, Zavod za zapošljavanje Crne Gore koji sprovodi mjere aktivnog zapošljavanja ima devet područnih jedinica i 15 biroa rada. U okviru Zavoda obezbijeđeno je funkcionisanje centara za informisanje i stručno savjetovanje. </w:t>
      </w:r>
    </w:p>
    <w:p w14:paraId="1A069DD0"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lastRenderedPageBreak/>
        <w:t xml:space="preserve">Budžet za sprovođenje politike zapošljavanja je dio Budžeta Crne Gore, koji donosi Skupština na godišnjem nivou, određujući iznos sredstava za sektor zapošljavanja. </w:t>
      </w:r>
    </w:p>
    <w:p w14:paraId="0AE0F0BC" w14:textId="77777777" w:rsidR="00047EF8" w:rsidRPr="00F563CD" w:rsidRDefault="00047EF8" w:rsidP="00047EF8">
      <w:pPr>
        <w:spacing w:line="240" w:lineRule="auto"/>
        <w:jc w:val="both"/>
        <w:rPr>
          <w:rFonts w:asciiTheme="minorHAnsi" w:eastAsia="Calibri" w:hAnsiTheme="minorHAnsi" w:cs="Calibri"/>
          <w:b/>
          <w:bCs/>
          <w:iCs/>
          <w:sz w:val="20"/>
          <w:szCs w:val="20"/>
          <w:u w:val="single"/>
        </w:rPr>
      </w:pPr>
      <w:r w:rsidRPr="00F563CD">
        <w:rPr>
          <w:rFonts w:asciiTheme="minorHAnsi" w:eastAsia="Calibri" w:hAnsiTheme="minorHAnsi" w:cs="Calibri"/>
          <w:b/>
          <w:bCs/>
          <w:iCs/>
          <w:sz w:val="20"/>
          <w:szCs w:val="20"/>
          <w:u w:val="single"/>
        </w:rPr>
        <w:t xml:space="preserve">Socijalne politike </w:t>
      </w:r>
    </w:p>
    <w:p w14:paraId="72800A4D"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IPA III obezbjeđuje „kontinuitet sa sektorskim pristupom uvedenim u okviru prethodnog instrumenta kako bi se korisnicima pomoglo da povećaju koherentnost između nacionalnih strategija, sektorskih politika, raspodjele resursa i praksi </w:t>
      </w:r>
      <w:proofErr w:type="gramStart"/>
      <w:r w:rsidRPr="00F563CD">
        <w:rPr>
          <w:rFonts w:asciiTheme="minorHAnsi" w:eastAsia="Calibri" w:hAnsiTheme="minorHAnsi" w:cs="Calibri"/>
          <w:sz w:val="20"/>
          <w:szCs w:val="20"/>
        </w:rPr>
        <w:t>potrošnje“</w:t>
      </w:r>
      <w:proofErr w:type="gramEnd"/>
      <w:r w:rsidRPr="00F563CD">
        <w:rPr>
          <w:rFonts w:asciiTheme="minorHAnsi" w:eastAsia="Calibri" w:hAnsiTheme="minorHAnsi" w:cs="Calibri"/>
          <w:sz w:val="20"/>
          <w:szCs w:val="20"/>
        </w:rPr>
        <w:t xml:space="preserve">. </w:t>
      </w:r>
    </w:p>
    <w:p w14:paraId="35181A0B"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Predložene intervencije su u potpunosti u skladu sa opštim ciljem datim u revidiranom Indikativnom strateškom dokumentu za Crnu Goru (2016-2020), u kojem se navodi da „Crna Gora treba da nastavi da sprovodi sistematsku reformu sistema socijalne i dječije zaštite i zdravstva, uz punu primjenu novog strateškog, pravnog i institucionalnog okvira u skladu sa pravnom tekovinom EU“ kao i da „mjere za prelazak sa institucionalne na brigu u zajednici su važne, a ovaj proces bi trebalo da obuhvati djecu, mlade, starije i osobe s invaliditetom, uključujući mentalno zdravlje“. Strateški okvir za naredni programski period je u pripremi i ova akcija će biti usklađena sa novim strateškim okvirom kada bude izrađen novi indikativni strateški dokument. </w:t>
      </w:r>
    </w:p>
    <w:p w14:paraId="78ABEB63"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Intervencije će uspostaviti integrativni pristup u oblasti socijalne i dječije zaštite kroz definisanje sveobuhvatnih politika socijalne zaštite usklađenih sa Stubom EU za socijalna prava. Osim toga, osiguraće bolju horizontalnu i vertikalnu povezanost unutar i između sektora. </w:t>
      </w:r>
    </w:p>
    <w:p w14:paraId="76723B88"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Postoji ograničena formalna ili strukturirana koordinacija donatora bilo na nivou sektora ili podsektora, kojima upravljaju državni organi. Sveukupnu koordinaciju donatora vrši uglavnom Ministarstvo vanjskih poslova (Generalni direktorat za ekonomsku diplomatiju i kulturnu saradnju) ili sami donatori međusobno. Evropska komisija i agencije Ujedinjenih nacija su neki od glavnih donatora i blisko koordiniraju, kako među sobom tako i sa drugim donatorima. </w:t>
      </w:r>
    </w:p>
    <w:p w14:paraId="1762D94E"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Pravni i programski okvir za socijalnu pomoć i dječiju zaštitu u Crnoj Gori (UNICEF, 2020, nacrt-nedovršen) ocjenjuje da „postojećoj Strategiji razvoja sistema socijalne i dječije zaštite za period 2018-2022 nedostaje dugoročna vizija i cilj sektora, te ne uspijeva da pozicionira socijalnu i dječiju zaštitu u okvir nacionalnog razvojnog planiranja i njenu ulogu u postizanju najvažnijih razvojnih </w:t>
      </w:r>
      <w:proofErr w:type="gramStart"/>
      <w:r w:rsidRPr="00F563CD">
        <w:rPr>
          <w:rFonts w:asciiTheme="minorHAnsi" w:hAnsiTheme="minorHAnsi"/>
          <w:sz w:val="20"/>
          <w:szCs w:val="20"/>
        </w:rPr>
        <w:t>ciljeva“</w:t>
      </w:r>
      <w:proofErr w:type="gramEnd"/>
      <w:r w:rsidRPr="00F563CD">
        <w:rPr>
          <w:rFonts w:asciiTheme="minorHAnsi" w:hAnsiTheme="minorHAnsi"/>
          <w:sz w:val="20"/>
          <w:szCs w:val="20"/>
        </w:rPr>
        <w:t xml:space="preserve">. </w:t>
      </w:r>
    </w:p>
    <w:p w14:paraId="4637336B"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Takođe postoje radne grupe koje je osnovao nacionalni IPA koordinator (NIPAK), predvođene od strane predstavnika resornih ministarstava, čija je uloga, između ostalog, da dodatno unaprijede i demonstriraju sektorski pristup. </w:t>
      </w:r>
    </w:p>
    <w:p w14:paraId="4EBC5E8C"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Na nivou Vlade uspostavljeno je nekoliko mehanizama za sveukupnu koordinaciju sektora obrazovanja, zapošljavanja i socijalne inkluzije, od kojih je ključni Vladina Komisija za ekonomsku politiku i finansijski sistem koja razmatra sve relevantne zakonske i strateške dokumente. Pored toga, za pripremu svih zakonskih i strateških dokumenata se formiraju radne grupe, sa uključenim svim relevantnim akterima iz državne i javne uprave, kao i socijalnim partnerima i nevladinim organizacijama. </w:t>
      </w:r>
    </w:p>
    <w:p w14:paraId="2B83F00F"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Ministarstvo finansija i socijalnog staranja (MFSS) je institucija odgovorna za sektor i ima zadatak opšte koordinacije ključnih aktera u ovom sektoru u pogledu sprovođenja finansijske podrške EU. Imenovani su visoki programski službenici (SPO) i uspostavljene jedinice za implementaciju projekata (PIU) u svim resornim ministarstvima, i direktno ili blisko su uključeni u aktivnosti vezane za sektor. </w:t>
      </w:r>
    </w:p>
    <w:p w14:paraId="7F9D490F" w14:textId="77777777" w:rsidR="00047EF8" w:rsidRPr="00F563CD" w:rsidRDefault="00047EF8" w:rsidP="00047EF8">
      <w:pPr>
        <w:spacing w:line="240" w:lineRule="auto"/>
        <w:jc w:val="both"/>
        <w:rPr>
          <w:rFonts w:asciiTheme="minorHAnsi" w:hAnsiTheme="minorHAnsi"/>
          <w:b/>
          <w:bCs/>
          <w:iCs/>
          <w:sz w:val="20"/>
          <w:szCs w:val="20"/>
          <w:u w:val="single"/>
        </w:rPr>
      </w:pPr>
      <w:r w:rsidRPr="00F563CD">
        <w:rPr>
          <w:rFonts w:asciiTheme="minorHAnsi" w:hAnsiTheme="minorHAnsi"/>
          <w:b/>
          <w:bCs/>
          <w:iCs/>
          <w:sz w:val="20"/>
          <w:szCs w:val="20"/>
          <w:u w:val="single"/>
        </w:rPr>
        <w:t xml:space="preserve">Zdravlje </w:t>
      </w:r>
    </w:p>
    <w:p w14:paraId="5008CDF1"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Nakon izbora u septembru, nova Vlada je formirana u decembru 2020. godine i cjelokupni viši rukovodni kadar se angažovao oko pandemije COVID-19 i implementacije raznih epidemioloških mjera. Postoji značajan nedostatak sektorskih strategija i akcionih planova za digitalizaciju i korištenje informaciono-komunikacione tehnologije, vještačke inteligencije i mobilnih rješenja u zdravstvu. Aktuelna pandemija COVID-19 predstavlja ogroman pritisak na ukupan zdravstveni sistem, a glavni problemi su nedostatak vakcina i sistematski pristup u suočavanju sa pandemijom u Crnoj Gori. Ministarstvo zdravlja je glavna institucija odgovorna za zdravstveni sektor, a Institut za javno zdravlje je odgovoran za cjelokupno upravljanje prevencijom i informisanje javnosti.</w:t>
      </w:r>
    </w:p>
    <w:p w14:paraId="7CD17C60" w14:textId="77777777" w:rsidR="00047EF8" w:rsidRPr="00F563CD" w:rsidRDefault="00047EF8" w:rsidP="00047EF8">
      <w:pPr>
        <w:spacing w:line="240" w:lineRule="auto"/>
        <w:jc w:val="both"/>
        <w:rPr>
          <w:rFonts w:asciiTheme="minorHAnsi" w:eastAsia="Calibri" w:hAnsiTheme="minorHAnsi" w:cs="Calibri"/>
          <w:b/>
          <w:bCs/>
          <w:i/>
          <w:iCs/>
          <w:sz w:val="20"/>
          <w:szCs w:val="20"/>
        </w:rPr>
      </w:pPr>
      <w:r w:rsidRPr="00F563CD">
        <w:rPr>
          <w:rFonts w:asciiTheme="minorHAnsi" w:eastAsia="Calibri" w:hAnsiTheme="minorHAnsi" w:cs="Calibri"/>
          <w:b/>
          <w:bCs/>
          <w:i/>
          <w:iCs/>
          <w:sz w:val="20"/>
          <w:szCs w:val="20"/>
        </w:rPr>
        <w:t xml:space="preserve">Tematski prioritet 2: Razvoj privatnog sektora, trgovina, istraživanje i inovacije </w:t>
      </w:r>
    </w:p>
    <w:p w14:paraId="0B9D6950"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Sektor konkurentnosti, inovacija, poljoprivrede i ruralnog razvoja je prepoznat kao jedan od ključnih prioriteta na nacionalnom nivou. Stoga je Crna Gora razvila značajan broj strategija, politika, master planova i implementacionih planova koji se odnose na sektor konkurentnosti, inovacija, poljoprivrede i ruralnog razvoja. Prethodnih godina je pripreman Sektorski </w:t>
      </w:r>
      <w:r w:rsidRPr="00F563CD">
        <w:rPr>
          <w:rFonts w:asciiTheme="minorHAnsi" w:eastAsia="Calibri" w:hAnsiTheme="minorHAnsi" w:cs="Calibri"/>
          <w:sz w:val="20"/>
          <w:szCs w:val="20"/>
        </w:rPr>
        <w:lastRenderedPageBreak/>
        <w:t xml:space="preserve">planski dokument (SPD), koji predstavlja prvi sektorski dokument za konkurentnost i inovacije. Na osnovu ovog dokumenta priprema se Operativni program za regionalni razvoj.  </w:t>
      </w:r>
    </w:p>
    <w:p w14:paraId="30DDCE0C"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Aktivnosti neophodne za pravilno programiranje i sprovođenje zavise od administrativnih kapaciteta za obavljanje ovih zadataka. U tom pogledu, podrška i saradnja Evropske komisije su ključni elementi, sa stanovišta pravovremenog i kvalitetnog sprovođenja. S druge strane, crnogorska administracija je svjesna potrebe unapređenja svojih administrativnih kapaciteta, a samim tim i značaja efikasnog programiranja u odnosu na raspoloživu budžetsku podršku. Ministarstvo ekonomskog razvoja je zaduženo da uspostavi adekvatne mehanizme koordinacije sa svim ministarstvima i akterima uključenim u ovaj proces (na nivou Vladinog savjeta), što bi trebalo da bude praćeno povećanjem broja i kvaliteta kadrova. Takva međuresorna koordinacija će uključiti i Generalni sekretarijat Vlade, koji je zadužen za upravljanje razvojem politika i obezbjeđivanje konzistentnosti između sektorskih politika i prioriteta Vlade, kao i za ocjenu kvaliteta predloga politika. </w:t>
      </w:r>
    </w:p>
    <w:p w14:paraId="48366DBD"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U pripremama za Instrument za pretpristupnu podršku (IPA III) 2021-2022, primijenjen je sektorski pristup. </w:t>
      </w:r>
      <w:r w:rsidRPr="00F563CD">
        <w:rPr>
          <w:rFonts w:asciiTheme="minorHAnsi" w:hAnsiTheme="minorHAnsi"/>
          <w:b/>
          <w:sz w:val="20"/>
          <w:szCs w:val="20"/>
          <w:lang w:val="fr-BE"/>
        </w:rPr>
        <w:t>Ministarstvo ekonomskog razvoja</w:t>
      </w:r>
      <w:r w:rsidRPr="00F563CD">
        <w:rPr>
          <w:rFonts w:asciiTheme="minorHAnsi" w:hAnsiTheme="minorHAnsi"/>
          <w:sz w:val="20"/>
          <w:szCs w:val="20"/>
          <w:lang w:val="fr-BE"/>
        </w:rPr>
        <w:t xml:space="preserve"> je vodeće ministarstvo koje koordinira rad </w:t>
      </w:r>
      <w:r w:rsidRPr="00F563CD">
        <w:rPr>
          <w:rFonts w:asciiTheme="minorHAnsi" w:hAnsiTheme="minorHAnsi"/>
          <w:b/>
          <w:sz w:val="20"/>
          <w:szCs w:val="20"/>
          <w:lang w:val="fr-BE"/>
        </w:rPr>
        <w:t>Sektorske radne grupe za konkurentnost, inovacije, poljoprivredu i ruralni razvoj</w:t>
      </w:r>
      <w:r w:rsidRPr="00F563CD">
        <w:rPr>
          <w:rFonts w:asciiTheme="minorHAnsi" w:hAnsiTheme="minorHAnsi"/>
          <w:sz w:val="20"/>
          <w:szCs w:val="20"/>
          <w:lang w:val="fr-BE"/>
        </w:rPr>
        <w:t xml:space="preserve">, kao i aktivnosti među partnerima i zainteresovanim stranama, i definiše vremenski okvir za realizaciju pojedinih aktivnosti. Sektorsku radnu grupu čine predstavnici ministarstava, državnih organa i institucija, nevladinih organizacija i poslovnih udruženja, koja blisko sarađuju i kolektivno se bave sektorskim pitanjima. U Ministarstvu je imenovan visoki programski službenik (SPO) i uspostavljena Jedinica za implementaciju projekata (PIU), i oni su direktno ili blisko uključeni u aktivnosti vezane za sektor. </w:t>
      </w:r>
    </w:p>
    <w:p w14:paraId="6B1CBB28"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Postoje i mehanizmi koordinacije između Vlade i nevladinih aktera kroz rad sljedećih </w:t>
      </w:r>
      <w:proofErr w:type="gramStart"/>
      <w:r w:rsidRPr="00F563CD">
        <w:rPr>
          <w:rFonts w:asciiTheme="minorHAnsi" w:hAnsiTheme="minorHAnsi"/>
          <w:sz w:val="20"/>
          <w:szCs w:val="20"/>
          <w:lang w:val="fr-BE"/>
        </w:rPr>
        <w:t>tijela:</w:t>
      </w:r>
      <w:proofErr w:type="gramEnd"/>
      <w:r w:rsidRPr="00F563CD">
        <w:rPr>
          <w:rFonts w:asciiTheme="minorHAnsi" w:hAnsiTheme="minorHAnsi"/>
          <w:sz w:val="20"/>
          <w:szCs w:val="20"/>
          <w:lang w:val="fr-BE"/>
        </w:rPr>
        <w:t xml:space="preserve"> </w:t>
      </w:r>
      <w:r w:rsidRPr="00F563CD">
        <w:rPr>
          <w:rFonts w:asciiTheme="minorHAnsi" w:hAnsiTheme="minorHAnsi"/>
          <w:b/>
          <w:sz w:val="20"/>
          <w:szCs w:val="20"/>
          <w:lang w:val="fr-BE"/>
        </w:rPr>
        <w:t>Koordinacionog tima za izradu i implementaciju politike malih i srednjih preduzeća (MSP)</w:t>
      </w:r>
      <w:r w:rsidRPr="00F563CD">
        <w:rPr>
          <w:rFonts w:asciiTheme="minorHAnsi" w:hAnsiTheme="minorHAnsi"/>
          <w:sz w:val="20"/>
          <w:szCs w:val="20"/>
          <w:lang w:val="fr-BE"/>
        </w:rPr>
        <w:t xml:space="preserve"> i </w:t>
      </w:r>
      <w:r w:rsidRPr="00F563CD">
        <w:rPr>
          <w:rFonts w:asciiTheme="minorHAnsi" w:hAnsiTheme="minorHAnsi"/>
          <w:b/>
          <w:sz w:val="20"/>
          <w:szCs w:val="20"/>
          <w:lang w:val="fr-BE"/>
        </w:rPr>
        <w:t>Savjeta za podsticanje konkurentnosti na mikro nivou</w:t>
      </w:r>
      <w:r w:rsidRPr="00F563CD">
        <w:rPr>
          <w:rFonts w:asciiTheme="minorHAnsi" w:hAnsiTheme="minorHAnsi"/>
          <w:sz w:val="20"/>
          <w:szCs w:val="20"/>
          <w:lang w:val="fr-BE"/>
        </w:rPr>
        <w:t xml:space="preserve">, </w:t>
      </w:r>
      <w:r w:rsidRPr="00F563CD">
        <w:rPr>
          <w:rFonts w:asciiTheme="minorHAnsi" w:hAnsiTheme="minorHAnsi"/>
          <w:b/>
          <w:sz w:val="20"/>
          <w:szCs w:val="20"/>
          <w:lang w:val="fr-BE"/>
        </w:rPr>
        <w:t>Partnerskog savjeta za regionalni razvoj</w:t>
      </w:r>
      <w:r w:rsidRPr="00F563CD">
        <w:rPr>
          <w:rFonts w:asciiTheme="minorHAnsi" w:hAnsiTheme="minorHAnsi"/>
          <w:sz w:val="20"/>
          <w:szCs w:val="20"/>
          <w:lang w:val="fr-BE"/>
        </w:rPr>
        <w:t xml:space="preserve">, </w:t>
      </w:r>
      <w:r w:rsidRPr="00F563CD">
        <w:rPr>
          <w:rFonts w:asciiTheme="minorHAnsi" w:hAnsiTheme="minorHAnsi"/>
          <w:b/>
          <w:sz w:val="20"/>
          <w:szCs w:val="20"/>
          <w:lang w:val="fr-BE"/>
        </w:rPr>
        <w:t>Savjeta za regulatornu reformu i unapređenje poslovnog ambijenta</w:t>
      </w:r>
      <w:r w:rsidRPr="00F563CD">
        <w:rPr>
          <w:rFonts w:asciiTheme="minorHAnsi" w:hAnsiTheme="minorHAnsi"/>
          <w:sz w:val="20"/>
          <w:szCs w:val="20"/>
          <w:lang w:val="fr-BE"/>
        </w:rPr>
        <w:t xml:space="preserve">, </w:t>
      </w:r>
      <w:r w:rsidRPr="00F563CD">
        <w:rPr>
          <w:rFonts w:asciiTheme="minorHAnsi" w:hAnsiTheme="minorHAnsi"/>
          <w:b/>
          <w:sz w:val="20"/>
          <w:szCs w:val="20"/>
          <w:lang w:val="fr-BE"/>
        </w:rPr>
        <w:t>Nacionalnog partnerstva za preduzetničko učenje</w:t>
      </w:r>
      <w:r w:rsidRPr="00F563CD">
        <w:rPr>
          <w:rFonts w:asciiTheme="minorHAnsi" w:hAnsiTheme="minorHAnsi"/>
          <w:sz w:val="20"/>
          <w:szCs w:val="20"/>
          <w:lang w:val="fr-BE"/>
        </w:rPr>
        <w:t xml:space="preserve">, kao i učešće nevladinih organizacija u radu Vladinih tijela, odbora, radnih grupa i sl. Koordinacija je efikasna i inkluzivna, ali ju je potrebno unaprijediti. U okviru programiranja nijesu organizovani posebni sektorski koordinacioni sastanci sa donatorima aktivnim u sektoru konkurentnosti. Međutim, održavaju se bilateralni sastanci sa međunarodnim finansijskim institucijama kao što su </w:t>
      </w:r>
      <w:r w:rsidRPr="00F563CD">
        <w:rPr>
          <w:rFonts w:asciiTheme="minorHAnsi" w:hAnsiTheme="minorHAnsi"/>
          <w:b/>
          <w:sz w:val="20"/>
          <w:szCs w:val="20"/>
          <w:lang w:val="fr-BE"/>
        </w:rPr>
        <w:t>Evropska banka za obnovu i razvoj (EBRD)</w:t>
      </w:r>
      <w:r w:rsidRPr="00F563CD">
        <w:rPr>
          <w:rFonts w:asciiTheme="minorHAnsi" w:hAnsiTheme="minorHAnsi"/>
          <w:sz w:val="20"/>
          <w:szCs w:val="20"/>
          <w:lang w:val="fr-BE"/>
        </w:rPr>
        <w:t xml:space="preserve">, </w:t>
      </w:r>
      <w:r w:rsidRPr="00F563CD">
        <w:rPr>
          <w:rFonts w:asciiTheme="minorHAnsi" w:hAnsiTheme="minorHAnsi"/>
          <w:b/>
          <w:sz w:val="20"/>
          <w:szCs w:val="20"/>
          <w:lang w:val="fr-BE"/>
        </w:rPr>
        <w:t>Svjetska banka</w:t>
      </w:r>
      <w:r w:rsidRPr="00F563CD">
        <w:rPr>
          <w:rFonts w:asciiTheme="minorHAnsi" w:hAnsiTheme="minorHAnsi"/>
          <w:sz w:val="20"/>
          <w:szCs w:val="20"/>
          <w:lang w:val="fr-BE"/>
        </w:rPr>
        <w:t xml:space="preserve">, </w:t>
      </w:r>
      <w:r w:rsidRPr="00F563CD">
        <w:rPr>
          <w:rFonts w:asciiTheme="minorHAnsi" w:hAnsiTheme="minorHAnsi"/>
          <w:b/>
          <w:sz w:val="20"/>
          <w:szCs w:val="20"/>
          <w:lang w:val="fr-BE"/>
        </w:rPr>
        <w:t>Program Ujedinjenih nacija za razvoj (UNDP)</w:t>
      </w:r>
      <w:r w:rsidRPr="00F563CD">
        <w:rPr>
          <w:rFonts w:asciiTheme="minorHAnsi" w:hAnsiTheme="minorHAnsi"/>
          <w:sz w:val="20"/>
          <w:szCs w:val="20"/>
          <w:lang w:val="fr-BE"/>
        </w:rPr>
        <w:t xml:space="preserve">, </w:t>
      </w:r>
      <w:r w:rsidRPr="00F563CD">
        <w:rPr>
          <w:rFonts w:asciiTheme="minorHAnsi" w:hAnsiTheme="minorHAnsi"/>
          <w:b/>
          <w:sz w:val="20"/>
          <w:szCs w:val="20"/>
          <w:lang w:val="fr-BE"/>
        </w:rPr>
        <w:t>Njemačko društvo za međunarodnu saradnju (GIZ)</w:t>
      </w:r>
      <w:r w:rsidRPr="00F563CD">
        <w:rPr>
          <w:rFonts w:asciiTheme="minorHAnsi" w:hAnsiTheme="minorHAnsi"/>
          <w:sz w:val="20"/>
          <w:szCs w:val="20"/>
          <w:lang w:val="fr-BE"/>
        </w:rPr>
        <w:t xml:space="preserve"> ili </w:t>
      </w:r>
      <w:r w:rsidRPr="00F563CD">
        <w:rPr>
          <w:rFonts w:asciiTheme="minorHAnsi" w:hAnsiTheme="minorHAnsi"/>
          <w:b/>
          <w:sz w:val="20"/>
          <w:szCs w:val="20"/>
          <w:lang w:val="fr-BE"/>
        </w:rPr>
        <w:t>Austrijska razvojna agencija (ADA)</w:t>
      </w:r>
      <w:r w:rsidRPr="00F563CD">
        <w:rPr>
          <w:rFonts w:asciiTheme="minorHAnsi" w:hAnsiTheme="minorHAnsi"/>
          <w:sz w:val="20"/>
          <w:szCs w:val="20"/>
          <w:lang w:val="fr-BE"/>
        </w:rPr>
        <w:t xml:space="preserve">. Što se tiče ostalih sektora, </w:t>
      </w:r>
      <w:r w:rsidRPr="00F563CD">
        <w:rPr>
          <w:rFonts w:asciiTheme="minorHAnsi" w:hAnsiTheme="minorHAnsi"/>
          <w:b/>
          <w:sz w:val="20"/>
          <w:szCs w:val="20"/>
          <w:lang w:val="fr-BE"/>
        </w:rPr>
        <w:t>Generalni direktorat za ekonomsku diplomatiju i kulturnu saradnju</w:t>
      </w:r>
      <w:r w:rsidRPr="00F563CD">
        <w:rPr>
          <w:rFonts w:asciiTheme="minorHAnsi" w:hAnsiTheme="minorHAnsi"/>
          <w:sz w:val="20"/>
          <w:szCs w:val="20"/>
          <w:lang w:val="fr-BE"/>
        </w:rPr>
        <w:t xml:space="preserve"> u Ministarstvu vanjskih poslova upravlja koordinacijom donatora na centralnom nivou. Stoga će postojeća i funkcionalna sektorska radna grupa doprinijeti djelotvornoj koordinaciji donatora unutar ovog sektora. </w:t>
      </w:r>
    </w:p>
    <w:p w14:paraId="4844E305"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Revidirana </w:t>
      </w:r>
      <w:r w:rsidRPr="00F563CD">
        <w:rPr>
          <w:rFonts w:asciiTheme="minorHAnsi" w:eastAsia="Calibri" w:hAnsiTheme="minorHAnsi" w:cs="Calibri"/>
          <w:b/>
          <w:sz w:val="20"/>
          <w:szCs w:val="20"/>
          <w:lang w:val="fr-BE"/>
        </w:rPr>
        <w:t>Industrijska politika Crne Gore za period 2019-2023</w:t>
      </w:r>
      <w:r w:rsidRPr="00F563CD">
        <w:rPr>
          <w:rFonts w:asciiTheme="minorHAnsi" w:eastAsia="Calibri" w:hAnsiTheme="minorHAnsi" w:cs="Calibri"/>
          <w:sz w:val="20"/>
          <w:szCs w:val="20"/>
          <w:lang w:val="fr-BE"/>
        </w:rPr>
        <w:t xml:space="preserve"> holističkim pristupom postavlja ciljeve Crne Gore za period od 4 godine, od 2019. </w:t>
      </w:r>
      <w:proofErr w:type="gramStart"/>
      <w:r w:rsidRPr="00F563CD">
        <w:rPr>
          <w:rFonts w:asciiTheme="minorHAnsi" w:eastAsia="Calibri" w:hAnsiTheme="minorHAnsi" w:cs="Calibri"/>
          <w:sz w:val="20"/>
          <w:szCs w:val="20"/>
          <w:lang w:val="fr-BE"/>
        </w:rPr>
        <w:t>do</w:t>
      </w:r>
      <w:proofErr w:type="gramEnd"/>
      <w:r w:rsidRPr="00F563CD">
        <w:rPr>
          <w:rFonts w:asciiTheme="minorHAnsi" w:eastAsia="Calibri" w:hAnsiTheme="minorHAnsi" w:cs="Calibri"/>
          <w:sz w:val="20"/>
          <w:szCs w:val="20"/>
          <w:lang w:val="fr-BE"/>
        </w:rPr>
        <w:t xml:space="preserve"> 2023.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u različitim oblastima i politikama, uključujući, između ostalog, konkurentnost, inovacije, istraživanje i razvoj, preduzetništvo, razvoj malih i srednjih preduzeća, turizam i industrijsku transformaciju. Politika je usklađena sa okvirom politike na nivou EU i nacionalnim kontekstom i definiše četiri strateška </w:t>
      </w:r>
      <w:proofErr w:type="gramStart"/>
      <w:r w:rsidRPr="00F563CD">
        <w:rPr>
          <w:rFonts w:asciiTheme="minorHAnsi" w:eastAsia="Calibri" w:hAnsiTheme="minorHAnsi" w:cs="Calibri"/>
          <w:sz w:val="20"/>
          <w:szCs w:val="20"/>
          <w:lang w:val="fr-BE"/>
        </w:rPr>
        <w:t>cilja:</w:t>
      </w:r>
      <w:proofErr w:type="gramEnd"/>
      <w:r w:rsidRPr="00F563CD">
        <w:rPr>
          <w:rFonts w:asciiTheme="minorHAnsi" w:eastAsia="Calibri" w:hAnsiTheme="minorHAnsi" w:cs="Calibri"/>
          <w:sz w:val="20"/>
          <w:szCs w:val="20"/>
          <w:lang w:val="fr-BE"/>
        </w:rPr>
        <w:t xml:space="preserve"> </w:t>
      </w:r>
    </w:p>
    <w:p w14:paraId="15C60977" w14:textId="77777777" w:rsidR="00047EF8" w:rsidRPr="00F563CD" w:rsidRDefault="00047EF8" w:rsidP="00047EF8">
      <w:pPr>
        <w:pStyle w:val="ListParagraph"/>
        <w:numPr>
          <w:ilvl w:val="0"/>
          <w:numId w:val="104"/>
        </w:numPr>
        <w:spacing w:after="0" w:line="240" w:lineRule="auto"/>
        <w:ind w:left="714" w:hanging="357"/>
        <w:contextualSpacing w:val="0"/>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Unapređenje infrastrukture i poslovnog ambijenta za efikasniji industrijski </w:t>
      </w:r>
      <w:proofErr w:type="gramStart"/>
      <w:r w:rsidRPr="00F563CD">
        <w:rPr>
          <w:rFonts w:asciiTheme="minorHAnsi" w:eastAsia="Calibri" w:hAnsiTheme="minorHAnsi" w:cs="Calibri"/>
          <w:sz w:val="20"/>
          <w:szCs w:val="20"/>
          <w:lang w:val="fr-BE"/>
        </w:rPr>
        <w:t>razvoj;</w:t>
      </w:r>
      <w:proofErr w:type="gramEnd"/>
      <w:r w:rsidRPr="00F563CD">
        <w:rPr>
          <w:rFonts w:asciiTheme="minorHAnsi" w:eastAsia="Calibri" w:hAnsiTheme="minorHAnsi" w:cs="Calibri"/>
          <w:sz w:val="20"/>
          <w:szCs w:val="20"/>
          <w:lang w:val="fr-BE"/>
        </w:rPr>
        <w:t xml:space="preserve"> </w:t>
      </w:r>
    </w:p>
    <w:p w14:paraId="6965DB1E" w14:textId="77777777" w:rsidR="00047EF8" w:rsidRPr="00F563CD" w:rsidRDefault="00047EF8" w:rsidP="00047EF8">
      <w:pPr>
        <w:pStyle w:val="ListParagraph"/>
        <w:numPr>
          <w:ilvl w:val="0"/>
          <w:numId w:val="104"/>
        </w:numPr>
        <w:spacing w:after="0" w:line="240" w:lineRule="auto"/>
        <w:ind w:left="714" w:hanging="357"/>
        <w:contextualSpacing w:val="0"/>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Unapređenje investicija i finansija za modernizaciju industrije; </w:t>
      </w:r>
    </w:p>
    <w:p w14:paraId="0393F348" w14:textId="77777777" w:rsidR="00047EF8" w:rsidRPr="00F563CD" w:rsidRDefault="00047EF8" w:rsidP="00047EF8">
      <w:pPr>
        <w:pStyle w:val="ListParagraph"/>
        <w:numPr>
          <w:ilvl w:val="0"/>
          <w:numId w:val="104"/>
        </w:numPr>
        <w:spacing w:after="0" w:line="240" w:lineRule="auto"/>
        <w:ind w:left="714" w:hanging="357"/>
        <w:contextualSpacing w:val="0"/>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Podsticanje inovacija, transfera tehnologije i razvoja preduzetništva; </w:t>
      </w:r>
    </w:p>
    <w:p w14:paraId="5DE8BB6A" w14:textId="77777777" w:rsidR="00047EF8" w:rsidRPr="00F563CD" w:rsidRDefault="00047EF8" w:rsidP="00047EF8">
      <w:pPr>
        <w:pStyle w:val="ListParagraph"/>
        <w:numPr>
          <w:ilvl w:val="0"/>
          <w:numId w:val="104"/>
        </w:numPr>
        <w:spacing w:line="240" w:lineRule="auto"/>
        <w:contextualSpacing w:val="0"/>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Unapređenje pristupa tržištu. </w:t>
      </w:r>
    </w:p>
    <w:p w14:paraId="446ABC6E" w14:textId="77777777" w:rsidR="00047EF8" w:rsidRPr="00FE2154" w:rsidRDefault="00047EF8" w:rsidP="00047EF8">
      <w:pPr>
        <w:spacing w:line="240" w:lineRule="auto"/>
        <w:jc w:val="both"/>
        <w:rPr>
          <w:rFonts w:asciiTheme="minorHAnsi" w:hAnsiTheme="minorHAnsi" w:cs="Calibri"/>
          <w:sz w:val="20"/>
          <w:szCs w:val="20"/>
        </w:rPr>
      </w:pPr>
      <w:r w:rsidRPr="00F563CD">
        <w:rPr>
          <w:rFonts w:asciiTheme="minorHAnsi" w:hAnsiTheme="minorHAnsi" w:cs="Calibri"/>
          <w:sz w:val="20"/>
          <w:szCs w:val="20"/>
        </w:rPr>
        <w:t>Ukupno, strategijom je definisano 18 operativnih ciljeva za postizanje specifičnih ciljeva i brojne mjere i aktivnosti za njihovu realizaciju. Uz ove mjere, Industrijska politika sadrži mjere koje se odnose na unapređenje drvoprerađivačkog sektora, metaloprerađivačke industrije, poljoprivrede i turizma. Postoji i niz mjera koje imaju za cilj da unaprijede usvajanje međunarodnih standarda za proizvode i njihovu sertifikaciju. Politika takođe ima regionalni fokus, jer definiše posebne mjere za one regije koje zaostaju i njihov razvojni potencijal. Naglasak je takođe na razvoju i unapređenju obrazovanja u oblasti prirodnih i tehničkih nauka (modernizacija i unapređenje studijskih programa u skladu sa potrebama tržišta rada, sa posebnim akcentom na prirodne i tehničke nauke). Jačanje organizacija za podršku biznisu i pružanje naprednih usluga privredi, kao što su podrška klasterizaciji i umrežavanju crnogorskih mikro, malih i srednjih preduzeća, ili aktivnosti na promociji izvoza, su takođe obuhvaćeni Politikom. Predviđene su i horizontalne mjere, kao što su dalje unapređenje povoljnog poslovnog ambijenta, između ostalog kroz dalje pojednostavljenje procedure za osnivanje ili registraciju preduzeća i pojednostavljenje procedure za izdavanje dozvola za rad, odnosno e-licen</w:t>
      </w:r>
      <w:r w:rsidR="00864F83" w:rsidRPr="00F563CD">
        <w:rPr>
          <w:rFonts w:asciiTheme="minorHAnsi" w:hAnsiTheme="minorHAnsi" w:cs="Calibri"/>
          <w:sz w:val="20"/>
          <w:szCs w:val="20"/>
        </w:rPr>
        <w:t xml:space="preserve">ci. Najvažniji aspekti Industrijske politike Crne Gore 2019-2023 u smislu buduće IPA III podrške su: (i) Unapređenje ICT </w:t>
      </w:r>
      <w:r w:rsidR="00864F83" w:rsidRPr="00FE2154">
        <w:rPr>
          <w:rFonts w:asciiTheme="minorHAnsi" w:hAnsiTheme="minorHAnsi" w:cs="Calibri"/>
          <w:sz w:val="20"/>
          <w:szCs w:val="20"/>
        </w:rPr>
        <w:t xml:space="preserve">infrastrukture za rast konkurentnosti preduzeća (razvoj i primjena informaciono-komunikacionih tehnologija za razvoj crnogorske privrede i rast njene konkurentnosti. Visokokvalitetna digitalna infrastruktura osnov je gotovo svih sektora modernog i inovativnog društva, a ICT tehnologije kao oblast sa snažnim istraživačkim potencijalom doprinose industrijskoj modernizaciji i kroz povezanost sa „ključnim razvojnim </w:t>
      </w:r>
      <w:r w:rsidR="00864F83" w:rsidRPr="00FE2154">
        <w:rPr>
          <w:rFonts w:asciiTheme="minorHAnsi" w:hAnsiTheme="minorHAnsi" w:cs="Calibri"/>
          <w:sz w:val="20"/>
          <w:szCs w:val="20"/>
        </w:rPr>
        <w:lastRenderedPageBreak/>
        <w:t>tehnologijama“); (ii) Unapređenje regulatornog okvira i poslovnog ambijenta (ključna pitanja u oblasti unapređenja regulatornog okvira i poslovnog ambijenta su</w:t>
      </w:r>
      <w:r w:rsidRPr="00FE2154">
        <w:rPr>
          <w:rFonts w:asciiTheme="minorHAnsi" w:hAnsiTheme="minorHAnsi"/>
          <w:sz w:val="20"/>
          <w:szCs w:val="20"/>
        </w:rPr>
        <w:t xml:space="preserve"> d</w:t>
      </w:r>
      <w:r w:rsidRPr="00FE2154">
        <w:rPr>
          <w:rFonts w:asciiTheme="minorHAnsi" w:hAnsiTheme="minorHAnsi" w:cs="Calibri"/>
          <w:sz w:val="20"/>
          <w:szCs w:val="20"/>
        </w:rPr>
        <w:t>alje pojednostavljivanje i skraćenje vremena i troškova administrativnih procedura i postupaka, i unapređenje elektronske dostupnosti javnih usluga za potrebe privrede); (iii) Podsticanje investicija u modernizaciju prerađivačke industrije (aktivnosti u okviru ovog operativnog cilja odnose se na sprovođenje specifičnih progra</w:t>
      </w:r>
      <w:r w:rsidR="00864F83" w:rsidRPr="00FE2154">
        <w:rPr>
          <w:rFonts w:asciiTheme="minorHAnsi" w:hAnsiTheme="minorHAnsi" w:cs="Calibri"/>
          <w:sz w:val="20"/>
          <w:szCs w:val="20"/>
        </w:rPr>
        <w:t>mskih aktivnosti za unapređenje sektora metaloprerađivačke industrije kroz investicije u izgradnju novih proizvodnih i prerađivačkih kapaciteta, podsticanje ulaganja u više faze prerade, modernizaciju prerađivačke industrije sprovođenjem različitih programskih aktivnosti za podsticanje direktnih investicija); i (iv) Podsticanje razvoja zelene ekonomije (iako može biti od posebnog značaja za održivi razvoj Crne Gore, koja je deklarisana kao ekološka država, princip „zelene ekonomije“ nije u dovoljnoj mjeri razvijen. Njen značaj se posebno ogleda u stvaranju novih radnih mjesta kroz ulaganja u obnovljive izvore energije, organsku proizvodnju, uvođenje međunarodnih ekoloških standarda, upravljanje otpadom i reciklažu, razvoj niskokarbonskog turizma, održivo upravljanje šumama i vodama, i sl.).</w:t>
      </w:r>
      <w:r w:rsidRPr="00FE2154">
        <w:rPr>
          <w:rFonts w:asciiTheme="minorHAnsi" w:hAnsiTheme="minorHAnsi" w:cs="Calibri"/>
          <w:sz w:val="20"/>
          <w:szCs w:val="20"/>
        </w:rPr>
        <w:t xml:space="preserve"> </w:t>
      </w:r>
    </w:p>
    <w:p w14:paraId="4DCBA984" w14:textId="77777777" w:rsidR="00047EF8" w:rsidRPr="00F563CD" w:rsidRDefault="00047EF8" w:rsidP="00047EF8">
      <w:pPr>
        <w:spacing w:line="240" w:lineRule="auto"/>
        <w:jc w:val="both"/>
        <w:rPr>
          <w:rFonts w:asciiTheme="minorHAnsi" w:hAnsiTheme="minorHAnsi" w:cs="Calibri"/>
          <w:sz w:val="20"/>
          <w:szCs w:val="20"/>
        </w:rPr>
      </w:pPr>
      <w:r w:rsidRPr="00FE2154">
        <w:rPr>
          <w:rFonts w:asciiTheme="minorHAnsi" w:hAnsiTheme="minorHAnsi" w:cs="Calibri"/>
          <w:sz w:val="20"/>
          <w:szCs w:val="20"/>
        </w:rPr>
        <w:t xml:space="preserve">Sveobuhvatna </w:t>
      </w:r>
      <w:r w:rsidRPr="00FE2154">
        <w:rPr>
          <w:rFonts w:asciiTheme="minorHAnsi" w:hAnsiTheme="minorHAnsi" w:cs="Calibri"/>
          <w:sz w:val="20"/>
          <w:szCs w:val="20"/>
          <w:u w:val="single"/>
        </w:rPr>
        <w:t>Strategija razvoja mikro, malih i srednjih preduzeća za period 2018-2022</w:t>
      </w:r>
      <w:r w:rsidRPr="00FE2154">
        <w:rPr>
          <w:rFonts w:asciiTheme="minorHAnsi" w:hAnsiTheme="minorHAnsi" w:cs="Calibri"/>
          <w:sz w:val="20"/>
          <w:szCs w:val="20"/>
        </w:rPr>
        <w:t xml:space="preserve"> je koncipirana</w:t>
      </w:r>
      <w:r w:rsidRPr="00F563CD">
        <w:rPr>
          <w:rFonts w:asciiTheme="minorHAnsi" w:hAnsiTheme="minorHAnsi" w:cs="Calibri"/>
          <w:sz w:val="20"/>
          <w:szCs w:val="20"/>
        </w:rPr>
        <w:t xml:space="preserve"> na osnovu lekcija naučenih iz sprovođenja prethodnog okvira politike za mikro, mala i srednja preduzeća za period 2010-2015, kao i na osnovu kvalitetne prethodne (</w:t>
      </w:r>
      <w:r w:rsidRPr="00F563CD">
        <w:rPr>
          <w:rFonts w:asciiTheme="minorHAnsi" w:hAnsiTheme="minorHAnsi" w:cs="Calibri"/>
          <w:i/>
          <w:sz w:val="20"/>
          <w:szCs w:val="20"/>
        </w:rPr>
        <w:t>ex-ante</w:t>
      </w:r>
      <w:r w:rsidRPr="00F563CD">
        <w:rPr>
          <w:rFonts w:asciiTheme="minorHAnsi" w:hAnsiTheme="minorHAnsi" w:cs="Calibri"/>
          <w:sz w:val="20"/>
          <w:szCs w:val="20"/>
        </w:rPr>
        <w:t xml:space="preserve">) analize, tako da Strategija u potpunosti integriše princip „Mislimo najprije na </w:t>
      </w:r>
      <w:proofErr w:type="gramStart"/>
      <w:r w:rsidRPr="00F563CD">
        <w:rPr>
          <w:rFonts w:asciiTheme="minorHAnsi" w:hAnsiTheme="minorHAnsi" w:cs="Calibri"/>
          <w:sz w:val="20"/>
          <w:szCs w:val="20"/>
        </w:rPr>
        <w:t>male“ koji</w:t>
      </w:r>
      <w:proofErr w:type="gramEnd"/>
      <w:r w:rsidRPr="00F563CD">
        <w:rPr>
          <w:rFonts w:asciiTheme="minorHAnsi" w:hAnsiTheme="minorHAnsi" w:cs="Calibri"/>
          <w:sz w:val="20"/>
          <w:szCs w:val="20"/>
        </w:rPr>
        <w:t xml:space="preserve"> proizilazi iz Akta o malim preduzećima (</w:t>
      </w:r>
      <w:r w:rsidRPr="00F563CD">
        <w:rPr>
          <w:rFonts w:asciiTheme="minorHAnsi" w:hAnsiTheme="minorHAnsi" w:cs="Calibri"/>
          <w:i/>
          <w:sz w:val="20"/>
          <w:szCs w:val="20"/>
        </w:rPr>
        <w:t>Small Business Act</w:t>
      </w:r>
      <w:r w:rsidRPr="00F563CD">
        <w:rPr>
          <w:rFonts w:asciiTheme="minorHAnsi" w:hAnsiTheme="minorHAnsi" w:cs="Calibri"/>
          <w:sz w:val="20"/>
          <w:szCs w:val="20"/>
        </w:rPr>
        <w:t xml:space="preserve">). Strategija razvoja MMSP obuhvata pet strateških ciljeva i 20 operativnih ciljeva. Važne mjere uključuju smanjenje administrativnih opterećenja i smanjenje barijera u procesu registracije MMSP. Predviđene su i dalje mjere podrške preduzetničkom učenju u obrazovnom sistemu. Klasterisanje i umrežavanje MMSP je takođe integrisano u strateški okvir, kao i unapređenje savjetodavnih i usluga podrške i obuke za MMSP, zatim zelena ekonomija i transformacija digitalnog poslovanja. Mjere unapređenja ženskog, omladinskog i socijalnog preduzetništva definisane su Strateškim ciljem 5 – Promocija preduzetništva mladih, žena i socijalnog preduzetništva. </w:t>
      </w:r>
    </w:p>
    <w:p w14:paraId="193319D4" w14:textId="77777777" w:rsidR="00047EF8" w:rsidRPr="00F563CD" w:rsidRDefault="00047EF8" w:rsidP="00047EF8">
      <w:pPr>
        <w:spacing w:line="240" w:lineRule="auto"/>
        <w:jc w:val="both"/>
        <w:rPr>
          <w:rFonts w:asciiTheme="minorHAnsi" w:hAnsiTheme="minorHAnsi" w:cs="Calibri"/>
          <w:sz w:val="20"/>
          <w:szCs w:val="20"/>
        </w:rPr>
      </w:pPr>
      <w:r w:rsidRPr="00F563CD">
        <w:rPr>
          <w:rFonts w:asciiTheme="minorHAnsi" w:hAnsiTheme="minorHAnsi" w:cs="Calibri"/>
          <w:sz w:val="20"/>
          <w:szCs w:val="20"/>
        </w:rPr>
        <w:t xml:space="preserve">Takođe, u saradnji sa Zajedničkim istraživačkim centrom Evropske komisije je osmišljena </w:t>
      </w:r>
      <w:r w:rsidRPr="00F563CD">
        <w:rPr>
          <w:rFonts w:asciiTheme="minorHAnsi" w:hAnsiTheme="minorHAnsi" w:cs="Calibri"/>
          <w:b/>
          <w:sz w:val="20"/>
          <w:szCs w:val="20"/>
        </w:rPr>
        <w:t>Strategija pametne specijalizacije Crne Gore (2019-2024)</w:t>
      </w:r>
      <w:r w:rsidRPr="00F563CD">
        <w:rPr>
          <w:rFonts w:asciiTheme="minorHAnsi" w:hAnsiTheme="minorHAnsi" w:cs="Calibri"/>
          <w:sz w:val="20"/>
          <w:szCs w:val="20"/>
        </w:rPr>
        <w:t xml:space="preserve">, koja je veoma važna za sektorsku koordinaciju, kao faktor povezivanja ekonomskog razvoja zasnovanog na znanju. Zajednički istraživački centar je bio aktivan u podršci i regionu Zapadnog Balkana i Crnoj Gori u sprovođenju strategija pametne specijalizacije, pri čemu je u toku (prvi kvartal 2021) izrada projekta za stvaranje regionalnog okvira za razvoj i implementaciju strategija pametne specijalizacije, dok se Crnoj Gori pruža posebna podrška za pripremu smjernica za Operativni program za Strategiju pametne specijalizacije. Strategija pametne specijalizacije predstavlja veoma važan strateški dokument koji definiše puteve razvoja crnogorske ekonomije zasnovane na znanju. U kontekstu politike razvoja privatnog sektora, Strategija pametne specijalizacije naglašava važnost snaženja produktivnosti u Crnoj Gori, kako bi se obezbijedio visok i stabilan rast, i ukazuje da se povećanje produktivnosti u cjelokupnoj privredi može postići kroz (a) povećanje produktivnosti prioritetnih privrednih sektora, i/ili (b) povećanje udjela produktivnijih privrednih sektora u zapošljavanju. Strategija pametne specijalizacije identifikuje glavne zajedničke ciljeve više politika, definisane interesima istraživačkih i inovacionih djelatnosti, a to su: (1) poboljšanje izvrsnosti i relevantnosti naučno-istraživačkih aktivnosti; (2) jačanje ljudskih resursa u oblasti istraživanja i inovacija; (3) poboljšanje saradnje u okviru sistema inovacija; (4) podrška inovativnim aktivnostima u privrednom sektoru; (5) poboljšanje okvirnih uslova za inovativni eko-sistem. Instrumenti politike u okviru ciljeva politike su osmišljeni tako da utiču na različite nivoe: na određeni prioritetni domen, na kombinaciju domena i na horizontalne instrumente. Vlada Crne Gore je, u tijesnoj saradnji sa Zajedničkim istraživačkim centrom i kroz dijalog sa privrednim subjektima, identifikovala sljedeće strateške prioritete: (1) održiva poljoprivreda i lanac vrijednosti hrane; (2) energija i održiva životna sredina; (3) održivi i zdravstveni turizam; i (4) informaciono-komunikacione tehnologije, kao horizontalni sektor koji pruža poslovnu i tehnološku podršku ostalim prioritetnim sektorima. Stručnjaci Zajedničkog istraživačkog centra će se povezati sa crnogorskim timom za Strategiju pametne specijalizacije, kako bi procijenili kapacitete za implementaciju Strategije u odnosu na usvojeni Akcioni plan i druge relevantne dokumente koji se odnose na proces pametne specijalizacije u Crnoj Gori. Procjena stručnjaka će biti zasnovana na okviru za implementaciju Strategije pametne specijalizacije za 2022. U tom smislu, procjena bi trebalo da obuhvati svaki od četiri temeljna stuba okvira za implementaciju Strategije pametne specijalizacije. Rad stručnjaka će se fokusirati na prilagođavanje smjernica za sprovođenje Strategije pametne specijalizacije nacionalnim kapacitetima, identifikaciju mogućnosti za nacionalno i međunarodno finansiranje njenog sprovođenja i usklađivanje okvira implementacije Strategije pametne specijalizacije sa drugim relevantnim nacionalnim politikama. Stručnjaci će u svom radu blisko sarađivati ​​sa državnim organima nadležnim za pametnu specijalizaciju u Crnoj Gori i stručnjacima koje imenuje crnogorski Tim za pametnu specijalizaciju. </w:t>
      </w:r>
    </w:p>
    <w:p w14:paraId="58728A91" w14:textId="77777777" w:rsidR="00047EF8" w:rsidRPr="00F563CD" w:rsidRDefault="00047EF8" w:rsidP="00047EF8">
      <w:pPr>
        <w:spacing w:line="240" w:lineRule="auto"/>
        <w:jc w:val="both"/>
        <w:rPr>
          <w:rFonts w:asciiTheme="minorHAnsi" w:hAnsiTheme="minorHAnsi" w:cs="Calibri"/>
          <w:bCs/>
          <w:iCs/>
          <w:sz w:val="20"/>
          <w:szCs w:val="20"/>
        </w:rPr>
      </w:pPr>
      <w:r w:rsidRPr="00F563CD">
        <w:rPr>
          <w:rFonts w:asciiTheme="minorHAnsi" w:hAnsiTheme="minorHAnsi" w:cs="Calibri"/>
          <w:bCs/>
          <w:iCs/>
          <w:sz w:val="20"/>
          <w:szCs w:val="20"/>
        </w:rPr>
        <w:t xml:space="preserve">Mapa puta za istraživačku infrastrukturu Crne Gore 2015-2020 definiše prioritete i potencijale Crne Gore u oblasti istraživačke infrastrukture. Po svom sadržaju, Mapa puta je komplementarna prvenstveno sa Strategijom naučno-istraživačke djelatnosti u Crnoj Gori za period 2012-2016, ali i sa ostalim strateškim i pravnim okvirom u oblasti nauke i istraživanja do 2020. godine. Jedna od glavnih aktivnosti predviđenih Mapom puta je uspostavljanje prvog naučno-tehnološkog parka (NTP), u skladu sa „Studijom izvodljivosti za uspostavljanje NTP u Crnoj </w:t>
      </w:r>
      <w:proofErr w:type="gramStart"/>
      <w:r w:rsidRPr="00F563CD">
        <w:rPr>
          <w:rFonts w:asciiTheme="minorHAnsi" w:hAnsiTheme="minorHAnsi" w:cs="Calibri"/>
          <w:bCs/>
          <w:iCs/>
          <w:sz w:val="20"/>
          <w:szCs w:val="20"/>
        </w:rPr>
        <w:t>Gori“ i</w:t>
      </w:r>
      <w:proofErr w:type="gramEnd"/>
      <w:r w:rsidRPr="00F563CD">
        <w:rPr>
          <w:rFonts w:asciiTheme="minorHAnsi" w:hAnsiTheme="minorHAnsi" w:cs="Calibri"/>
          <w:bCs/>
          <w:iCs/>
          <w:sz w:val="20"/>
          <w:szCs w:val="20"/>
        </w:rPr>
        <w:t xml:space="preserve"> „Strateškim planom za uspostavljanje prvog NTP u Crnoj Gori“. </w:t>
      </w:r>
    </w:p>
    <w:p w14:paraId="3D3AD17D" w14:textId="77777777" w:rsidR="00047EF8" w:rsidRPr="00F563CD" w:rsidRDefault="00047EF8" w:rsidP="00047EF8">
      <w:pPr>
        <w:spacing w:line="240" w:lineRule="auto"/>
        <w:jc w:val="both"/>
        <w:rPr>
          <w:rFonts w:asciiTheme="minorHAnsi" w:hAnsiTheme="minorHAnsi" w:cs="Calibri"/>
          <w:iCs/>
          <w:sz w:val="20"/>
          <w:szCs w:val="20"/>
        </w:rPr>
      </w:pPr>
      <w:r w:rsidRPr="00F563CD">
        <w:rPr>
          <w:rFonts w:asciiTheme="minorHAnsi" w:hAnsiTheme="minorHAnsi" w:cs="Calibri"/>
          <w:iCs/>
          <w:sz w:val="20"/>
          <w:szCs w:val="20"/>
        </w:rPr>
        <w:lastRenderedPageBreak/>
        <w:t xml:space="preserve">Ovi strateški dokumenti su pripremljeni uz aktivno učešće različitih zainteresovanih strana, kako javnosti tako i civilnog društva. Takođe, politike nauke, tehnologije i inovacija su uopšteno usmjerene ka poboljšanju saradnje između Vlade, akademske zajednice i privrede u cilju jačanja istraživanja, razvoja i inovacija u konkurentnim sektorima i sektorima visoke dodate vrijednosti. Opšti cilj revidirane Industrijske politike Crne Gore za period 2019-2023 je povećanje konkurentnosti i efikasnosti crnogorske industrije i ubrzanje njene transformacije u industriju čija je struktura prilagođena prioritetima Strategije pametne specijalizacije, uz kvalifikovanu radnu snagu, a koja je istovremeno i osjetljiva na životnu sredinu i društvo. Kako bi se poboljšala konkurentnost i preduzetnička kultura MSP i povećao udio MSP u ekonomskom i društvenom razvoju, definisane su odgovarajuće politike i intervencije. Vlada Crne Gore prepoznaje značaj kvalitetnog procesa kreiranja politika i osnažuje ga kroz usvojenu </w:t>
      </w:r>
      <w:r w:rsidRPr="00F563CD">
        <w:rPr>
          <w:rFonts w:asciiTheme="minorHAnsi" w:hAnsiTheme="minorHAnsi" w:cs="Calibri"/>
          <w:b/>
          <w:iCs/>
          <w:sz w:val="20"/>
          <w:szCs w:val="20"/>
        </w:rPr>
        <w:t>Uredbu</w:t>
      </w:r>
      <w:r w:rsidRPr="00F563CD">
        <w:rPr>
          <w:rFonts w:asciiTheme="minorHAnsi" w:hAnsiTheme="minorHAnsi" w:cs="Calibri"/>
          <w:iCs/>
          <w:sz w:val="20"/>
          <w:szCs w:val="20"/>
        </w:rPr>
        <w:t xml:space="preserve"> Vlade Crne Gore iz jula 2018. godine </w:t>
      </w:r>
      <w:r w:rsidRPr="00F563CD">
        <w:rPr>
          <w:rFonts w:asciiTheme="minorHAnsi" w:hAnsiTheme="minorHAnsi" w:cs="Calibri"/>
          <w:b/>
          <w:iCs/>
          <w:sz w:val="20"/>
          <w:szCs w:val="20"/>
        </w:rPr>
        <w:t>o načinu i postupku izrade, usklađivanja i praćenja sprovođenja strateških dokumenata</w:t>
      </w:r>
      <w:r w:rsidRPr="00F563CD">
        <w:rPr>
          <w:rFonts w:asciiTheme="minorHAnsi" w:hAnsiTheme="minorHAnsi" w:cs="Calibri"/>
          <w:iCs/>
          <w:sz w:val="20"/>
          <w:szCs w:val="20"/>
        </w:rPr>
        <w:t xml:space="preserve"> (Uredba), koju prati i dalje razrađuje Metodologija razvijanja politika, izrade i praćenja sprovođenja strateških dokumenata (Metodologija). Navedena Uredba u članu 5 definiše principe planiranja, izrade i sprovođenja strateških dokumenata, tj. principe usklađenosti, finansijske održivosti, odgovornosti, saradnje nadležnih organa, transparentnosti, kontinuiteta, ekonomičnosti i racionalnog planiranja. Metodologija naglašava da se proces upravljanja politikom sprovodi kroz četiri faze koje obuhvataju procjenu potreba, planiranje, sprovođenje, i praćenje i evaluaciju. Vrijedi napomenuti i to da Metodologija naglašava značaj razvoja javnih politika zasnovanih na provjerljivim podacima, kako bi dovele do realnih ciljeva. Fokus se stoga pomjera na planiranje politike usmjerene na rezultate i omogućava se bolje praćenje sprovođenja strateških dokumenata, uz uvezivanje učenja iz prethodnih iskustava i povratnih informacija u proces planiranja nove politike. </w:t>
      </w:r>
    </w:p>
    <w:p w14:paraId="14838912" w14:textId="77777777" w:rsidR="00047EF8" w:rsidRPr="00F563CD" w:rsidRDefault="00047EF8" w:rsidP="00047EF8">
      <w:pPr>
        <w:spacing w:line="240" w:lineRule="auto"/>
        <w:jc w:val="both"/>
        <w:rPr>
          <w:rFonts w:asciiTheme="minorHAnsi" w:hAnsiTheme="minorHAnsi" w:cs="Calibri"/>
          <w:sz w:val="20"/>
          <w:szCs w:val="20"/>
          <w:lang w:val="fr-BE"/>
        </w:rPr>
      </w:pPr>
      <w:r w:rsidRPr="00F563CD">
        <w:rPr>
          <w:rFonts w:asciiTheme="minorHAnsi" w:hAnsiTheme="minorHAnsi" w:cs="Calibri"/>
          <w:sz w:val="20"/>
          <w:szCs w:val="20"/>
          <w:lang w:val="fr-BE"/>
        </w:rPr>
        <w:t xml:space="preserve">Sa druge strane, sektorska politika je blisko povezana sa agendom pristupanja. Poglavlje 20 – Preduzetništvo i industrijska politika i Poglavlje 25 – Nauka i istraživanje su direktno povezani sa predmetnim sektorom. Ove sektore vodi Ministarstvo ekonomskog razvoja koje je integrisalo aktivnosti bivšeg Ministarstva ekonomije sa (1) inovacionim politikama koje je vodilo bivše Ministarstvo nauke, (2) politikom rada i zapošljavanja koje je vodilo bivše Ministarstvo rada i socijalnog staranja, i (3) turizmom kojim je upravljalo bivše Ministarstvo održivog razvoja i turizma. Nadalje, Crna Gora je radila na operativnoj procjeni Akta o malim preduzećima (SBA) zajedno sa zapadnobalkanskim državama, pod bivšim Ministarstvom ekonomije (sadašnjim Ministarstvom ekonomskog razvoja). </w:t>
      </w:r>
    </w:p>
    <w:p w14:paraId="152E3728" w14:textId="77777777" w:rsidR="00047EF8" w:rsidRPr="00F563CD" w:rsidRDefault="00047EF8" w:rsidP="00047EF8">
      <w:pPr>
        <w:spacing w:line="240" w:lineRule="auto"/>
        <w:jc w:val="both"/>
        <w:rPr>
          <w:rFonts w:asciiTheme="minorHAnsi" w:eastAsia="Calibri" w:hAnsiTheme="minorHAnsi" w:cs="Calibri"/>
          <w:b/>
          <w:bCs/>
          <w:i/>
          <w:iCs/>
          <w:sz w:val="20"/>
          <w:szCs w:val="20"/>
          <w:lang w:val="fr-BE"/>
        </w:rPr>
      </w:pPr>
      <w:r w:rsidRPr="00F563CD">
        <w:rPr>
          <w:rFonts w:asciiTheme="minorHAnsi" w:eastAsia="Calibri" w:hAnsiTheme="minorHAnsi" w:cs="Calibri"/>
          <w:b/>
          <w:bCs/>
          <w:i/>
          <w:iCs/>
          <w:sz w:val="20"/>
          <w:szCs w:val="20"/>
          <w:lang w:val="fr-BE"/>
        </w:rPr>
        <w:t xml:space="preserve">Tematski prioritet </w:t>
      </w:r>
      <w:proofErr w:type="gramStart"/>
      <w:r w:rsidRPr="00F563CD">
        <w:rPr>
          <w:rFonts w:asciiTheme="minorHAnsi" w:eastAsia="Calibri" w:hAnsiTheme="minorHAnsi" w:cs="Calibri"/>
          <w:b/>
          <w:bCs/>
          <w:i/>
          <w:iCs/>
          <w:sz w:val="20"/>
          <w:szCs w:val="20"/>
          <w:lang w:val="fr-BE"/>
        </w:rPr>
        <w:t>3:</w:t>
      </w:r>
      <w:proofErr w:type="gramEnd"/>
      <w:r w:rsidRPr="00F563CD">
        <w:rPr>
          <w:rFonts w:asciiTheme="minorHAnsi" w:eastAsia="Calibri" w:hAnsiTheme="minorHAnsi" w:cs="Calibri"/>
          <w:b/>
          <w:bCs/>
          <w:i/>
          <w:iCs/>
          <w:sz w:val="20"/>
          <w:szCs w:val="20"/>
          <w:lang w:val="fr-BE"/>
        </w:rPr>
        <w:t xml:space="preserve"> Poljoprivreda i ruralni razvoj i Tematski prioritet 4: Ribarstvo</w:t>
      </w:r>
    </w:p>
    <w:p w14:paraId="2906B52D"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S obzirom na to da su sektorske strategije istekle ili će isteći u narednih nekoliko godina, važno je da proces strateškog planiranja prilikom sljedećeg ciklusa planiranja snažno uzme u obzir novi pristup programiranja IPA III. Sa otvorena 3 pregovaračka poglavlja u sektoru poljoprivrede i ruralnog razvoja, dalji napredak u procesu pristupanja će se mjeriti u odnosu na sposobnost Crne Gore da prenese i implementira pravnu tekovinu EU i preuzme odgovornosti i obaveze države članice. Razvijanje kapaciteta Ministarstva poljoprivrede, šumarstva i vodoprivrede (MPŠV) za održivo strateško planiranje i razvoj politika je ključno za efikasno programiranje i apsorpciju IPA fondova. Sektoru poljoprivrede i ruralnog razvoja su potrebna dalja poboljšanja u mnogim segmentima kako bi ispunio minimalne nacionalne standarde i bio spreman da prođe kroz cijeli proces pristupanja i ispuni završna mjerila za relevantna poglavlja. Podrška i predložene intervencije su, između ostalog, osmišljene na način da podrže razvoj i implementaciju politika poljoprivrede i ruralnog razvoja.</w:t>
      </w:r>
      <w:r w:rsidRPr="00F563CD">
        <w:rPr>
          <w:rFonts w:asciiTheme="minorHAnsi" w:hAnsiTheme="minorHAnsi"/>
          <w:lang w:val="fr-BE"/>
        </w:rPr>
        <w:t xml:space="preserve"> </w:t>
      </w:r>
      <w:r w:rsidRPr="00F563CD">
        <w:rPr>
          <w:rFonts w:asciiTheme="minorHAnsi" w:eastAsia="Calibri" w:hAnsiTheme="minorHAnsi" w:cs="Calibri"/>
          <w:sz w:val="20"/>
          <w:szCs w:val="20"/>
          <w:lang w:val="fr-BE"/>
        </w:rPr>
        <w:t xml:space="preserve">MPŠV će morati da ojača kapacitete za planiranje, sprovođenje, praćenje, evaluaciju i izvještavanje o sprovođenju politika u oblasti poljoprivrede i ruralnog razvoja, u skladu sa zahtjevima navedenim u Uredbi o načinu i postupku izrade, usklađivanja i praćenja sprovođenja strateških dokumenata i Metodologiji razvijanja politika, izrade i praćenja sprovođenja strateških dokumenata, koje su razvijene kako bi se obezbijedilo poboljšanje kako u pogledu kvaliteta strateških dokumenata, tako i u pogledu izvještavanja zasnovanog na ishodima odnosno rezultatima. </w:t>
      </w:r>
    </w:p>
    <w:p w14:paraId="0161494E"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Sve aktivnosti vezane za sektor poljoprivrede i ruralnog razvoja koje prati MPŠV su navedene u Akcionom planu koji čini sastavni dio Strategije razvoja poljoprivrede i ruralnih područja 2015-2020, i usklađene s obavezama koje proističu iz pregovaračkog procesa u poglavlju 11. Kada je riječ o poglavlju 12 – Bezbjednost hrane, veterinarstvo i fitosanitarni nadzor, aktivnosti se sprovode u skladu sa usvojenom Strategijom u ovoj oblasti i pratećim akcionim planovima i programima. Vodeća institucija u ovoj oblasti je Uprava za bezbjednost hrane, veterinu i fitosanitarne poslove. Proces sprovođenja obaveza iz poglavlja 12 relevantan je i za druge oblasti, posebno za životne sredinu, ali i saobraćaj, carinsku politiku, javno zdravlje, itd. Što se tiče poglavlja 13 – Ribarstvo, ključni institucionalni subjekat je Direktorat za ribarstvo u okviru MPŠV, koji implementira Akcioni plan Strategije ribarstva, usklađen sa dokumentima koji prenose standarde sa nivoa EU i globalnog nivoa u ovu oblast. Praćenje direktnih plaćanja i ruralnog razvoja oslanja se na sinergiju između Direktorata za ruralni razvoj, Direktorata za plaćanja (IPARD Agencija) i Direktorata za poljoprivredu, uključujući implementaciju IPARD programa. MPŠV na godišnjem nivou objavljuje izvještaj o svim realizovanim aktivnostima, koji daje detaljan prikaz aktivnosti koje je MPŠV sprovelo tokom godine i ukazuje na odstupanja između planiranih i realizovanih aktivnosti. </w:t>
      </w:r>
    </w:p>
    <w:p w14:paraId="0C45F388"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lastRenderedPageBreak/>
        <w:t xml:space="preserve">Nacionalna finansijska sredstva se dodjeljuju MPŠV kroz godišnji državni budžet. Uplate MPŠV se vrše iz državnog budžeta na mjesečnom nivou, dok MPŠV o utrošku dodijeljenih sredstava izvještava Ministarstvo finansija na kvartalnom i godišnjem nivou. Nakon svakog javnog poziva za IPARD ili mjere iz agrobudžeta, sastavlja se izvještaj koji se dostavlja upravljačkoj strukturi MPŠV. Individualni proizvođači i organizacije civilnog društva aktivne u ovom sektoru se kontaktiraju prije svake izrade godišnjeg agrobudžeta i nakon njegovog usvajanja, a mjere se promovišu i predstavljaju u svakoj opštini. Od uvođenja centralizovanog modela finansiranja organizacija civilnog društva u Crnoj Gori 2017.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MPŠV je takođe održavalo kontakt sa udruženjima proizvođača i drugim poljoprivrednim organizacijama civilnog društva u cilju definisanja prioriteta za godišnje finansiranje. </w:t>
      </w:r>
    </w:p>
    <w:p w14:paraId="729C52BD"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Prema najnovijim ažuriranim podacima, trenutno su 15.142 gazdinstva upisana u Registar poljoprivrednih gazdinstava, a 4.270 farmi je trenutno registrovano u Sistemu identifikacije zemljišnih parcela (LPIS). Upisane su ukupno 16.353 parcele, odnosno 9.559,4 hektara. </w:t>
      </w:r>
    </w:p>
    <w:p w14:paraId="721F1A0D"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U 2021. </w:t>
      </w:r>
      <w:proofErr w:type="gramStart"/>
      <w:r w:rsidRPr="00F563CD">
        <w:rPr>
          <w:rFonts w:asciiTheme="minorHAnsi" w:hAnsiTheme="minorHAnsi"/>
          <w:sz w:val="20"/>
          <w:szCs w:val="20"/>
          <w:lang w:val="fr-BE"/>
        </w:rPr>
        <w:t>godini</w:t>
      </w:r>
      <w:proofErr w:type="gramEnd"/>
      <w:r w:rsidRPr="00F563CD">
        <w:rPr>
          <w:rFonts w:asciiTheme="minorHAnsi" w:hAnsiTheme="minorHAnsi"/>
          <w:sz w:val="20"/>
          <w:szCs w:val="20"/>
          <w:lang w:val="fr-BE"/>
        </w:rPr>
        <w:t xml:space="preserve"> nastavljena je izgradnja integrisanog sistema upravljanja i kontrole (IACS), a Direktorat za plaćanja je preuzeo sprovođenje svih mjera direktne podrške po oblastima propisanim nacionalnim zakonodavstvom. Takođe, Direktorat za plaćanja je 2021. </w:t>
      </w:r>
      <w:proofErr w:type="gramStart"/>
      <w:r w:rsidRPr="00F563CD">
        <w:rPr>
          <w:rFonts w:asciiTheme="minorHAnsi" w:hAnsiTheme="minorHAnsi"/>
          <w:sz w:val="20"/>
          <w:szCs w:val="20"/>
          <w:lang w:val="fr-BE"/>
        </w:rPr>
        <w:t>godine</w:t>
      </w:r>
      <w:proofErr w:type="gramEnd"/>
      <w:r w:rsidRPr="00F563CD">
        <w:rPr>
          <w:rFonts w:asciiTheme="minorHAnsi" w:hAnsiTheme="minorHAnsi"/>
          <w:sz w:val="20"/>
          <w:szCs w:val="20"/>
          <w:lang w:val="fr-BE"/>
        </w:rPr>
        <w:t xml:space="preserve"> počeo sa sprovođenjem prve mjere koja se odnosi na organizaciju zajedničkog tržišta. </w:t>
      </w:r>
    </w:p>
    <w:p w14:paraId="2E3750D8"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Prva područna kancelarija Direktorata za plaćanja je uspostavljena u Bijelom Polju i počela je sa radom u junu 2020. </w:t>
      </w:r>
      <w:proofErr w:type="gramStart"/>
      <w:r w:rsidRPr="00F563CD">
        <w:rPr>
          <w:rFonts w:asciiTheme="minorHAnsi" w:hAnsiTheme="minorHAnsi"/>
          <w:sz w:val="20"/>
          <w:szCs w:val="20"/>
          <w:lang w:val="fr-BE"/>
        </w:rPr>
        <w:t>godine</w:t>
      </w:r>
      <w:proofErr w:type="gramEnd"/>
      <w:r w:rsidRPr="00F563CD">
        <w:rPr>
          <w:rFonts w:asciiTheme="minorHAnsi" w:hAnsiTheme="minorHAnsi"/>
          <w:sz w:val="20"/>
          <w:szCs w:val="20"/>
          <w:lang w:val="fr-BE"/>
        </w:rPr>
        <w:t xml:space="preserve">, a preuzela je sve planirane aktivnosti u realizaciji nacionalnih mjera koje sprovodi Direktorat za plaćanja. Uz podršku Svjetske banke, u saradnji sa lokalnom samoupravom, nastavljene su aktivnosti na izgradnji i uspostavljanju druge područne kancelarije u Beranama. U toku su pripremne aktivnosti za uspostavljanje treće područne kancelarije u Nikšiću. </w:t>
      </w:r>
    </w:p>
    <w:p w14:paraId="1B254C82"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Odjeljenje za razvoj, međunarodne projekte i IPA fondove je 2021. </w:t>
      </w:r>
      <w:proofErr w:type="gramStart"/>
      <w:r w:rsidRPr="00F563CD">
        <w:rPr>
          <w:rFonts w:asciiTheme="minorHAnsi" w:hAnsiTheme="minorHAnsi"/>
          <w:sz w:val="20"/>
          <w:szCs w:val="20"/>
          <w:lang w:val="fr-BE"/>
        </w:rPr>
        <w:t>godine</w:t>
      </w:r>
      <w:proofErr w:type="gramEnd"/>
      <w:r w:rsidRPr="00F563CD">
        <w:rPr>
          <w:rFonts w:asciiTheme="minorHAnsi" w:hAnsiTheme="minorHAnsi"/>
          <w:sz w:val="20"/>
          <w:szCs w:val="20"/>
          <w:lang w:val="fr-BE"/>
        </w:rPr>
        <w:t xml:space="preserve"> preimenovano u Odjeljenje za međunarodnu saradnju i IPA projekte, prepoznato kao Jedinica za implementaciju projekata (PIU) i dio IPA organizacione strukture, uz eksplicitno definisane dužnosti visokog programskog službenika (SPO), službenika za implementaciju i službenika za programiranje u Pravilniku o unutrašnjoj organizaciji i sistematizaciji MPŠV. Što se tiče implementacije i praćenja projekata koji se finansiraju iz nedržavnih sredstava, izvještavanje se sprovodi na sličan način, uz dodatna pravila i procedure predviđene pojedinačnim projektima. Odjeljenje za razvojne projekte i međunarodnu saradnju nadgleda sve projekte u koje je MPŠV uključeno sa spoljnjim partnerima, uključujući sve bilateralne odnose sa drugim zemljama i projekte koje finansiraju Evropska unija, Ujedinjene nacije, Svjetska banka, strane ambasade, itd. U zavisnosti od oblasti koju tretira neki međunarodni projekat, pojedinačni direktorati i uprave su uključeni u određenom nivou, obezbjeđujući stručno znanje ili upravljanje sprovođenjem projektnih aktivnosti. O napretku u realizaciji međunarodnih projekata ministar se obavještava putem periodičnih izvještaja. </w:t>
      </w:r>
    </w:p>
    <w:p w14:paraId="00F4C922" w14:textId="77777777" w:rsidR="00047EF8" w:rsidRPr="00F563CD" w:rsidRDefault="00047EF8" w:rsidP="00047EF8">
      <w:pPr>
        <w:pStyle w:val="Heading2"/>
        <w:numPr>
          <w:ilvl w:val="0"/>
          <w:numId w:val="30"/>
        </w:numPr>
        <w:spacing w:before="0" w:after="200" w:line="240" w:lineRule="auto"/>
        <w:rPr>
          <w:rFonts w:asciiTheme="minorHAnsi" w:hAnsiTheme="minorHAnsi" w:cs="Arial"/>
          <w:smallCaps/>
          <w:color w:val="auto"/>
          <w:sz w:val="24"/>
          <w:szCs w:val="24"/>
        </w:rPr>
      </w:pPr>
      <w:bookmarkStart w:id="56" w:name="_Toc91500281"/>
      <w:r w:rsidRPr="00F563CD">
        <w:rPr>
          <w:rFonts w:asciiTheme="minorHAnsi" w:hAnsiTheme="minorHAnsi" w:cs="Arial"/>
          <w:smallCaps/>
          <w:color w:val="auto"/>
          <w:sz w:val="24"/>
          <w:szCs w:val="24"/>
        </w:rPr>
        <w:t>Povezanost sektorskih strategija sa regionalnim i globalnim strategijama</w:t>
      </w:r>
      <w:bookmarkEnd w:id="56"/>
      <w:r w:rsidRPr="00F563CD">
        <w:rPr>
          <w:rFonts w:asciiTheme="minorHAnsi" w:hAnsiTheme="minorHAnsi" w:cs="Arial"/>
          <w:smallCaps/>
          <w:color w:val="auto"/>
          <w:sz w:val="24"/>
          <w:szCs w:val="24"/>
        </w:rPr>
        <w:t xml:space="preserve"> </w:t>
      </w:r>
    </w:p>
    <w:p w14:paraId="49D4CFC7" w14:textId="77777777" w:rsidR="00047EF8" w:rsidRPr="00F563CD" w:rsidRDefault="00047EF8" w:rsidP="00047EF8">
      <w:pPr>
        <w:spacing w:line="240" w:lineRule="auto"/>
        <w:jc w:val="both"/>
        <w:rPr>
          <w:rFonts w:asciiTheme="minorHAnsi" w:eastAsia="Calibri" w:hAnsiTheme="minorHAnsi" w:cs="Calibri"/>
          <w:b/>
          <w:bCs/>
          <w:i/>
          <w:iCs/>
          <w:sz w:val="20"/>
          <w:szCs w:val="20"/>
        </w:rPr>
      </w:pPr>
      <w:r w:rsidRPr="00F563CD">
        <w:rPr>
          <w:rFonts w:asciiTheme="minorHAnsi" w:eastAsia="Calibri" w:hAnsiTheme="minorHAnsi" w:cs="Calibri"/>
          <w:b/>
          <w:bCs/>
          <w:i/>
          <w:iCs/>
          <w:sz w:val="20"/>
          <w:szCs w:val="20"/>
        </w:rPr>
        <w:t xml:space="preserve">Tematski prioritet 1: Obrazovanje, zapošljavanje, socijalna zaštita, politike inkluzije i zdravlje </w:t>
      </w:r>
    </w:p>
    <w:p w14:paraId="0433E881" w14:textId="77777777" w:rsidR="00047EF8" w:rsidRPr="00F563CD" w:rsidRDefault="00047EF8" w:rsidP="00047EF8">
      <w:pPr>
        <w:spacing w:line="240" w:lineRule="auto"/>
        <w:jc w:val="both"/>
        <w:rPr>
          <w:rFonts w:asciiTheme="minorHAnsi" w:eastAsia="Calibri" w:hAnsiTheme="minorHAnsi" w:cs="Calibri"/>
          <w:b/>
          <w:bCs/>
          <w:iCs/>
          <w:sz w:val="20"/>
          <w:szCs w:val="20"/>
          <w:u w:val="single"/>
        </w:rPr>
      </w:pPr>
      <w:r w:rsidRPr="00F563CD">
        <w:rPr>
          <w:rFonts w:asciiTheme="minorHAnsi" w:eastAsia="Calibri" w:hAnsiTheme="minorHAnsi" w:cs="Calibri"/>
          <w:b/>
          <w:bCs/>
          <w:iCs/>
          <w:sz w:val="20"/>
          <w:szCs w:val="20"/>
          <w:u w:val="single"/>
        </w:rPr>
        <w:t xml:space="preserve">Obrazovanje </w:t>
      </w:r>
    </w:p>
    <w:p w14:paraId="566B4852"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Strateški okvir u obrazovanju koji odgovara Tematskom prioritetu 1 doprinosi ostvarenju UN Ciljeva održivog razvoja (SDG) 2030</w:t>
      </w:r>
      <w:r w:rsidRPr="00F563CD">
        <w:rPr>
          <w:rStyle w:val="FootnoteReference"/>
          <w:rFonts w:asciiTheme="minorHAnsi" w:eastAsia="Calibri" w:hAnsiTheme="minorHAnsi" w:cs="Calibri"/>
          <w:sz w:val="20"/>
          <w:szCs w:val="20"/>
        </w:rPr>
        <w:footnoteReference w:id="36"/>
      </w:r>
      <w:r w:rsidRPr="00F563CD">
        <w:rPr>
          <w:rFonts w:asciiTheme="minorHAnsi" w:eastAsia="Calibri" w:hAnsiTheme="minorHAnsi" w:cs="Calibri"/>
          <w:sz w:val="20"/>
          <w:szCs w:val="20"/>
        </w:rPr>
        <w:t xml:space="preserve">, odnosno konkretno 4. cilju: Kvalitetno obrazovanje – Osigurati inkluzivno i jednako kvalitetno obrazovanje i promovisati mogućnosti cjeloživotnog učenja za sve. Aktuelne strategije u oblasti obrazovanja podržavaju kvalitet nastave i učenja (4.1, 4.7), jednakost (4.2, 4.5), dostupnost (4.3, 4.6) i razvoj mogućnosti za cjeloživotno učenje (4.4). Takođe doprinose okončanju siromaštva (SDG 1), održanom, inkluzivnom i održivom ekonomskom rastu (SDG 8), postizanju rodne ravnopravnosti (SDG 5) i smanjenju nejednakosti (SDG 10). </w:t>
      </w:r>
    </w:p>
    <w:p w14:paraId="6CC2591D"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Ovaj strateški okvir u oblasti obrazovanja u skladu je sa konstatacijom iz </w:t>
      </w:r>
      <w:r w:rsidRPr="00F563CD">
        <w:rPr>
          <w:rFonts w:asciiTheme="minorHAnsi" w:eastAsia="Calibri" w:hAnsiTheme="minorHAnsi" w:cs="Calibri"/>
          <w:b/>
          <w:sz w:val="20"/>
          <w:szCs w:val="20"/>
        </w:rPr>
        <w:t xml:space="preserve">projekta Organizacije za ekonomsku saradnju i razvoj (OECD) „Budućnosti obrazovanja i vještina </w:t>
      </w:r>
      <w:proofErr w:type="gramStart"/>
      <w:r w:rsidRPr="00F563CD">
        <w:rPr>
          <w:rFonts w:asciiTheme="minorHAnsi" w:eastAsia="Calibri" w:hAnsiTheme="minorHAnsi" w:cs="Calibri"/>
          <w:b/>
          <w:sz w:val="20"/>
          <w:szCs w:val="20"/>
        </w:rPr>
        <w:t>2030“ (</w:t>
      </w:r>
      <w:proofErr w:type="gramEnd"/>
      <w:r w:rsidRPr="00F563CD">
        <w:rPr>
          <w:rFonts w:asciiTheme="minorHAnsi" w:eastAsia="Calibri" w:hAnsiTheme="minorHAnsi" w:cs="Calibri"/>
          <w:b/>
          <w:sz w:val="20"/>
          <w:szCs w:val="20"/>
        </w:rPr>
        <w:t>iz 2018. godine)</w:t>
      </w:r>
      <w:r w:rsidRPr="00F563CD">
        <w:rPr>
          <w:rFonts w:asciiTheme="minorHAnsi" w:eastAsia="Calibri" w:hAnsiTheme="minorHAnsi" w:cs="Calibri"/>
          <w:sz w:val="20"/>
          <w:szCs w:val="20"/>
        </w:rPr>
        <w:t xml:space="preserve"> da, u eri digitalne transformacije i sa pojavom velikog broja podataka, digitalna pismenost i pismenost podataka postaju sve važniji. Kako se digitalne tehnologije usvajaju na radnom mjestu, sticanje i održavanje digitalnih vještina kroz obrazovanje odraslih postaje sve važnije za veliku većinu radnika. Jedan od glavnih identifikovanih izazova je redizajn nastavnog plana i programa i pomjeranje fokusa sa „više sati za </w:t>
      </w:r>
      <w:proofErr w:type="gramStart"/>
      <w:r w:rsidRPr="00F563CD">
        <w:rPr>
          <w:rFonts w:asciiTheme="minorHAnsi" w:eastAsia="Calibri" w:hAnsiTheme="minorHAnsi" w:cs="Calibri"/>
          <w:sz w:val="20"/>
          <w:szCs w:val="20"/>
        </w:rPr>
        <w:t>učenje“ na</w:t>
      </w:r>
      <w:proofErr w:type="gramEnd"/>
      <w:r w:rsidRPr="00F563CD">
        <w:rPr>
          <w:rFonts w:asciiTheme="minorHAnsi" w:eastAsia="Calibri" w:hAnsiTheme="minorHAnsi" w:cs="Calibri"/>
          <w:sz w:val="20"/>
          <w:szCs w:val="20"/>
        </w:rPr>
        <w:t xml:space="preserve"> „kvalitetno vrijeme učenja“, te će se ova intervencija baviti promjenama nastavnog plana i programa i poboljšanjem nastavnih praksi u obrazovanju. </w:t>
      </w:r>
    </w:p>
    <w:p w14:paraId="76E199E1"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lastRenderedPageBreak/>
        <w:t xml:space="preserve">Strateški okvir u obrazovanju takođe je u skladu sa ciljevima i inicijativama Zajedničkog regionalnog tržišta, na koje se Vlada obavezala u okviru Berlinskog procesa. Ovo naročito podrazumijeva oblast međusobnog priznavanja stručnih i akademskih kvalifikacija, kao i mehanizme i alate za osiguranje kvaliteta u skladu sa najnovijim standardima EU. </w:t>
      </w:r>
    </w:p>
    <w:p w14:paraId="47D93FC1"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Strateški okvir u oblasti obrazovanja je takođe u skladu sa Strategijom „Jugoistočna Evropa </w:t>
      </w:r>
      <w:proofErr w:type="gramStart"/>
      <w:r w:rsidRPr="00F563CD">
        <w:rPr>
          <w:rFonts w:asciiTheme="minorHAnsi" w:eastAsia="Calibri" w:hAnsiTheme="minorHAnsi" w:cs="Calibri"/>
          <w:sz w:val="20"/>
          <w:szCs w:val="20"/>
        </w:rPr>
        <w:t>2030“ na</w:t>
      </w:r>
      <w:proofErr w:type="gramEnd"/>
      <w:r w:rsidRPr="00F563CD">
        <w:rPr>
          <w:rFonts w:asciiTheme="minorHAnsi" w:eastAsia="Calibri" w:hAnsiTheme="minorHAnsi" w:cs="Calibri"/>
          <w:sz w:val="20"/>
          <w:szCs w:val="20"/>
        </w:rPr>
        <w:t xml:space="preserve"> koju se Crna Gora obavezala, a naročito sa njenim dijelom koji se tiče razvoja ljudskog kapitala. </w:t>
      </w:r>
    </w:p>
    <w:p w14:paraId="746FA20E"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Strateški okvir je takođe odgovor na rad Omladinskog partnerstva, kao koncepta saradnje između Evropske unije i Savjeta Evrope u oblasti omladinskih politika. </w:t>
      </w:r>
    </w:p>
    <w:p w14:paraId="79A8F635"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Na makroekonomskom nivou, Dunavska strategija, a posebno njome predviđene aktivnosti na razvoju preduzetničkih vještina i centara izvrsnosti, komplementarne su nacionalnim politikama. Takođe, komplementarna je i Jadransko-jonska strategija. </w:t>
      </w:r>
    </w:p>
    <w:p w14:paraId="61FA4AA9"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Strateški okvir u oblasti obrazovanja usklađen je sa </w:t>
      </w:r>
      <w:r w:rsidRPr="00F563CD">
        <w:rPr>
          <w:rFonts w:asciiTheme="minorHAnsi" w:eastAsia="Calibri" w:hAnsiTheme="minorHAnsi" w:cs="Calibri"/>
          <w:b/>
          <w:sz w:val="20"/>
          <w:szCs w:val="20"/>
        </w:rPr>
        <w:t>Evropskim obrazovnim prostorom (EEA) do 2025. godine</w:t>
      </w:r>
      <w:r w:rsidRPr="00F563CD">
        <w:rPr>
          <w:rFonts w:asciiTheme="minorHAnsi" w:eastAsia="Calibri" w:hAnsiTheme="minorHAnsi" w:cs="Calibri"/>
          <w:sz w:val="20"/>
          <w:szCs w:val="20"/>
        </w:rPr>
        <w:t xml:space="preserve">, koji postavlja visokokvalitetne ciljeve u pogledu obrazovanja orijentisanog na učinak, inkluzivnog obrazovanja, ulaganja u osnovne vještine (računanje, pismenost i osnovne digitalne vještine), kao i snaženja značaja zapošljivosti, preduzetničkih vještina, mekih vještina i digitalnih vještina, jačanja stručnog obrazovanja kao ključnog puta za industriju, za obnovu i jačanje veza između sistema obrazovanja i osposobljavanja i tržišta rada, promovisanje kulture cjeloživotnog učenja i snaženje kontinuiranog stručnog osposobljavanja širenjem raznolikosti ponude obuka i načina njihovog održavanja. </w:t>
      </w:r>
    </w:p>
    <w:p w14:paraId="5A0F1587"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Strateški okvir za evropsku saradnju u oblasti obrazovanja i osposobljavanja ka Evropskom obrazovnom prostoru i šire (2021-2030) koristiće se kao odskočna daska i referenca za pripremu predstojećih strategija, imajući u vidu da sedam ciljeva i prioritetnih područja za evropsku saradnju na nivou EU u oblasti obrazovanja i osposobljavanja daju jasnu viziju i ciljeve. </w:t>
      </w:r>
    </w:p>
    <w:p w14:paraId="0FB9B79C"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Strateški okvir u oblasti obrazovanja je u skladu sa ciljem </w:t>
      </w:r>
      <w:r w:rsidRPr="00F563CD">
        <w:rPr>
          <w:rFonts w:asciiTheme="minorHAnsi" w:eastAsia="Calibri" w:hAnsiTheme="minorHAnsi" w:cs="Calibri"/>
          <w:b/>
          <w:sz w:val="20"/>
          <w:szCs w:val="20"/>
        </w:rPr>
        <w:t>Evropske agende vještina za održivu konkurentnost, društvenu pravednost i otpornost</w:t>
      </w:r>
      <w:r w:rsidRPr="00F563CD">
        <w:rPr>
          <w:rFonts w:asciiTheme="minorHAnsi" w:eastAsia="Calibri" w:hAnsiTheme="minorHAnsi" w:cs="Calibri"/>
          <w:sz w:val="20"/>
          <w:szCs w:val="20"/>
        </w:rPr>
        <w:t xml:space="preserve">, koji podrazumijeva da ljudima treba obezbijediti da imaju prave vještine za posao kroz cjeloživotno učenje. Nadovezujući se na </w:t>
      </w:r>
      <w:r w:rsidRPr="00F563CD">
        <w:rPr>
          <w:rFonts w:asciiTheme="minorHAnsi" w:eastAsia="Calibri" w:hAnsiTheme="minorHAnsi" w:cs="Calibri"/>
          <w:b/>
          <w:sz w:val="20"/>
          <w:szCs w:val="20"/>
        </w:rPr>
        <w:t>Preporuku Savjeta o ključnim kompetencijama za cjeloživotno učenje</w:t>
      </w:r>
      <w:r w:rsidRPr="00F563CD">
        <w:rPr>
          <w:rFonts w:asciiTheme="minorHAnsi" w:eastAsia="Calibri" w:hAnsiTheme="minorHAnsi" w:cs="Calibri"/>
          <w:b/>
          <w:bCs/>
          <w:sz w:val="20"/>
          <w:szCs w:val="20"/>
          <w:vertAlign w:val="superscript"/>
        </w:rPr>
        <w:footnoteReference w:id="37"/>
      </w:r>
      <w:r w:rsidRPr="00F563CD">
        <w:rPr>
          <w:rFonts w:asciiTheme="minorHAnsi" w:eastAsia="Calibri" w:hAnsiTheme="minorHAnsi" w:cs="Calibri"/>
          <w:sz w:val="20"/>
          <w:szCs w:val="20"/>
        </w:rPr>
        <w:t xml:space="preserve">, za povećanje i unapređenje nivoa digitalnih kompetencija u svim fazama obrazovanja i osposobljavanja, u svim slojevima stanovništva, kao i na prioritet </w:t>
      </w:r>
      <w:r w:rsidRPr="00F563CD">
        <w:rPr>
          <w:rFonts w:asciiTheme="minorHAnsi" w:eastAsia="Calibri" w:hAnsiTheme="minorHAnsi" w:cs="Calibri"/>
          <w:b/>
          <w:sz w:val="20"/>
          <w:szCs w:val="20"/>
        </w:rPr>
        <w:t>Preporuke Savjeta o stručnom obrazovanju i osposobljavanju (VET) za održivu konkurentnost, socijalnu pravednost i otpornost</w:t>
      </w:r>
      <w:r w:rsidRPr="00F563CD">
        <w:rPr>
          <w:rFonts w:asciiTheme="minorHAnsi" w:eastAsia="Calibri" w:hAnsiTheme="minorHAnsi" w:cs="Calibri"/>
          <w:b/>
          <w:bCs/>
          <w:sz w:val="20"/>
          <w:szCs w:val="20"/>
          <w:vertAlign w:val="superscript"/>
        </w:rPr>
        <w:footnoteReference w:id="38"/>
      </w:r>
      <w:r w:rsidRPr="00F563CD">
        <w:rPr>
          <w:rFonts w:asciiTheme="minorHAnsi" w:eastAsia="Calibri" w:hAnsiTheme="minorHAnsi" w:cs="Calibri"/>
          <w:sz w:val="20"/>
          <w:szCs w:val="20"/>
        </w:rPr>
        <w:t xml:space="preserve"> koji se odnosi na promovisanje učenja zasnovanog na radu u svim njegovim oblicima, pristupa stručnom obrazovanju i kvalifikacijama za sve i jačanja ključnih kompetencija, ova akcija će podržati usavršavanje i prekvalifikaciju odraslih u pružanju usluga kako mladima tako i odraslima, na osnovu snažnih mehanizama osiguranja kvaliteta i djelotvorne povratne sprege koja omogućava pravovremeno prilagođavanje nastavnih planova i programa rastućim potrebama tržišta rada. Takođe, ova akcija je u skladu sa </w:t>
      </w:r>
      <w:r w:rsidRPr="00F563CD">
        <w:rPr>
          <w:rFonts w:asciiTheme="minorHAnsi" w:eastAsia="Calibri" w:hAnsiTheme="minorHAnsi" w:cs="Calibri"/>
          <w:b/>
          <w:sz w:val="20"/>
          <w:szCs w:val="20"/>
        </w:rPr>
        <w:t>Zaključcima Savjeta o sprovođenju Preporuke Savjeta o oblicima usavršavanja: nove prilike za odrasle</w:t>
      </w:r>
      <w:r w:rsidRPr="00F563CD">
        <w:rPr>
          <w:rFonts w:asciiTheme="minorHAnsi" w:hAnsiTheme="minorHAnsi"/>
          <w:b/>
          <w:sz w:val="20"/>
          <w:szCs w:val="20"/>
          <w:vertAlign w:val="superscript"/>
        </w:rPr>
        <w:footnoteReference w:id="39"/>
      </w:r>
      <w:r w:rsidRPr="00F563CD">
        <w:rPr>
          <w:rFonts w:asciiTheme="minorHAnsi" w:eastAsia="Calibri" w:hAnsiTheme="minorHAnsi" w:cs="Calibri"/>
          <w:b/>
          <w:bCs/>
          <w:sz w:val="20"/>
          <w:szCs w:val="20"/>
        </w:rPr>
        <w:t xml:space="preserve"> </w:t>
      </w:r>
      <w:r w:rsidRPr="00F563CD">
        <w:rPr>
          <w:rFonts w:asciiTheme="minorHAnsi" w:eastAsia="Calibri" w:hAnsiTheme="minorHAnsi" w:cs="Calibri"/>
          <w:bCs/>
          <w:sz w:val="20"/>
          <w:szCs w:val="20"/>
        </w:rPr>
        <w:t>o</w:t>
      </w:r>
      <w:r w:rsidRPr="00F563CD">
        <w:rPr>
          <w:rFonts w:asciiTheme="minorHAnsi" w:eastAsia="Calibri" w:hAnsiTheme="minorHAnsi" w:cs="Calibri"/>
          <w:sz w:val="20"/>
          <w:szCs w:val="20"/>
        </w:rPr>
        <w:t xml:space="preserve"> uspostavljanju održivih dugoročnih mjera za usavršavanje i prekvalifikaciju odraslih kao dijela šireg strateškog pristupa cjeloživotnom razvoju vještina. </w:t>
      </w:r>
    </w:p>
    <w:p w14:paraId="62C58DCC" w14:textId="77777777" w:rsidR="00047EF8" w:rsidRPr="00F563CD" w:rsidRDefault="00047EF8" w:rsidP="00047EF8">
      <w:pPr>
        <w:spacing w:line="240" w:lineRule="auto"/>
        <w:jc w:val="both"/>
        <w:rPr>
          <w:rFonts w:asciiTheme="minorHAnsi" w:eastAsia="Calibri" w:hAnsiTheme="minorHAnsi" w:cs="Calibri"/>
          <w:bCs/>
          <w:sz w:val="20"/>
          <w:szCs w:val="20"/>
        </w:rPr>
      </w:pPr>
      <w:r w:rsidRPr="00F563CD">
        <w:rPr>
          <w:rFonts w:asciiTheme="minorHAnsi" w:eastAsia="Calibri" w:hAnsiTheme="minorHAnsi" w:cs="Calibri"/>
          <w:b/>
          <w:bCs/>
          <w:sz w:val="20"/>
          <w:szCs w:val="20"/>
        </w:rPr>
        <w:t>Komunikacija o obnovljenoj agendi EU za visoko obrazovanje</w:t>
      </w:r>
      <w:r w:rsidRPr="00F563CD">
        <w:rPr>
          <w:rFonts w:asciiTheme="minorHAnsi" w:eastAsia="Calibri" w:hAnsiTheme="minorHAnsi" w:cs="Calibri"/>
          <w:b/>
          <w:bCs/>
          <w:sz w:val="20"/>
          <w:szCs w:val="20"/>
          <w:vertAlign w:val="superscript"/>
        </w:rPr>
        <w:footnoteReference w:id="40"/>
      </w:r>
      <w:r w:rsidRPr="00F563CD">
        <w:rPr>
          <w:rFonts w:asciiTheme="minorHAnsi" w:eastAsia="Calibri" w:hAnsiTheme="minorHAnsi" w:cs="Calibri"/>
          <w:bCs/>
          <w:sz w:val="20"/>
          <w:szCs w:val="20"/>
        </w:rPr>
        <w:t xml:space="preserve">, kao jedno od prioritetnih područja djelovanja, definiše rješavanje neusklađenosti vještina i promovisanje izvrsnosti u razvoju vještina, navodeći da bi visoko obrazovanje takođe trebalo omogućiti studentima da steknu vještine i iskustva kroz aktivnosti zasnovane na problemima iz stvarnog svijeta, uključujući učenje na radnom mjestu i, gdje je to moguće, ponuditi međunarodnu mobilnost. Saradnja sa poslodavcima može omogućiti visokoškolskim ustanovama da povećaju relevantnost svojih nastavnih planova i programa i da ih efikasno realizuju, te da povećaju mogućnosti za pristup studenata visokokvalitetnom učenju zasnovanom na radu. </w:t>
      </w:r>
    </w:p>
    <w:p w14:paraId="4FDDB8CE"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b/>
          <w:sz w:val="20"/>
          <w:szCs w:val="20"/>
        </w:rPr>
        <w:t>Plan aktivnosti za postizanje rodne ravnopravnosti (PAPRR) 2017-2021</w:t>
      </w:r>
      <w:r w:rsidRPr="00F563CD">
        <w:rPr>
          <w:rFonts w:asciiTheme="minorHAnsi" w:hAnsiTheme="minorHAnsi"/>
          <w:sz w:val="20"/>
          <w:szCs w:val="20"/>
        </w:rPr>
        <w:t xml:space="preserve"> je razvojni dokument za sprovođenje rodne ravnopravnosti u Crnoj Gori, čiji je cilj da se obezbijedi ravnopravnost polova u kreiranju i sprovođenju svih nacionalnih i lokalnih politika i u radu svih subjekata na državnom nivou. Strateški okvir uzima u obzir 3. stub: Promovisanje ekonomskih i socijalnih prava i osnaživanje djevojčica i žena. </w:t>
      </w:r>
    </w:p>
    <w:p w14:paraId="08078DAE" w14:textId="77777777" w:rsidR="00047EF8" w:rsidRPr="00F563CD" w:rsidRDefault="00047EF8" w:rsidP="00047EF8">
      <w:pPr>
        <w:spacing w:line="240" w:lineRule="auto"/>
        <w:jc w:val="both"/>
        <w:rPr>
          <w:rFonts w:asciiTheme="minorHAnsi" w:hAnsiTheme="minorHAnsi"/>
          <w:iCs/>
          <w:sz w:val="20"/>
          <w:szCs w:val="20"/>
        </w:rPr>
      </w:pPr>
      <w:r w:rsidRPr="00F563CD">
        <w:rPr>
          <w:rFonts w:asciiTheme="minorHAnsi" w:eastAsia="Calibri" w:hAnsiTheme="minorHAnsi" w:cs="Calibri"/>
          <w:b/>
          <w:bCs/>
          <w:iCs/>
          <w:sz w:val="20"/>
          <w:szCs w:val="20"/>
          <w:u w:val="single"/>
        </w:rPr>
        <w:t xml:space="preserve">Politike zapošljavanja </w:t>
      </w:r>
    </w:p>
    <w:p w14:paraId="24D313B2"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Strateški okvir za zapošljavanje doprinosi nizu regionalnih i globalnih strategija koje se tiču zapošljavanja. </w:t>
      </w:r>
    </w:p>
    <w:p w14:paraId="50A75214"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eastAsia="Calibri" w:hAnsiTheme="minorHAnsi" w:cs="Calibri"/>
          <w:b/>
          <w:sz w:val="20"/>
          <w:szCs w:val="20"/>
        </w:rPr>
        <w:lastRenderedPageBreak/>
        <w:t>UN Agenda 2030, a posebno 8. cilj održivog razvoja,</w:t>
      </w:r>
      <w:r w:rsidRPr="00F563CD">
        <w:rPr>
          <w:rFonts w:asciiTheme="minorHAnsi" w:eastAsia="Calibri" w:hAnsiTheme="minorHAnsi" w:cs="Calibri"/>
          <w:sz w:val="20"/>
          <w:szCs w:val="20"/>
        </w:rPr>
        <w:t xml:space="preserve"> fokusira se na promociju održanog, inkluzivnog i održivog ekonomskog rasta, pune i produktivne zaposlenosti i dostojanstvenog rada za sve. Dostojanstveni rad, otvaranje novih radnih mjesta, socijalna zaštita, prava na radu i socijalni dijalog predstavljaju sastavne elemente UN Ciljeva održivog razvoja i duboko su ukorijenjeni u većinu od preostalih 16 ciljeva. </w:t>
      </w:r>
    </w:p>
    <w:p w14:paraId="3E04AEDE"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b/>
          <w:sz w:val="20"/>
          <w:szCs w:val="20"/>
        </w:rPr>
        <w:t xml:space="preserve">Regionalna strategija „Jugoistočna Evropa 2020 – Poslovi i prosperitet u evropskoj </w:t>
      </w:r>
      <w:proofErr w:type="gramStart"/>
      <w:r w:rsidRPr="00F563CD">
        <w:rPr>
          <w:rFonts w:asciiTheme="minorHAnsi" w:hAnsiTheme="minorHAnsi"/>
          <w:b/>
          <w:sz w:val="20"/>
          <w:szCs w:val="20"/>
        </w:rPr>
        <w:t>perspektivi“</w:t>
      </w:r>
      <w:r w:rsidRPr="00F563CD">
        <w:rPr>
          <w:rFonts w:asciiTheme="minorHAnsi" w:hAnsiTheme="minorHAnsi"/>
          <w:sz w:val="20"/>
          <w:szCs w:val="20"/>
        </w:rPr>
        <w:t xml:space="preserve"> sadrži</w:t>
      </w:r>
      <w:proofErr w:type="gramEnd"/>
      <w:r w:rsidRPr="00F563CD">
        <w:rPr>
          <w:rFonts w:asciiTheme="minorHAnsi" w:hAnsiTheme="minorHAnsi"/>
          <w:sz w:val="20"/>
          <w:szCs w:val="20"/>
        </w:rPr>
        <w:t>, između ostalog, aktivnosti u dimenziji „Zapošljavanje“, koja se bavi mobilnošću radne snage, upravljanjem tržištem rada i promocijom aktivnosti socijalne ekonomije kao glavnim prioritetima. Mobilnost radne snage se fokusira na razvijanje procesa regionalnih konsultacija o mobilnosti i ukidanje ograničenja tržišta rada u regionu, dok upravljanje tržištem rada daje prioritet pristupu „</w:t>
      </w:r>
      <w:proofErr w:type="gramStart"/>
      <w:r w:rsidRPr="00F563CD">
        <w:rPr>
          <w:rFonts w:asciiTheme="minorHAnsi" w:hAnsiTheme="minorHAnsi"/>
          <w:sz w:val="20"/>
          <w:szCs w:val="20"/>
        </w:rPr>
        <w:t>fleksigurnosti“ (</w:t>
      </w:r>
      <w:proofErr w:type="gramEnd"/>
      <w:r w:rsidRPr="00F563CD">
        <w:rPr>
          <w:rFonts w:asciiTheme="minorHAnsi" w:hAnsiTheme="minorHAnsi"/>
          <w:sz w:val="20"/>
          <w:szCs w:val="20"/>
        </w:rPr>
        <w:t xml:space="preserve">fleksibilnosti i sigurnosti), unapređenju i jačanju kapaciteta institucija tržišta rada i omogućavanju ljudima da steknu nove vještine za prilagođavanje novim uslovima, razvijajući programe za ugrožene grupe i suočavajući se sa neformalnim zapošljavanjem. Trenutno je u toku rad na pripremi strateškog dokumenta Savjeta za regionalnu saradnju (RCC) za period nakon 2020. godine. </w:t>
      </w:r>
    </w:p>
    <w:p w14:paraId="54B5602D"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sz w:val="20"/>
          <w:szCs w:val="20"/>
        </w:rPr>
        <w:t>Deklaraciju Zapadnog Balkana o osiguravanju održive integracije mladih ljudi na tržište rada</w:t>
      </w:r>
      <w:r w:rsidRPr="00F563CD">
        <w:rPr>
          <w:rFonts w:asciiTheme="minorHAnsi" w:eastAsia="Calibri" w:hAnsiTheme="minorHAnsi" w:cs="Calibri"/>
          <w:sz w:val="20"/>
          <w:szCs w:val="20"/>
        </w:rPr>
        <w:t xml:space="preserve"> su podržali ministri ekonomija Zapadnog Balkana prilikom drugog ministarskog sastanka EU-Zapadni Balkan o zapošljavanju i socijalnim pitanjima, koji je održan 8. jula 2021. godine u Sloveniji, a postavlja osnovu za uvođenje programa Garancija za mlade u Crnoj Gori po modelu EU Garancije za mlade. </w:t>
      </w:r>
    </w:p>
    <w:p w14:paraId="4D377CE8"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b/>
          <w:sz w:val="20"/>
          <w:szCs w:val="20"/>
        </w:rPr>
        <w:t>Ministarska deklaracija ministara rada i zapošljavanja Unije za Mediteran</w:t>
      </w:r>
      <w:r w:rsidRPr="00F563CD">
        <w:rPr>
          <w:rFonts w:asciiTheme="minorHAnsi" w:hAnsiTheme="minorHAnsi"/>
          <w:sz w:val="20"/>
          <w:szCs w:val="20"/>
        </w:rPr>
        <w:t xml:space="preserve">, od 3. aprila 2019. godine, podsjeća na važnost snažne političke opredijeljenosti za konsolidaciju euro-mediteranske regionalne saradnje, usvajanjem mape puta za djelovanje na temu „Mediteran na djelu: Mladi za stabilnost i </w:t>
      </w:r>
      <w:proofErr w:type="gramStart"/>
      <w:r w:rsidRPr="00F563CD">
        <w:rPr>
          <w:rFonts w:asciiTheme="minorHAnsi" w:hAnsiTheme="minorHAnsi"/>
          <w:sz w:val="20"/>
          <w:szCs w:val="20"/>
        </w:rPr>
        <w:t>razvoj“</w:t>
      </w:r>
      <w:proofErr w:type="gramEnd"/>
      <w:r w:rsidRPr="00F563CD">
        <w:rPr>
          <w:rFonts w:asciiTheme="minorHAnsi" w:hAnsiTheme="minorHAnsi"/>
          <w:sz w:val="20"/>
          <w:szCs w:val="20"/>
        </w:rPr>
        <w:t xml:space="preserve">. Nadalje, deklaracija ponavlja opredijeljenost za stvaranje uslova za integraciju načela jednakosti polova pri zapošljavanju i radu, istovremeno naglašavajući potrebu za rješavanjem izazova u skladu s obavezama Ujedinjenih nacija i Međunarodne organizacije rada prema održivom razvoju i promociji zapošljavanja i dostojanstvenog rada, uključujući tranziciju iz neformalne u formalnu ekonomiju. </w:t>
      </w:r>
    </w:p>
    <w:p w14:paraId="64BFB2F6" w14:textId="77777777" w:rsidR="00047EF8" w:rsidRPr="00F563CD" w:rsidRDefault="00047EF8" w:rsidP="00047EF8">
      <w:pPr>
        <w:spacing w:line="240" w:lineRule="auto"/>
        <w:jc w:val="both"/>
        <w:rPr>
          <w:rFonts w:asciiTheme="minorHAnsi" w:hAnsiTheme="minorHAnsi"/>
          <w:bCs/>
          <w:sz w:val="20"/>
          <w:szCs w:val="20"/>
        </w:rPr>
      </w:pPr>
      <w:r w:rsidRPr="00F563CD">
        <w:rPr>
          <w:rFonts w:asciiTheme="minorHAnsi" w:hAnsiTheme="minorHAnsi"/>
          <w:b/>
          <w:bCs/>
          <w:sz w:val="20"/>
          <w:szCs w:val="20"/>
        </w:rPr>
        <w:t>Strategija za Dunavski region (EUSDR)</w:t>
      </w:r>
      <w:r w:rsidRPr="00F563CD">
        <w:rPr>
          <w:rFonts w:asciiTheme="minorHAnsi" w:hAnsiTheme="minorHAnsi"/>
          <w:bCs/>
          <w:sz w:val="20"/>
          <w:szCs w:val="20"/>
        </w:rPr>
        <w:t xml:space="preserve"> navodi da je veći nivo zaposlenosti od ključnog značaja za oblast tržišta rada. Ljudima su potrebne prilike za zaposlenje u blizini mjesta gdje žive i potrebna im je mobilnost. Region treba da ponudi budućnost najpametnijima i najpreduzetljivijima kroz snažniju saradnju u pogledu politika, mjera i razmjene informacija. </w:t>
      </w:r>
    </w:p>
    <w:p w14:paraId="294169AD" w14:textId="77777777" w:rsidR="00047EF8" w:rsidRPr="00F563CD" w:rsidRDefault="00047EF8" w:rsidP="00047EF8">
      <w:pPr>
        <w:spacing w:line="240" w:lineRule="auto"/>
        <w:jc w:val="both"/>
        <w:rPr>
          <w:rFonts w:asciiTheme="minorHAnsi" w:eastAsia="Calibri" w:hAnsiTheme="minorHAnsi" w:cs="Calibri"/>
          <w:b/>
          <w:bCs/>
          <w:iCs/>
          <w:sz w:val="20"/>
          <w:szCs w:val="20"/>
          <w:u w:val="single"/>
        </w:rPr>
      </w:pPr>
      <w:r w:rsidRPr="00F563CD">
        <w:rPr>
          <w:rFonts w:asciiTheme="minorHAnsi" w:eastAsia="Calibri" w:hAnsiTheme="minorHAnsi" w:cs="Calibri"/>
          <w:b/>
          <w:bCs/>
          <w:iCs/>
          <w:sz w:val="20"/>
          <w:szCs w:val="20"/>
          <w:u w:val="single"/>
        </w:rPr>
        <w:t xml:space="preserve">Socijalne politike </w:t>
      </w:r>
    </w:p>
    <w:p w14:paraId="4D7FD150"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Predložene intervencije su u skladu sa </w:t>
      </w:r>
      <w:r w:rsidRPr="00F563CD">
        <w:rPr>
          <w:rFonts w:asciiTheme="minorHAnsi" w:eastAsia="Calibri" w:hAnsiTheme="minorHAnsi" w:cs="Calibri"/>
          <w:b/>
          <w:sz w:val="20"/>
          <w:szCs w:val="20"/>
        </w:rPr>
        <w:t>Zajedničkim zaključcima Ekonomskog i finansijskog dijaloga između EU i Zapadnog Balkana i Turske</w:t>
      </w:r>
      <w:r w:rsidRPr="00F563CD">
        <w:rPr>
          <w:rFonts w:asciiTheme="minorHAnsi" w:eastAsia="Calibri" w:hAnsiTheme="minorHAnsi" w:cs="Calibri"/>
          <w:sz w:val="20"/>
          <w:szCs w:val="20"/>
        </w:rPr>
        <w:t xml:space="preserve"> od 19. maja 2020. godine, u kojima se navodi da je „COVID-19 kriza takođe ukazala na potrebu revizije sistema socijalne zaštite sa ciljem poboljšanja njegove koordinacije sa aktivnim zapošljavanjem i unapređenja kapaciteta za smanjenje socijalne isključenosti i siromaštva. U svjetlu ove ocjene, Učesnici pozivaju Crnu Goru da: (...) Osigura adekvatnu dohodovnu podršku i socijalnu pomoć za nezaposlene, te za one koji su u riziku od siromaštva i socijalne </w:t>
      </w:r>
      <w:proofErr w:type="gramStart"/>
      <w:r w:rsidRPr="00F563CD">
        <w:rPr>
          <w:rFonts w:asciiTheme="minorHAnsi" w:eastAsia="Calibri" w:hAnsiTheme="minorHAnsi" w:cs="Calibri"/>
          <w:sz w:val="20"/>
          <w:szCs w:val="20"/>
        </w:rPr>
        <w:t>isključenosti“</w:t>
      </w:r>
      <w:proofErr w:type="gramEnd"/>
      <w:r w:rsidRPr="00F563CD">
        <w:rPr>
          <w:rFonts w:asciiTheme="minorHAnsi" w:eastAsia="Calibri" w:hAnsiTheme="minorHAnsi" w:cs="Calibri"/>
          <w:sz w:val="20"/>
          <w:szCs w:val="20"/>
        </w:rPr>
        <w:t xml:space="preserve">. Ova akcija će podržati Vladu Crne Gore da, kroz izradu nove nacionalne strategije socijalne zaštite kao i lokalnih planova socijalne i dječije zaštite, stvori adekvatnu dohodovnu i socijalnu pomoć za nezaposlene i za one koji su u riziku od siromaštva i socijalne isključenosti, a sve u skladu sa okvirom politike iz Stuba EU za socijalna prava. </w:t>
      </w:r>
    </w:p>
    <w:p w14:paraId="3B8DBE22"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b/>
          <w:sz w:val="20"/>
          <w:szCs w:val="20"/>
        </w:rPr>
        <w:t>Konvencija o pravima osoba sa invaliditetom</w:t>
      </w:r>
      <w:r w:rsidRPr="00F563CD">
        <w:rPr>
          <w:rFonts w:asciiTheme="minorHAnsi" w:hAnsiTheme="minorHAnsi"/>
          <w:sz w:val="20"/>
          <w:szCs w:val="20"/>
        </w:rPr>
        <w:t xml:space="preserve">, a samim tim i Crna Gora koja je ratifikovala Konvenciju, priznaje jednako pravo svim osobama sa invaliditetom da žive u zajednici, sa izborima jednakim izborima drugih, te predviđa da će se preduzeti djelotvorne i odgovarajuće mjere kako bi se osobama sa invaliditetom omogućilo puno uživanje ovog prava i njihovo puno uključivanje i učešće u zajednici. Predložene intervencije podržavaju implementaciju Konvencije kroz podršku procesu deinstitucionalizacije, čime se osigurava puno uključivanje i učešće osoba sa invaliditetom u zajednici. </w:t>
      </w:r>
    </w:p>
    <w:p w14:paraId="47C3F08C"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b/>
          <w:sz w:val="20"/>
          <w:szCs w:val="20"/>
        </w:rPr>
        <w:t>Rezolucija 1642 (2009) Parlamentarne skupštine Savjeta Evrope</w:t>
      </w:r>
      <w:r w:rsidRPr="00F563CD">
        <w:rPr>
          <w:rFonts w:asciiTheme="minorHAnsi" w:hAnsiTheme="minorHAnsi"/>
          <w:sz w:val="20"/>
          <w:szCs w:val="20"/>
        </w:rPr>
        <w:t xml:space="preserve"> </w:t>
      </w:r>
      <w:r w:rsidRPr="00F563CD">
        <w:rPr>
          <w:rFonts w:asciiTheme="minorHAnsi" w:hAnsiTheme="minorHAnsi"/>
          <w:i/>
          <w:sz w:val="20"/>
          <w:szCs w:val="20"/>
        </w:rPr>
        <w:t>o pristupu osoba s invaliditetom pravima i njihovom punom i aktivnom učešću u društvu</w:t>
      </w:r>
      <w:r w:rsidRPr="00F563CD">
        <w:rPr>
          <w:rFonts w:asciiTheme="minorHAnsi" w:hAnsiTheme="minorHAnsi"/>
          <w:sz w:val="20"/>
          <w:szCs w:val="20"/>
        </w:rPr>
        <w:t xml:space="preserve"> poziva države članice da se „obavežu na proces deinstitucionalizacije, reorganizacijom usluga i preraspodjelom sredstava sa specijalizovanih institucija na usluge u </w:t>
      </w:r>
      <w:proofErr w:type="gramStart"/>
      <w:r w:rsidRPr="00F563CD">
        <w:rPr>
          <w:rFonts w:asciiTheme="minorHAnsi" w:hAnsiTheme="minorHAnsi"/>
          <w:sz w:val="20"/>
          <w:szCs w:val="20"/>
        </w:rPr>
        <w:t>zajednici“</w:t>
      </w:r>
      <w:proofErr w:type="gramEnd"/>
      <w:r w:rsidRPr="00F563CD">
        <w:rPr>
          <w:rFonts w:asciiTheme="minorHAnsi" w:hAnsiTheme="minorHAnsi"/>
          <w:sz w:val="20"/>
          <w:szCs w:val="20"/>
        </w:rPr>
        <w:t xml:space="preserve">. Predložena akcija će direktno podržati implementaciju Rezolucije u Crnoj Gori, kroz razvoj usluga u zajednici i jačanje procesa deinstitucionalizacije. Predložena intervencija će direktno finansirati proces deinstitucionalizacije kroz grant šemu za razvoj socijalnih usluga u zajednici, ali će takođe podržati unapređenje politike i održivih rješenja u transformaciji rezidencijalnih institucija. </w:t>
      </w:r>
    </w:p>
    <w:p w14:paraId="42F00EAA"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Na globalnom nivou, Agenda za održivi razvoj 2030 predstavlja krovnu strategiju za postizanje održivije budućnosti planete i iskorjenjivanje siromaštva, i u potpunosti je inkorporirana u okvir politike EU. Kako je istaknuto u programskom okviru za </w:t>
      </w:r>
      <w:r w:rsidRPr="00F563CD">
        <w:rPr>
          <w:rFonts w:asciiTheme="minorHAnsi" w:hAnsiTheme="minorHAnsi"/>
          <w:sz w:val="20"/>
          <w:szCs w:val="20"/>
        </w:rPr>
        <w:lastRenderedPageBreak/>
        <w:t xml:space="preserve">IPA III, „Ciljevi održivog razvoja (SDG) za korisnike predstavljaju i direktnu obavezu preuzetu na multilateralnom nivou i dodatni zahtjev za približavanje okviru politike EU u procesu </w:t>
      </w:r>
      <w:proofErr w:type="gramStart"/>
      <w:r w:rsidRPr="00F563CD">
        <w:rPr>
          <w:rFonts w:asciiTheme="minorHAnsi" w:hAnsiTheme="minorHAnsi"/>
          <w:sz w:val="20"/>
          <w:szCs w:val="20"/>
        </w:rPr>
        <w:t>pristupanja“</w:t>
      </w:r>
      <w:proofErr w:type="gramEnd"/>
      <w:r w:rsidRPr="00F563CD">
        <w:rPr>
          <w:rFonts w:asciiTheme="minorHAnsi" w:hAnsiTheme="minorHAnsi"/>
          <w:sz w:val="20"/>
          <w:szCs w:val="20"/>
        </w:rPr>
        <w:t xml:space="preserve">. </w:t>
      </w:r>
    </w:p>
    <w:p w14:paraId="0E6F6781"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Predložene intervencije će</w:t>
      </w:r>
      <w:r w:rsidR="0072283E" w:rsidRPr="00F563CD">
        <w:rPr>
          <w:rFonts w:asciiTheme="minorHAnsi" w:hAnsiTheme="minorHAnsi"/>
          <w:sz w:val="20"/>
          <w:szCs w:val="20"/>
        </w:rPr>
        <w:t xml:space="preserve"> biti</w:t>
      </w:r>
      <w:r w:rsidRPr="00F563CD">
        <w:rPr>
          <w:rFonts w:asciiTheme="minorHAnsi" w:hAnsiTheme="minorHAnsi"/>
          <w:sz w:val="20"/>
          <w:szCs w:val="20"/>
        </w:rPr>
        <w:t xml:space="preserve"> direktn</w:t>
      </w:r>
      <w:r w:rsidR="0072283E" w:rsidRPr="00F563CD">
        <w:rPr>
          <w:rFonts w:asciiTheme="minorHAnsi" w:hAnsiTheme="minorHAnsi"/>
          <w:sz w:val="20"/>
          <w:szCs w:val="20"/>
        </w:rPr>
        <w:t xml:space="preserve">a </w:t>
      </w:r>
      <w:r w:rsidRPr="00F563CD">
        <w:rPr>
          <w:rFonts w:asciiTheme="minorHAnsi" w:hAnsiTheme="minorHAnsi"/>
          <w:sz w:val="20"/>
          <w:szCs w:val="20"/>
        </w:rPr>
        <w:t>podr</w:t>
      </w:r>
      <w:r w:rsidR="0072283E" w:rsidRPr="00F563CD">
        <w:rPr>
          <w:rFonts w:asciiTheme="minorHAnsi" w:hAnsiTheme="minorHAnsi"/>
          <w:sz w:val="20"/>
          <w:szCs w:val="20"/>
        </w:rPr>
        <w:t>ška Crnoj Gori</w:t>
      </w:r>
      <w:r w:rsidRPr="00F563CD">
        <w:rPr>
          <w:rFonts w:asciiTheme="minorHAnsi" w:hAnsiTheme="minorHAnsi"/>
          <w:sz w:val="20"/>
          <w:szCs w:val="20"/>
        </w:rPr>
        <w:t xml:space="preserve"> u aktivnostima na </w:t>
      </w:r>
      <w:r w:rsidRPr="00F563CD">
        <w:rPr>
          <w:rFonts w:asciiTheme="minorHAnsi" w:hAnsiTheme="minorHAnsi"/>
          <w:b/>
          <w:sz w:val="20"/>
          <w:szCs w:val="20"/>
        </w:rPr>
        <w:t>implementaciji Ciljeva održivog razvoja</w:t>
      </w:r>
      <w:r w:rsidRPr="00F563CD">
        <w:rPr>
          <w:rFonts w:asciiTheme="minorHAnsi" w:hAnsiTheme="minorHAnsi"/>
          <w:sz w:val="20"/>
          <w:szCs w:val="20"/>
        </w:rPr>
        <w:t xml:space="preserve">. Ovo se konkretno odnosi na stvaranje dobrog političkog okvira zasnovanog na razvojnim i rodno osjetljivim strategijama za siromašne, koje imaju za cilj da podrže ubrzano ulaganje u akcije iskorjenjivanja siromaštva (SDG 1, cilj 1.b) i doprinesu smanjenju, barem za polovinu, udjela muškaraca, žene i djece svih uzrasta koji žive u siromaštvu u svim njegovim dimenzijama prema nacionalnim definicijama, do 2030. godine (SDG 1, cilj 1.2). Crna Gora je potpisnica Agende za održivi razvoj 2030, koja sadrži 17 ciljeva, 169 potciljeva i 228 globalnih indikatora održivog razvoja. Prilikom prilagođavanja i nacionalizacije Univerzalne agende i Ciljeva održivog razvoja, važno je uzeti u obzir principe koji su ugrađeni u ovu agendu, odnosno: 1) da ciljeve održivog razvoja treba razvijati i implementirati na uravnotežen način u svim dimenzijama održivog razvoja – ekonomskoj, društvenoj i ekološkoj; 2) da se mora uzeti u obzir princip da „niko ne smije biti </w:t>
      </w:r>
      <w:proofErr w:type="gramStart"/>
      <w:r w:rsidRPr="00F563CD">
        <w:rPr>
          <w:rFonts w:asciiTheme="minorHAnsi" w:hAnsiTheme="minorHAnsi"/>
          <w:sz w:val="20"/>
          <w:szCs w:val="20"/>
        </w:rPr>
        <w:t>izostavljen“ (</w:t>
      </w:r>
      <w:proofErr w:type="gramEnd"/>
      <w:r w:rsidRPr="00F563CD">
        <w:rPr>
          <w:rFonts w:asciiTheme="minorHAnsi" w:hAnsiTheme="minorHAnsi"/>
          <w:i/>
          <w:sz w:val="20"/>
          <w:szCs w:val="20"/>
        </w:rPr>
        <w:t>no one is left behind</w:t>
      </w:r>
      <w:r w:rsidRPr="00F563CD">
        <w:rPr>
          <w:rFonts w:asciiTheme="minorHAnsi" w:hAnsiTheme="minorHAnsi"/>
          <w:sz w:val="20"/>
          <w:szCs w:val="20"/>
        </w:rPr>
        <w:t xml:space="preserve">). Ovaj princip je temelj Agende 2030 i podrazumijeva da nijedan cilj ne treba ostvariti ukoliko ne služi svim građanima. </w:t>
      </w:r>
    </w:p>
    <w:p w14:paraId="62E267E0" w14:textId="77777777" w:rsidR="00047EF8" w:rsidRPr="00F563CD" w:rsidRDefault="00047EF8" w:rsidP="00047EF8">
      <w:pPr>
        <w:spacing w:line="240" w:lineRule="auto"/>
        <w:jc w:val="both"/>
        <w:rPr>
          <w:rFonts w:asciiTheme="minorHAnsi" w:eastAsia="Calibri" w:hAnsiTheme="minorHAnsi" w:cs="Calibri"/>
          <w:bCs/>
          <w:sz w:val="20"/>
          <w:szCs w:val="20"/>
        </w:rPr>
      </w:pPr>
      <w:r w:rsidRPr="00F563CD">
        <w:rPr>
          <w:rFonts w:asciiTheme="minorHAnsi" w:eastAsia="Calibri" w:hAnsiTheme="minorHAnsi" w:cs="Calibri"/>
          <w:b/>
          <w:bCs/>
          <w:sz w:val="20"/>
          <w:szCs w:val="20"/>
        </w:rPr>
        <w:t>Okvir UN-a za razvojnu pomoć (UNDAF) 2017-2021 za Crnu Goru</w:t>
      </w:r>
      <w:r w:rsidRPr="00F563CD">
        <w:rPr>
          <w:rFonts w:asciiTheme="minorHAnsi" w:eastAsia="Calibri" w:hAnsiTheme="minorHAnsi" w:cs="Calibri"/>
          <w:bCs/>
          <w:sz w:val="20"/>
          <w:szCs w:val="20"/>
        </w:rPr>
        <w:t xml:space="preserve"> napominje da „u cilju obezbjeđivanja održivog i potpuno funkcionalnog sistema socijalne i dječije zaštite, reformu centara za socijalni rad – ustanova socijalne zaštite, proširenje usluga licenciranih pružalaca usluga, jačanje kapaciteta Zavoda za socijalnu i dječiju zaštitu, itd. – treba nastaviti istim tempom i </w:t>
      </w:r>
      <w:proofErr w:type="gramStart"/>
      <w:r w:rsidRPr="00F563CD">
        <w:rPr>
          <w:rFonts w:asciiTheme="minorHAnsi" w:eastAsia="Calibri" w:hAnsiTheme="minorHAnsi" w:cs="Calibri"/>
          <w:bCs/>
          <w:sz w:val="20"/>
          <w:szCs w:val="20"/>
        </w:rPr>
        <w:t>intenzitetom“</w:t>
      </w:r>
      <w:proofErr w:type="gramEnd"/>
      <w:r w:rsidRPr="00F563CD">
        <w:rPr>
          <w:rFonts w:asciiTheme="minorHAnsi" w:eastAsia="Calibri" w:hAnsiTheme="minorHAnsi" w:cs="Calibri"/>
          <w:bCs/>
          <w:sz w:val="20"/>
          <w:szCs w:val="20"/>
        </w:rPr>
        <w:t xml:space="preserve">. UNDAF 2017-2021 takođe dijagnostikuje da je „neodrživo finansiranje porodičnih i usluga zajednice na lokalnom i nacionalnom </w:t>
      </w:r>
      <w:proofErr w:type="gramStart"/>
      <w:r w:rsidRPr="00F563CD">
        <w:rPr>
          <w:rFonts w:asciiTheme="minorHAnsi" w:eastAsia="Calibri" w:hAnsiTheme="minorHAnsi" w:cs="Calibri"/>
          <w:bCs/>
          <w:sz w:val="20"/>
          <w:szCs w:val="20"/>
        </w:rPr>
        <w:t>nivou“ i</w:t>
      </w:r>
      <w:proofErr w:type="gramEnd"/>
      <w:r w:rsidRPr="00F563CD">
        <w:rPr>
          <w:rFonts w:asciiTheme="minorHAnsi" w:eastAsia="Calibri" w:hAnsiTheme="minorHAnsi" w:cs="Calibri"/>
          <w:bCs/>
          <w:sz w:val="20"/>
          <w:szCs w:val="20"/>
        </w:rPr>
        <w:t xml:space="preserve"> napominje da „odgovornosti za finansiranje socijalnih usluga nijesu jasno definisane zakonom“. Predložene intervencije direktno realizuju ciljeve i preporuke definisane UNDAF-om, jer će ojačati rad centara za socijalni rad, Zavoda za socijalnu i dječiju zaštitu i drugih relevantnih institucija zaduženih da obezbijede djelotvorno i efikasno sprovođenje reformi socijalne zaštite. </w:t>
      </w:r>
    </w:p>
    <w:p w14:paraId="22B7D611"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Komisija je 2021. godine usvojila </w:t>
      </w:r>
      <w:r w:rsidRPr="00F563CD">
        <w:rPr>
          <w:rFonts w:asciiTheme="minorHAnsi" w:hAnsiTheme="minorHAnsi"/>
          <w:b/>
          <w:sz w:val="20"/>
          <w:szCs w:val="20"/>
        </w:rPr>
        <w:t>Strategiju EU o pravima djeteta</w:t>
      </w:r>
      <w:r w:rsidRPr="00F563CD">
        <w:rPr>
          <w:rFonts w:asciiTheme="minorHAnsi" w:hAnsiTheme="minorHAnsi"/>
          <w:sz w:val="20"/>
          <w:szCs w:val="20"/>
        </w:rPr>
        <w:t xml:space="preserve"> i </w:t>
      </w:r>
      <w:r w:rsidRPr="00F563CD">
        <w:rPr>
          <w:rFonts w:asciiTheme="minorHAnsi" w:hAnsiTheme="minorHAnsi"/>
          <w:b/>
          <w:sz w:val="20"/>
          <w:szCs w:val="20"/>
        </w:rPr>
        <w:t>Evropsku garanciju za djecu</w:t>
      </w:r>
      <w:r w:rsidRPr="00F563CD">
        <w:rPr>
          <w:rFonts w:asciiTheme="minorHAnsi" w:hAnsiTheme="minorHAnsi"/>
          <w:sz w:val="20"/>
          <w:szCs w:val="20"/>
        </w:rPr>
        <w:t xml:space="preserve">, kao novi sveobuhvatni okvir politike EU kojim se osigurava zaštita prava sve djece a ugroženoj djeci obezbjeđuje siguran pristup osnovnim uslugama. Jedna od tematskih oblasti pomenute Strategije EU je socio-ekonomska inkluzija, zdravlje i obrazovanje. U tom kontekstu, akcije EU za borbu protiv siromaštva, promovisanje inkluzivnih društava koja su prilagođena djeci, zdravstveni i obrazovni sistemi, između ostalog, podrazumijevaju uspostavljanje </w:t>
      </w:r>
      <w:r w:rsidRPr="00F563CD">
        <w:rPr>
          <w:rFonts w:asciiTheme="minorHAnsi" w:hAnsiTheme="minorHAnsi"/>
          <w:b/>
          <w:sz w:val="20"/>
          <w:szCs w:val="20"/>
        </w:rPr>
        <w:t>Evropske garancije za djecu</w:t>
      </w:r>
      <w:r w:rsidRPr="00F563CD">
        <w:rPr>
          <w:rFonts w:asciiTheme="minorHAnsi" w:hAnsiTheme="minorHAnsi"/>
          <w:sz w:val="20"/>
          <w:szCs w:val="20"/>
        </w:rPr>
        <w:t xml:space="preserve">. S obzirom na to da se njome sprovodi u djelo 11. načelo Evropskog stuba socijalnih prava o „brizi za djecu i podršci djeci”, Garancija predstavlja ključni rezultat Akcionog plana za Evropski stub socijalnih prava, koji postavlja konkretne inicijative za pretvaranje Evropskog stuba socijalnih prava u stvarnost. </w:t>
      </w:r>
    </w:p>
    <w:p w14:paraId="019C0DEA" w14:textId="77777777" w:rsidR="00047EF8" w:rsidRPr="00F563CD" w:rsidRDefault="00047EF8" w:rsidP="00047EF8">
      <w:pPr>
        <w:spacing w:line="240" w:lineRule="auto"/>
        <w:jc w:val="both"/>
        <w:rPr>
          <w:rFonts w:asciiTheme="minorHAnsi" w:eastAsia="Calibri" w:hAnsiTheme="minorHAnsi" w:cs="Calibri"/>
          <w:b/>
          <w:bCs/>
          <w:iCs/>
          <w:sz w:val="20"/>
          <w:szCs w:val="20"/>
          <w:u w:val="single"/>
        </w:rPr>
      </w:pPr>
      <w:r w:rsidRPr="00F563CD">
        <w:rPr>
          <w:rFonts w:asciiTheme="minorHAnsi" w:eastAsia="Calibri" w:hAnsiTheme="minorHAnsi" w:cs="Calibri"/>
          <w:b/>
          <w:bCs/>
          <w:iCs/>
          <w:sz w:val="20"/>
          <w:szCs w:val="20"/>
          <w:u w:val="single"/>
        </w:rPr>
        <w:t xml:space="preserve">Zdravlje </w:t>
      </w:r>
    </w:p>
    <w:p w14:paraId="5ACE8546" w14:textId="77777777" w:rsidR="00047EF8" w:rsidRPr="00F563CD" w:rsidRDefault="00047EF8" w:rsidP="00047EF8">
      <w:pPr>
        <w:spacing w:line="240" w:lineRule="auto"/>
        <w:jc w:val="both"/>
        <w:rPr>
          <w:rFonts w:asciiTheme="minorHAnsi" w:eastAsia="Calibri" w:hAnsiTheme="minorHAnsi" w:cs="Calibri"/>
          <w:bCs/>
          <w:sz w:val="20"/>
          <w:szCs w:val="20"/>
        </w:rPr>
      </w:pPr>
      <w:r w:rsidRPr="00F563CD">
        <w:rPr>
          <w:rFonts w:asciiTheme="minorHAnsi" w:hAnsiTheme="minorHAnsi"/>
          <w:b/>
          <w:sz w:val="20"/>
          <w:szCs w:val="20"/>
        </w:rPr>
        <w:t xml:space="preserve">Regionalna strategija „Jugoistočna Evropa 2020 – Poslovi i prosperitet u evropskoj </w:t>
      </w:r>
      <w:proofErr w:type="gramStart"/>
      <w:r w:rsidRPr="00F563CD">
        <w:rPr>
          <w:rFonts w:asciiTheme="minorHAnsi" w:hAnsiTheme="minorHAnsi"/>
          <w:b/>
          <w:sz w:val="20"/>
          <w:szCs w:val="20"/>
        </w:rPr>
        <w:t>perspektivi“</w:t>
      </w:r>
      <w:r w:rsidRPr="00F563CD">
        <w:rPr>
          <w:rFonts w:asciiTheme="minorHAnsi" w:hAnsiTheme="minorHAnsi"/>
          <w:sz w:val="20"/>
          <w:szCs w:val="20"/>
        </w:rPr>
        <w:t xml:space="preserve"> sadr</w:t>
      </w:r>
      <w:r w:rsidRPr="00F563CD">
        <w:rPr>
          <w:rFonts w:asciiTheme="minorHAnsi" w:eastAsia="Calibri" w:hAnsiTheme="minorHAnsi" w:cs="Calibri"/>
          <w:bCs/>
          <w:sz w:val="20"/>
          <w:szCs w:val="20"/>
        </w:rPr>
        <w:t>ži</w:t>
      </w:r>
      <w:proofErr w:type="gramEnd"/>
      <w:r w:rsidRPr="00F563CD">
        <w:rPr>
          <w:rFonts w:asciiTheme="minorHAnsi" w:eastAsia="Calibri" w:hAnsiTheme="minorHAnsi" w:cs="Calibri"/>
          <w:bCs/>
          <w:sz w:val="20"/>
          <w:szCs w:val="20"/>
        </w:rPr>
        <w:t xml:space="preserve"> dimenziju „Zdravlje“ i Crna Gora će se uključiti u ključne strateške akcije koje se odnose na univerzalne usluge promocije zdravlja, fokusirajući se na ugrožene grupe stanovništva, multi-sektorsku promociju zdravlja, prekograničnu saradnju u javnom zdravlju i izgradnju ljudskih resursa u zdravstvenom sektoru. </w:t>
      </w:r>
    </w:p>
    <w:p w14:paraId="3FDBC245"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sz w:val="20"/>
          <w:szCs w:val="20"/>
        </w:rPr>
        <w:t>Akcioni plan za prevenciju i kontrolu nezaraznih bolesti u SZO regionu Evrope 2016-2025</w:t>
      </w:r>
      <w:r w:rsidRPr="00F563CD">
        <w:rPr>
          <w:rFonts w:asciiTheme="minorHAnsi" w:eastAsia="Calibri" w:hAnsiTheme="minorHAnsi" w:cs="Calibri"/>
          <w:sz w:val="20"/>
          <w:szCs w:val="20"/>
        </w:rPr>
        <w:t xml:space="preserve"> pokazuje da su dvije trećine preranih smrtnih slučajeva u regionu uzrokovane četirima glavnim nezaraznim bolestima (kardiovaskularne bolesti, dijabetes, karcinom i hronične respiratorne bolesti), a rješavanjem glavnih faktora rizika (kao što su upotreba duvana i alkohola, nezdrava ishrana, fizička neaktivnost, hipertenzija, gojaznost i ekološki faktori) moglo bi se spriječiti najmanje 80% svih srčanih bolesti, moždanih udara i dijabetesa i 40% karcinoma. U Evropi, neki od vodećih uzroka života provedenog s invaliditetom (kao što su mišićno-koštani poremećaji, mentalni poremećaji i demencija, povrede i oralne bolesti) imaju mnogo zajedničkih faktora rizika i osnovnih determinanti sa glavnim nezaraznim bolestima. </w:t>
      </w:r>
    </w:p>
    <w:p w14:paraId="6CB8AF53" w14:textId="77777777" w:rsidR="00047EF8" w:rsidRPr="00F563CD" w:rsidRDefault="00047EF8" w:rsidP="00047EF8">
      <w:pPr>
        <w:spacing w:line="240" w:lineRule="auto"/>
        <w:jc w:val="both"/>
        <w:rPr>
          <w:rFonts w:asciiTheme="minorHAnsi" w:hAnsiTheme="minorHAnsi"/>
          <w:b/>
          <w:bCs/>
          <w:sz w:val="20"/>
          <w:szCs w:val="20"/>
        </w:rPr>
      </w:pPr>
      <w:r w:rsidRPr="00F563CD">
        <w:rPr>
          <w:rFonts w:asciiTheme="minorHAnsi" w:eastAsia="Calibri" w:hAnsiTheme="minorHAnsi" w:cs="Calibri"/>
          <w:b/>
          <w:bCs/>
          <w:i/>
          <w:iCs/>
          <w:sz w:val="20"/>
          <w:szCs w:val="20"/>
        </w:rPr>
        <w:t xml:space="preserve">Tematski prioritet 2: Razvoj privatnog sektora, trgovina, istraživanje i inovacije </w:t>
      </w:r>
    </w:p>
    <w:p w14:paraId="042AF054" w14:textId="77777777" w:rsidR="00047EF8" w:rsidRPr="00F563CD" w:rsidRDefault="00047EF8" w:rsidP="00047EF8">
      <w:pPr>
        <w:spacing w:line="240" w:lineRule="auto"/>
        <w:jc w:val="both"/>
        <w:rPr>
          <w:rFonts w:asciiTheme="minorHAnsi" w:hAnsiTheme="minorHAnsi" w:cs="Calibri"/>
          <w:sz w:val="20"/>
          <w:szCs w:val="20"/>
        </w:rPr>
      </w:pPr>
      <w:r w:rsidRPr="00F563CD">
        <w:rPr>
          <w:rFonts w:asciiTheme="minorHAnsi" w:hAnsiTheme="minorHAnsi" w:cs="Calibri"/>
          <w:sz w:val="20"/>
          <w:szCs w:val="20"/>
        </w:rPr>
        <w:t xml:space="preserve">Crnogorski nacionalni strateški okvir u oblasti konkurentnosti i inovacija je u velikoj mjeri usklađen sa zahtjevima EU. S obzirom na snažnu namjeru Vlade Crne Gore da svoje razvojne politike uskladi sa politikama na nivou EU i JIE, biće praćeni i analizirani razvoj politike i ključni ciljevi EU u novom programskom periodu, uključujući i makro-regionalne politike, Strategiju JIE i Zapadnobalkansku regionalnu strategiju istraživanja i razvoja za inovacije. </w:t>
      </w:r>
    </w:p>
    <w:p w14:paraId="7E526CA7" w14:textId="77777777" w:rsidR="00047EF8" w:rsidRPr="00F563CD" w:rsidRDefault="00047EF8" w:rsidP="00047EF8">
      <w:pPr>
        <w:spacing w:line="240" w:lineRule="auto"/>
        <w:jc w:val="both"/>
        <w:rPr>
          <w:rFonts w:asciiTheme="minorHAnsi" w:hAnsiTheme="minorHAnsi"/>
          <w:iCs/>
          <w:sz w:val="20"/>
          <w:szCs w:val="20"/>
        </w:rPr>
      </w:pPr>
      <w:r w:rsidRPr="00F563CD">
        <w:rPr>
          <w:rFonts w:asciiTheme="minorHAnsi" w:hAnsiTheme="minorHAnsi"/>
          <w:iCs/>
          <w:sz w:val="20"/>
          <w:szCs w:val="20"/>
        </w:rPr>
        <w:t xml:space="preserve">Nacionalne strategije kombinuju intervencije koje treba da ubrzaju doprinos Crne Gore 8. cilju održivog razvoja „Promovisanje održanog, inkluzivnog i održivog ekonomskog rasta, pune i produktivne zaposlenosti i dostojanstvenog rada za </w:t>
      </w:r>
      <w:proofErr w:type="gramStart"/>
      <w:r w:rsidRPr="00F563CD">
        <w:rPr>
          <w:rFonts w:asciiTheme="minorHAnsi" w:hAnsiTheme="minorHAnsi"/>
          <w:iCs/>
          <w:sz w:val="20"/>
          <w:szCs w:val="20"/>
        </w:rPr>
        <w:t>sve“</w:t>
      </w:r>
      <w:proofErr w:type="gramEnd"/>
      <w:r w:rsidRPr="00F563CD">
        <w:rPr>
          <w:rFonts w:asciiTheme="minorHAnsi" w:hAnsiTheme="minorHAnsi"/>
          <w:iCs/>
          <w:sz w:val="20"/>
          <w:szCs w:val="20"/>
        </w:rPr>
        <w:t xml:space="preserve">, zatim 9. cilju „Promovisanje održive </w:t>
      </w:r>
      <w:proofErr w:type="gramStart"/>
      <w:r w:rsidRPr="00F563CD">
        <w:rPr>
          <w:rFonts w:asciiTheme="minorHAnsi" w:hAnsiTheme="minorHAnsi"/>
          <w:iCs/>
          <w:sz w:val="20"/>
          <w:szCs w:val="20"/>
        </w:rPr>
        <w:t>industrijalizacije“ i</w:t>
      </w:r>
      <w:proofErr w:type="gramEnd"/>
      <w:r w:rsidRPr="00F563CD">
        <w:rPr>
          <w:rFonts w:asciiTheme="minorHAnsi" w:hAnsiTheme="minorHAnsi"/>
          <w:iCs/>
          <w:sz w:val="20"/>
          <w:szCs w:val="20"/>
        </w:rPr>
        <w:t xml:space="preserve"> 11. cilju „Inkluzivni, bezbjedni, otporni i održivi gradovi i </w:t>
      </w:r>
      <w:proofErr w:type="gramStart"/>
      <w:r w:rsidRPr="00F563CD">
        <w:rPr>
          <w:rFonts w:asciiTheme="minorHAnsi" w:hAnsiTheme="minorHAnsi"/>
          <w:iCs/>
          <w:sz w:val="20"/>
          <w:szCs w:val="20"/>
        </w:rPr>
        <w:t>naselja“</w:t>
      </w:r>
      <w:proofErr w:type="gramEnd"/>
      <w:r w:rsidRPr="00F563CD">
        <w:rPr>
          <w:rFonts w:asciiTheme="minorHAnsi" w:hAnsiTheme="minorHAnsi"/>
          <w:iCs/>
          <w:sz w:val="20"/>
          <w:szCs w:val="20"/>
        </w:rPr>
        <w:t xml:space="preserve">. </w:t>
      </w:r>
    </w:p>
    <w:p w14:paraId="3B1F2DF7" w14:textId="77777777" w:rsidR="00047EF8" w:rsidRPr="00F563CD" w:rsidRDefault="00047EF8" w:rsidP="00047EF8">
      <w:pPr>
        <w:spacing w:line="240" w:lineRule="auto"/>
        <w:jc w:val="both"/>
        <w:rPr>
          <w:rFonts w:asciiTheme="minorHAnsi" w:hAnsiTheme="minorHAnsi"/>
          <w:iCs/>
          <w:sz w:val="20"/>
          <w:szCs w:val="20"/>
        </w:rPr>
      </w:pPr>
      <w:r w:rsidRPr="00F563CD">
        <w:rPr>
          <w:rFonts w:asciiTheme="minorHAnsi" w:hAnsiTheme="minorHAnsi"/>
          <w:iCs/>
          <w:sz w:val="20"/>
          <w:szCs w:val="20"/>
        </w:rPr>
        <w:lastRenderedPageBreak/>
        <w:t xml:space="preserve">Program ostvarivanja principa „Otvorena </w:t>
      </w:r>
      <w:proofErr w:type="gramStart"/>
      <w:r w:rsidRPr="00F563CD">
        <w:rPr>
          <w:rFonts w:asciiTheme="minorHAnsi" w:hAnsiTheme="minorHAnsi"/>
          <w:iCs/>
          <w:sz w:val="20"/>
          <w:szCs w:val="20"/>
        </w:rPr>
        <w:t>nauka“ u</w:t>
      </w:r>
      <w:proofErr w:type="gramEnd"/>
      <w:r w:rsidRPr="00F563CD">
        <w:rPr>
          <w:rFonts w:asciiTheme="minorHAnsi" w:hAnsiTheme="minorHAnsi"/>
          <w:iCs/>
          <w:sz w:val="20"/>
          <w:szCs w:val="20"/>
        </w:rPr>
        <w:t xml:space="preserve"> Crnoj Gori direktno implementira preporuke UNESCO-a o otvorenoj nauci i Protokol Savjeta za regionalnu saradnju o otvorenom pristupu istraživačkoj infrastrukturi na Zapadnom Balkanu, sa ciljem da promoviše i omogući nesmetan pristup istraživačkim infrastrukturama radi unapređenja inovativnog istraživanja i razvoja, te poboljšanja srodnih metoda i vještina radne snage ​​kroz unaprijeđenu regionalnu saradnju između istraživača. </w:t>
      </w:r>
    </w:p>
    <w:p w14:paraId="36333AC4" w14:textId="77777777" w:rsidR="00047EF8" w:rsidRPr="00F563CD" w:rsidRDefault="00047EF8" w:rsidP="00047EF8">
      <w:pPr>
        <w:spacing w:line="240" w:lineRule="auto"/>
        <w:jc w:val="both"/>
        <w:rPr>
          <w:rFonts w:asciiTheme="minorHAnsi" w:hAnsiTheme="minorHAnsi"/>
          <w:iCs/>
          <w:sz w:val="20"/>
          <w:szCs w:val="20"/>
        </w:rPr>
      </w:pPr>
      <w:r w:rsidRPr="00F563CD">
        <w:rPr>
          <w:rFonts w:asciiTheme="minorHAnsi" w:hAnsiTheme="minorHAnsi"/>
          <w:iCs/>
          <w:sz w:val="20"/>
          <w:szCs w:val="20"/>
        </w:rPr>
        <w:t xml:space="preserve">Ciljevi Strategije pametne specijalizacije i Strategije naučno-istraživačke djelatnosti podržavaju održivi ekonomski rast (8.1), preduzetništvo (8.3), tehnološko unapređenje i inovacije (8.2), efikasnosti resursa u proizvodnji i potrošnji (8.4), održivu industrijalizaciju (9.2), lance vrijednosti i kreditnu politiku (9.3), i naučno istraživanje za održivi industrijski razvoj (9.5). </w:t>
      </w:r>
    </w:p>
    <w:p w14:paraId="66624977" w14:textId="77777777" w:rsidR="00047EF8" w:rsidRPr="00F563CD" w:rsidRDefault="00047EF8" w:rsidP="00047EF8">
      <w:pPr>
        <w:spacing w:line="240" w:lineRule="auto"/>
        <w:jc w:val="both"/>
        <w:rPr>
          <w:rFonts w:asciiTheme="minorHAnsi" w:hAnsiTheme="minorHAnsi"/>
          <w:bCs/>
          <w:iCs/>
          <w:sz w:val="20"/>
          <w:szCs w:val="20"/>
        </w:rPr>
      </w:pPr>
      <w:r w:rsidRPr="00F563CD">
        <w:rPr>
          <w:rFonts w:asciiTheme="minorHAnsi" w:hAnsiTheme="minorHAnsi"/>
          <w:bCs/>
          <w:iCs/>
          <w:sz w:val="20"/>
          <w:szCs w:val="20"/>
        </w:rPr>
        <w:t xml:space="preserve">Strateški okvir svih tematskih prioriteta u okviru Prozora 4 odgovara Strategiji EU za rodnu ravnopravnost 2020-2025 i EU rodnom akcionom planu III (2021-2025). Tačnije, strateški okvir uzima u obzir 3. stub: Promovisanje ekonomskih i socijalnih prava i osnaživanje djevojčica i žena. </w:t>
      </w:r>
    </w:p>
    <w:p w14:paraId="63A95962" w14:textId="77777777" w:rsidR="00047EF8" w:rsidRPr="00F563CD" w:rsidRDefault="00047EF8" w:rsidP="00047EF8">
      <w:pPr>
        <w:spacing w:line="240" w:lineRule="auto"/>
        <w:jc w:val="both"/>
        <w:rPr>
          <w:rFonts w:asciiTheme="minorHAnsi" w:hAnsiTheme="minorHAnsi"/>
          <w:bCs/>
          <w:iCs/>
          <w:sz w:val="20"/>
          <w:szCs w:val="20"/>
        </w:rPr>
      </w:pPr>
      <w:r w:rsidRPr="00F563CD">
        <w:rPr>
          <w:rFonts w:asciiTheme="minorHAnsi" w:hAnsiTheme="minorHAnsi"/>
          <w:b/>
          <w:bCs/>
          <w:iCs/>
          <w:sz w:val="20"/>
          <w:szCs w:val="20"/>
        </w:rPr>
        <w:t>Nacionalna strategija održivog razvoja do 2030. godine</w:t>
      </w:r>
      <w:r w:rsidRPr="00F563CD">
        <w:rPr>
          <w:rFonts w:asciiTheme="minorHAnsi" w:hAnsiTheme="minorHAnsi"/>
          <w:bCs/>
          <w:iCs/>
          <w:sz w:val="20"/>
          <w:szCs w:val="20"/>
        </w:rPr>
        <w:t xml:space="preserve"> je krovna, horizontalna i dugoročna strategija razvoja Crne Gore, koja se ne odnosi samo na privredu i životnu sredinu, već i na razvoj ljudskih resursa i društvenog kapitala. Ona definiše principe, strateške ciljeve i mjere za postizanje dugoročnog održivog razvoja crnogorskog društva, uzimajući u obzir postojeće stanje i preuzete međunarodne obaveze, prije svega Agendu Ujedinjenih nacija za održivi razvoj do 2030. godine. Strategija predviđa integraciju UN-ovih globalnih ciljeva i indikatora održivog razvoja u nacionalni okvir. </w:t>
      </w:r>
    </w:p>
    <w:p w14:paraId="72D6E7CE" w14:textId="77777777" w:rsidR="00047EF8" w:rsidRPr="00F563CD" w:rsidRDefault="00047EF8" w:rsidP="00047EF8">
      <w:pPr>
        <w:spacing w:line="240" w:lineRule="auto"/>
        <w:jc w:val="both"/>
        <w:rPr>
          <w:rFonts w:asciiTheme="minorHAnsi" w:hAnsiTheme="minorHAnsi" w:cs="Calibri"/>
          <w:sz w:val="20"/>
          <w:szCs w:val="20"/>
          <w:lang w:eastAsia="en-US"/>
        </w:rPr>
      </w:pPr>
      <w:r w:rsidRPr="00F563CD">
        <w:rPr>
          <w:rFonts w:asciiTheme="minorHAnsi" w:hAnsiTheme="minorHAnsi" w:cs="Calibri"/>
          <w:b/>
          <w:sz w:val="20"/>
          <w:szCs w:val="20"/>
          <w:lang w:eastAsia="en-US"/>
        </w:rPr>
        <w:t>Pravci razvoja Crne Gore (PRCG) 2018-2021</w:t>
      </w:r>
      <w:r w:rsidRPr="00F563CD">
        <w:rPr>
          <w:rFonts w:asciiTheme="minorHAnsi" w:hAnsiTheme="minorHAnsi" w:cs="Calibri"/>
          <w:sz w:val="20"/>
          <w:szCs w:val="20"/>
          <w:lang w:eastAsia="en-US"/>
        </w:rPr>
        <w:t xml:space="preserve">, kao srednjoročni krovni implementacioni dokument, definiše strateški cilj razvoja Crne Gore – povećanje kvaliteta života na duži rok. U funkciji ostvarivanja strateškog razvojnog cilja, zvanično su prepoznata četiri prioritetna razvojna sektora: turizam, energetika, poljoprivreda i ruralni razvoj, i prerađivačka industrija. PRCG su koncipirani odražavajući načela strategije Evropa 2020 i shodno tome – pametan, održiv i inkluzivan rast. Neki od izazova koje PRCG pokušavaju da riješe se odnose na: </w:t>
      </w:r>
    </w:p>
    <w:p w14:paraId="3987B68F" w14:textId="77777777" w:rsidR="00047EF8" w:rsidRPr="00F563CD" w:rsidRDefault="00047EF8" w:rsidP="00047EF8">
      <w:pPr>
        <w:numPr>
          <w:ilvl w:val="0"/>
          <w:numId w:val="59"/>
        </w:numPr>
        <w:spacing w:line="240" w:lineRule="auto"/>
        <w:jc w:val="both"/>
        <w:rPr>
          <w:rFonts w:asciiTheme="minorHAnsi" w:hAnsiTheme="minorHAnsi" w:cs="Calibri"/>
          <w:sz w:val="20"/>
          <w:szCs w:val="20"/>
        </w:rPr>
      </w:pPr>
      <w:r w:rsidRPr="00F563CD">
        <w:rPr>
          <w:rFonts w:asciiTheme="minorHAnsi" w:hAnsiTheme="minorHAnsi" w:cs="Calibri"/>
          <w:sz w:val="20"/>
          <w:szCs w:val="20"/>
        </w:rPr>
        <w:t xml:space="preserve">Hronični problemi privrede je visoka nelikvidnost, što potvrđuje i podatak da je u 2017. godini, od ukupnog broja pravnih lica i preduzetnika, njih 24,7% bilo nelikvidno. </w:t>
      </w:r>
    </w:p>
    <w:p w14:paraId="26735502" w14:textId="77777777" w:rsidR="00047EF8" w:rsidRPr="00F563CD" w:rsidRDefault="00047EF8" w:rsidP="00047EF8">
      <w:pPr>
        <w:spacing w:line="240" w:lineRule="auto"/>
        <w:jc w:val="both"/>
        <w:rPr>
          <w:rFonts w:asciiTheme="minorHAnsi" w:hAnsiTheme="minorHAnsi" w:cs="Calibri"/>
          <w:sz w:val="20"/>
          <w:szCs w:val="20"/>
        </w:rPr>
      </w:pPr>
      <w:r w:rsidRPr="00F563CD">
        <w:rPr>
          <w:rFonts w:asciiTheme="minorHAnsi" w:hAnsiTheme="minorHAnsi" w:cs="Calibri"/>
          <w:sz w:val="20"/>
          <w:szCs w:val="20"/>
        </w:rPr>
        <w:t xml:space="preserve">Efikasnost rada javne uprave nije na zavidnom nivou, a novi Zakon o državnim službenicima i namještenicima bi trebalo da dovede do otklanjanja ove poslovne barijere. </w:t>
      </w:r>
    </w:p>
    <w:p w14:paraId="3190E506"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sz w:val="20"/>
          <w:szCs w:val="20"/>
        </w:rPr>
        <w:t>Strategija Evropa 2020</w:t>
      </w:r>
      <w:r w:rsidRPr="00F563CD">
        <w:rPr>
          <w:rFonts w:asciiTheme="minorHAnsi" w:eastAsia="Calibri" w:hAnsiTheme="minorHAnsi" w:cs="Calibri"/>
          <w:sz w:val="20"/>
          <w:szCs w:val="20"/>
        </w:rPr>
        <w:t xml:space="preserve"> je stvorila okvir za postizanje tri integrativna prioriteta, koji se međusobno dopunjuju, sa ciljem podrške razvoju ekonomije zasnovane na znanju i inovacijama, kroz efikasno korištenje raspoloživih resursa i kreiranje visoke stope zaposlenosti praćene visokom teritorijalnom povezanošću. Opšti cilj ove akcije je jasno povezan sa aspektom pomenute strategije koji se tiče ekonomije zasnovane na znanju i inovacijama. </w:t>
      </w:r>
    </w:p>
    <w:p w14:paraId="1EAEF2F8"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b/>
          <w:sz w:val="20"/>
          <w:szCs w:val="20"/>
        </w:rPr>
        <w:t>Strategija Jugoistočna Evropa 2020</w:t>
      </w:r>
      <w:r w:rsidRPr="00F563CD">
        <w:rPr>
          <w:rFonts w:asciiTheme="minorHAnsi" w:hAnsiTheme="minorHAnsi"/>
          <w:sz w:val="20"/>
          <w:szCs w:val="20"/>
        </w:rPr>
        <w:t xml:space="preserve">, </w:t>
      </w:r>
      <w:r w:rsidRPr="00F563CD">
        <w:rPr>
          <w:rFonts w:asciiTheme="minorHAnsi" w:hAnsiTheme="minorHAnsi"/>
          <w:b/>
          <w:sz w:val="20"/>
          <w:szCs w:val="20"/>
        </w:rPr>
        <w:t>Jadransko-jonska strategija</w:t>
      </w:r>
      <w:r w:rsidRPr="00F563CD">
        <w:rPr>
          <w:rFonts w:asciiTheme="minorHAnsi" w:hAnsiTheme="minorHAnsi"/>
          <w:sz w:val="20"/>
          <w:szCs w:val="20"/>
        </w:rPr>
        <w:t xml:space="preserve"> i </w:t>
      </w:r>
      <w:r w:rsidRPr="00F563CD">
        <w:rPr>
          <w:rFonts w:asciiTheme="minorHAnsi" w:hAnsiTheme="minorHAnsi"/>
          <w:b/>
          <w:sz w:val="20"/>
          <w:szCs w:val="20"/>
        </w:rPr>
        <w:t>Dunavska strategija</w:t>
      </w:r>
      <w:r w:rsidRPr="00F563CD">
        <w:rPr>
          <w:rFonts w:asciiTheme="minorHAnsi" w:hAnsiTheme="minorHAnsi"/>
          <w:sz w:val="20"/>
          <w:szCs w:val="20"/>
        </w:rPr>
        <w:t xml:space="preserve">, kao regionalne strategije EU, imaju za cilj postizanje navedenih strateških ciljeva na regionalnom nivou, stimulisanjem bržeg i održivog ekonomskog rasta i razvoja, uz eliminisanje identifikovanih barijera i prevazilaženje uočenih slabosti. </w:t>
      </w:r>
      <w:r w:rsidRPr="00F563CD">
        <w:rPr>
          <w:rFonts w:asciiTheme="minorHAnsi" w:hAnsiTheme="minorHAnsi"/>
          <w:b/>
          <w:sz w:val="20"/>
          <w:szCs w:val="20"/>
        </w:rPr>
        <w:t>Strategija za Dunavski region</w:t>
      </w:r>
      <w:r w:rsidRPr="00F563CD">
        <w:rPr>
          <w:rFonts w:asciiTheme="minorHAnsi" w:hAnsiTheme="minorHAnsi"/>
          <w:sz w:val="20"/>
          <w:szCs w:val="20"/>
        </w:rPr>
        <w:t xml:space="preserve"> se sastoji od četiri stuba: (i) povezivanje regiona; (ii) zaštita životne sredine; (iii) jačanje regiona; i (iv) izgradnja prosperiteta. Aktivnosti planirane u okviru ove akcije su u skladu sa sva četiri stuba Strategije za Dunavski region, posebno onima koji se tiču razvoja društva znanja kroz istraživanje, obrazovanje i informacione tehnologije, podržavanje konkurentnosti preduzeća, razvoja klastera i ulaganja u ljude i vještine. Dodatno, veza između ove akcije i </w:t>
      </w:r>
      <w:r w:rsidRPr="00F563CD">
        <w:rPr>
          <w:rFonts w:asciiTheme="minorHAnsi" w:hAnsiTheme="minorHAnsi"/>
          <w:b/>
          <w:sz w:val="20"/>
          <w:szCs w:val="20"/>
        </w:rPr>
        <w:t>Strategije za Jadransko-jonski region</w:t>
      </w:r>
      <w:r w:rsidRPr="00F563CD">
        <w:rPr>
          <w:rFonts w:asciiTheme="minorHAnsi" w:hAnsiTheme="minorHAnsi"/>
          <w:sz w:val="20"/>
          <w:szCs w:val="20"/>
        </w:rPr>
        <w:t xml:space="preserve"> obuhvaćena je opštim ciljevima Strategije, koji se odnose na promociju održivog ekonomskog i društvenog prosperiteta u regionu kroz rast i otvaranje novih radnih mjesta, te poboljšanje njegove atraktivnosti, konkurentnosti i povezanosti, uz očuvanje životne sredine i obezbjeđenje zdravih i uravnoteženih morskih i obalnih ekosistema. </w:t>
      </w:r>
    </w:p>
    <w:p w14:paraId="38ABDB20"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Sve strategije teže istim strateškim razvojnim ciljevima i prioritetima, odnosno obezbjeđenju uslova koji omogućavaju stvaranje dodatne vrijednosti, unapređenje znanja i organizacionih procesa, bolju integraciju i korišćenje savremenih informaciono-komunikacionih i drugih tehnologija i digitalizaciju, podsticanje inovativnosti i konkurentnosti preduzeća, uz održivo korišćenje resursa i zaštitu poslovnog ambijenta. Takav kontekst će pomoći stvaranju povoljnog okvira i uslova za definisanje konkretnih ciljeva i mjera podrške daljem razvoju privatnog sektora kroz unapređenje poslovnog okruženja. </w:t>
      </w:r>
    </w:p>
    <w:p w14:paraId="34023BF5"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b/>
          <w:sz w:val="20"/>
          <w:szCs w:val="20"/>
        </w:rPr>
        <w:t>Nova industrijska strategija za Evropu</w:t>
      </w:r>
      <w:r w:rsidRPr="00F563CD">
        <w:rPr>
          <w:rFonts w:asciiTheme="minorHAnsi" w:hAnsiTheme="minorHAnsi"/>
          <w:sz w:val="20"/>
          <w:szCs w:val="20"/>
        </w:rPr>
        <w:t xml:space="preserve"> ukazuje da industrija ima vodeću ulogu u onome što je najveći izazov i prilika sadašnjeg vremena. Svi industrijski lanci vrijednosti, uključujući energetski intenzivne sektore, imaće ključnu ulogu. Svi će oni morati raditi na smanjenju sopstvenog karbonskog otiska, ali i ubrzati tranziciju pružanjem pristupačnih i tehnološki čistih rješenja i razvojem novih poslovnih modela. Industrijski razvoj EU postaće konkurentniji kako bude zeleniji i cirkularniji, tako </w:t>
      </w:r>
      <w:r w:rsidRPr="00F563CD">
        <w:rPr>
          <w:rFonts w:asciiTheme="minorHAnsi" w:hAnsiTheme="minorHAnsi"/>
          <w:sz w:val="20"/>
          <w:szCs w:val="20"/>
        </w:rPr>
        <w:lastRenderedPageBreak/>
        <w:t xml:space="preserve">da je fokus na obezbjeđenju snabdijevanja čistom i pristupačnom energijom i sirovinama. Dalja ulaganja u istraživanje, inovacije, razvoj i savremenu infrastrukturu, radi podrške razvoju novih proizvodnih procesa i stvaranju novih radnih mjesta u tim procesima, identifikovani su kao prioriteti EU u ovoj oblasti. </w:t>
      </w:r>
      <w:r w:rsidRPr="00F563CD">
        <w:rPr>
          <w:rFonts w:asciiTheme="minorHAnsi" w:hAnsiTheme="minorHAnsi"/>
          <w:sz w:val="20"/>
          <w:szCs w:val="20"/>
          <w:lang w:val="fr-BE"/>
        </w:rPr>
        <w:t xml:space="preserve">Na nivou EU, industrijski sektor već prolazi kroz značajnu transformaciju. Postoji izražen pomak sa proizvoda na usluge i sa ekskluzivnog na zajedničko vlasništvo nad proizvodima i uslugama. Pritisak na prirodne resurse već vodi ka cirkularnijem pristupu proizvodnji. U cilju primjene principa održivih industrijskih ambicija EU u Crnoj Gori, IPA III podrška će biti usmjerena na obezbjeđivanje uslova preduzećima u Crnoj Gori da postanu zelenija i digitalnija. Ovo će pomoći transformaciji i razvoju tradicionalnih i novih industrija, podržati mala i srednja preduzeća i pokrenuti našu konkurentsku održivost u Crnoj Gori, kao i u EU. Ovo je podjednako važno kako za usluge tako i za proizvode. </w:t>
      </w:r>
    </w:p>
    <w:p w14:paraId="54C2FDF8" w14:textId="77777777" w:rsidR="00047EF8" w:rsidRPr="00F563CD" w:rsidRDefault="00047EF8" w:rsidP="00047EF8">
      <w:pPr>
        <w:spacing w:line="240" w:lineRule="auto"/>
        <w:jc w:val="both"/>
        <w:rPr>
          <w:rFonts w:asciiTheme="minorHAnsi" w:hAnsiTheme="minorHAnsi" w:cs="Calibri"/>
          <w:iCs/>
          <w:sz w:val="20"/>
          <w:szCs w:val="20"/>
          <w:lang w:val="fr-BE"/>
        </w:rPr>
      </w:pPr>
      <w:r w:rsidRPr="00F563CD">
        <w:rPr>
          <w:rFonts w:asciiTheme="minorHAnsi" w:hAnsiTheme="minorHAnsi" w:cs="Calibri"/>
          <w:iCs/>
          <w:sz w:val="20"/>
          <w:szCs w:val="20"/>
          <w:lang w:val="fr-BE"/>
        </w:rPr>
        <w:t xml:space="preserve">Strateški program EU za promociju sektora malih i srednjih preduzeća, koji je dostupan i Crnoj Gori, je </w:t>
      </w:r>
      <w:r w:rsidRPr="00F563CD">
        <w:rPr>
          <w:rFonts w:asciiTheme="minorHAnsi" w:hAnsiTheme="minorHAnsi" w:cs="Calibri"/>
          <w:b/>
          <w:iCs/>
          <w:sz w:val="20"/>
          <w:szCs w:val="20"/>
          <w:lang w:val="fr-BE"/>
        </w:rPr>
        <w:t>COSME – Program EU za konkurentnost kompanija i MSP</w:t>
      </w:r>
      <w:r w:rsidRPr="00F563CD">
        <w:rPr>
          <w:rFonts w:asciiTheme="minorHAnsi" w:hAnsiTheme="minorHAnsi" w:cs="Calibri"/>
          <w:iCs/>
          <w:sz w:val="20"/>
          <w:szCs w:val="20"/>
          <w:lang w:val="fr-BE"/>
        </w:rPr>
        <w:t xml:space="preserve">, koji ima za cilj jačanje konkurentnosti i održivosti preduzeća EU. Program ima četiri </w:t>
      </w:r>
      <w:proofErr w:type="gramStart"/>
      <w:r w:rsidRPr="00F563CD">
        <w:rPr>
          <w:rFonts w:asciiTheme="minorHAnsi" w:hAnsiTheme="minorHAnsi" w:cs="Calibri"/>
          <w:iCs/>
          <w:sz w:val="20"/>
          <w:szCs w:val="20"/>
          <w:lang w:val="fr-BE"/>
        </w:rPr>
        <w:t>cilja:</w:t>
      </w:r>
      <w:proofErr w:type="gramEnd"/>
      <w:r w:rsidRPr="00F563CD">
        <w:rPr>
          <w:rFonts w:asciiTheme="minorHAnsi" w:hAnsiTheme="minorHAnsi" w:cs="Calibri"/>
          <w:iCs/>
          <w:sz w:val="20"/>
          <w:szCs w:val="20"/>
          <w:lang w:val="fr-BE"/>
        </w:rPr>
        <w:t xml:space="preserve"> unapređenje okvirnih uslova za konkurentnost i održivost MSP, uključujući sektor turizma; promociju preduzetničke kulture i promociju stvaranja i razvoja MSP; olakšavanje pristupa finansijama za MSP; i olakšavanje pristupa tržištima. COSME je prisutan u Crnoj Gori kroz nedavno zaključeni Garantni instrument koji implementira Investiciono-razvojni fond, zatim Šemu garancija za kredite koju implementiraju CKB i Evropska mreža preduzetništva (</w:t>
      </w:r>
      <w:r w:rsidRPr="00F563CD">
        <w:rPr>
          <w:rFonts w:asciiTheme="minorHAnsi" w:hAnsiTheme="minorHAnsi" w:cs="Calibri"/>
          <w:i/>
          <w:iCs/>
          <w:sz w:val="20"/>
          <w:szCs w:val="20"/>
          <w:lang w:val="fr-BE"/>
        </w:rPr>
        <w:t>Enterprise Europe Network</w:t>
      </w:r>
      <w:r w:rsidRPr="00F563CD">
        <w:rPr>
          <w:rFonts w:asciiTheme="minorHAnsi" w:hAnsiTheme="minorHAnsi" w:cs="Calibri"/>
          <w:iCs/>
          <w:sz w:val="20"/>
          <w:szCs w:val="20"/>
          <w:lang w:val="fr-BE"/>
        </w:rPr>
        <w:t xml:space="preserve">), i partnerstvo sa preko 600 „hosting“ organizacija, čiji je jedan od zadataka da obezbijede preduzećima i potencijalnim preduzetnicima potrebne informacije o pristupu fondovima EU i finansiranju EU. </w:t>
      </w:r>
    </w:p>
    <w:p w14:paraId="5795F65F" w14:textId="77777777" w:rsidR="00047EF8" w:rsidRPr="00F563CD" w:rsidRDefault="00047EF8" w:rsidP="00047EF8">
      <w:pPr>
        <w:spacing w:line="240" w:lineRule="auto"/>
        <w:jc w:val="both"/>
        <w:rPr>
          <w:rFonts w:asciiTheme="minorHAnsi" w:hAnsiTheme="minorHAnsi" w:cs="Calibri"/>
          <w:iCs/>
          <w:sz w:val="20"/>
          <w:szCs w:val="20"/>
          <w:lang w:val="fr-BE"/>
        </w:rPr>
      </w:pPr>
      <w:r w:rsidRPr="00F563CD">
        <w:rPr>
          <w:rFonts w:asciiTheme="minorHAnsi" w:hAnsiTheme="minorHAnsi" w:cs="Calibri"/>
          <w:b/>
          <w:iCs/>
          <w:sz w:val="20"/>
          <w:szCs w:val="20"/>
          <w:lang w:val="fr-BE"/>
        </w:rPr>
        <w:t xml:space="preserve">Od 2009. </w:t>
      </w:r>
      <w:proofErr w:type="gramStart"/>
      <w:r w:rsidRPr="00F563CD">
        <w:rPr>
          <w:rFonts w:asciiTheme="minorHAnsi" w:hAnsiTheme="minorHAnsi" w:cs="Calibri"/>
          <w:b/>
          <w:iCs/>
          <w:sz w:val="20"/>
          <w:szCs w:val="20"/>
          <w:lang w:val="fr-BE"/>
        </w:rPr>
        <w:t>godine</w:t>
      </w:r>
      <w:proofErr w:type="gramEnd"/>
      <w:r w:rsidRPr="00F563CD">
        <w:rPr>
          <w:rFonts w:asciiTheme="minorHAnsi" w:hAnsiTheme="minorHAnsi" w:cs="Calibri"/>
          <w:b/>
          <w:iCs/>
          <w:sz w:val="20"/>
          <w:szCs w:val="20"/>
          <w:lang w:val="fr-BE"/>
        </w:rPr>
        <w:t xml:space="preserve"> funkcioniše Evropski centar za informisanje i inovacije – EIIC (EEN Montenegro), u okviru Evropske mreže preduzetništva, čijim radom je unaprijeđena mogućnost uspostavljanja poslovne saradnje i povećan nivo informisanosti malih i srednjih preduzeća i institucija javnog i privatnog sektora o temama, tenderima i tržištima EU, zatim o uslovima i kriterijumima za apliciranje za finansiranje iz fondova EU, o temama vezanim za internacionalizaciju, inovacije, itd.</w:t>
      </w:r>
      <w:r w:rsidRPr="00F563CD">
        <w:rPr>
          <w:rFonts w:asciiTheme="minorHAnsi" w:hAnsiTheme="minorHAnsi" w:cs="Calibri"/>
          <w:iCs/>
          <w:sz w:val="20"/>
          <w:szCs w:val="20"/>
          <w:lang w:val="fr-BE"/>
        </w:rPr>
        <w:t xml:space="preserve"> </w:t>
      </w:r>
    </w:p>
    <w:p w14:paraId="2F198E34"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Jedan od najvažnijih infrastrukturnih projekata međunarodnog karaktera je </w:t>
      </w:r>
      <w:r w:rsidRPr="00F563CD">
        <w:rPr>
          <w:rFonts w:asciiTheme="minorHAnsi" w:hAnsiTheme="minorHAnsi"/>
          <w:b/>
          <w:sz w:val="20"/>
          <w:szCs w:val="20"/>
          <w:lang w:val="fr-BE"/>
        </w:rPr>
        <w:t>Međunarodni institut za održive tehnologije Jugoistočne Evrope (SEEIIST)</w:t>
      </w:r>
      <w:r w:rsidRPr="00F563CD">
        <w:rPr>
          <w:rFonts w:asciiTheme="minorHAnsi" w:hAnsiTheme="minorHAnsi"/>
          <w:sz w:val="20"/>
          <w:szCs w:val="20"/>
          <w:lang w:val="fr-BE"/>
        </w:rPr>
        <w:t xml:space="preserve"> koji će doprinijeti razvoju u smislu tehnološkog napretka, medicinskih inovacija, naučno-istraživačkih dostignuća i industrijskog osnaživanja, kao i brojne pogodnosti za sektor mikro, malih i srednjih preduzeća. </w:t>
      </w:r>
    </w:p>
    <w:p w14:paraId="027125C1" w14:textId="77777777" w:rsidR="00047EF8" w:rsidRPr="00F563CD" w:rsidRDefault="00047EF8" w:rsidP="00047EF8">
      <w:pPr>
        <w:spacing w:line="240" w:lineRule="auto"/>
        <w:jc w:val="both"/>
        <w:rPr>
          <w:rFonts w:asciiTheme="minorHAnsi" w:eastAsia="Calibri" w:hAnsiTheme="minorHAnsi" w:cs="Calibri"/>
          <w:b/>
          <w:bCs/>
          <w:i/>
          <w:iCs/>
          <w:sz w:val="20"/>
          <w:szCs w:val="20"/>
          <w:lang w:val="fr-BE"/>
        </w:rPr>
      </w:pPr>
      <w:r w:rsidRPr="00F563CD">
        <w:rPr>
          <w:rFonts w:asciiTheme="minorHAnsi" w:eastAsia="Calibri" w:hAnsiTheme="minorHAnsi" w:cs="Calibri"/>
          <w:b/>
          <w:bCs/>
          <w:i/>
          <w:iCs/>
          <w:sz w:val="20"/>
          <w:szCs w:val="20"/>
          <w:lang w:val="fr-BE"/>
        </w:rPr>
        <w:t xml:space="preserve">Tematski prioritet </w:t>
      </w:r>
      <w:proofErr w:type="gramStart"/>
      <w:r w:rsidRPr="00F563CD">
        <w:rPr>
          <w:rFonts w:asciiTheme="minorHAnsi" w:eastAsia="Calibri" w:hAnsiTheme="minorHAnsi" w:cs="Calibri"/>
          <w:b/>
          <w:bCs/>
          <w:i/>
          <w:iCs/>
          <w:sz w:val="20"/>
          <w:szCs w:val="20"/>
          <w:lang w:val="fr-BE"/>
        </w:rPr>
        <w:t>3:</w:t>
      </w:r>
      <w:proofErr w:type="gramEnd"/>
      <w:r w:rsidRPr="00F563CD">
        <w:rPr>
          <w:rFonts w:asciiTheme="minorHAnsi" w:eastAsia="Calibri" w:hAnsiTheme="minorHAnsi" w:cs="Calibri"/>
          <w:b/>
          <w:bCs/>
          <w:i/>
          <w:iCs/>
          <w:sz w:val="20"/>
          <w:szCs w:val="20"/>
          <w:lang w:val="fr-BE"/>
        </w:rPr>
        <w:t xml:space="preserve"> Poljoprivreda i ruralni razvoj i Tematski prioritet 4: Ribarstvo </w:t>
      </w:r>
    </w:p>
    <w:p w14:paraId="49C20DD1" w14:textId="77777777" w:rsidR="00047EF8" w:rsidRPr="00F563CD" w:rsidRDefault="00047EF8" w:rsidP="00047EF8">
      <w:pPr>
        <w:spacing w:line="240" w:lineRule="auto"/>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Glavni cilj održivog razvoja za koji su predložene intervencije relevantne je 2. </w:t>
      </w:r>
      <w:proofErr w:type="gramStart"/>
      <w:r w:rsidRPr="00F563CD">
        <w:rPr>
          <w:rFonts w:asciiTheme="minorHAnsi" w:eastAsia="Calibri" w:hAnsiTheme="minorHAnsi" w:cs="Calibri"/>
          <w:sz w:val="20"/>
          <w:szCs w:val="20"/>
          <w:lang w:val="fr-BE"/>
        </w:rPr>
        <w:t>cilj</w:t>
      </w:r>
      <w:proofErr w:type="gramEnd"/>
      <w:r w:rsidRPr="00F563CD">
        <w:rPr>
          <w:rFonts w:asciiTheme="minorHAnsi" w:eastAsia="Calibri" w:hAnsiTheme="minorHAnsi" w:cs="Calibri"/>
          <w:sz w:val="20"/>
          <w:szCs w:val="20"/>
          <w:lang w:val="fr-BE"/>
        </w:rPr>
        <w:t xml:space="preserve"> – Prekinuti glad, postići bezbjednost hrane i poboljšanu ishranu i promovisati održivu poljoprivredu. Sekundarni relevantni ciljevi održivog razvoja su 12. – Osigurati održive obrasce potrošnje i proizvodnje, 14. – Očuvati i održivo koristiti okeane, mora i morske resurse za održivi razvoj, i 15. </w:t>
      </w:r>
      <w:proofErr w:type="gramStart"/>
      <w:r w:rsidRPr="00F563CD">
        <w:rPr>
          <w:rFonts w:asciiTheme="minorHAnsi" w:eastAsia="Calibri" w:hAnsiTheme="minorHAnsi" w:cs="Calibri"/>
          <w:sz w:val="20"/>
          <w:szCs w:val="20"/>
          <w:lang w:val="fr-BE"/>
        </w:rPr>
        <w:t>cilj</w:t>
      </w:r>
      <w:proofErr w:type="gramEnd"/>
      <w:r w:rsidRPr="00F563CD">
        <w:rPr>
          <w:rFonts w:asciiTheme="minorHAnsi" w:eastAsia="Calibri" w:hAnsiTheme="minorHAnsi" w:cs="Calibri"/>
          <w:sz w:val="20"/>
          <w:szCs w:val="20"/>
          <w:lang w:val="fr-BE"/>
        </w:rPr>
        <w:t xml:space="preserve"> – Život na kopnu: održivo upravljati šumama, boriti se protiv dezertifikacije, zaustaviti i promijeniti zemljište. </w:t>
      </w:r>
    </w:p>
    <w:p w14:paraId="3498E751"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Plan aktivnosti za postizanje rodne ravnopravnosti (PAPRR) 2017-2021 je razvojni dokument za sprovođenje rodne ravnopravnosti u Crnoj Gori, čiji je cilj da se obezbijedi ravnopravnost polova u kreiranju i sprovođenju svih nacionalnih i lokalnih politika i u radu svih subjekata na državnom nivou. Što se tiče konkretnih intervencija u okviru sektora poljoprivrede i ruralnog razvoja, MPŠV će osigurati integraciju načela jednakosti polova prilikom kreiranja novih politika i programa. Posebna pažnja će se posvetiti ravnopravnom učešću žena u aktivnostima obuke, a informisanje poljoprivrednika i poljoprivrednih proizvođača o aktivnostima unakrsnog usklađivanja će se sprovoditi sa dužnom pažnjom prema uključivanju proizvođača iz teže dostupnih područja, posebno žena. Od svih izvođača će se tražiti da dostave plan praćenja i prikupljanja podataka o učešću muškaraca i žena tokom faze implementacije. </w:t>
      </w:r>
    </w:p>
    <w:p w14:paraId="68EED77B" w14:textId="77777777" w:rsidR="00047EF8" w:rsidRPr="00F563CD" w:rsidRDefault="00047EF8" w:rsidP="00047EF8">
      <w:pPr>
        <w:spacing w:line="240" w:lineRule="auto"/>
        <w:jc w:val="both"/>
        <w:rPr>
          <w:rFonts w:asciiTheme="minorHAnsi" w:hAnsiTheme="minorHAnsi"/>
          <w:sz w:val="20"/>
          <w:szCs w:val="20"/>
          <w:lang w:val="fr-BE"/>
        </w:rPr>
      </w:pPr>
      <w:r w:rsidRPr="00F563CD">
        <w:rPr>
          <w:rFonts w:asciiTheme="minorHAnsi" w:hAnsiTheme="minorHAnsi"/>
          <w:sz w:val="20"/>
          <w:szCs w:val="20"/>
          <w:lang w:val="fr-BE"/>
        </w:rPr>
        <w:t xml:space="preserve">Konkretno, za Tematski prioriteta </w:t>
      </w:r>
      <w:proofErr w:type="gramStart"/>
      <w:r w:rsidRPr="00F563CD">
        <w:rPr>
          <w:rFonts w:asciiTheme="minorHAnsi" w:hAnsiTheme="minorHAnsi"/>
          <w:sz w:val="20"/>
          <w:szCs w:val="20"/>
          <w:lang w:val="fr-BE"/>
        </w:rPr>
        <w:t>4:</w:t>
      </w:r>
      <w:proofErr w:type="gramEnd"/>
      <w:r w:rsidRPr="00F563CD">
        <w:rPr>
          <w:rFonts w:asciiTheme="minorHAnsi" w:hAnsiTheme="minorHAnsi"/>
          <w:sz w:val="20"/>
          <w:szCs w:val="20"/>
          <w:lang w:val="fr-BE"/>
        </w:rPr>
        <w:t xml:space="preserve"> Ribarstvo, strateški okvir je u skladu sa sljedećim regionalnim intervencijama: Ministarska deklaracija MedFish4Ever, Regionalni akcioni plan za borbu protiv ilegalnog, neprijavljenog i neregulisanog ribolova u području primjene Generalne komisije za ribarstvo Mediterana (GFCM), Regionalni akcioni plan za malo ribarstvo u Mediteranu i Crnom moru (RPOA-SSF), i GFCM 2030 Strategija za održivo ribarstvo i akvakulturu u Mediteranu i Crnom moru. </w:t>
      </w:r>
    </w:p>
    <w:p w14:paraId="2DCD6758" w14:textId="77777777" w:rsidR="00047EF8" w:rsidRPr="00F563CD" w:rsidRDefault="00047EF8" w:rsidP="00047EF8">
      <w:pPr>
        <w:pStyle w:val="Heading3"/>
        <w:spacing w:before="0" w:after="200" w:line="240" w:lineRule="auto"/>
        <w:rPr>
          <w:rFonts w:asciiTheme="minorHAnsi" w:hAnsiTheme="minorHAnsi" w:cs="Arial"/>
        </w:rPr>
      </w:pPr>
      <w:bookmarkStart w:id="57" w:name="_Toc91500282"/>
      <w:r w:rsidRPr="00F563CD">
        <w:rPr>
          <w:rFonts w:asciiTheme="minorHAnsi" w:hAnsiTheme="minorHAnsi" w:cs="Arial"/>
          <w:color w:val="auto"/>
          <w:sz w:val="22"/>
          <w:szCs w:val="22"/>
        </w:rPr>
        <w:t>DIO 2 – PRIORITETI, CILJEVI I AKCIJE U OKVIRU IPA III PODRŠKE</w:t>
      </w:r>
      <w:bookmarkEnd w:id="57"/>
      <w:r w:rsidRPr="00F563CD">
        <w:rPr>
          <w:rFonts w:asciiTheme="minorHAnsi" w:hAnsiTheme="minorHAnsi" w:cs="Arial"/>
          <w:color w:val="auto"/>
          <w:sz w:val="22"/>
          <w:szCs w:val="22"/>
        </w:rPr>
        <w:t xml:space="preserve"> </w:t>
      </w:r>
    </w:p>
    <w:p w14:paraId="3C0276C2" w14:textId="77777777" w:rsidR="00047EF8" w:rsidRPr="00F563CD" w:rsidRDefault="00047EF8" w:rsidP="00047EF8">
      <w:pPr>
        <w:pStyle w:val="Heading2"/>
        <w:numPr>
          <w:ilvl w:val="0"/>
          <w:numId w:val="31"/>
        </w:numPr>
        <w:rPr>
          <w:rFonts w:asciiTheme="minorHAnsi" w:hAnsiTheme="minorHAnsi" w:cs="Arial"/>
          <w:smallCaps/>
          <w:color w:val="auto"/>
          <w:sz w:val="24"/>
          <w:szCs w:val="24"/>
        </w:rPr>
      </w:pPr>
      <w:bookmarkStart w:id="58" w:name="_Toc91500283"/>
      <w:r w:rsidRPr="00F563CD">
        <w:rPr>
          <w:rFonts w:asciiTheme="minorHAnsi" w:hAnsiTheme="minorHAnsi" w:cs="Arial"/>
          <w:smallCaps/>
          <w:color w:val="auto"/>
          <w:sz w:val="24"/>
          <w:szCs w:val="24"/>
        </w:rPr>
        <w:t>Proces konsultacija</w:t>
      </w:r>
      <w:bookmarkEnd w:id="58"/>
    </w:p>
    <w:p w14:paraId="4592B782" w14:textId="77777777" w:rsidR="00047EF8" w:rsidRPr="00F563CD" w:rsidRDefault="00047EF8" w:rsidP="00047EF8">
      <w:pPr>
        <w:spacing w:after="0" w:line="240" w:lineRule="auto"/>
        <w:jc w:val="both"/>
        <w:rPr>
          <w:rFonts w:asciiTheme="minorHAnsi" w:hAnsiTheme="minorHAnsi"/>
        </w:rPr>
      </w:pPr>
    </w:p>
    <w:p w14:paraId="2896D78F" w14:textId="77777777" w:rsidR="00047EF8" w:rsidRPr="00F563CD" w:rsidRDefault="00047EF8" w:rsidP="00047EF8">
      <w:pPr>
        <w:pStyle w:val="paragraph"/>
        <w:spacing w:before="0" w:beforeAutospacing="0" w:after="0" w:afterAutospacing="0"/>
        <w:jc w:val="both"/>
        <w:textAlignment w:val="baseline"/>
        <w:rPr>
          <w:rFonts w:asciiTheme="minorHAnsi" w:hAnsiTheme="minorHAnsi" w:cstheme="minorBidi"/>
          <w:sz w:val="20"/>
          <w:szCs w:val="20"/>
          <w:lang w:eastAsia="en-GB"/>
        </w:rPr>
      </w:pPr>
      <w:bookmarkStart w:id="59" w:name="_Hlk66873375"/>
      <w:r w:rsidRPr="00F563CD">
        <w:rPr>
          <w:rFonts w:asciiTheme="minorHAnsi" w:hAnsiTheme="minorHAnsi"/>
          <w:sz w:val="20"/>
          <w:szCs w:val="20"/>
        </w:rPr>
        <w:t xml:space="preserve">Onda kada je NIPAK kancelarija obezbijedila inicijalni input, pokrenute su šire konsultacije na strateškom i operativnom nivou, a dostavljeni su svi relevantni </w:t>
      </w:r>
      <w:r w:rsidR="00EC090C" w:rsidRPr="00F563CD">
        <w:rPr>
          <w:rFonts w:asciiTheme="minorHAnsi" w:hAnsiTheme="minorHAnsi"/>
          <w:sz w:val="20"/>
          <w:szCs w:val="20"/>
        </w:rPr>
        <w:t>opisi</w:t>
      </w:r>
      <w:r w:rsidRPr="00F563CD">
        <w:rPr>
          <w:rFonts w:asciiTheme="minorHAnsi" w:hAnsiTheme="minorHAnsi"/>
          <w:sz w:val="20"/>
          <w:szCs w:val="20"/>
        </w:rPr>
        <w:t xml:space="preserve"> projekata u svim oblastima relevantnim za ovaj prozor. </w:t>
      </w:r>
      <w:r w:rsidRPr="00F563CD">
        <w:rPr>
          <w:rFonts w:asciiTheme="minorHAnsi" w:hAnsiTheme="minorHAnsi" w:cstheme="minorBidi"/>
          <w:sz w:val="20"/>
          <w:szCs w:val="20"/>
          <w:lang w:eastAsia="en-GB"/>
        </w:rPr>
        <w:t xml:space="preserve">Prioriteti u oblastima socijalne </w:t>
      </w:r>
      <w:r w:rsidRPr="00F563CD">
        <w:rPr>
          <w:rFonts w:asciiTheme="minorHAnsi" w:hAnsiTheme="minorHAnsi" w:cstheme="minorBidi"/>
          <w:sz w:val="20"/>
          <w:szCs w:val="20"/>
          <w:lang w:eastAsia="en-GB"/>
        </w:rPr>
        <w:lastRenderedPageBreak/>
        <w:t>zaštite diskutovani su kroz niz konsultacija tokom juna i jula 2020. godine. Konsultacije su obuhvatale analizu sektora zasnovanu na dokazima, inpute od praktičara i institucija, procjene dokumenata EU o proširenju i organizacija civilnog sektora, nezavisnih tijela i organizacija UN-a (konkretno UNICEF-a i UNDP-a koje su aktivne u reformama socijalne zaštite u Crnoj Gori). Imajući u vidu već dogovorenu podršku Evropske unije Crnoj Gori kroz IPA, interesne strane su se usaglasile da prioritet u narednom programskom IPA periodu treba da bude 1) izrada nacionalne strategije i lokalnih planova za socijalnu i dječiju zaštitu (2023-2030), usklađeni sa Evropskim stubom za socijalna prava i Agendom 2030 (ciljevi za održivi razvoj) i 2) podrška procesu deinstitucionalizacije, transformacije rezidentnih socijalnih institucija i podrška za život porodicama i zajednicama. </w:t>
      </w:r>
    </w:p>
    <w:p w14:paraId="3DD860EA" w14:textId="77777777" w:rsidR="00047EF8" w:rsidRPr="00F563CD" w:rsidRDefault="00047EF8" w:rsidP="00047EF8">
      <w:pPr>
        <w:pStyle w:val="paragraph"/>
        <w:spacing w:before="0" w:beforeAutospacing="0" w:after="0" w:afterAutospacing="0"/>
        <w:jc w:val="both"/>
        <w:textAlignment w:val="baseline"/>
        <w:rPr>
          <w:rFonts w:asciiTheme="minorHAnsi" w:hAnsiTheme="minorHAnsi" w:cstheme="minorBidi"/>
          <w:sz w:val="20"/>
          <w:szCs w:val="20"/>
          <w:lang w:eastAsia="en-GB"/>
        </w:rPr>
      </w:pPr>
    </w:p>
    <w:p w14:paraId="310AD44A" w14:textId="77777777" w:rsidR="00047EF8" w:rsidRPr="00F563CD" w:rsidRDefault="00047EF8" w:rsidP="00047EF8">
      <w:pPr>
        <w:spacing w:before="60" w:after="60" w:line="240" w:lineRule="auto"/>
        <w:ind w:right="190"/>
        <w:jc w:val="both"/>
        <w:rPr>
          <w:rFonts w:asciiTheme="minorHAnsi" w:hAnsiTheme="minorHAnsi" w:cstheme="minorBidi"/>
          <w:sz w:val="20"/>
          <w:szCs w:val="20"/>
        </w:rPr>
      </w:pPr>
      <w:r w:rsidRPr="00F563CD">
        <w:rPr>
          <w:rFonts w:asciiTheme="minorHAnsi" w:hAnsiTheme="minorHAnsi"/>
          <w:iCs/>
          <w:sz w:val="20"/>
          <w:szCs w:val="20"/>
        </w:rPr>
        <w:t>Tematski prioritet 2: Razvoj privatnog sektora, trgovina, istraživanje i inovacije koordiniralo je i pirpremila Direkcija za programiranje i implementaciju projekata finansiranih iz EU fondova Ministarstva ekonomskog razvoja, koje je imenovano za sektor konkurentnosti i inovacija u okviru podrške IPA II. Na osnovu iskustva iz prethodnog IPA perioda, podrška u okviru IPA III biće fokusirana na glavne izazove koji su identifikovani u prethodnom četvorogodišnjem ciklusu i sprovedenoj sektorskoj analizi zasnovanoj na činjenicama.</w:t>
      </w:r>
      <w:r w:rsidRPr="00F563CD">
        <w:rPr>
          <w:rFonts w:asciiTheme="minorHAnsi" w:hAnsiTheme="minorHAnsi" w:cstheme="minorBidi"/>
          <w:sz w:val="20"/>
          <w:szCs w:val="20"/>
        </w:rPr>
        <w:t xml:space="preserve"> </w:t>
      </w:r>
    </w:p>
    <w:p w14:paraId="077EE836" w14:textId="77777777" w:rsidR="00047EF8" w:rsidRPr="00F563CD" w:rsidRDefault="00047EF8" w:rsidP="00047EF8">
      <w:pPr>
        <w:spacing w:before="60" w:after="60" w:line="240" w:lineRule="auto"/>
        <w:ind w:right="190"/>
        <w:jc w:val="both"/>
        <w:rPr>
          <w:rFonts w:asciiTheme="minorHAnsi" w:hAnsiTheme="minorHAnsi" w:cstheme="minorBidi"/>
          <w:sz w:val="20"/>
          <w:szCs w:val="20"/>
        </w:rPr>
      </w:pPr>
      <w:r w:rsidRPr="00F563CD">
        <w:rPr>
          <w:rFonts w:asciiTheme="minorHAnsi" w:hAnsiTheme="minorHAnsi" w:cstheme="minorBidi"/>
          <w:sz w:val="20"/>
          <w:szCs w:val="20"/>
        </w:rPr>
        <w:t>Tematski prioriteti 3 Poljoprivreda i ruralni razvoj i 4: Ribarstvo, nadlženost su Ministarstva poljoprivrede, šumarstva i vodoprivrede koje je uspostavljeno kao nasljednik Ministarstva poljoprivrede i ruralnog razvoja. Kao što je to slučaj sa prethodnim prioritetima, konsultativni proces pokrenut je 2020. a nastavljen je tokom 2021. godine, što je rezultiralo akcionim dokumentom koji se sastoji od 3 komponente (I Poljoprivreda i ruralni razvoj; II Bezbjednost hrane, veterina i fitosanitarni poslovi i III Ribarstvo) koje aktivnosti su dobile prethodno odobrenje da se finansiraju kroz program IPA 2021.</w:t>
      </w:r>
    </w:p>
    <w:p w14:paraId="2A9F247A" w14:textId="77777777" w:rsidR="00047EF8" w:rsidRPr="00F563CD" w:rsidRDefault="00047EF8" w:rsidP="00047EF8">
      <w:pPr>
        <w:spacing w:before="60" w:after="60" w:line="240" w:lineRule="auto"/>
        <w:ind w:right="190"/>
        <w:jc w:val="both"/>
        <w:rPr>
          <w:rFonts w:asciiTheme="minorHAnsi" w:hAnsiTheme="minorHAnsi" w:cstheme="minorBidi"/>
          <w:sz w:val="20"/>
          <w:szCs w:val="20"/>
          <w:lang w:val="fr-BE"/>
        </w:rPr>
      </w:pPr>
      <w:r w:rsidRPr="00F563CD">
        <w:rPr>
          <w:rFonts w:asciiTheme="minorHAnsi" w:hAnsiTheme="minorHAnsi" w:cstheme="minorBidi"/>
          <w:sz w:val="20"/>
          <w:szCs w:val="20"/>
          <w:lang w:val="fr-BE"/>
        </w:rPr>
        <w:t xml:space="preserve">Akcioni dokument je predat </w:t>
      </w:r>
      <w:r w:rsidR="00587A0A" w:rsidRPr="00F563CD">
        <w:rPr>
          <w:rFonts w:asciiTheme="minorHAnsi" w:hAnsiTheme="minorHAnsi" w:cstheme="minorBidi"/>
          <w:sz w:val="20"/>
          <w:szCs w:val="20"/>
          <w:lang w:val="fr-BE"/>
        </w:rPr>
        <w:t>Kancelariji nacionalnog IPA koordinatora</w:t>
      </w:r>
      <w:r w:rsidRPr="00F563CD">
        <w:rPr>
          <w:rFonts w:asciiTheme="minorHAnsi" w:hAnsiTheme="minorHAnsi" w:cstheme="minorBidi"/>
          <w:sz w:val="20"/>
          <w:szCs w:val="20"/>
          <w:lang w:val="fr-BE"/>
        </w:rPr>
        <w:t xml:space="preserve"> 3. </w:t>
      </w:r>
      <w:proofErr w:type="gramStart"/>
      <w:r w:rsidRPr="00F563CD">
        <w:rPr>
          <w:rFonts w:asciiTheme="minorHAnsi" w:hAnsiTheme="minorHAnsi" w:cstheme="minorBidi"/>
          <w:sz w:val="20"/>
          <w:szCs w:val="20"/>
          <w:lang w:val="fr-BE"/>
        </w:rPr>
        <w:t>septembra</w:t>
      </w:r>
      <w:proofErr w:type="gramEnd"/>
      <w:r w:rsidRPr="00F563CD">
        <w:rPr>
          <w:rFonts w:asciiTheme="minorHAnsi" w:hAnsiTheme="minorHAnsi" w:cstheme="minorBidi"/>
          <w:sz w:val="20"/>
          <w:szCs w:val="20"/>
          <w:lang w:val="fr-BE"/>
        </w:rPr>
        <w:t xml:space="preserve"> 2021. </w:t>
      </w:r>
      <w:proofErr w:type="gramStart"/>
      <w:r w:rsidRPr="00F563CD">
        <w:rPr>
          <w:rFonts w:asciiTheme="minorHAnsi" w:hAnsiTheme="minorHAnsi" w:cstheme="minorBidi"/>
          <w:sz w:val="20"/>
          <w:szCs w:val="20"/>
          <w:lang w:val="fr-BE"/>
        </w:rPr>
        <w:t>godine</w:t>
      </w:r>
      <w:proofErr w:type="gramEnd"/>
      <w:r w:rsidRPr="00F563CD">
        <w:rPr>
          <w:rFonts w:asciiTheme="minorHAnsi" w:hAnsiTheme="minorHAnsi" w:cstheme="minorBidi"/>
          <w:sz w:val="20"/>
          <w:szCs w:val="20"/>
          <w:lang w:val="fr-BE"/>
        </w:rPr>
        <w:t>.</w:t>
      </w:r>
    </w:p>
    <w:p w14:paraId="36473363" w14:textId="77777777" w:rsidR="00047EF8" w:rsidRPr="00F563CD" w:rsidRDefault="00047EF8" w:rsidP="00047EF8">
      <w:pPr>
        <w:spacing w:before="60" w:after="60" w:line="240" w:lineRule="auto"/>
        <w:ind w:right="190"/>
        <w:jc w:val="both"/>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Vodeća institucija za programiranje EU podrške u oblasti definisanoj u Prozoru 4 jeste Ministarstvo ekonomskog razvoja, dok će se neke aktivnosti izgradnje kapaciteta, zelenog dogovora i digitalizacije koje se odnose na Prozor 4 integrisati u akcije Prozora 2 i 3, koje koordinira Ministarstvo javne uprave i digitalnog društva (Prozor 2) i Ministarstvo kapitalnih investicija (Prozor 3). Ministarstvo ekonomskog razvoja imenovalo je Radnu grupu za programiranje EU podrške za oblast Prozora </w:t>
      </w:r>
      <w:proofErr w:type="gramStart"/>
      <w:r w:rsidRPr="00F563CD">
        <w:rPr>
          <w:rFonts w:asciiTheme="minorHAnsi" w:eastAsia="Calibri" w:hAnsiTheme="minorHAnsi" w:cs="Calibri"/>
          <w:sz w:val="20"/>
          <w:szCs w:val="20"/>
          <w:lang w:val="fr-BE"/>
        </w:rPr>
        <w:t>4:</w:t>
      </w:r>
      <w:proofErr w:type="gramEnd"/>
      <w:r w:rsidRPr="00F563CD">
        <w:rPr>
          <w:rFonts w:asciiTheme="minorHAnsi" w:eastAsia="Calibri" w:hAnsiTheme="minorHAnsi" w:cs="Calibri"/>
          <w:sz w:val="20"/>
          <w:szCs w:val="20"/>
          <w:lang w:val="fr-BE"/>
        </w:rPr>
        <w:t xml:space="preserve"> Konkurentnost i inkluzivni rast u oktobru 2021. </w:t>
      </w:r>
      <w:proofErr w:type="gramStart"/>
      <w:r w:rsidRPr="00F563CD">
        <w:rPr>
          <w:rFonts w:asciiTheme="minorHAnsi" w:eastAsia="Calibri" w:hAnsiTheme="minorHAnsi" w:cs="Calibri"/>
          <w:sz w:val="20"/>
          <w:szCs w:val="20"/>
          <w:lang w:val="fr-BE"/>
        </w:rPr>
        <w:t>godine</w:t>
      </w:r>
      <w:proofErr w:type="gramEnd"/>
      <w:r w:rsidRPr="00F563CD">
        <w:rPr>
          <w:rFonts w:asciiTheme="minorHAnsi" w:eastAsia="Calibri" w:hAnsiTheme="minorHAnsi" w:cs="Calibri"/>
          <w:sz w:val="20"/>
          <w:szCs w:val="20"/>
          <w:lang w:val="fr-BE"/>
        </w:rPr>
        <w:t xml:space="preserve">, koja se sastoji od sljedećih institucija koje će imati ključnu ulogu kao partneri za implementaciju i kao korisnici ove akcije. Oni su, zatim, i glavni </w:t>
      </w:r>
      <w:proofErr w:type="gramStart"/>
      <w:r w:rsidRPr="00F563CD">
        <w:rPr>
          <w:rFonts w:asciiTheme="minorHAnsi" w:eastAsia="Calibri" w:hAnsiTheme="minorHAnsi" w:cs="Calibri"/>
          <w:sz w:val="20"/>
          <w:szCs w:val="20"/>
          <w:lang w:val="fr-BE"/>
        </w:rPr>
        <w:t>korisnici:</w:t>
      </w:r>
      <w:proofErr w:type="gramEnd"/>
      <w:r w:rsidRPr="00F563CD">
        <w:rPr>
          <w:rFonts w:asciiTheme="minorHAnsi" w:eastAsia="Calibri" w:hAnsiTheme="minorHAnsi" w:cs="Calibri"/>
          <w:sz w:val="20"/>
          <w:szCs w:val="20"/>
          <w:lang w:val="fr-BE"/>
        </w:rPr>
        <w:t xml:space="preserve"> Ministarstvo ekonomskog razvoja, Ministarstvo prosvjete, nauke, kulture i sporta, Zavod za školstvo, Centar za stručno obrazovanje, Ispitni centar, Akreditaciono tijelo Crne Gore, Uprava za inspekcijske poslove, Agencija za zaštitu konkurencije, Zavod za metrologiju i Institut za standardizaciju, inovaciona infrastruktura u Crnoj Gori, Fond za inovacije, Investiciono-razvojni fond, Privredna komora Crne Gore. </w:t>
      </w:r>
    </w:p>
    <w:p w14:paraId="648B3959" w14:textId="77777777" w:rsidR="00047EF8" w:rsidRPr="00F563CD" w:rsidRDefault="00047EF8" w:rsidP="00047EF8">
      <w:pPr>
        <w:spacing w:line="240" w:lineRule="auto"/>
        <w:jc w:val="both"/>
        <w:rPr>
          <w:rFonts w:asciiTheme="minorHAnsi" w:eastAsia="Calibri" w:hAnsiTheme="minorHAnsi" w:cs="Calibri"/>
          <w:sz w:val="20"/>
          <w:szCs w:val="20"/>
          <w:lang w:val="fr-BE"/>
        </w:rPr>
      </w:pPr>
    </w:p>
    <w:p w14:paraId="4C240A1C" w14:textId="77777777" w:rsidR="00047EF8" w:rsidRPr="00F563CD" w:rsidRDefault="00047EF8" w:rsidP="00047EF8">
      <w:pPr>
        <w:pStyle w:val="Heading2"/>
        <w:numPr>
          <w:ilvl w:val="0"/>
          <w:numId w:val="31"/>
        </w:numPr>
        <w:rPr>
          <w:rFonts w:asciiTheme="minorHAnsi" w:hAnsiTheme="minorHAnsi" w:cs="Arial"/>
          <w:smallCaps/>
          <w:color w:val="auto"/>
          <w:sz w:val="24"/>
          <w:szCs w:val="24"/>
        </w:rPr>
      </w:pPr>
      <w:bookmarkStart w:id="60" w:name="_Toc91500284"/>
      <w:bookmarkEnd w:id="59"/>
      <w:r w:rsidRPr="00F563CD">
        <w:rPr>
          <w:rFonts w:asciiTheme="minorHAnsi" w:hAnsiTheme="minorHAnsi" w:cs="Arial"/>
          <w:smallCaps/>
          <w:color w:val="auto"/>
          <w:sz w:val="24"/>
          <w:szCs w:val="24"/>
        </w:rPr>
        <w:t>Ključni tematski prioriteti</w:t>
      </w:r>
      <w:bookmarkEnd w:id="60"/>
    </w:p>
    <w:p w14:paraId="1DA4BAE7" w14:textId="77777777" w:rsidR="00047EF8" w:rsidRPr="00F563CD" w:rsidRDefault="00047EF8" w:rsidP="00047EF8">
      <w:pPr>
        <w:spacing w:after="0"/>
        <w:rPr>
          <w:rFonts w:asciiTheme="minorHAnsi" w:hAnsiTheme="minorHAnsi"/>
        </w:rPr>
      </w:pPr>
    </w:p>
    <w:p w14:paraId="53A2E484" w14:textId="77777777" w:rsidR="00047EF8" w:rsidRPr="00F563CD" w:rsidRDefault="00047EF8" w:rsidP="00047EF8">
      <w:pPr>
        <w:spacing w:line="240" w:lineRule="auto"/>
        <w:jc w:val="both"/>
        <w:rPr>
          <w:rFonts w:asciiTheme="minorHAnsi" w:hAnsiTheme="minorHAnsi"/>
          <w:b/>
          <w:sz w:val="20"/>
          <w:szCs w:val="20"/>
        </w:rPr>
      </w:pPr>
      <w:r w:rsidRPr="00F563CD">
        <w:rPr>
          <w:rFonts w:asciiTheme="minorHAnsi" w:eastAsia="Calibri" w:hAnsiTheme="minorHAnsi" w:cs="Calibri"/>
          <w:b/>
          <w:sz w:val="20"/>
          <w:szCs w:val="20"/>
        </w:rPr>
        <w:t>Sljedeći tematksi prioriteti su predloženi da se upute kroz akcije za period 2021-2024, koje su definisane u nastavku:</w:t>
      </w:r>
    </w:p>
    <w:p w14:paraId="2B25896D" w14:textId="77777777" w:rsidR="00047EF8" w:rsidRPr="00F563CD" w:rsidRDefault="00047EF8" w:rsidP="00047EF8">
      <w:pPr>
        <w:spacing w:line="240" w:lineRule="auto"/>
        <w:jc w:val="both"/>
        <w:rPr>
          <w:rFonts w:asciiTheme="minorHAnsi" w:eastAsia="Calibri" w:hAnsiTheme="minorHAnsi" w:cs="Calibri"/>
          <w:b/>
          <w:bCs/>
          <w:i/>
          <w:iCs/>
          <w:sz w:val="20"/>
          <w:szCs w:val="20"/>
        </w:rPr>
      </w:pPr>
      <w:r w:rsidRPr="00F563CD">
        <w:rPr>
          <w:rFonts w:asciiTheme="minorHAnsi" w:eastAsia="Calibri" w:hAnsiTheme="minorHAnsi" w:cs="Calibri"/>
          <w:b/>
          <w:bCs/>
          <w:i/>
          <w:iCs/>
          <w:sz w:val="20"/>
          <w:szCs w:val="20"/>
        </w:rPr>
        <w:t>Tematski prioritet 1: Obrazovanje, zapošljavanje, socijalna zaštita i inkluzivne politike, i zdravlje</w:t>
      </w:r>
    </w:p>
    <w:p w14:paraId="5A15DC89"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eastAsia="Calibri" w:hAnsiTheme="minorHAnsi" w:cs="Calibri"/>
          <w:sz w:val="20"/>
          <w:szCs w:val="20"/>
        </w:rPr>
        <w:t xml:space="preserve">Predložene akcije će nastaviti da pružaju podršku aktivnostima reforme </w:t>
      </w:r>
      <w:r w:rsidRPr="00F563CD">
        <w:rPr>
          <w:rFonts w:asciiTheme="minorHAnsi" w:eastAsia="Calibri" w:hAnsiTheme="minorHAnsi" w:cs="Calibri"/>
          <w:b/>
          <w:sz w:val="20"/>
          <w:szCs w:val="20"/>
        </w:rPr>
        <w:t xml:space="preserve">obrazovanja </w:t>
      </w:r>
      <w:r w:rsidRPr="00F563CD">
        <w:rPr>
          <w:rFonts w:asciiTheme="minorHAnsi" w:eastAsia="Calibri" w:hAnsiTheme="minorHAnsi" w:cs="Calibri"/>
          <w:sz w:val="20"/>
          <w:szCs w:val="20"/>
        </w:rPr>
        <w:t>u odgovoru na Program ekonomske reforme i Procjene Evropske komisije o proširenju 2021. i u skladu sa strateškim okvirom čiji su fokus postignuća učenika i relevantnost kompetencija i vještina u perspektivi cjeloživotnog učenja zasnovanog na fundamentalnom principu Obrazovanje za sve. Da bi se kreiralo obrazovanje koje je relevantno za sve pojedince, tržište rada i društvo, koje je pristupačno i inovativno, koje omogućava vještine, kompetencije i kvalifikacije za zapošljivost, cjeloživotno učenje mladih i odraslih, inkluziju, lični razvoj i aktivno građanstvo, akcenat će biti na unapređenju kvaliteta obrazovnog procesa i relevantnosti njegovih ishoda. Planirane akcije će pomoći uspostavljanju preduslova za dalje poboljšanje svih digitalnih procesa koji doprinose razvoju i unapređenju digitalnih kompetencija kako nastavnika, tako i učenika. Ova akcija će podržati izradu obrazovnog programa zasnovanog na ishodima učenja i standardima kvalifikacije kao odgovor na digitalnu i zelenu tranziciju, unapređenje ključnih kompetencija nastavnika, i njegovu upotrebu u hibridnom procesu nastave i učenja, kao i unapređenje monitoringa i evaluacije procesa i sistema sa akcentom na praktičnom učenju. Da bi se postigao brži ekonomski rast i unaprijedilo znanje, vještine i kompetencije odraslih za zapošljivost, mobilnost i konkurentnost na tržištu rada, podržaće se razvoj fleksibilnog sistema obrazovanja odraslih, koji će pružati višestruke prilike za prekvalifikaciju i dokvalifikaciju za mlade i odrasle na osnovu partnerstva i principa obezbjeđenja kvaliteta u perspektivi cjeloživotnog učenja. Kroz ovu akciju, dalja reforma i modernizacija visokog obrazovanja podržaće se za unapređenje kvaliteta i relevantnosti obrazovanja i osposobljavanja u visokom obrazovanju koje pokreću inovacije, koje pruža praktično iskustvo i na taj način pomaže da se poveća i održi zapošljivost i da se prevaziđe nepodudaranje vještina na tržištu rada koje se brzo razvija.</w:t>
      </w:r>
    </w:p>
    <w:p w14:paraId="13BA479E"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b/>
          <w:bCs/>
          <w:sz w:val="20"/>
          <w:szCs w:val="20"/>
        </w:rPr>
        <w:lastRenderedPageBreak/>
        <w:t>U oblasti zapošljavanja,</w:t>
      </w:r>
      <w:r w:rsidRPr="00F563CD">
        <w:rPr>
          <w:rFonts w:asciiTheme="minorHAnsi" w:eastAsia="Calibri" w:hAnsiTheme="minorHAnsi" w:cs="Calibri"/>
          <w:sz w:val="20"/>
          <w:szCs w:val="20"/>
        </w:rPr>
        <w:t xml:space="preserve"> akcije će podržati povećanje zapošljivosti i zapošljavanje ranjivih grupa na tržištu rada kroz pripremu i sprovođenje inovativnih lokalnih inicijativa za podsticanje zapošljavanja u skladu sa lokalnim potrebama i strateškim prioritetima. One će takođe podržati mehanizme socijalnog preduzetništva koji imaju za cilj povećanje zapošljivosti i socijalne inkluzije putem socijalnog preduzetništva, sa posebnim akcentom na ranjivim grupama. Akcija “Program za samozaposlene” (grantovi) će dalje podržati samozapošljavanje lica sa evidencije Zavoda za zapošljavanje, naročito žena, mladih i dugoročno nezaposlenih. Akcija “Garancija za mlade” ima za cilj smanjenje stope nezaposlenosti mladih lica sa posebnim akcentom na onima koji nisu zaposleni niti su u sistemu obrazovanja i osposobljavanja (NEETs), obezbjeđivanje kvalitetne ponude za zapošljavanje, kontinuirano obrazovanje, šegrtovanje ili stažiranje u periodu od četiri mjeseca nakon što postanu nezaposleni ili nakon što napuste formalno obrazovanje, dok bi akcija “Aktivirajmo žene” pružila direktnu podršku mjerama za politiku aktivnog zapošljavanja koja je usmjerena na aktiviranje nezaposlenih mladih žena koje imaju djecu predškolskog uzrasta, kao naročito ranjiva grupa na tržištu rada. </w:t>
      </w:r>
    </w:p>
    <w:p w14:paraId="6C5A35B0"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U oblasti </w:t>
      </w:r>
      <w:r w:rsidRPr="00F563CD">
        <w:rPr>
          <w:rFonts w:asciiTheme="minorHAnsi" w:eastAsia="Calibri" w:hAnsiTheme="minorHAnsi" w:cs="Calibri"/>
          <w:b/>
          <w:bCs/>
          <w:sz w:val="20"/>
          <w:szCs w:val="20"/>
        </w:rPr>
        <w:t>socijalnih politika,</w:t>
      </w:r>
      <w:r w:rsidRPr="00F563CD">
        <w:rPr>
          <w:rFonts w:asciiTheme="minorHAnsi" w:eastAsia="Calibri" w:hAnsiTheme="minorHAnsi" w:cs="Calibri"/>
          <w:sz w:val="20"/>
          <w:szCs w:val="20"/>
        </w:rPr>
        <w:t xml:space="preserve"> akcije će podržati uspostavljanje i pilotiranje Garancije za djecu u Crnoj Gori, kao i proces deinstitucionalizacije usmjeren na unapređenje socijalne inkluzije lica sa invaliditetom u Crnoj Gori, kroz podršku procesu deinstitucionalizacije, transformacije rezidentnih socijalnih ustanova i podršku za život porodicama i zajednicama, kao i dalju politiku i podršku za zagovaranje. </w:t>
      </w:r>
    </w:p>
    <w:p w14:paraId="5BCA911B"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eastAsia="Calibri" w:hAnsiTheme="minorHAnsi" w:cs="Calibri"/>
          <w:b/>
          <w:sz w:val="20"/>
          <w:szCs w:val="20"/>
        </w:rPr>
        <w:t>U oblasti zdravlja</w:t>
      </w:r>
      <w:r w:rsidRPr="00F563CD">
        <w:rPr>
          <w:rFonts w:asciiTheme="minorHAnsi" w:eastAsia="Calibri" w:hAnsiTheme="minorHAnsi" w:cs="Calibri"/>
          <w:sz w:val="20"/>
          <w:szCs w:val="20"/>
        </w:rPr>
        <w:t>, akcije će pružiti podršku za nadzor i vakcinaciju, podršku za kontrolu zaraznih bolesti, kao i za podizanje svijesti i sprečavanje dijabetesa. Kada su u pitanju prioriteti unutar javnog zdravlja, dalje unapređenje zdravstvenog sistema pretpostavlja standardizaciju i akreditaciju institucija javnog zdravlja</w:t>
      </w:r>
      <w:r w:rsidRPr="00F563CD">
        <w:rPr>
          <w:rFonts w:asciiTheme="minorHAnsi" w:hAnsiTheme="minorHAnsi"/>
          <w:sz w:val="20"/>
          <w:szCs w:val="20"/>
        </w:rPr>
        <w:t xml:space="preserve">, kako bi se postigli relevantni međunarodni standardi kvaliteta zdravstvenih usluga. Crnogorska Vlada fokusirana je da dugoročno postigne visok nivo kvaliteta, uključujući osiguranje i procjenu kvaliteta, sertifikovanje, referenciranje, reviziju uprave i klinike, eksternu procjenu, kvalitet i bezbjednost, unapređenje kvaliteta, mjerenje učinka, praćenje kvaliteta i standardizaciju u oblasti zdravstva. Glavni cilj jeste da se građanima pruži visok stepen povjerenja u zdravstvene usluge. Kada je u pitanju širi uticaj, standardizacija i akreditacija zdravstvenih usluga, akcija bi dalje podržala razvoj zdravstvenog turizma u skladu sa Strategijom pametne specijalizacije (S3). </w:t>
      </w:r>
    </w:p>
    <w:p w14:paraId="052D8F81" w14:textId="77777777" w:rsidR="00047EF8" w:rsidRPr="00F563CD" w:rsidRDefault="00047EF8" w:rsidP="00047EF8">
      <w:pPr>
        <w:spacing w:line="240" w:lineRule="auto"/>
        <w:jc w:val="both"/>
        <w:rPr>
          <w:rFonts w:asciiTheme="minorHAnsi" w:hAnsiTheme="minorHAnsi"/>
        </w:rPr>
      </w:pPr>
      <w:r w:rsidRPr="00F563CD">
        <w:rPr>
          <w:rFonts w:asciiTheme="minorHAnsi" w:hAnsiTheme="minorHAnsi"/>
          <w:sz w:val="20"/>
          <w:szCs w:val="20"/>
        </w:rPr>
        <w:t>Kada su u pitanju nejednakosti u zdravstvu, poboljšanje pristupa zdravstvenim uslugama treba da bude dostupnije ranjivim grupama, naročito licima sa invaliditetom i starijim licima u ruralnim područujima. Da bi se nastavilo sa unapređenjem pristupa zdravlju i uslugama za ranjive populacije, uključujući Rome i druge manjine, starija lica, lica sa mentalnim zdravstvenim problemima, lica sa invaliditetom, kao i populacije u ruralnim ili udaljenim područjima, jedan od prioriteta jeste unapređenje mobilne zdravstvene infrastrukture.</w:t>
      </w:r>
    </w:p>
    <w:p w14:paraId="3FE70169"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Na osnovu Zakona o regionalnom razvoju (“Službeni list Crne Gore”, broj: 20/2011, 26/2011, 20/2015 i 47/2019) i Odluke o načinu izračunavanja razvojnog indeksa jedinica lokalne samouprave, nivo razvoja jedinica lokalne samouprave definisan je istim zakonom kako bi se planirali razvojni prioriteti i politika regionalnog razvoja, nekoliko jedinica lokalne samouprave su geografski povezane u regije, tj. primorska, centralna i sjeverna regija. Upoređivanjem indeksa razvoja jedinica lokalne samouprave i regionalne podjele Crne Gore, očigledno je da je sjeverni dio Crne Gore manje razvijen od ostatka Crne Gore. U sjevernoj regiji postoje opštine sa najvišim procentom odstupanja od prosječne vrijednosti indeksa razvoja u Crnoj Gori. Ove opštine na sjeveru, koje su najmanje razvijene, imaju najviše ruralnih područja u Crnoj Gori. </w:t>
      </w:r>
    </w:p>
    <w:p w14:paraId="1C2DDFCE"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Zakon o zdravstvenoj njezi definiše da su svi građani i građanke jednaki u ostvarivanju svojih prava na zdravstvenu njegu. </w:t>
      </w:r>
    </w:p>
    <w:p w14:paraId="26EFA054"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Međutim, uslovi za pružanje zdravstvene njege u ruralnim područjima Crne Gore, uprkos naporima i želji zdravstvenog sistema da osigura jednak pristup svim pacijentima, razlikuju se u urbanim opštinama, gdje je mnogo bolja infrastruktura i kadar, kao i snabdjevenost medicinskom opremom. </w:t>
      </w:r>
    </w:p>
    <w:p w14:paraId="51E67CB9"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Naime, domovi zdravlja koji pružaju usluge na primarnom nivou zdravstvene njege imaju regionalne klinike. Doktori najčešće posjećuju ove organizacione jedinice po potrebi ili u smjenama. Zbog slabe drumske infrastrukture, nepovoljnih vremenskih uslova, ali i činjenice da u ovim područjima u najvećem procentu stanuje starija i slabije mobilna populacija, pružanje pravovremene zdravstvene njege je u velikoj mjeri otežano. Takođe, zbog malog broja pacijenata na ovim klinikama, u većini slučajeva obezbijeđeni su minimalni uslovi za pružanje zdravstvenih usluga. </w:t>
      </w:r>
    </w:p>
    <w:p w14:paraId="124BA69E"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U tom smislu, jedna od prioritetnih aktivnosti Ministarstva zdravlja u predstojećem periodu biće unapređenje tehnološke i prostorne infrastrukture zdravstvenih jedinica u ruralnim područjima, kako bi se pružio tretman pacijenata u njihovom mjestu boravka, odnosno smanjila potreba napuštanja mjesta boravka radi odlaska u domove zdravlja, gradske domove zdravlja, čime bi se postigla bolja efikasnost sistema. Zbog velikih i teško pristupačnih područja, koja su vrlo često nepristupačna, i gdje se nalaze dispanzeri i zdravstvene stanice, neophodno je obezbijediti terenska vozila i sanke, zbog </w:t>
      </w:r>
      <w:r w:rsidRPr="00F563CD">
        <w:rPr>
          <w:rFonts w:asciiTheme="minorHAnsi" w:hAnsiTheme="minorHAnsi"/>
          <w:sz w:val="20"/>
          <w:szCs w:val="20"/>
        </w:rPr>
        <w:lastRenderedPageBreak/>
        <w:t xml:space="preserve">činjenice što su postojeća istrošena, a troškovi njihovog održavanja prevazilaze ekonomsku isplativost i što nijesu pouzdani za svakodnevnu upotrebu. </w:t>
      </w:r>
    </w:p>
    <w:p w14:paraId="7B43B3F7"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 xml:space="preserve">Cilj Ministrastva zdravlja jeste da se omoguće svi gorenavedeni uslovi, odnosno adaptacija i rekonstrucija što više klinika i zdravstvenih stanica u ruralnim područjima kako bi se stvorili bolji uslovi za njihovu opremu, za rad odgovarajućeg osoblja, i, kao najvažniji aspekat, uslovi za ispunjavanje svih potreba i uslova pacijenata u ovim oblastima na polju zdravstvene njege.  </w:t>
      </w:r>
    </w:p>
    <w:p w14:paraId="6F5C1040"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Ministarstvo zdravlja kontinuirano sprovodi aktivnosti za zajedničko razmatranje prioritetnih potreba zdravstvenih ustanova za izgradnju i rekonstrukciju / adaptaciju objekata kako bi se obezbijedio odgovarajući prostorni kapacitet kao i za nabavku medicinske opreme neophodne za kontinuiranu i pravovremenu zdravstvenu njegu.</w:t>
      </w:r>
    </w:p>
    <w:p w14:paraId="39E85B77"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U okviru programa Twinning kroz EUIF, Ministarstvo zdravlja će tražiti podršku kroz “Twinning light program” za Poglavlje 28 Zaštita potrošača i zdravlja, zarazne bolesti, kontrola duvana, krv, organi i ćelije (SOHO legislativa), mentalno zdravlje, ishrana, zdravstvene nejednakosti, e-zdravlje.</w:t>
      </w:r>
    </w:p>
    <w:p w14:paraId="2209B395"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Crna Gora treba da ulaže u svoj tehnički i kadrovski kapacitet da ispuni mjerila u ovom poglavlju, a u oblasti javnog zdravlja postoje dva mjerila. Kroz CAP 2018, značajna sredstva će biti dodijeljena Crnoj Gori za ispunjavanje ovih kriterijuma, međutim potrebna je dalja podrška i može se na najbolji način iskoristiti putem mehanizma podrške “Twining light”.</w:t>
      </w:r>
    </w:p>
    <w:p w14:paraId="693B1C50"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hAnsiTheme="minorHAnsi"/>
          <w:sz w:val="20"/>
          <w:szCs w:val="20"/>
        </w:rPr>
        <w:t>Dalja podrška se može ogledati u pripremi strateških dokumenata u oblasti zdravlja koji bi bili u skladu sa propisima Evropske unije, kratkoročnim i dugoročnim razvojnim ciljevima i planovima na nivou EU, uvođenjem novih i modernih tehnologija za liječenje i usklađivanjem svojih propisa tako da se moderne tehnologije mogu primjenjivati. Ovo je naročito tačno za upotrebu e-zdravlja kao i za smanjenje zdravstvenih nejednakosti.</w:t>
      </w:r>
    </w:p>
    <w:p w14:paraId="1BBA2A51" w14:textId="77777777" w:rsidR="00047EF8" w:rsidRPr="00F563CD" w:rsidRDefault="00047EF8" w:rsidP="00047EF8">
      <w:pPr>
        <w:autoSpaceDE w:val="0"/>
        <w:autoSpaceDN w:val="0"/>
        <w:adjustRightInd w:val="0"/>
        <w:spacing w:after="0" w:line="240" w:lineRule="auto"/>
        <w:jc w:val="both"/>
        <w:rPr>
          <w:rFonts w:asciiTheme="minorHAnsi" w:hAnsiTheme="minorHAnsi"/>
          <w:sz w:val="20"/>
          <w:szCs w:val="20"/>
        </w:rPr>
      </w:pPr>
      <w:r w:rsidRPr="00F563CD">
        <w:rPr>
          <w:rFonts w:asciiTheme="minorHAnsi" w:hAnsiTheme="minorHAnsi"/>
          <w:sz w:val="20"/>
          <w:szCs w:val="20"/>
        </w:rPr>
        <w:t>Jedan od prioriteta u ovoj oblasti ostaje upućivanje na pitanja koja se odnose na zdravlje i bezbjednost u radu, a osnivanje Fonda za bezbjednost i zdravlje na radnom mjestu koji je predviđen sektorskim strategijama (2010-2014 i 2016-2020) još uvijek nije okončano. Rad na unapređenju odgovarajućeg zakonodavnog okvira je u toku. Da bi se omogućili uslovi i unaprijedila koordinacija u oblasti bezbjednosti na radnom mjestu, dalja podrška za osnivanje Fonda za bezbjednost i zdravlje na radnom mjestu predviđena je u okviru IPA III u oblasti zdravlja. EU-OSHA je informaciona agencija Evropske unije za bezbjednost i zdravlje na radnom mjestu. Tijesna saradnja sa EU-OSHA potrebna je kako bi se uputilo na nacionalne prioritete, kao i na Strateški okvir Evropske komisije za zdravlje i bezbjednost na radu 2021-2027. i ostale relevantne strategije i programe Evropske unije.</w:t>
      </w:r>
    </w:p>
    <w:p w14:paraId="4FF62590" w14:textId="77777777" w:rsidR="00047EF8" w:rsidRPr="00F563CD" w:rsidRDefault="00047EF8" w:rsidP="00047EF8">
      <w:pPr>
        <w:autoSpaceDE w:val="0"/>
        <w:autoSpaceDN w:val="0"/>
        <w:adjustRightInd w:val="0"/>
        <w:spacing w:after="0" w:line="240" w:lineRule="auto"/>
        <w:jc w:val="both"/>
        <w:rPr>
          <w:rFonts w:asciiTheme="minorHAnsi" w:hAnsiTheme="minorHAnsi"/>
          <w:sz w:val="20"/>
          <w:szCs w:val="20"/>
        </w:rPr>
      </w:pPr>
    </w:p>
    <w:p w14:paraId="310BF1BC" w14:textId="77777777" w:rsidR="00047EF8" w:rsidRPr="00F563CD" w:rsidRDefault="00047EF8" w:rsidP="00047EF8">
      <w:pPr>
        <w:spacing w:line="240" w:lineRule="auto"/>
        <w:jc w:val="both"/>
        <w:rPr>
          <w:rFonts w:asciiTheme="minorHAnsi" w:hAnsiTheme="minorHAnsi"/>
          <w:b/>
          <w:sz w:val="20"/>
          <w:szCs w:val="20"/>
        </w:rPr>
      </w:pPr>
      <w:r w:rsidRPr="00F563CD">
        <w:rPr>
          <w:rFonts w:asciiTheme="minorHAnsi" w:eastAsia="Calibri" w:hAnsiTheme="minorHAnsi" w:cs="Calibri"/>
          <w:b/>
          <w:i/>
          <w:iCs/>
          <w:sz w:val="20"/>
          <w:szCs w:val="20"/>
        </w:rPr>
        <w:t>Tematski prioritet 2: Razvoj privatnog sektora, trgovina, istraživanje i inovacije</w:t>
      </w:r>
    </w:p>
    <w:p w14:paraId="32458CC5"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Predložene akcije u oblasti razvoja privatnog sektora imaće za cilj podršku inovacionim projektima većeg obima, podršku dijelu naučnih tehnologija, kao i podršku razvoju privatnog sektora, sa fokusom na malim i srednjim preduzećima, i ekonomiji zasnovanoj na znanju u Crnoj Gori, u skladu sa pravnom tekovinom Evropske unije u oblasti Konkurentnosti i inovacija. Predložene aktivnosti koje se odnose na izradu zakona u oblasti kolektivnih investicionih šema, doprinijeće daljem usklađivanju zakona u skladu sa obavezama iz Poglavlja 9 – Finansijske usluge. Pored toga, predložene akcije će težiti ciljevima definisanim u Programskom okviru koji podržava četvorostruki heliks model inovacija sa interakcijom između akademske zajednice, privrede, vlade Crne Gore i civilnog društva. Akcenat intervencija biće na jačanju ljudskih resursa i kapaciteta u oblasti nauke, koji promovišu vezu između nauke i privrede, njegujući relevantnost i kvalitet istraživanja, uključujući konkurentnost i uticaj na nacionalnom i međunarodnom nivou. Intervencije će podsticati inovacije i izvrsnost u istraživanju kao pokretače stvaranja zelenih poslova.</w:t>
      </w:r>
    </w:p>
    <w:p w14:paraId="31362261" w14:textId="77777777" w:rsidR="00047EF8" w:rsidRPr="00F563CD" w:rsidRDefault="00047EF8" w:rsidP="00047EF8">
      <w:pPr>
        <w:spacing w:line="240" w:lineRule="auto"/>
        <w:jc w:val="both"/>
        <w:rPr>
          <w:rFonts w:asciiTheme="minorHAnsi" w:eastAsia="Calibri" w:hAnsiTheme="minorHAnsi" w:cs="Calibri"/>
          <w:b/>
          <w:i/>
          <w:iCs/>
          <w:sz w:val="20"/>
          <w:szCs w:val="20"/>
        </w:rPr>
      </w:pPr>
      <w:r w:rsidRPr="00F563CD">
        <w:rPr>
          <w:rFonts w:asciiTheme="minorHAnsi" w:eastAsia="Calibri" w:hAnsiTheme="minorHAnsi" w:cs="Calibri"/>
          <w:b/>
          <w:i/>
          <w:iCs/>
          <w:sz w:val="20"/>
          <w:szCs w:val="20"/>
        </w:rPr>
        <w:t>Tematski prioritet 3: Poljoprivreda i ruralni razvoj</w:t>
      </w:r>
    </w:p>
    <w:p w14:paraId="04D1C1A7" w14:textId="77777777" w:rsidR="00047EF8" w:rsidRPr="00F563CD" w:rsidRDefault="00047EF8" w:rsidP="00047EF8">
      <w:pPr>
        <w:spacing w:line="240" w:lineRule="auto"/>
        <w:jc w:val="both"/>
        <w:rPr>
          <w:rFonts w:asciiTheme="minorHAnsi" w:hAnsiTheme="minorHAnsi"/>
          <w:sz w:val="20"/>
          <w:szCs w:val="20"/>
        </w:rPr>
      </w:pPr>
      <w:r w:rsidRPr="00F563CD">
        <w:rPr>
          <w:rFonts w:asciiTheme="minorHAnsi" w:eastAsia="Calibri" w:hAnsiTheme="minorHAnsi" w:cs="Calibri"/>
          <w:sz w:val="20"/>
          <w:szCs w:val="20"/>
        </w:rPr>
        <w:t xml:space="preserve">Predložene akcije usklađene su sa glavnim dešavanjima u okiru Zajedničke poljoprivredne politike Evropske unije i relevantne u kontekstu pristupanja EU i ispunjenja završnih mjerila pregovaračkih poglavlja 11 i 12. Kada je u pitanju Poglavlje 11, akcija direktno doprinosi ispunjenju mjerila, kroz akcenat na stvaranju sistema upravljanja i kontrole direktnim plaćanjima, mjerama ruralnog razvoja, višestrukoj usklađenosti i funkcionalnijoj organizaciji zajedničkog tržišta, i izgradnji administrativnih kapaciteta za osmišljavanje i sprovođenje politike. Pored toga, predložene akcije će imati za cilj osnaživanje pozicije poljoprivrednih proizvođača u Crnoj Gori u lancu ponude kroz jačanje saradnje između proizvođača, podizanje svijesti kroz upućivanje na Evropski zeleni dogovor. Kada je u pitanju Poglavlje 12, akcenat akcije jeste na završnim mjeriima kroz fokus na stvaranju sistema upravljanja i kontrole bezbjednosti hrane i izgradnji administrativnih kapaciteta za osmišljavanje politike i implementaciju, naročito u pogledu prilagođavanja tekućih dešavanja u okviru Poglavlja 12. Ribarstvo se odnosi na </w:t>
      </w:r>
      <w:r w:rsidRPr="00F563CD">
        <w:rPr>
          <w:rFonts w:asciiTheme="minorHAnsi" w:eastAsia="Calibri" w:hAnsiTheme="minorHAnsi" w:cs="Calibri"/>
          <w:sz w:val="20"/>
          <w:szCs w:val="20"/>
        </w:rPr>
        <w:lastRenderedPageBreak/>
        <w:t>2 Poglavlja: Poglavlje 11 i Poglavlje 27 – Životna sredina i klimatske promjene. Na nivou EU, glavni izvor finansiranja u oblasti šumarstva jeste putem Zajedničke poljoprivredne politike, sa akcentom na ruralnom razvojnom stubu i Evropskom poljoprivrednom fondu za ruralni razvoj. Akcija će osigurati prikupljanje i razmjenu podataka za planiranje održivog upravljanja. Na taj način, predložene akcije su u potpunosti u skladu sa posebnim ciljem Tematskog prioriteta 3, a to je postepena izgradnja sektora poljoprivrede koji je sposoban da bude u konkurenciji sa silama na tržištu, dok se progresivno usklađuje sa zakonskim okvirom EU u oblasti poljoprivrede i ruralnog razvoja i relevantnim standardima veterine, bezbjednosti hrane i fitosanitarnim standardima.</w:t>
      </w:r>
    </w:p>
    <w:p w14:paraId="7DFED20C" w14:textId="77777777" w:rsidR="00047EF8" w:rsidRPr="00F563CD" w:rsidRDefault="00047EF8" w:rsidP="00047EF8">
      <w:pPr>
        <w:spacing w:line="240" w:lineRule="auto"/>
        <w:jc w:val="both"/>
        <w:rPr>
          <w:rFonts w:asciiTheme="minorHAnsi" w:hAnsiTheme="minorHAnsi"/>
          <w:b/>
          <w:sz w:val="20"/>
          <w:szCs w:val="20"/>
        </w:rPr>
      </w:pPr>
      <w:r w:rsidRPr="00F563CD">
        <w:rPr>
          <w:rFonts w:asciiTheme="minorHAnsi" w:eastAsia="Calibri" w:hAnsiTheme="minorHAnsi" w:cs="Calibri"/>
          <w:b/>
          <w:i/>
          <w:iCs/>
          <w:sz w:val="20"/>
          <w:szCs w:val="20"/>
        </w:rPr>
        <w:t>Tematski prioritet 4: Ribarstvo</w:t>
      </w:r>
    </w:p>
    <w:p w14:paraId="33CD00E9" w14:textId="77777777" w:rsidR="00047EF8" w:rsidRPr="00F563CD" w:rsidRDefault="00047EF8" w:rsidP="00047EF8">
      <w:pPr>
        <w:spacing w:line="240" w:lineRule="auto"/>
        <w:jc w:val="both"/>
        <w:rPr>
          <w:rFonts w:asciiTheme="minorHAnsi" w:eastAsia="Calibri" w:hAnsiTheme="minorHAnsi" w:cs="Calibri"/>
          <w:sz w:val="20"/>
          <w:szCs w:val="20"/>
        </w:rPr>
      </w:pPr>
      <w:r w:rsidRPr="00F563CD">
        <w:rPr>
          <w:rFonts w:asciiTheme="minorHAnsi" w:eastAsia="Calibri" w:hAnsiTheme="minorHAnsi" w:cs="Calibri"/>
          <w:sz w:val="20"/>
          <w:szCs w:val="20"/>
        </w:rPr>
        <w:t xml:space="preserve">Predložena akcija je usklađena sa dešavanjima unutar Zajedničke politike za ribarstvo u EU i relevantna je u kontekstu pristupanja Evropskoj uniji i pregovaračkog Poglavlja 13. Sprovođenje ove akcije, sa posebnim akcentom na dokumentima za sprovođenje Zajedničke politike za ribarstvo i razvoj Informacionog sistema za ribarstvo (FIS) i Centra za praćenje ribarstva (FMC), direktno utiče na ispunjenje mjerila Poglavlja 13, time ga čineći potpuno usklađenim sa posebnim ciljem Tematskog prioriteta 4, a to je povećanje sposobnosti hvatanja u koštac sa konkurentnim pritiskom i silama na tržištu, kao i progresivno usklađivanje sa pravilima i standardima Evropske unije i promovisanje akvakulture. </w:t>
      </w:r>
    </w:p>
    <w:p w14:paraId="5AA8A982" w14:textId="77777777" w:rsidR="00047EF8" w:rsidRPr="00F563CD" w:rsidRDefault="00047EF8" w:rsidP="00047EF8">
      <w:pPr>
        <w:pStyle w:val="Heading2"/>
        <w:numPr>
          <w:ilvl w:val="0"/>
          <w:numId w:val="31"/>
        </w:numPr>
        <w:rPr>
          <w:rFonts w:asciiTheme="minorHAnsi" w:hAnsiTheme="minorHAnsi" w:cs="Arial"/>
          <w:smallCaps/>
          <w:color w:val="auto"/>
          <w:sz w:val="24"/>
          <w:szCs w:val="24"/>
        </w:rPr>
      </w:pPr>
      <w:bookmarkStart w:id="61" w:name="_Toc91500285"/>
      <w:r w:rsidRPr="00F563CD">
        <w:rPr>
          <w:rFonts w:asciiTheme="minorHAnsi" w:hAnsiTheme="minorHAnsi" w:cs="Arial"/>
          <w:smallCaps/>
          <w:color w:val="auto"/>
          <w:sz w:val="24"/>
          <w:szCs w:val="24"/>
        </w:rPr>
        <w:t>Lista predloženih akcija za IPA III podršku 2021 – 2024.</w:t>
      </w:r>
      <w:bookmarkEnd w:id="61"/>
    </w:p>
    <w:p w14:paraId="137BC947" w14:textId="2FE02544" w:rsidR="00047EF8" w:rsidRDefault="00FE2154" w:rsidP="00047EF8">
      <w:pPr>
        <w:pStyle w:val="Heading4"/>
        <w:jc w:val="center"/>
        <w:rPr>
          <w:rFonts w:asciiTheme="minorHAnsi" w:hAnsiTheme="minorHAnsi" w:cs="Arial"/>
          <w:i w:val="0"/>
          <w:color w:val="auto"/>
          <w:lang w:val="fr-BE"/>
        </w:rPr>
      </w:pPr>
      <w:r>
        <w:rPr>
          <w:rFonts w:asciiTheme="minorHAnsi" w:hAnsiTheme="minorHAnsi" w:cs="Arial"/>
          <w:i w:val="0"/>
          <w:color w:val="auto"/>
          <w:lang w:val="fr-BE"/>
        </w:rPr>
        <w:t>PROGRAMSKA GODINA 2021</w:t>
      </w:r>
    </w:p>
    <w:p w14:paraId="450265F6" w14:textId="77777777" w:rsidR="00FE2154" w:rsidRPr="00FE2154" w:rsidRDefault="00FE2154" w:rsidP="00FE2154">
      <w:pPr>
        <w:spacing w:after="0"/>
        <w:rPr>
          <w:lang w:val="fr-BE"/>
        </w:rPr>
      </w:pPr>
    </w:p>
    <w:p w14:paraId="0EE57599" w14:textId="77777777" w:rsidR="00047EF8" w:rsidRPr="00F563CD" w:rsidRDefault="00047EF8" w:rsidP="00047EF8">
      <w:pPr>
        <w:rPr>
          <w:rFonts w:asciiTheme="minorHAnsi" w:eastAsiaTheme="minorEastAsia" w:hAnsiTheme="minorHAnsi" w:cstheme="minorBidi"/>
          <w:bCs/>
          <w:sz w:val="20"/>
          <w:szCs w:val="20"/>
          <w:lang w:val="fr-BE"/>
        </w:rPr>
      </w:pPr>
      <w:r w:rsidRPr="00F563CD">
        <w:rPr>
          <w:rFonts w:asciiTheme="minorHAnsi" w:eastAsiaTheme="minorEastAsia" w:hAnsiTheme="minorHAnsi" w:cstheme="minorBidi"/>
          <w:bCs/>
          <w:sz w:val="20"/>
          <w:szCs w:val="20"/>
          <w:lang w:val="fr-BE"/>
        </w:rPr>
        <w:t xml:space="preserve">Na početku procesa programiranja IPA 2021, dostavljeni su sljedeći </w:t>
      </w:r>
      <w:r w:rsidR="00472766" w:rsidRPr="00F563CD">
        <w:rPr>
          <w:rFonts w:asciiTheme="minorHAnsi" w:eastAsiaTheme="minorEastAsia" w:hAnsiTheme="minorHAnsi" w:cstheme="minorBidi"/>
          <w:bCs/>
          <w:sz w:val="20"/>
          <w:szCs w:val="20"/>
          <w:lang w:val="fr-BE"/>
        </w:rPr>
        <w:t>opisi</w:t>
      </w:r>
      <w:r w:rsidRPr="00F563CD">
        <w:rPr>
          <w:rFonts w:asciiTheme="minorHAnsi" w:eastAsiaTheme="minorEastAsia" w:hAnsiTheme="minorHAnsi" w:cstheme="minorBidi"/>
          <w:bCs/>
          <w:sz w:val="20"/>
          <w:szCs w:val="20"/>
          <w:lang w:val="fr-BE"/>
        </w:rPr>
        <w:t xml:space="preserve"> projekata (Action Fiche</w:t>
      </w:r>
      <w:proofErr w:type="gramStart"/>
      <w:r w:rsidRPr="00F563CD">
        <w:rPr>
          <w:rFonts w:asciiTheme="minorHAnsi" w:eastAsiaTheme="minorEastAsia" w:hAnsiTheme="minorHAnsi" w:cstheme="minorBidi"/>
          <w:bCs/>
          <w:sz w:val="20"/>
          <w:szCs w:val="20"/>
          <w:lang w:val="fr-BE"/>
        </w:rPr>
        <w:t>):</w:t>
      </w:r>
      <w:proofErr w:type="gramEnd"/>
    </w:p>
    <w:p w14:paraId="13DD2907" w14:textId="77777777" w:rsidR="00047EF8" w:rsidRPr="00F563CD" w:rsidRDefault="00047EF8" w:rsidP="00047EF8">
      <w:pPr>
        <w:spacing w:before="120" w:after="0" w:line="240" w:lineRule="auto"/>
        <w:jc w:val="both"/>
        <w:rPr>
          <w:rFonts w:asciiTheme="minorHAnsi" w:eastAsiaTheme="minorEastAsia" w:hAnsiTheme="minorHAnsi" w:cstheme="minorBidi"/>
          <w:b/>
          <w:bCs/>
          <w:sz w:val="20"/>
          <w:szCs w:val="20"/>
          <w:lang w:val="fr-BE"/>
        </w:rPr>
      </w:pPr>
      <w:r w:rsidRPr="00F563CD">
        <w:rPr>
          <w:rFonts w:asciiTheme="minorHAnsi" w:eastAsiaTheme="minorEastAsia" w:hAnsiTheme="minorHAnsi" w:cstheme="minorBidi"/>
          <w:b/>
          <w:bCs/>
          <w:sz w:val="20"/>
          <w:szCs w:val="20"/>
          <w:lang w:val="fr-BE"/>
        </w:rPr>
        <w:t xml:space="preserve">AF1 Podrška sektoru poljoprivrede i ruralnog razvoja u Crnoj Gori </w:t>
      </w:r>
      <w:r w:rsidRPr="00F563CD">
        <w:rPr>
          <w:rFonts w:asciiTheme="minorHAnsi" w:eastAsiaTheme="minorEastAsia" w:hAnsiTheme="minorHAnsi" w:cstheme="minorBidi"/>
          <w:bCs/>
          <w:sz w:val="20"/>
          <w:szCs w:val="20"/>
          <w:lang w:val="fr-BE"/>
        </w:rPr>
        <w:t xml:space="preserve">(4.3 Poljoprivreda i ruralni razvoj) </w:t>
      </w:r>
    </w:p>
    <w:p w14:paraId="267BBF18" w14:textId="77777777" w:rsidR="00047EF8" w:rsidRPr="00F563CD" w:rsidRDefault="00047EF8" w:rsidP="00047EF8">
      <w:pPr>
        <w:spacing w:before="120" w:after="120" w:line="240" w:lineRule="auto"/>
        <w:jc w:val="both"/>
        <w:rPr>
          <w:rFonts w:asciiTheme="minorHAnsi" w:eastAsiaTheme="minorEastAsia" w:hAnsiTheme="minorHAnsi" w:cstheme="minorBidi"/>
          <w:sz w:val="20"/>
          <w:szCs w:val="20"/>
          <w:lang w:val="fr-BE"/>
        </w:rPr>
      </w:pPr>
      <w:r w:rsidRPr="00F563CD">
        <w:rPr>
          <w:rFonts w:asciiTheme="minorHAnsi" w:eastAsiaTheme="minorEastAsia" w:hAnsiTheme="minorHAnsi" w:cstheme="minorBidi"/>
          <w:sz w:val="20"/>
          <w:szCs w:val="20"/>
          <w:lang w:val="fr-BE"/>
        </w:rPr>
        <w:t>Pregovaračko Poglavlje 11</w:t>
      </w:r>
      <w:r w:rsidRPr="00F563CD">
        <w:rPr>
          <w:rFonts w:asciiTheme="minorHAnsi" w:eastAsiaTheme="minorEastAsia" w:hAnsiTheme="minorHAnsi" w:cstheme="minorBidi"/>
          <w:b/>
          <w:bCs/>
          <w:sz w:val="20"/>
          <w:szCs w:val="20"/>
          <w:lang w:val="fr-BE"/>
        </w:rPr>
        <w:t xml:space="preserve"> </w:t>
      </w:r>
      <w:r w:rsidRPr="00F563CD">
        <w:rPr>
          <w:rFonts w:asciiTheme="minorHAnsi" w:eastAsiaTheme="minorEastAsia" w:hAnsiTheme="minorHAnsi" w:cstheme="minorBidi"/>
          <w:sz w:val="20"/>
          <w:szCs w:val="20"/>
          <w:lang w:val="fr-BE"/>
        </w:rPr>
        <w:t xml:space="preserve">otvoreno je u decembru 2016. </w:t>
      </w:r>
      <w:proofErr w:type="gramStart"/>
      <w:r w:rsidRPr="00F563CD">
        <w:rPr>
          <w:rFonts w:asciiTheme="minorHAnsi" w:eastAsiaTheme="minorEastAsia" w:hAnsiTheme="minorHAnsi" w:cstheme="minorBidi"/>
          <w:sz w:val="20"/>
          <w:szCs w:val="20"/>
          <w:lang w:val="fr-BE"/>
        </w:rPr>
        <w:t>godine</w:t>
      </w:r>
      <w:proofErr w:type="gramEnd"/>
      <w:r w:rsidRPr="00F563CD">
        <w:rPr>
          <w:rFonts w:asciiTheme="minorHAnsi" w:eastAsiaTheme="minorEastAsia" w:hAnsiTheme="minorHAnsi" w:cstheme="minorBidi"/>
          <w:sz w:val="20"/>
          <w:szCs w:val="20"/>
          <w:lang w:val="fr-BE"/>
        </w:rPr>
        <w:t>. Fokus akcije jeste na stvaranju funkcionalnijeg sistema upravljanja i kontrole direktnim plaćanjima i izgradnji administrativnih kapaciteta za osmišljavanje i sprovođenje politike. Ova akcija će pružiti podršku jačanju administrativnih i tehničkih kapaciteta ustanove zadužene za kreiranje (Direktorat za poljoprivredu i Odjeljenje za tržišnu i ekonomsku analizu) i sprovođenje (Direktorat za plaćanja) politike u oblasti poljoprivrede i ruralnog razvoja. Izgradnja administrativnih kapaciteta će biti uglavnom tražena u vezi sa predstoječim dešavanjima u okviru Zajedničke poljoprivredne politike, uključujući teme kao što su: mehanizmi Organizacije zajedničkog tržišta, direktna plaćanja, usvajanje standarda za unakrsnu usklađenost, programiranje budućih prioriteta i prepoznavanje potencijalnih strateških ciljeva koji se odnose na poglavlje 11, pružanje pomoći u pogledu prilagođavanja sadašnjim i budućim dešavanjima u okviru poglavlja 11 pravne tekovine, sa posebnim akcentom na izgradnji kapaciteta za Direktorat za plaćanja. Ulaganja u opremu će osnažiti i modernizovati sistem upravljanja i kontrole, koji će za uzvrat imati uticaja na kvalitet rezultata praćenja i unapređenje kapaciteta za jednoobrazno sprovođenje politike i propisa širom zemlje.</w:t>
      </w:r>
    </w:p>
    <w:p w14:paraId="745ED57B" w14:textId="77777777" w:rsidR="00047EF8" w:rsidRPr="00F563CD" w:rsidRDefault="00047EF8" w:rsidP="00047EF8">
      <w:pPr>
        <w:spacing w:after="0" w:line="240" w:lineRule="auto"/>
        <w:jc w:val="both"/>
        <w:rPr>
          <w:rFonts w:asciiTheme="minorHAnsi" w:eastAsia="Calibri" w:hAnsiTheme="minorHAnsi" w:cs="Calibri"/>
          <w:b/>
          <w:bCs/>
          <w:sz w:val="20"/>
          <w:szCs w:val="20"/>
          <w:lang w:val="fr-BE"/>
        </w:rPr>
      </w:pPr>
      <w:r w:rsidRPr="00F563CD">
        <w:rPr>
          <w:rFonts w:asciiTheme="minorHAnsi" w:eastAsia="Calibri" w:hAnsiTheme="minorHAnsi" w:cs="Calibri"/>
          <w:b/>
          <w:bCs/>
          <w:sz w:val="20"/>
          <w:szCs w:val="20"/>
          <w:lang w:val="fr-BE"/>
        </w:rPr>
        <w:t xml:space="preserve">AF 2 Podrška sektoru šumarstva u Crnoj Gori </w:t>
      </w:r>
      <w:r w:rsidRPr="00F563CD">
        <w:rPr>
          <w:rFonts w:asciiTheme="minorHAnsi" w:eastAsia="Calibri" w:hAnsiTheme="minorHAnsi" w:cs="Calibri"/>
          <w:bCs/>
          <w:sz w:val="20"/>
          <w:szCs w:val="20"/>
          <w:lang w:val="fr-BE"/>
        </w:rPr>
        <w:t xml:space="preserve">(4.3 </w:t>
      </w:r>
      <w:r w:rsidRPr="00F563CD">
        <w:rPr>
          <w:rFonts w:asciiTheme="minorHAnsi" w:eastAsiaTheme="minorEastAsia" w:hAnsiTheme="minorHAnsi" w:cstheme="minorBidi"/>
          <w:bCs/>
          <w:sz w:val="20"/>
          <w:szCs w:val="20"/>
          <w:lang w:val="fr-BE"/>
        </w:rPr>
        <w:t>Poljoprivreda i ruralni razvoj</w:t>
      </w:r>
      <w:r w:rsidRPr="00F563CD">
        <w:rPr>
          <w:rFonts w:asciiTheme="minorHAnsi" w:eastAsia="Calibri" w:hAnsiTheme="minorHAnsi" w:cs="Calibri"/>
          <w:bCs/>
          <w:sz w:val="20"/>
          <w:szCs w:val="20"/>
          <w:lang w:val="fr-BE"/>
        </w:rPr>
        <w:t>)</w:t>
      </w:r>
      <w:r w:rsidRPr="00F563CD">
        <w:rPr>
          <w:rFonts w:asciiTheme="minorHAnsi" w:eastAsia="Calibri" w:hAnsiTheme="minorHAnsi" w:cs="Calibri"/>
          <w:b/>
          <w:bCs/>
          <w:sz w:val="20"/>
          <w:szCs w:val="20"/>
          <w:lang w:val="fr-BE"/>
        </w:rPr>
        <w:t xml:space="preserve"> </w:t>
      </w:r>
    </w:p>
    <w:p w14:paraId="7530C0BF" w14:textId="77777777" w:rsidR="00047EF8" w:rsidRPr="00F563CD" w:rsidRDefault="00047EF8" w:rsidP="00047EF8">
      <w:pPr>
        <w:spacing w:line="240" w:lineRule="auto"/>
        <w:jc w:val="both"/>
        <w:rPr>
          <w:rFonts w:asciiTheme="minorHAnsi" w:eastAsiaTheme="minorEastAsia" w:hAnsiTheme="minorHAnsi" w:cstheme="minorBidi"/>
          <w:sz w:val="20"/>
          <w:szCs w:val="20"/>
          <w:lang w:val="fr-BE"/>
        </w:rPr>
      </w:pPr>
      <w:r w:rsidRPr="00F563CD">
        <w:rPr>
          <w:rFonts w:asciiTheme="minorHAnsi" w:eastAsia="Calibri" w:hAnsiTheme="minorHAnsi" w:cs="Calibri"/>
          <w:sz w:val="20"/>
          <w:szCs w:val="20"/>
          <w:lang w:val="fr-BE"/>
        </w:rPr>
        <w:t xml:space="preserve">Predložena akcija je usklađena sa standardima Evropske unije u ovoj oblasti i relevantna je u kontekstu pristupanja EU, a odnosi se na Poglavlje 11 i Poglavlje 27. Ova akcija će pružiti </w:t>
      </w:r>
      <w:r w:rsidRPr="00F563CD">
        <w:rPr>
          <w:rFonts w:asciiTheme="minorHAnsi" w:eastAsiaTheme="minorEastAsia" w:hAnsiTheme="minorHAnsi" w:cstheme="minorBidi"/>
          <w:sz w:val="20"/>
          <w:szCs w:val="20"/>
          <w:lang w:val="fr-BE"/>
        </w:rPr>
        <w:t>podršku jačanju administrativnih i tehničkih kapaciteta</w:t>
      </w:r>
      <w:r w:rsidRPr="00F563CD">
        <w:rPr>
          <w:rFonts w:asciiTheme="minorHAnsi" w:eastAsia="Calibri" w:hAnsiTheme="minorHAnsi" w:cs="Calibri"/>
          <w:sz w:val="20"/>
          <w:szCs w:val="20"/>
          <w:lang w:val="fr-BE"/>
        </w:rPr>
        <w:t xml:space="preserve"> (razvoj i održavanje informacionog sistema za šumarstvo) ustanove zadužene za kreiranje (Direktorat za šumarstvo, lovstvo i drvnu industriju) i sprovođenje (Uprava za šume) politike u oblasti šumarstva. Glavni dio ove akcije usmjeren je unapređenje uslova za osnivanje državnog preduzeća za upravljanje šumama sa zadacima izrade infrastrukturnih projekata i tehničke dokumentacije, upravljanja prodajom drveta iz šuma koje su u državnom vlasništvu, izgradnje i održavanja šumskih puteva, itd. U tom smislu, krajnji cilj ove akcije jeste modernizovanje sistema upravljanja i kontrole u oblasti šumarstva, </w:t>
      </w:r>
      <w:r w:rsidRPr="00F563CD">
        <w:rPr>
          <w:rFonts w:asciiTheme="minorHAnsi" w:eastAsiaTheme="minorEastAsia" w:hAnsiTheme="minorHAnsi" w:cstheme="minorBidi"/>
          <w:sz w:val="20"/>
          <w:szCs w:val="20"/>
          <w:lang w:val="fr-BE"/>
        </w:rPr>
        <w:t>koji će za uzvrat imati uticaja na kvalitet rezultata praćenja i unapređenje kapaciteta za jednoobrazno sprovođenje politike i propisa širom zemlje</w:t>
      </w:r>
      <w:r w:rsidRPr="00F563CD">
        <w:rPr>
          <w:rFonts w:asciiTheme="minorHAnsi" w:eastAsia="Calibri" w:hAnsiTheme="minorHAnsi" w:cs="Calibri"/>
          <w:sz w:val="20"/>
          <w:szCs w:val="20"/>
          <w:lang w:val="fr-BE"/>
        </w:rPr>
        <w:t>.</w:t>
      </w:r>
      <w:r w:rsidRPr="00F563CD">
        <w:rPr>
          <w:rFonts w:asciiTheme="minorHAnsi" w:eastAsiaTheme="minorEastAsia" w:hAnsiTheme="minorHAnsi" w:cstheme="minorBidi"/>
          <w:b/>
          <w:bCs/>
          <w:sz w:val="20"/>
          <w:szCs w:val="20"/>
          <w:lang w:val="fr-BE"/>
        </w:rPr>
        <w:t xml:space="preserve"> </w:t>
      </w:r>
    </w:p>
    <w:p w14:paraId="6A5F6355" w14:textId="77777777" w:rsidR="00047EF8" w:rsidRPr="00F563CD" w:rsidRDefault="00047EF8" w:rsidP="00047EF8">
      <w:pPr>
        <w:spacing w:after="0" w:line="240" w:lineRule="auto"/>
        <w:jc w:val="both"/>
        <w:rPr>
          <w:rFonts w:asciiTheme="minorHAnsi" w:eastAsiaTheme="minorEastAsia" w:hAnsiTheme="minorHAnsi" w:cstheme="minorBidi"/>
          <w:bCs/>
          <w:sz w:val="20"/>
          <w:szCs w:val="20"/>
          <w:lang w:val="fr-BE"/>
        </w:rPr>
      </w:pPr>
      <w:r w:rsidRPr="00F563CD">
        <w:rPr>
          <w:rFonts w:asciiTheme="minorHAnsi" w:eastAsiaTheme="minorEastAsia" w:hAnsiTheme="minorHAnsi" w:cstheme="minorBidi"/>
          <w:b/>
          <w:bCs/>
          <w:sz w:val="20"/>
          <w:szCs w:val="20"/>
          <w:lang w:val="fr-BE"/>
        </w:rPr>
        <w:t xml:space="preserve">AF 3 Podrška sektoru bezbjednosti hrane, veterine i fitosanitarnom sektoru u Crnoj Gori </w:t>
      </w:r>
      <w:r w:rsidRPr="00F563CD">
        <w:rPr>
          <w:rFonts w:asciiTheme="minorHAnsi" w:eastAsiaTheme="minorEastAsia" w:hAnsiTheme="minorHAnsi" w:cstheme="minorBidi"/>
          <w:bCs/>
          <w:sz w:val="20"/>
          <w:szCs w:val="20"/>
          <w:lang w:val="fr-BE"/>
        </w:rPr>
        <w:t xml:space="preserve">(4.3 Poljoprivreda i ruralni razvoj) </w:t>
      </w:r>
    </w:p>
    <w:p w14:paraId="6872AF22" w14:textId="77777777" w:rsidR="00047EF8" w:rsidRPr="00F563CD" w:rsidRDefault="00047EF8" w:rsidP="00047EF8">
      <w:pPr>
        <w:spacing w:line="240" w:lineRule="auto"/>
        <w:jc w:val="both"/>
        <w:rPr>
          <w:rFonts w:asciiTheme="minorHAnsi" w:eastAsiaTheme="minorEastAsia" w:hAnsiTheme="minorHAnsi" w:cstheme="minorBidi"/>
          <w:sz w:val="20"/>
          <w:szCs w:val="20"/>
          <w:lang w:val="fr-BE"/>
        </w:rPr>
      </w:pPr>
      <w:r w:rsidRPr="00F563CD">
        <w:rPr>
          <w:rFonts w:asciiTheme="minorHAnsi" w:eastAsiaTheme="minorEastAsia" w:hAnsiTheme="minorHAnsi" w:cstheme="minorBidi"/>
          <w:bCs/>
          <w:sz w:val="20"/>
          <w:szCs w:val="20"/>
          <w:lang w:val="fr-BE"/>
        </w:rPr>
        <w:t>Pregovaračko Poglavlje</w:t>
      </w:r>
      <w:r w:rsidRPr="00F563CD">
        <w:rPr>
          <w:rFonts w:asciiTheme="minorHAnsi" w:eastAsiaTheme="minorEastAsia" w:hAnsiTheme="minorHAnsi" w:cstheme="minorBidi"/>
          <w:sz w:val="20"/>
          <w:szCs w:val="20"/>
          <w:lang w:val="fr-BE"/>
        </w:rPr>
        <w:t xml:space="preserve"> 12</w:t>
      </w:r>
      <w:r w:rsidRPr="00F563CD">
        <w:rPr>
          <w:rFonts w:asciiTheme="minorHAnsi" w:eastAsiaTheme="minorEastAsia" w:hAnsiTheme="minorHAnsi" w:cstheme="minorBidi"/>
          <w:b/>
          <w:bCs/>
          <w:sz w:val="20"/>
          <w:szCs w:val="20"/>
          <w:lang w:val="fr-BE"/>
        </w:rPr>
        <w:t xml:space="preserve"> </w:t>
      </w:r>
      <w:r w:rsidRPr="00F563CD">
        <w:rPr>
          <w:rFonts w:asciiTheme="minorHAnsi" w:eastAsiaTheme="minorEastAsia" w:hAnsiTheme="minorHAnsi" w:cstheme="minorBidi"/>
          <w:sz w:val="20"/>
          <w:szCs w:val="20"/>
          <w:lang w:val="fr-BE"/>
        </w:rPr>
        <w:t xml:space="preserve">otvoreno je u junu 2016. </w:t>
      </w:r>
      <w:proofErr w:type="gramStart"/>
      <w:r w:rsidRPr="00F563CD">
        <w:rPr>
          <w:rFonts w:asciiTheme="minorHAnsi" w:eastAsiaTheme="minorEastAsia" w:hAnsiTheme="minorHAnsi" w:cstheme="minorBidi"/>
          <w:sz w:val="20"/>
          <w:szCs w:val="20"/>
          <w:lang w:val="fr-BE"/>
        </w:rPr>
        <w:t>godine</w:t>
      </w:r>
      <w:proofErr w:type="gramEnd"/>
      <w:r w:rsidRPr="00F563CD">
        <w:rPr>
          <w:rFonts w:asciiTheme="minorHAnsi" w:eastAsiaTheme="minorEastAsia" w:hAnsiTheme="minorHAnsi" w:cstheme="minorBidi"/>
          <w:sz w:val="20"/>
          <w:szCs w:val="20"/>
          <w:lang w:val="fr-BE"/>
        </w:rPr>
        <w:t>. Ova akcija direktno doprinosi ispunjenju svih završnih mjerila. Ciljevi koji su navedeni u ovoj akciji definisani su imajući u vidu integrisani sektorski pristup i obuhvataju unapređenje administrativnih i inspekcijskih kapaciteta Uprave za bezbjednost hrane, veterinu i fitosanitarne poslove za razvoj i sprovođenje politike naročito u pogledu tekućih dešavanja u okviru Poglavlja 12; kontrolu nad uvezenom robom veterinarskog i fitosanitarnog porijekla; upravljanje i kontrola sistemom bezbjednosti hrane; kao i dalji razvoj sistema upravljanja životinjskim nus proizvodima.</w:t>
      </w:r>
    </w:p>
    <w:p w14:paraId="12B5A3D7" w14:textId="77777777" w:rsidR="00047EF8" w:rsidRPr="00F563CD" w:rsidRDefault="00047EF8" w:rsidP="00047EF8">
      <w:pPr>
        <w:spacing w:after="0" w:line="240" w:lineRule="auto"/>
        <w:jc w:val="both"/>
        <w:rPr>
          <w:rFonts w:asciiTheme="minorHAnsi" w:eastAsiaTheme="minorEastAsia" w:hAnsiTheme="minorHAnsi" w:cstheme="minorBidi"/>
          <w:b/>
          <w:bCs/>
          <w:sz w:val="20"/>
          <w:szCs w:val="20"/>
          <w:lang w:val="fr-BE"/>
        </w:rPr>
      </w:pPr>
      <w:r w:rsidRPr="00F563CD">
        <w:rPr>
          <w:rFonts w:asciiTheme="minorHAnsi" w:eastAsiaTheme="minorEastAsia" w:hAnsiTheme="minorHAnsi" w:cstheme="minorBidi"/>
          <w:b/>
          <w:bCs/>
          <w:sz w:val="20"/>
          <w:szCs w:val="20"/>
          <w:lang w:val="fr-BE"/>
        </w:rPr>
        <w:lastRenderedPageBreak/>
        <w:t xml:space="preserve">AF 4 Podrška sektoru ribarstva u Crnoj Gori (4.4 Ribarstvo) </w:t>
      </w:r>
    </w:p>
    <w:p w14:paraId="5D5B2594" w14:textId="77777777" w:rsidR="00047EF8" w:rsidRPr="00F563CD" w:rsidRDefault="00047EF8" w:rsidP="00047EF8">
      <w:pPr>
        <w:spacing w:after="0" w:line="240" w:lineRule="auto"/>
        <w:jc w:val="both"/>
        <w:rPr>
          <w:rFonts w:asciiTheme="minorHAnsi" w:eastAsiaTheme="minorEastAsia" w:hAnsiTheme="minorHAnsi" w:cstheme="minorBidi"/>
          <w:sz w:val="20"/>
          <w:szCs w:val="20"/>
          <w:lang w:val="fr-BE"/>
        </w:rPr>
      </w:pPr>
      <w:r w:rsidRPr="00F563CD">
        <w:rPr>
          <w:rFonts w:asciiTheme="minorHAnsi" w:eastAsiaTheme="minorEastAsia" w:hAnsiTheme="minorHAnsi" w:cstheme="minorBidi"/>
          <w:bCs/>
          <w:sz w:val="20"/>
          <w:szCs w:val="20"/>
          <w:lang w:val="fr-BE"/>
        </w:rPr>
        <w:t>Predložena akcija je dobro usklađena sa dešavanjima u okviru Zajedničke politike za ribarstvo</w:t>
      </w:r>
      <w:r w:rsidRPr="00F563CD">
        <w:rPr>
          <w:rFonts w:asciiTheme="minorHAnsi" w:eastAsiaTheme="minorEastAsia" w:hAnsiTheme="minorHAnsi" w:cstheme="minorBidi"/>
          <w:sz w:val="20"/>
          <w:szCs w:val="20"/>
          <w:lang w:val="fr-BE"/>
        </w:rPr>
        <w:t xml:space="preserve"> (CFP) u EU i relevantna je u kontekstu pristupanja Evropskoj uniji. Pregovaračko Poglavlje 13 – Ribarstvo otvoreno je u junu 2016. </w:t>
      </w:r>
      <w:proofErr w:type="gramStart"/>
      <w:r w:rsidRPr="00F563CD">
        <w:rPr>
          <w:rFonts w:asciiTheme="minorHAnsi" w:eastAsiaTheme="minorEastAsia" w:hAnsiTheme="minorHAnsi" w:cstheme="minorBidi"/>
          <w:sz w:val="20"/>
          <w:szCs w:val="20"/>
          <w:lang w:val="fr-BE"/>
        </w:rPr>
        <w:t>godine</w:t>
      </w:r>
      <w:proofErr w:type="gramEnd"/>
      <w:r w:rsidRPr="00F563CD">
        <w:rPr>
          <w:rFonts w:asciiTheme="minorHAnsi" w:eastAsiaTheme="minorEastAsia" w:hAnsiTheme="minorHAnsi" w:cstheme="minorBidi"/>
          <w:sz w:val="20"/>
          <w:szCs w:val="20"/>
          <w:lang w:val="fr-BE"/>
        </w:rPr>
        <w:t>. Kada je u pitanju sadašnje stanje pripreme Crne Gore za pristupanje, Komisija smatra da bi trebalo ispuniti dva mjerila za predviđeno zatvaranje ovog Poglavlja. Crna Gora treba da usvoji zakone koji omogućavaju značajan nivo usklađenosti sa pravnom tekovinom Evropske unije za oblast ribarstva i koji omogućavaju da Crna Gora bude u mogućnosti da u potpunosti primjenjuje Zajedničku politiku za ribarstvo nakon pristupanja. Oni takođe treba u značajnoj mjeri da osnaže administrativni, inspekcijski i kontrolni kapacitet koji zahtijeva Zajednička politika za ribarstvo, kao i da obezbijede da zahtjevi EU budu u potpunosti ispoštovani na datum pristupanja, naročito u pogledu inspekcije i kontrole. Sprovođenje ove akcije, sa posebnim naglaskom na dokumentima za sprovođenje Zajedničke politike za ribarstvo i razvoju infromacionog sistema za ribarstvo i Centra za monitoring ribarstva, direktno doprinosi ispunjenju mjerila pomenutog Poglavlja 13.</w:t>
      </w:r>
    </w:p>
    <w:p w14:paraId="0CBD7AA2" w14:textId="77777777" w:rsidR="00047EF8" w:rsidRPr="00F563CD" w:rsidRDefault="00047EF8" w:rsidP="00047EF8">
      <w:pPr>
        <w:spacing w:after="0" w:line="240" w:lineRule="auto"/>
        <w:jc w:val="both"/>
        <w:rPr>
          <w:rFonts w:asciiTheme="minorHAnsi" w:eastAsiaTheme="minorEastAsia" w:hAnsiTheme="minorHAnsi" w:cstheme="minorBidi"/>
          <w:sz w:val="20"/>
          <w:szCs w:val="20"/>
          <w:lang w:val="fr-BE"/>
        </w:rPr>
      </w:pPr>
    </w:p>
    <w:p w14:paraId="5C16407D" w14:textId="77777777" w:rsidR="00047EF8" w:rsidRPr="00F563CD" w:rsidRDefault="00047EF8" w:rsidP="00047EF8">
      <w:pPr>
        <w:spacing w:after="0" w:line="240" w:lineRule="auto"/>
        <w:jc w:val="both"/>
        <w:rPr>
          <w:rFonts w:asciiTheme="minorHAnsi" w:eastAsiaTheme="minorEastAsia" w:hAnsiTheme="minorHAnsi" w:cstheme="minorBidi"/>
          <w:sz w:val="20"/>
          <w:szCs w:val="20"/>
          <w:lang w:val="fr-BE"/>
        </w:rPr>
      </w:pPr>
      <w:r w:rsidRPr="00F563CD">
        <w:rPr>
          <w:rFonts w:asciiTheme="minorHAnsi" w:eastAsiaTheme="minorEastAsia" w:hAnsiTheme="minorHAnsi" w:cstheme="minorBidi"/>
          <w:sz w:val="20"/>
          <w:szCs w:val="20"/>
          <w:lang w:val="fr-BE"/>
        </w:rPr>
        <w:t xml:space="preserve">Nakon konsultativnog procesa, aktivnosti navedene u </w:t>
      </w:r>
      <w:r w:rsidR="00472766" w:rsidRPr="00F563CD">
        <w:rPr>
          <w:rFonts w:asciiTheme="minorHAnsi" w:eastAsiaTheme="minorEastAsia" w:hAnsiTheme="minorHAnsi" w:cstheme="minorBidi"/>
          <w:sz w:val="20"/>
          <w:szCs w:val="20"/>
          <w:lang w:val="fr-BE"/>
        </w:rPr>
        <w:t>Opisu</w:t>
      </w:r>
      <w:r w:rsidRPr="00F563CD">
        <w:rPr>
          <w:rFonts w:asciiTheme="minorHAnsi" w:eastAsiaTheme="minorEastAsia" w:hAnsiTheme="minorHAnsi" w:cstheme="minorBidi"/>
          <w:sz w:val="20"/>
          <w:szCs w:val="20"/>
          <w:lang w:val="fr-BE"/>
        </w:rPr>
        <w:t xml:space="preserve"> projekta 4 sublimirane su u Dokumentu Akcije 1 sa 3 </w:t>
      </w:r>
      <w:proofErr w:type="gramStart"/>
      <w:r w:rsidRPr="00F563CD">
        <w:rPr>
          <w:rFonts w:asciiTheme="minorHAnsi" w:eastAsiaTheme="minorEastAsia" w:hAnsiTheme="minorHAnsi" w:cstheme="minorBidi"/>
          <w:sz w:val="20"/>
          <w:szCs w:val="20"/>
          <w:lang w:val="fr-BE"/>
        </w:rPr>
        <w:t>komponente:</w:t>
      </w:r>
      <w:proofErr w:type="gramEnd"/>
      <w:r w:rsidRPr="00F563CD">
        <w:rPr>
          <w:rFonts w:asciiTheme="minorHAnsi" w:eastAsiaTheme="minorEastAsia" w:hAnsiTheme="minorHAnsi" w:cstheme="minorBidi"/>
          <w:sz w:val="20"/>
          <w:szCs w:val="20"/>
          <w:lang w:val="fr-BE"/>
        </w:rPr>
        <w:t xml:space="preserve"> Komponenta I </w:t>
      </w:r>
      <w:r w:rsidRPr="00F563CD">
        <w:rPr>
          <w:rFonts w:asciiTheme="minorHAnsi" w:eastAsiaTheme="minorEastAsia" w:hAnsiTheme="minorHAnsi" w:cstheme="minorBidi"/>
          <w:bCs/>
          <w:sz w:val="20"/>
          <w:szCs w:val="20"/>
          <w:lang w:val="fr-BE"/>
        </w:rPr>
        <w:t>Poljoprivreda i ruralni razvoj</w:t>
      </w:r>
      <w:r w:rsidRPr="00F563CD">
        <w:rPr>
          <w:rFonts w:asciiTheme="minorHAnsi" w:eastAsiaTheme="minorEastAsia" w:hAnsiTheme="minorHAnsi" w:cstheme="minorBidi"/>
          <w:sz w:val="20"/>
          <w:szCs w:val="20"/>
          <w:lang w:val="fr-BE"/>
        </w:rPr>
        <w:t xml:space="preserve"> (AF1 i AF2), Komponenta II Bezbjednost hrane, veterina i fitosanitarni poslovi (AF3) i Komponenta III Ribarstvo (AF4).</w:t>
      </w:r>
    </w:p>
    <w:p w14:paraId="5CB4D89F" w14:textId="77777777" w:rsidR="00047EF8" w:rsidRPr="00F563CD" w:rsidRDefault="00047EF8" w:rsidP="00047EF8">
      <w:pPr>
        <w:spacing w:after="0" w:line="240" w:lineRule="auto"/>
        <w:jc w:val="both"/>
        <w:rPr>
          <w:rFonts w:asciiTheme="minorHAnsi" w:eastAsiaTheme="minorEastAsia" w:hAnsiTheme="minorHAnsi" w:cstheme="minorBidi"/>
          <w:sz w:val="20"/>
          <w:szCs w:val="20"/>
          <w:lang w:val="fr-BE"/>
        </w:rPr>
      </w:pPr>
    </w:p>
    <w:p w14:paraId="20E7241B" w14:textId="77777777" w:rsidR="00047EF8" w:rsidRPr="00F563CD" w:rsidRDefault="00047EF8" w:rsidP="00047EF8">
      <w:pPr>
        <w:pStyle w:val="Heading4"/>
        <w:keepNext w:val="0"/>
        <w:keepLines w:val="0"/>
        <w:widowControl w:val="0"/>
        <w:jc w:val="center"/>
        <w:rPr>
          <w:rFonts w:asciiTheme="minorHAnsi" w:hAnsiTheme="minorHAnsi" w:cs="Arial"/>
          <w:i w:val="0"/>
          <w:color w:val="auto"/>
        </w:rPr>
      </w:pPr>
      <w:r w:rsidRPr="00F563CD" w:rsidDel="00EC1085">
        <w:rPr>
          <w:rFonts w:asciiTheme="minorHAnsi" w:hAnsiTheme="minorHAnsi" w:cs="Arial"/>
          <w:lang w:val="fr-BE"/>
        </w:rPr>
        <w:t xml:space="preserve"> </w:t>
      </w:r>
      <w:r w:rsidRPr="00F563CD">
        <w:rPr>
          <w:rFonts w:asciiTheme="minorHAnsi" w:hAnsiTheme="minorHAnsi" w:cs="Arial"/>
          <w:i w:val="0"/>
          <w:color w:val="auto"/>
        </w:rPr>
        <w:t>PROGRAMSKA GODINA 2022.</w:t>
      </w:r>
    </w:p>
    <w:p w14:paraId="5E60D934" w14:textId="72E8A203" w:rsidR="00047EF8" w:rsidRPr="00F563CD" w:rsidRDefault="00547174" w:rsidP="00047EF8">
      <w:pPr>
        <w:spacing w:after="120"/>
        <w:rPr>
          <w:rFonts w:asciiTheme="minorHAnsi" w:hAnsiTheme="minorHAnsi"/>
          <w:b/>
          <w:bCs/>
          <w:i/>
          <w:iCs/>
          <w:sz w:val="20"/>
          <w:szCs w:val="20"/>
        </w:rPr>
      </w:pPr>
      <w:r w:rsidRPr="00F563CD">
        <w:rPr>
          <w:rFonts w:asciiTheme="minorHAnsi" w:hAnsiTheme="minorHAnsi"/>
          <w:b/>
          <w:bCs/>
          <w:i/>
          <w:iCs/>
          <w:sz w:val="20"/>
          <w:szCs w:val="20"/>
        </w:rPr>
        <w:t>/</w:t>
      </w:r>
    </w:p>
    <w:p w14:paraId="44797EFA" w14:textId="77777777" w:rsidR="00047EF8" w:rsidRPr="00F563CD" w:rsidRDefault="00047EF8" w:rsidP="00047EF8">
      <w:pPr>
        <w:pStyle w:val="Heading4"/>
        <w:jc w:val="center"/>
        <w:rPr>
          <w:rFonts w:asciiTheme="minorHAnsi" w:hAnsiTheme="minorHAnsi" w:cs="Arial"/>
          <w:i w:val="0"/>
          <w:color w:val="auto"/>
        </w:rPr>
      </w:pPr>
      <w:r w:rsidRPr="00F563CD" w:rsidDel="00EC1085">
        <w:rPr>
          <w:rFonts w:asciiTheme="minorHAnsi" w:hAnsiTheme="minorHAnsi"/>
        </w:rPr>
        <w:t xml:space="preserve"> </w:t>
      </w:r>
      <w:r w:rsidRPr="00F563CD">
        <w:rPr>
          <w:rFonts w:asciiTheme="minorHAnsi" w:hAnsiTheme="minorHAnsi" w:cs="Arial"/>
          <w:i w:val="0"/>
          <w:color w:val="auto"/>
        </w:rPr>
        <w:t>PROGRAMSKE GODINE 2023. I 2024.</w:t>
      </w:r>
    </w:p>
    <w:p w14:paraId="0409038E" w14:textId="77777777" w:rsidR="00047EF8" w:rsidRPr="00F563CD" w:rsidRDefault="00047EF8" w:rsidP="00047EF8">
      <w:pPr>
        <w:spacing w:after="120" w:line="240" w:lineRule="auto"/>
        <w:rPr>
          <w:rFonts w:asciiTheme="minorHAnsi" w:hAnsiTheme="minorHAnsi"/>
          <w:i/>
          <w:sz w:val="20"/>
        </w:rPr>
      </w:pPr>
    </w:p>
    <w:p w14:paraId="68DA240B" w14:textId="77777777" w:rsidR="00047EF8" w:rsidRPr="00F563CD" w:rsidRDefault="00047EF8" w:rsidP="00047EF8">
      <w:pPr>
        <w:spacing w:line="240" w:lineRule="auto"/>
        <w:rPr>
          <w:rFonts w:asciiTheme="minorHAnsi" w:hAnsiTheme="minorHAnsi" w:cs="Arial"/>
          <w:b/>
          <w:bCs/>
          <w:i/>
          <w:iCs/>
          <w:sz w:val="20"/>
          <w:szCs w:val="20"/>
          <w:u w:val="single"/>
        </w:rPr>
      </w:pPr>
      <w:bookmarkStart w:id="62" w:name="_Hlk86227470"/>
      <w:r w:rsidRPr="00F563CD">
        <w:rPr>
          <w:rFonts w:asciiTheme="minorHAnsi" w:hAnsiTheme="minorHAnsi" w:cs="Arial"/>
          <w:b/>
          <w:sz w:val="20"/>
          <w:szCs w:val="20"/>
          <w:u w:val="single"/>
        </w:rPr>
        <w:t>Programska godina 2023.</w:t>
      </w:r>
    </w:p>
    <w:bookmarkEnd w:id="62"/>
    <w:p w14:paraId="13A5A273" w14:textId="77777777" w:rsidR="00047EF8" w:rsidRPr="00F563CD" w:rsidRDefault="00047EF8" w:rsidP="00047EF8">
      <w:pPr>
        <w:spacing w:before="120" w:after="120" w:line="240" w:lineRule="auto"/>
        <w:rPr>
          <w:rFonts w:asciiTheme="minorHAnsi" w:eastAsia="Calibri" w:hAnsiTheme="minorHAnsi" w:cs="Calibri"/>
          <w:b/>
          <w:bCs/>
          <w:i/>
          <w:iCs/>
          <w:u w:val="single"/>
        </w:rPr>
      </w:pPr>
      <w:r w:rsidRPr="00F563CD">
        <w:rPr>
          <w:rFonts w:asciiTheme="minorHAnsi" w:eastAsia="Calibri" w:hAnsiTheme="minorHAnsi" w:cs="Calibri"/>
          <w:b/>
          <w:bCs/>
          <w:i/>
          <w:iCs/>
          <w:sz w:val="20"/>
          <w:szCs w:val="20"/>
          <w:u w:val="single"/>
        </w:rPr>
        <w:t>Tematski prioritet 1: Obrazovanje, zapošljavanje, socijalna zaštita i inkluzivne politike, i zdravlje</w:t>
      </w:r>
    </w:p>
    <w:p w14:paraId="5455D132" w14:textId="77777777" w:rsidR="00047EF8" w:rsidRPr="00F563CD" w:rsidRDefault="00047EF8" w:rsidP="00047EF8">
      <w:pPr>
        <w:pStyle w:val="xmsonormal"/>
        <w:shd w:val="clear" w:color="auto" w:fill="FFFFFF"/>
        <w:spacing w:before="0" w:beforeAutospacing="0" w:after="0" w:afterAutospacing="0"/>
        <w:jc w:val="both"/>
        <w:rPr>
          <w:rStyle w:val="xnormaltextrun"/>
          <w:rFonts w:asciiTheme="minorHAnsi" w:hAnsiTheme="minorHAnsi" w:cs="Calibri"/>
          <w:b/>
          <w:color w:val="212121"/>
          <w:sz w:val="20"/>
          <w:szCs w:val="20"/>
        </w:rPr>
      </w:pPr>
    </w:p>
    <w:p w14:paraId="7B474693"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b/>
          <w:sz w:val="20"/>
          <w:szCs w:val="20"/>
        </w:rPr>
      </w:pPr>
      <w:r w:rsidRPr="00F563CD">
        <w:rPr>
          <w:rStyle w:val="xnormaltextrun"/>
          <w:rFonts w:asciiTheme="minorHAnsi" w:hAnsiTheme="minorHAnsi" w:cs="Calibri"/>
          <w:b/>
          <w:sz w:val="20"/>
          <w:szCs w:val="20"/>
        </w:rPr>
        <w:t>Akcija br. 1 – </w:t>
      </w:r>
      <w:r w:rsidRPr="00F563CD">
        <w:rPr>
          <w:rFonts w:asciiTheme="minorHAnsi" w:hAnsiTheme="minorHAnsi" w:cs="Calibri"/>
          <w:b/>
          <w:sz w:val="20"/>
          <w:szCs w:val="20"/>
        </w:rPr>
        <w:t>Kreiranje perspektive cjeloživotnog učenja za sve</w:t>
      </w:r>
    </w:p>
    <w:p w14:paraId="786B6651"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color w:val="212121"/>
          <w:sz w:val="20"/>
          <w:szCs w:val="20"/>
        </w:rPr>
      </w:pPr>
      <w:r w:rsidRPr="00F563CD">
        <w:rPr>
          <w:rFonts w:asciiTheme="minorHAnsi" w:hAnsiTheme="minorHAnsi" w:cs="Calibri"/>
          <w:color w:val="212121"/>
          <w:sz w:val="20"/>
          <w:szCs w:val="20"/>
        </w:rPr>
        <w:t>Opšti cilj ove akcije jeste doprinos socijalnom i ekonomskog rastu u Crnoj Gori smanjenjem nepodudaranja između obrazovne ponude i potreba tržišta rada, kao i obezbjeđivanje naprednih prilika za praktično učenje za sve. U tom smislu, posebni cilj treba da bude stvaranje fleksibilnih i višestrukih prilika upisa za prekvalifikaciju i dokvalifikaciju mladih i odraslih na osnovu partnerstva između obrazovanja i svijeta rada, kao i principa obezbjeđenja kvaliteta i sistema monitoringa i evaluacije za inicijative zasnovane na dokazima u perspektivi cjeloživotnog učenja.</w:t>
      </w:r>
    </w:p>
    <w:p w14:paraId="4B412770" w14:textId="77777777" w:rsidR="00047EF8" w:rsidRPr="00F563CD" w:rsidRDefault="00047EF8" w:rsidP="00047EF8">
      <w:pPr>
        <w:pStyle w:val="xmsonormal"/>
        <w:shd w:val="clear" w:color="auto" w:fill="FFFFFF"/>
        <w:spacing w:after="0" w:afterAutospacing="0"/>
        <w:jc w:val="both"/>
        <w:rPr>
          <w:rFonts w:asciiTheme="minorHAnsi" w:hAnsiTheme="minorHAnsi" w:cs="Calibri"/>
          <w:b/>
          <w:sz w:val="20"/>
          <w:szCs w:val="20"/>
        </w:rPr>
      </w:pPr>
      <w:r w:rsidRPr="00F563CD">
        <w:rPr>
          <w:rStyle w:val="xnormaltextrun"/>
          <w:rFonts w:asciiTheme="minorHAnsi" w:hAnsiTheme="minorHAnsi" w:cs="Calibri"/>
          <w:b/>
          <w:sz w:val="20"/>
          <w:szCs w:val="20"/>
        </w:rPr>
        <w:t>Akcija br. 2 - </w:t>
      </w:r>
      <w:r w:rsidRPr="00F563CD">
        <w:rPr>
          <w:rFonts w:asciiTheme="minorHAnsi" w:hAnsiTheme="minorHAnsi" w:cs="Calibri"/>
          <w:b/>
          <w:sz w:val="20"/>
          <w:szCs w:val="20"/>
        </w:rPr>
        <w:t>Modernizovanje visokog obrazovanja za ekonomski rast</w:t>
      </w:r>
    </w:p>
    <w:p w14:paraId="1D92D0D3" w14:textId="77777777" w:rsidR="00047EF8" w:rsidRPr="00F563CD" w:rsidRDefault="00047EF8" w:rsidP="00047EF8">
      <w:pPr>
        <w:pStyle w:val="xmsonormal"/>
        <w:shd w:val="clear" w:color="auto" w:fill="FFFFFF"/>
        <w:spacing w:before="0" w:beforeAutospacing="0"/>
        <w:jc w:val="both"/>
        <w:rPr>
          <w:rStyle w:val="xnormaltextrun"/>
          <w:rFonts w:asciiTheme="minorHAnsi" w:hAnsiTheme="minorHAnsi" w:cs="Calibri"/>
          <w:b/>
          <w:color w:val="212121"/>
          <w:sz w:val="20"/>
          <w:szCs w:val="20"/>
        </w:rPr>
      </w:pPr>
      <w:r w:rsidRPr="00F563CD">
        <w:rPr>
          <w:rFonts w:asciiTheme="minorHAnsi" w:hAnsiTheme="minorHAnsi" w:cs="Calibri"/>
          <w:color w:val="212121"/>
          <w:sz w:val="20"/>
          <w:szCs w:val="20"/>
        </w:rPr>
        <w:t>Ova akcija ima za cilj da doprinese socijalnom i ekonomskom rastu u Crnoj Gori povećanjem zapošljivosti svršenih studenata u visokom obrazovanju i smanjenjem nepodudaranja između obrazovne ponude i potreba tržišta rada. Ova akcija će omogućiti unapređenje kvaliteta i relevantnosti obrazovanja i osposobljavanja u visokom obrazovanju koje je pokrenuto inovacijama, koje pruža prilike za sticanjem praktičnog iskustva svima, pomažući da se održi zapošljivost i prevaziđe nepodudaranje vještina na tržištu rada koje se brzo razvija.</w:t>
      </w:r>
    </w:p>
    <w:p w14:paraId="24620007"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b/>
          <w:sz w:val="20"/>
          <w:szCs w:val="20"/>
        </w:rPr>
      </w:pPr>
      <w:r w:rsidRPr="00F563CD">
        <w:rPr>
          <w:rStyle w:val="xnormaltextrun"/>
          <w:rFonts w:asciiTheme="minorHAnsi" w:hAnsiTheme="minorHAnsi" w:cs="Calibri"/>
          <w:b/>
          <w:sz w:val="20"/>
          <w:szCs w:val="20"/>
        </w:rPr>
        <w:t>Akcija br. 3 – </w:t>
      </w:r>
      <w:r w:rsidRPr="00F563CD">
        <w:rPr>
          <w:rFonts w:asciiTheme="minorHAnsi" w:hAnsiTheme="minorHAnsi" w:cs="Calibri"/>
          <w:b/>
          <w:sz w:val="20"/>
          <w:szCs w:val="20"/>
        </w:rPr>
        <w:t>Jačanje veza između obrazovanja i privrede</w:t>
      </w:r>
    </w:p>
    <w:p w14:paraId="5EA7CA0F"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color w:val="212121"/>
          <w:sz w:val="20"/>
          <w:szCs w:val="20"/>
        </w:rPr>
      </w:pPr>
      <w:r w:rsidRPr="00F563CD">
        <w:rPr>
          <w:rFonts w:asciiTheme="minorHAnsi" w:hAnsiTheme="minorHAnsi" w:cs="Calibri"/>
          <w:color w:val="212121"/>
          <w:sz w:val="20"/>
          <w:szCs w:val="20"/>
        </w:rPr>
        <w:t>Sveukupni cilj ove akcije jeste doprinos socijalnom i ekonomskom rastu u Crnoj Gori smanjenjem nepodudaranja između obrazovne ponude i potreba tržišta rada, unapređenjem kvaliteta obrazovnog procesa i relevantnosti ishoda. Ovi ciljevi će obuhvatiti raznovrsne rezultate uključujući izradu i reviziju obrazovnih programa u stručnom obrazovanju koji su zasnovani na ishodima učenja i standardma kvalifikacija u socijalnom partnerstvu, razvoj kompetencija nastavnika i unapređenje metodologije monitoringa i evaluacije.</w:t>
      </w:r>
    </w:p>
    <w:p w14:paraId="65FF8028"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color w:val="212121"/>
          <w:sz w:val="20"/>
          <w:szCs w:val="20"/>
        </w:rPr>
      </w:pPr>
    </w:p>
    <w:p w14:paraId="15E46F27" w14:textId="77777777" w:rsidR="00047EF8" w:rsidRPr="00F563CD" w:rsidRDefault="00047EF8" w:rsidP="00047EF8">
      <w:pPr>
        <w:shd w:val="clear" w:color="auto" w:fill="FFFFFF"/>
        <w:spacing w:after="0" w:line="240" w:lineRule="auto"/>
        <w:jc w:val="both"/>
        <w:rPr>
          <w:rFonts w:asciiTheme="minorHAnsi" w:hAnsiTheme="minorHAnsi" w:cs="Calibri"/>
          <w:b/>
          <w:sz w:val="20"/>
          <w:szCs w:val="20"/>
          <w:lang w:eastAsia="en-US"/>
        </w:rPr>
      </w:pPr>
      <w:r w:rsidRPr="00F563CD">
        <w:rPr>
          <w:rStyle w:val="xnormaltextrun"/>
          <w:rFonts w:asciiTheme="minorHAnsi" w:hAnsiTheme="minorHAnsi" w:cs="Calibri"/>
          <w:b/>
          <w:sz w:val="20"/>
          <w:szCs w:val="20"/>
        </w:rPr>
        <w:t>Akcija br. 4 - </w:t>
      </w:r>
      <w:r w:rsidRPr="00F563CD">
        <w:rPr>
          <w:rFonts w:asciiTheme="minorHAnsi" w:hAnsiTheme="minorHAnsi" w:cs="Calibri"/>
          <w:b/>
          <w:sz w:val="20"/>
          <w:szCs w:val="20"/>
          <w:lang w:eastAsia="en-US"/>
        </w:rPr>
        <w:t xml:space="preserve"> Jačanje vještina iz Strategije pametne specijalizacije i stvaranje radnih mjesta u S3</w:t>
      </w:r>
    </w:p>
    <w:p w14:paraId="7788DEDE" w14:textId="77777777" w:rsidR="00047EF8" w:rsidRPr="00F563CD" w:rsidRDefault="00047EF8" w:rsidP="00047EF8">
      <w:pPr>
        <w:shd w:val="clear" w:color="auto" w:fill="FFFFFF"/>
        <w:spacing w:after="0" w:line="240" w:lineRule="auto"/>
        <w:jc w:val="both"/>
        <w:rPr>
          <w:rFonts w:asciiTheme="minorHAnsi" w:hAnsiTheme="minorHAnsi" w:cstheme="minorHAnsi"/>
          <w:sz w:val="20"/>
          <w:szCs w:val="20"/>
        </w:rPr>
      </w:pPr>
      <w:r w:rsidRPr="00F563CD">
        <w:rPr>
          <w:rFonts w:asciiTheme="minorHAnsi" w:eastAsia="Calibri" w:hAnsiTheme="minorHAnsi" w:cstheme="minorHAnsi"/>
          <w:sz w:val="20"/>
          <w:szCs w:val="20"/>
          <w:lang w:eastAsia="en-US"/>
        </w:rPr>
        <w:t>Glavni cilj jeste povećanje ekonomskog i društvenog razvoja zasnovanog na znanju. Ova akcija, konkretno, treba da obezbijedi unapređenje vještina i prilika za zapošljavanjem u prioritetnim područjima Strategije pametne specijalizacije. Ovo bi se moglo postići kroz sprovođenje grant programske šeme i uz snažnije kapacitete Ministarstva za ekonomski razvoj za upravljanje grant šemom za inovacione projekte, kao i za korisnike</w:t>
      </w:r>
      <w:r w:rsidRPr="00F563CD">
        <w:rPr>
          <w:rFonts w:asciiTheme="minorHAnsi" w:hAnsiTheme="minorHAnsi" w:cstheme="minorHAnsi"/>
          <w:sz w:val="20"/>
          <w:szCs w:val="20"/>
        </w:rPr>
        <w:t xml:space="preserve">. </w:t>
      </w:r>
    </w:p>
    <w:p w14:paraId="58DAD139"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theme="minorHAnsi"/>
          <w:sz w:val="20"/>
          <w:szCs w:val="20"/>
          <w:lang w:eastAsia="en-GB"/>
        </w:rPr>
      </w:pPr>
    </w:p>
    <w:p w14:paraId="5D996B2C" w14:textId="77777777" w:rsidR="00047EF8" w:rsidRPr="00F563CD" w:rsidRDefault="00047EF8" w:rsidP="00047EF8">
      <w:pPr>
        <w:shd w:val="clear" w:color="auto" w:fill="FFFFFF"/>
        <w:spacing w:after="0" w:line="240" w:lineRule="auto"/>
        <w:jc w:val="both"/>
        <w:rPr>
          <w:rFonts w:asciiTheme="minorHAnsi" w:hAnsiTheme="minorHAnsi" w:cstheme="minorHAnsi"/>
          <w:b/>
          <w:sz w:val="20"/>
          <w:szCs w:val="20"/>
        </w:rPr>
      </w:pPr>
      <w:r w:rsidRPr="00F563CD">
        <w:rPr>
          <w:rStyle w:val="xnormaltextrun"/>
          <w:rFonts w:asciiTheme="minorHAnsi" w:hAnsiTheme="minorHAnsi" w:cs="Calibri"/>
          <w:b/>
          <w:sz w:val="20"/>
          <w:szCs w:val="20"/>
        </w:rPr>
        <w:t>Akcija br</w:t>
      </w:r>
      <w:r w:rsidRPr="00F563CD">
        <w:rPr>
          <w:rFonts w:asciiTheme="minorHAnsi" w:hAnsiTheme="minorHAnsi" w:cstheme="minorHAnsi"/>
          <w:b/>
          <w:sz w:val="20"/>
          <w:szCs w:val="20"/>
        </w:rPr>
        <w:t xml:space="preserve"> 5. – Unapređenje digitalizacije u obrazovnom sistemu </w:t>
      </w:r>
    </w:p>
    <w:p w14:paraId="61B14D4D" w14:textId="77777777" w:rsidR="00047EF8" w:rsidRPr="00F563CD" w:rsidRDefault="00047EF8" w:rsidP="00047EF8">
      <w:pPr>
        <w:shd w:val="clear" w:color="auto" w:fill="FFFFFF"/>
        <w:spacing w:after="0" w:line="240" w:lineRule="auto"/>
        <w:jc w:val="both"/>
        <w:rPr>
          <w:rFonts w:asciiTheme="minorHAnsi" w:hAnsiTheme="minorHAnsi" w:cs="Calibri"/>
          <w:b/>
          <w:color w:val="212121"/>
          <w:sz w:val="20"/>
          <w:szCs w:val="20"/>
          <w:lang w:eastAsia="en-US"/>
        </w:rPr>
      </w:pPr>
      <w:r w:rsidRPr="00F563CD">
        <w:rPr>
          <w:rFonts w:asciiTheme="minorHAnsi" w:hAnsiTheme="minorHAnsi" w:cstheme="minorHAnsi"/>
          <w:sz w:val="20"/>
          <w:szCs w:val="20"/>
        </w:rPr>
        <w:lastRenderedPageBreak/>
        <w:t>Cilj ove akcije jeste podsticanje veće upotrebe informaciono-komunikacionih tehnologija u procesu nastave kako bi se unaprijedio kvalitet i inkluzivnost nastavnog procesa, ali takođe i da se utiče na razvoj digitalnih kompetencija učenika i zaposlenih u obrazovnim ustanovama. Pored toga, ona će takođe doprinijeti unapređenju i modernizaciji procesa u obrazovnom sistemu.</w:t>
      </w:r>
    </w:p>
    <w:p w14:paraId="69EF6666" w14:textId="77777777" w:rsidR="00047EF8" w:rsidRPr="00F563CD" w:rsidRDefault="00047EF8" w:rsidP="00047EF8">
      <w:pPr>
        <w:pStyle w:val="xmsonormal"/>
        <w:shd w:val="clear" w:color="auto" w:fill="FFFFFF"/>
        <w:spacing w:before="0" w:beforeAutospacing="0" w:after="0" w:afterAutospacing="0"/>
        <w:jc w:val="both"/>
        <w:rPr>
          <w:rStyle w:val="xnormaltextrun"/>
          <w:rFonts w:asciiTheme="minorHAnsi" w:hAnsiTheme="minorHAnsi" w:cs="Calibri"/>
          <w:b/>
          <w:sz w:val="20"/>
          <w:szCs w:val="20"/>
        </w:rPr>
      </w:pPr>
    </w:p>
    <w:p w14:paraId="203858AF"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b/>
          <w:sz w:val="20"/>
          <w:szCs w:val="20"/>
        </w:rPr>
      </w:pPr>
      <w:r w:rsidRPr="00F563CD">
        <w:rPr>
          <w:rStyle w:val="xnormaltextrun"/>
          <w:rFonts w:asciiTheme="minorHAnsi" w:hAnsiTheme="minorHAnsi" w:cs="Calibri"/>
          <w:b/>
          <w:sz w:val="20"/>
          <w:szCs w:val="20"/>
        </w:rPr>
        <w:t>Akcija br. 6 – </w:t>
      </w:r>
      <w:r w:rsidRPr="00F563CD">
        <w:rPr>
          <w:rFonts w:asciiTheme="minorHAnsi" w:hAnsiTheme="minorHAnsi" w:cs="Calibri"/>
          <w:b/>
          <w:sz w:val="20"/>
          <w:szCs w:val="20"/>
        </w:rPr>
        <w:t xml:space="preserve">Inicijative tržišta rada na lokalnom nivou koje podržavaju uspostavljanje i sprovođenje programa </w:t>
      </w:r>
      <w:r w:rsidRPr="00F563CD">
        <w:rPr>
          <w:rFonts w:asciiTheme="minorHAnsi" w:eastAsia="Calibri" w:hAnsiTheme="minorHAnsi" w:cs="Calibri"/>
          <w:b/>
          <w:sz w:val="20"/>
          <w:szCs w:val="20"/>
        </w:rPr>
        <w:t>Garancija za mlade</w:t>
      </w:r>
      <w:r w:rsidRPr="00F563CD">
        <w:rPr>
          <w:rFonts w:asciiTheme="minorHAnsi" w:hAnsiTheme="minorHAnsi" w:cs="Calibri"/>
          <w:b/>
          <w:sz w:val="20"/>
          <w:szCs w:val="20"/>
        </w:rPr>
        <w:t xml:space="preserve"> </w:t>
      </w:r>
    </w:p>
    <w:p w14:paraId="2CAEEE31" w14:textId="77777777" w:rsidR="00047EF8" w:rsidRPr="00F563CD" w:rsidRDefault="00047EF8" w:rsidP="00047EF8">
      <w:pPr>
        <w:pStyle w:val="xmsonormal"/>
        <w:shd w:val="clear" w:color="auto" w:fill="FFFFFF"/>
        <w:spacing w:before="0" w:beforeAutospacing="0" w:after="0"/>
        <w:jc w:val="both"/>
        <w:rPr>
          <w:rFonts w:asciiTheme="minorHAnsi" w:hAnsiTheme="minorHAnsi" w:cstheme="minorHAnsi"/>
          <w:sz w:val="20"/>
          <w:szCs w:val="20"/>
        </w:rPr>
      </w:pPr>
      <w:r w:rsidRPr="00F563CD">
        <w:rPr>
          <w:rFonts w:asciiTheme="minorHAnsi" w:hAnsiTheme="minorHAnsi" w:cstheme="minorHAnsi"/>
          <w:sz w:val="20"/>
          <w:szCs w:val="20"/>
        </w:rPr>
        <w:t xml:space="preserve">Glavni cilj ove akcije jeste povećanje zapošljivosti i zapošljavanja mladih (sa posebnim akcentom na NEET grupu) i drugih ranjivih grupa na tržištu rada kroz razvoj i sprovođenje raznovrsnih lokalnih inicijativa za zapošljavanje. Naročito su pogođeni mladi koji su postali neaktivni i nezaposleni, pa je stopa mladih koji su nisu zaposleni, niti su u procesu obrazovanja i obuke (NEET) počela da raste. Udio NEET mladih (15-29 godina) povećao se između 2019. i 2020. godine sa 21,3% na 26,6%. U tom smislu, konkretni ciljevi ove akcije treba da budu podrška integrisanom razvoju lokalnih partnerstava za zapošljavanje zajedno sa podrškom inicijativama za zapošljavanje i intervencijama na lokalnom nivou sa naglaskom na podršci sprovođenju koncepta </w:t>
      </w:r>
      <w:r w:rsidRPr="00F563CD">
        <w:rPr>
          <w:rFonts w:asciiTheme="minorHAnsi" w:eastAsia="Calibri" w:hAnsiTheme="minorHAnsi" w:cs="Calibri"/>
          <w:sz w:val="20"/>
          <w:szCs w:val="20"/>
        </w:rPr>
        <w:t>Garancije za mlade</w:t>
      </w:r>
      <w:r w:rsidRPr="00F563CD">
        <w:rPr>
          <w:rFonts w:asciiTheme="minorHAnsi" w:hAnsiTheme="minorHAnsi" w:cstheme="minorHAnsi"/>
          <w:sz w:val="20"/>
          <w:szCs w:val="20"/>
        </w:rPr>
        <w:t xml:space="preserve">. </w:t>
      </w:r>
    </w:p>
    <w:p w14:paraId="4DF4A59E" w14:textId="77777777" w:rsidR="00047EF8" w:rsidRPr="00F563CD" w:rsidRDefault="00047EF8" w:rsidP="00047EF8">
      <w:pPr>
        <w:pStyle w:val="xmsonormal"/>
        <w:shd w:val="clear" w:color="auto" w:fill="FFFFFF"/>
        <w:spacing w:after="0"/>
        <w:jc w:val="both"/>
        <w:rPr>
          <w:rFonts w:asciiTheme="minorHAnsi" w:hAnsiTheme="minorHAnsi" w:cstheme="minorHAnsi"/>
          <w:b/>
          <w:iCs/>
          <w:sz w:val="20"/>
          <w:szCs w:val="20"/>
        </w:rPr>
      </w:pPr>
      <w:r w:rsidRPr="00F563CD">
        <w:rPr>
          <w:rStyle w:val="xnormaltextrun"/>
          <w:rFonts w:asciiTheme="minorHAnsi" w:hAnsiTheme="minorHAnsi" w:cs="Calibri"/>
          <w:b/>
          <w:sz w:val="20"/>
          <w:szCs w:val="20"/>
        </w:rPr>
        <w:t>Akcija br</w:t>
      </w:r>
      <w:r w:rsidRPr="00F563CD">
        <w:rPr>
          <w:rFonts w:asciiTheme="minorHAnsi" w:hAnsiTheme="minorHAnsi" w:cstheme="minorHAnsi"/>
          <w:b/>
          <w:iCs/>
          <w:sz w:val="20"/>
          <w:szCs w:val="20"/>
        </w:rPr>
        <w:t>. 7 - Deinstitucionalizacija</w:t>
      </w:r>
      <w:r w:rsidRPr="00F563CD">
        <w:rPr>
          <w:rFonts w:asciiTheme="minorHAnsi" w:hAnsiTheme="minorHAnsi" w:cstheme="minorHAnsi"/>
          <w:iCs/>
          <w:sz w:val="20"/>
          <w:szCs w:val="20"/>
        </w:rPr>
        <w:t xml:space="preserve"> Ova akcija će unaprijediti kvalitet života i osnažiti socijalnu inkluziju u Crnoj Gori. Predložena akcija treba da unaprijedi socijalnu inkluziju lica sa invaliditetom u Crnoj Gori kroz podršku procesu deinstitucionalizacije, transformaciju rezidentnih socijalnih institucija i podrške za život porodicama i zajednicama. Pored toga, ona će unaprijediti politike socijalne inkluzije lica sa invaliditetom u Crnoj Gori i osigurati nesmetano sprovođenje servisa alternativne njege kako bi se okončala reforma deinstitucionalizacije.</w:t>
      </w:r>
    </w:p>
    <w:p w14:paraId="3D8273BE" w14:textId="77777777" w:rsidR="00047EF8" w:rsidRPr="00F563CD" w:rsidRDefault="00047EF8" w:rsidP="00047EF8">
      <w:pPr>
        <w:spacing w:after="0" w:line="240" w:lineRule="auto"/>
        <w:jc w:val="both"/>
        <w:rPr>
          <w:rFonts w:asciiTheme="minorHAnsi" w:hAnsiTheme="minorHAnsi"/>
          <w:b/>
          <w:sz w:val="20"/>
          <w:szCs w:val="20"/>
        </w:rPr>
      </w:pPr>
      <w:r w:rsidRPr="00F563CD">
        <w:rPr>
          <w:rStyle w:val="xnormaltextrun"/>
          <w:rFonts w:asciiTheme="minorHAnsi" w:hAnsiTheme="minorHAnsi" w:cs="Calibri"/>
          <w:b/>
          <w:sz w:val="20"/>
          <w:szCs w:val="20"/>
        </w:rPr>
        <w:t>Akcija br. 8</w:t>
      </w:r>
      <w:r w:rsidRPr="00F563CD">
        <w:rPr>
          <w:rFonts w:asciiTheme="minorHAnsi" w:eastAsia="Calibri" w:hAnsiTheme="minorHAnsi" w:cs="Calibri"/>
          <w:b/>
          <w:sz w:val="20"/>
          <w:szCs w:val="20"/>
        </w:rPr>
        <w:t xml:space="preserve"> - </w:t>
      </w:r>
      <w:r w:rsidRPr="00F563CD">
        <w:rPr>
          <w:rFonts w:asciiTheme="minorHAnsi" w:hAnsiTheme="minorHAnsi"/>
          <w:b/>
          <w:sz w:val="20"/>
          <w:szCs w:val="20"/>
        </w:rPr>
        <w:t xml:space="preserve">Unapređenje kvaliteta zdravstvenih usluga </w:t>
      </w:r>
    </w:p>
    <w:p w14:paraId="509F1597" w14:textId="77777777" w:rsidR="00047EF8" w:rsidRPr="00F563CD" w:rsidRDefault="00047EF8" w:rsidP="00047EF8">
      <w:pPr>
        <w:spacing w:after="0" w:line="240" w:lineRule="auto"/>
        <w:jc w:val="both"/>
        <w:rPr>
          <w:rFonts w:asciiTheme="minorHAnsi" w:hAnsiTheme="minorHAnsi"/>
          <w:sz w:val="20"/>
          <w:szCs w:val="20"/>
        </w:rPr>
      </w:pPr>
      <w:r w:rsidRPr="00F563CD">
        <w:rPr>
          <w:rFonts w:asciiTheme="minorHAnsi" w:hAnsiTheme="minorHAnsi"/>
          <w:sz w:val="20"/>
          <w:szCs w:val="20"/>
        </w:rPr>
        <w:t>Unapređenje zdravstvenog sistema podrazumijeva standardizaciju i akreditaciju ustanova javnog zdravlja, kako bi se postigli relevantni međunarodni standardi kvaliteta zdravstvenih usluga. Crnogorska Vlada fokusirana je da dugoročno postigne visok nivo kvlaiteta, uključujući osiguranje i procjenu kvaliteta, sertifikovanje, referenciranje, reviziju uprave i klinike, eksternu procjenu, kvalitet i bezbjednost, unapređenje kvaliteta, mjerenje učinka, praćenje kvaliteta i standardizaciju u oblasti zdravstva. Glavni cilj jeste da se građanima pruži visok stepen povjerenja u zdravstvene usluge. Kada je u pitanju širi uticaj, standardizacija i akreditacija zdravstvenih usluga bi dalje podržale razvoj zdravstvenog turizma u skladu sa Strategijom S3.</w:t>
      </w:r>
    </w:p>
    <w:p w14:paraId="020C2C55" w14:textId="77777777" w:rsidR="00047EF8" w:rsidRPr="00F563CD" w:rsidRDefault="00047EF8" w:rsidP="00047EF8">
      <w:pPr>
        <w:pStyle w:val="xmsonormal"/>
        <w:shd w:val="clear" w:color="auto" w:fill="FFFFFF"/>
        <w:spacing w:before="0" w:beforeAutospacing="0" w:after="0" w:afterAutospacing="0"/>
        <w:jc w:val="both"/>
        <w:rPr>
          <w:rStyle w:val="xnormaltextrun"/>
          <w:rFonts w:asciiTheme="minorHAnsi" w:hAnsiTheme="minorHAnsi" w:cs="Calibri"/>
          <w:b/>
          <w:sz w:val="20"/>
          <w:szCs w:val="20"/>
          <w:u w:val="single"/>
        </w:rPr>
      </w:pPr>
    </w:p>
    <w:p w14:paraId="280D70A1" w14:textId="77777777" w:rsidR="00047EF8" w:rsidRPr="00F563CD" w:rsidRDefault="00047EF8" w:rsidP="00047EF8">
      <w:pPr>
        <w:pStyle w:val="xmsonormal"/>
        <w:shd w:val="clear" w:color="auto" w:fill="FFFFFF"/>
        <w:spacing w:before="0" w:beforeAutospacing="0" w:after="0" w:afterAutospacing="0"/>
        <w:jc w:val="both"/>
        <w:rPr>
          <w:rStyle w:val="xnormaltextrun"/>
          <w:rFonts w:asciiTheme="minorHAnsi" w:hAnsiTheme="minorHAnsi" w:cs="Calibri"/>
          <w:b/>
          <w:sz w:val="20"/>
          <w:szCs w:val="20"/>
          <w:u w:val="single"/>
        </w:rPr>
      </w:pPr>
      <w:r w:rsidRPr="00F563CD">
        <w:rPr>
          <w:rStyle w:val="xnormaltextrun"/>
          <w:rFonts w:asciiTheme="minorHAnsi" w:hAnsiTheme="minorHAnsi" w:cs="Calibri"/>
          <w:b/>
          <w:sz w:val="20"/>
          <w:szCs w:val="20"/>
          <w:u w:val="single"/>
        </w:rPr>
        <w:t>Programska godina 2024.</w:t>
      </w:r>
    </w:p>
    <w:p w14:paraId="26A6895D" w14:textId="77777777" w:rsidR="00047EF8" w:rsidRPr="00F563CD" w:rsidRDefault="00047EF8" w:rsidP="00047EF8">
      <w:pPr>
        <w:pStyle w:val="xmsonormal"/>
        <w:shd w:val="clear" w:color="auto" w:fill="FFFFFF"/>
        <w:spacing w:before="0" w:beforeAutospacing="0" w:after="0" w:afterAutospacing="0"/>
        <w:jc w:val="both"/>
        <w:rPr>
          <w:rStyle w:val="xnormaltextrun"/>
          <w:rFonts w:asciiTheme="minorHAnsi" w:hAnsiTheme="minorHAnsi" w:cs="Calibri"/>
          <w:sz w:val="20"/>
          <w:szCs w:val="20"/>
        </w:rPr>
      </w:pPr>
    </w:p>
    <w:p w14:paraId="5DF07A18"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b/>
          <w:sz w:val="20"/>
          <w:szCs w:val="20"/>
        </w:rPr>
      </w:pPr>
      <w:r w:rsidRPr="00F563CD">
        <w:rPr>
          <w:rStyle w:val="xnormaltextrun"/>
          <w:rFonts w:asciiTheme="minorHAnsi" w:hAnsiTheme="minorHAnsi" w:cs="Calibri"/>
          <w:b/>
          <w:sz w:val="20"/>
          <w:szCs w:val="20"/>
        </w:rPr>
        <w:t xml:space="preserve">Akcija br. 1 – Nastavak inicijativa </w:t>
      </w:r>
      <w:r w:rsidRPr="00F563CD">
        <w:rPr>
          <w:rFonts w:asciiTheme="minorHAnsi" w:hAnsiTheme="minorHAnsi" w:cs="Calibri"/>
          <w:b/>
          <w:sz w:val="20"/>
          <w:szCs w:val="20"/>
        </w:rPr>
        <w:t xml:space="preserve">tržišta rada na lokalnom nivou koje podržavaju sprovođenje programa </w:t>
      </w:r>
      <w:r w:rsidRPr="00F563CD">
        <w:rPr>
          <w:rFonts w:asciiTheme="minorHAnsi" w:eastAsia="Calibri" w:hAnsiTheme="minorHAnsi" w:cs="Calibri"/>
          <w:b/>
          <w:sz w:val="20"/>
          <w:szCs w:val="20"/>
        </w:rPr>
        <w:t>Garancija za mlade</w:t>
      </w:r>
    </w:p>
    <w:p w14:paraId="6D88C53B" w14:textId="77777777" w:rsidR="00047EF8" w:rsidRPr="00F563CD" w:rsidRDefault="00047EF8" w:rsidP="00047EF8">
      <w:pPr>
        <w:spacing w:line="240" w:lineRule="auto"/>
        <w:rPr>
          <w:rFonts w:asciiTheme="minorHAnsi" w:eastAsia="Arial" w:hAnsiTheme="minorHAnsi" w:cs="Arial"/>
          <w:sz w:val="20"/>
          <w:szCs w:val="20"/>
        </w:rPr>
      </w:pPr>
      <w:r w:rsidRPr="00F563CD">
        <w:rPr>
          <w:rFonts w:asciiTheme="minorHAnsi" w:hAnsiTheme="minorHAnsi" w:cs="Calibri"/>
          <w:sz w:val="20"/>
          <w:szCs w:val="20"/>
        </w:rPr>
        <w:t xml:space="preserve">Cilj ove akcije jeste sprovođenje lokalnog programa </w:t>
      </w:r>
      <w:r w:rsidRPr="00F563CD">
        <w:rPr>
          <w:rFonts w:asciiTheme="minorHAnsi" w:eastAsia="Calibri" w:hAnsiTheme="minorHAnsi" w:cs="Calibri"/>
          <w:sz w:val="20"/>
          <w:szCs w:val="20"/>
        </w:rPr>
        <w:t>Garancija za mlade</w:t>
      </w:r>
      <w:r w:rsidRPr="00F563CD">
        <w:rPr>
          <w:rFonts w:asciiTheme="minorHAnsi" w:hAnsiTheme="minorHAnsi" w:cs="Calibri"/>
          <w:sz w:val="20"/>
          <w:szCs w:val="20"/>
        </w:rPr>
        <w:t xml:space="preserve"> na nacionalnom nivou</w:t>
      </w:r>
      <w:r w:rsidRPr="00F563CD">
        <w:rPr>
          <w:rFonts w:asciiTheme="minorHAnsi" w:eastAsia="Arial" w:hAnsiTheme="minorHAnsi" w:cs="Arial"/>
          <w:sz w:val="20"/>
          <w:szCs w:val="20"/>
        </w:rPr>
        <w:t xml:space="preserve">. </w:t>
      </w:r>
    </w:p>
    <w:p w14:paraId="33035275" w14:textId="77777777" w:rsidR="00047EF8" w:rsidRPr="00F563CD" w:rsidRDefault="00047EF8" w:rsidP="00047EF8">
      <w:pPr>
        <w:pStyle w:val="xmsonormal"/>
        <w:shd w:val="clear" w:color="auto" w:fill="FFFFFF"/>
        <w:spacing w:before="0" w:beforeAutospacing="0" w:after="0" w:afterAutospacing="0"/>
        <w:jc w:val="both"/>
        <w:rPr>
          <w:rStyle w:val="xnormaltextrun"/>
          <w:rFonts w:asciiTheme="minorHAnsi" w:hAnsiTheme="minorHAnsi" w:cs="Calibri"/>
          <w:sz w:val="20"/>
          <w:szCs w:val="20"/>
        </w:rPr>
      </w:pPr>
      <w:r w:rsidRPr="00F563CD">
        <w:rPr>
          <w:rFonts w:asciiTheme="minorHAnsi" w:hAnsiTheme="minorHAnsi" w:cs="Calibri"/>
          <w:sz w:val="20"/>
          <w:szCs w:val="20"/>
        </w:rPr>
        <w:t xml:space="preserve"> </w:t>
      </w:r>
    </w:p>
    <w:p w14:paraId="217F2D3F" w14:textId="77777777" w:rsidR="00047EF8" w:rsidRPr="00F563CD" w:rsidRDefault="00047EF8" w:rsidP="00047EF8">
      <w:pPr>
        <w:pStyle w:val="xmsonormal"/>
        <w:shd w:val="clear" w:color="auto" w:fill="FFFFFF"/>
        <w:spacing w:before="0" w:beforeAutospacing="0" w:after="0" w:afterAutospacing="0"/>
        <w:jc w:val="both"/>
        <w:rPr>
          <w:rStyle w:val="xnormaltextrun"/>
          <w:rFonts w:asciiTheme="minorHAnsi" w:hAnsiTheme="minorHAnsi" w:cs="Calibri"/>
          <w:b/>
          <w:sz w:val="20"/>
          <w:szCs w:val="20"/>
        </w:rPr>
      </w:pPr>
      <w:r w:rsidRPr="00F563CD">
        <w:rPr>
          <w:rStyle w:val="xnormaltextrun"/>
          <w:rFonts w:asciiTheme="minorHAnsi" w:hAnsiTheme="minorHAnsi" w:cs="Calibri"/>
          <w:b/>
          <w:sz w:val="20"/>
          <w:szCs w:val="20"/>
        </w:rPr>
        <w:t>Akcija br. 2 – Podsticanje socijalnog preduzetništva</w:t>
      </w:r>
    </w:p>
    <w:p w14:paraId="26F77C17" w14:textId="77777777" w:rsidR="00047EF8" w:rsidRPr="00F563CD" w:rsidRDefault="00047EF8" w:rsidP="00047EF8">
      <w:pPr>
        <w:pStyle w:val="xmsonormal"/>
        <w:shd w:val="clear" w:color="auto" w:fill="FFFFFF"/>
        <w:spacing w:before="0" w:beforeAutospacing="0" w:after="0" w:afterAutospacing="0"/>
        <w:jc w:val="both"/>
        <w:rPr>
          <w:rStyle w:val="xnormaltextrun"/>
          <w:rFonts w:asciiTheme="minorHAnsi" w:hAnsiTheme="minorHAnsi" w:cs="Calibri"/>
          <w:sz w:val="20"/>
          <w:szCs w:val="20"/>
        </w:rPr>
      </w:pPr>
      <w:r w:rsidRPr="00F563CD">
        <w:rPr>
          <w:rStyle w:val="xnormaltextrun"/>
          <w:rFonts w:asciiTheme="minorHAnsi" w:hAnsiTheme="minorHAnsi" w:cs="Calibri"/>
          <w:sz w:val="20"/>
          <w:szCs w:val="20"/>
        </w:rPr>
        <w:t>Ova akcija će osigurati povećanje zapošljivosti i socijalne inkluzije kroz principe socijalnog preduzetništva, sa akcentom na ranjivm grupama. Projekat će pružiti podršku daljem razvoju koncepta socijalnog preduzetništva i sprovođenju njegovih mehanizama, kao i podršku zapošljavanju i socijalnoj inkluziji kroz mehanizme socijalnog preduzetništva.</w:t>
      </w:r>
    </w:p>
    <w:p w14:paraId="7F604CA7" w14:textId="77777777" w:rsidR="00047EF8" w:rsidRPr="00F563CD" w:rsidRDefault="00047EF8" w:rsidP="00047EF8">
      <w:pPr>
        <w:pStyle w:val="xmsonormal"/>
        <w:shd w:val="clear" w:color="auto" w:fill="FFFFFF"/>
        <w:spacing w:before="0" w:beforeAutospacing="0" w:after="0" w:afterAutospacing="0"/>
        <w:jc w:val="both"/>
        <w:rPr>
          <w:rStyle w:val="xnormaltextrun"/>
          <w:rFonts w:asciiTheme="minorHAnsi" w:hAnsiTheme="minorHAnsi" w:cs="Calibri"/>
          <w:sz w:val="20"/>
          <w:szCs w:val="20"/>
        </w:rPr>
      </w:pPr>
    </w:p>
    <w:p w14:paraId="2C699BC1" w14:textId="77777777" w:rsidR="00047EF8" w:rsidRPr="00F563CD" w:rsidRDefault="00047EF8" w:rsidP="00047EF8">
      <w:pPr>
        <w:pStyle w:val="xmsonormal"/>
        <w:shd w:val="clear" w:color="auto" w:fill="FFFFFF"/>
        <w:spacing w:before="0" w:beforeAutospacing="0" w:after="0" w:afterAutospacing="0"/>
        <w:jc w:val="both"/>
        <w:rPr>
          <w:rStyle w:val="xnormaltextrun"/>
          <w:rFonts w:asciiTheme="minorHAnsi" w:hAnsiTheme="minorHAnsi" w:cs="Calibri"/>
          <w:b/>
          <w:bCs/>
          <w:sz w:val="20"/>
          <w:szCs w:val="20"/>
        </w:rPr>
      </w:pPr>
      <w:r w:rsidRPr="00F563CD">
        <w:rPr>
          <w:rStyle w:val="xnormaltextrun"/>
          <w:rFonts w:asciiTheme="minorHAnsi" w:hAnsiTheme="minorHAnsi" w:cs="Calibri"/>
          <w:b/>
          <w:sz w:val="20"/>
          <w:szCs w:val="20"/>
        </w:rPr>
        <w:t xml:space="preserve">Akcija br. 3 – </w:t>
      </w:r>
      <w:r w:rsidRPr="00F563CD">
        <w:rPr>
          <w:rStyle w:val="xnormaltextrun"/>
          <w:rFonts w:asciiTheme="minorHAnsi" w:hAnsiTheme="minorHAnsi" w:cs="Calibri"/>
          <w:b/>
          <w:bCs/>
          <w:sz w:val="20"/>
          <w:szCs w:val="20"/>
        </w:rPr>
        <w:t>Sprovođenje novih radnih šema za podršku unapređenju bezbjednosti i zdravlja na radnom mjestu u skladu sa zelenom i digitalnom agendom</w:t>
      </w:r>
    </w:p>
    <w:p w14:paraId="6A8902F8" w14:textId="77777777" w:rsidR="00047EF8" w:rsidRPr="00F563CD" w:rsidRDefault="00047EF8" w:rsidP="00047EF8">
      <w:pPr>
        <w:spacing w:line="240" w:lineRule="auto"/>
        <w:rPr>
          <w:rFonts w:asciiTheme="minorHAnsi" w:eastAsia="Arial" w:hAnsiTheme="minorHAnsi" w:cs="Arial"/>
          <w:sz w:val="20"/>
          <w:szCs w:val="20"/>
        </w:rPr>
      </w:pPr>
      <w:r w:rsidRPr="00F563CD">
        <w:rPr>
          <w:rStyle w:val="xnormaltextrun"/>
          <w:rFonts w:asciiTheme="minorHAnsi" w:hAnsiTheme="minorHAnsi" w:cs="Calibri"/>
          <w:sz w:val="20"/>
          <w:szCs w:val="20"/>
        </w:rPr>
        <w:t>Cilj ove akcije jeste sprovođenje novih radnih šema i osiguranje bezbjednosti i zdravlja na radnom mjestu</w:t>
      </w:r>
      <w:r w:rsidRPr="00F563CD">
        <w:rPr>
          <w:rFonts w:asciiTheme="minorHAnsi" w:eastAsia="Arial" w:hAnsiTheme="minorHAnsi" w:cs="Arial"/>
          <w:sz w:val="20"/>
          <w:szCs w:val="20"/>
        </w:rPr>
        <w:t xml:space="preserve">. </w:t>
      </w:r>
    </w:p>
    <w:p w14:paraId="2543C55A" w14:textId="77777777" w:rsidR="00047EF8" w:rsidRPr="00F563CD" w:rsidRDefault="00047EF8" w:rsidP="00047EF8">
      <w:pPr>
        <w:pStyle w:val="xmsonormal"/>
        <w:shd w:val="clear" w:color="auto" w:fill="FFFFFF"/>
        <w:spacing w:before="0" w:beforeAutospacing="0" w:after="0" w:afterAutospacing="0"/>
        <w:jc w:val="both"/>
        <w:rPr>
          <w:rStyle w:val="xnormaltextrun"/>
          <w:rFonts w:asciiTheme="minorHAnsi" w:hAnsiTheme="minorHAnsi" w:cs="Calibri"/>
          <w:b/>
          <w:sz w:val="20"/>
          <w:szCs w:val="20"/>
        </w:rPr>
      </w:pPr>
    </w:p>
    <w:p w14:paraId="33F6DEB2"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b/>
          <w:sz w:val="20"/>
          <w:szCs w:val="20"/>
          <w:lang w:val="fr-BE"/>
        </w:rPr>
      </w:pPr>
      <w:r w:rsidRPr="00F563CD">
        <w:rPr>
          <w:rStyle w:val="xnormaltextrun"/>
          <w:rFonts w:asciiTheme="minorHAnsi" w:hAnsiTheme="minorHAnsi" w:cs="Calibri"/>
          <w:b/>
          <w:sz w:val="20"/>
          <w:szCs w:val="20"/>
          <w:lang w:val="fr-BE"/>
        </w:rPr>
        <w:t xml:space="preserve">Akcija br. 4 – Uspostavljanje i pilotiranje Garancije za djecu </w:t>
      </w:r>
    </w:p>
    <w:p w14:paraId="20CA13B4"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sz w:val="20"/>
          <w:szCs w:val="20"/>
          <w:lang w:val="fr-BE"/>
        </w:rPr>
      </w:pPr>
      <w:r w:rsidRPr="00F563CD">
        <w:rPr>
          <w:rFonts w:asciiTheme="minorHAnsi" w:hAnsiTheme="minorHAnsi" w:cs="Calibri"/>
          <w:sz w:val="20"/>
          <w:szCs w:val="20"/>
          <w:lang w:val="fr-BE"/>
        </w:rPr>
        <w:t>Glavni cilj ove akcije jeste pružanje podrške relevantnim ustanovama za uspostavljanje i pilotiranje Garancije za djecu u Crnoj Gori, na osnovu dobrih praksi Evropske unije. Cilj razvoja Garancije za djecu biće prekid ciklusa siromaštva i socijalnog isključivanja među generacijama kako bi se pružila podrška djeci kojoj je potrebna.</w:t>
      </w:r>
    </w:p>
    <w:p w14:paraId="0362AD59"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sz w:val="20"/>
          <w:szCs w:val="20"/>
          <w:lang w:val="fr-BE"/>
        </w:rPr>
      </w:pPr>
    </w:p>
    <w:p w14:paraId="7BA0D159"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b/>
          <w:sz w:val="20"/>
          <w:szCs w:val="20"/>
          <w:lang w:val="fr-BE" w:eastAsia="en-GB"/>
        </w:rPr>
      </w:pPr>
      <w:r w:rsidRPr="00F563CD">
        <w:rPr>
          <w:rStyle w:val="xnormaltextrun"/>
          <w:rFonts w:asciiTheme="minorHAnsi" w:hAnsiTheme="minorHAnsi" w:cs="Calibri"/>
          <w:b/>
          <w:sz w:val="20"/>
          <w:szCs w:val="20"/>
          <w:lang w:val="fr-BE"/>
        </w:rPr>
        <w:t>Akcija br</w:t>
      </w:r>
      <w:r w:rsidRPr="00F563CD">
        <w:rPr>
          <w:rFonts w:asciiTheme="minorHAnsi" w:hAnsiTheme="minorHAnsi"/>
          <w:b/>
          <w:sz w:val="20"/>
          <w:szCs w:val="20"/>
          <w:lang w:val="fr-BE" w:eastAsia="en-GB"/>
        </w:rPr>
        <w:t xml:space="preserve">. 5 – Unapređenje pristupa uslugama zdravstvene njege </w:t>
      </w:r>
    </w:p>
    <w:p w14:paraId="638C2F01"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sz w:val="20"/>
          <w:szCs w:val="20"/>
          <w:lang w:val="fr-BE" w:eastAsia="en-GB"/>
        </w:rPr>
      </w:pPr>
      <w:r w:rsidRPr="00F563CD">
        <w:rPr>
          <w:rFonts w:asciiTheme="minorHAnsi" w:hAnsiTheme="minorHAnsi"/>
          <w:sz w:val="20"/>
          <w:szCs w:val="20"/>
          <w:lang w:val="fr-BE" w:eastAsia="en-GB"/>
        </w:rPr>
        <w:t xml:space="preserve">Cilj ove akcije jeste dalje unapređenje pristupa zdravstvenim uslugama za lica sa invaliditetom i lica koja žive u ruralnim područjima, naročito starijim građanima. Jedan od prioriteta u ovoj oblasti jeste osiguravanje pristupa zdravstvenoj njezi za pojedince ili pravovremena upotreba ličnih zdravstvenih servisa da bi se postigli najbolji ishodi u zdravlju. Pristup zdravstvenim uslugama jeste od ključnog značaja za upravljanje hroničnim bolestima, izbjegavanje preuranjene smrti i </w:t>
      </w:r>
      <w:r w:rsidRPr="00F563CD">
        <w:rPr>
          <w:rFonts w:asciiTheme="minorHAnsi" w:hAnsiTheme="minorHAnsi"/>
          <w:sz w:val="20"/>
          <w:szCs w:val="20"/>
          <w:lang w:val="fr-BE" w:eastAsia="en-GB"/>
        </w:rPr>
        <w:lastRenderedPageBreak/>
        <w:t xml:space="preserve">smanjenje zdravstvenih različitosti, međutim ruralna područja se suočavaju sa jedinstvenim izazovima u pristupanju neophodnim zdravstvenim uslugama u poređenju sa urbanim područjima. Cilj ovog projekta jeste unapređenje opreme i medicinskih objekata koji nemaju adekvatan pristup pružaocima zdravstvene njege i dovoljno stručnjaka za primarnu njegu, dentalnu njegu ili mentalno zdravlje. Da bi se uputilo na barijere koje sprečavaju pristup zdravstvenim uslugama licima sa invaliditetom i licima koja žive u ruralnim područjima, Crna Gora će raditi na usvajanju strategija za omogućavanje priuštivih i pristupačnih zdravstvenih usluga. Ovaj izvještaj naglašava potrebu za ulaganjem u povećanje pristupa za lica sa invaliditetom i druge kategorije koje imaju poteškoće da putuju u centar grada, u dvije </w:t>
      </w:r>
      <w:proofErr w:type="gramStart"/>
      <w:r w:rsidRPr="00F563CD">
        <w:rPr>
          <w:rFonts w:asciiTheme="minorHAnsi" w:hAnsiTheme="minorHAnsi"/>
          <w:sz w:val="20"/>
          <w:szCs w:val="20"/>
          <w:lang w:val="fr-BE" w:eastAsia="en-GB"/>
        </w:rPr>
        <w:t>oblasti:</w:t>
      </w:r>
      <w:proofErr w:type="gramEnd"/>
    </w:p>
    <w:p w14:paraId="13F413F4" w14:textId="77777777" w:rsidR="00047EF8" w:rsidRPr="00F563CD" w:rsidRDefault="00047EF8" w:rsidP="00047EF8">
      <w:pPr>
        <w:numPr>
          <w:ilvl w:val="0"/>
          <w:numId w:val="101"/>
        </w:numPr>
        <w:spacing w:after="0" w:line="360" w:lineRule="atLeast"/>
        <w:textAlignment w:val="baseline"/>
        <w:rPr>
          <w:rFonts w:asciiTheme="minorHAnsi" w:hAnsiTheme="minorHAnsi"/>
          <w:sz w:val="20"/>
          <w:szCs w:val="20"/>
          <w:lang w:val="fr-BE"/>
        </w:rPr>
      </w:pPr>
      <w:r w:rsidRPr="00F563CD">
        <w:rPr>
          <w:rFonts w:asciiTheme="minorHAnsi" w:hAnsiTheme="minorHAnsi"/>
          <w:sz w:val="20"/>
          <w:szCs w:val="20"/>
          <w:lang w:val="fr-BE"/>
        </w:rPr>
        <w:t>Osiguranje zdravstvenih objekata u ruralnim područjima,</w:t>
      </w:r>
    </w:p>
    <w:p w14:paraId="15AE4246" w14:textId="77777777" w:rsidR="00047EF8" w:rsidRPr="00F563CD" w:rsidRDefault="00047EF8" w:rsidP="00047EF8">
      <w:pPr>
        <w:numPr>
          <w:ilvl w:val="0"/>
          <w:numId w:val="101"/>
        </w:numPr>
        <w:spacing w:after="0" w:line="360" w:lineRule="atLeast"/>
        <w:textAlignment w:val="baseline"/>
        <w:rPr>
          <w:rFonts w:asciiTheme="minorHAnsi" w:hAnsiTheme="minorHAnsi"/>
          <w:sz w:val="20"/>
          <w:szCs w:val="20"/>
          <w:lang w:val="fr-BE"/>
        </w:rPr>
      </w:pPr>
      <w:r w:rsidRPr="00F563CD">
        <w:rPr>
          <w:rFonts w:asciiTheme="minorHAnsi" w:hAnsiTheme="minorHAnsi"/>
          <w:sz w:val="20"/>
          <w:szCs w:val="20"/>
          <w:lang w:val="fr-BE"/>
        </w:rPr>
        <w:t xml:space="preserve"> Unapređenje pružanja zdravstvene njege u ruralnim područjima.</w:t>
      </w:r>
    </w:p>
    <w:p w14:paraId="5931279B"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sz w:val="20"/>
          <w:szCs w:val="20"/>
          <w:lang w:val="fr-BE" w:eastAsia="en-GB"/>
        </w:rPr>
      </w:pPr>
    </w:p>
    <w:p w14:paraId="4DC95DA5"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b/>
          <w:sz w:val="20"/>
          <w:szCs w:val="20"/>
          <w:lang w:val="fr-BE" w:eastAsia="en-GB"/>
        </w:rPr>
      </w:pPr>
      <w:r w:rsidRPr="00F563CD">
        <w:rPr>
          <w:rStyle w:val="xnormaltextrun"/>
          <w:rFonts w:asciiTheme="minorHAnsi" w:hAnsiTheme="minorHAnsi" w:cs="Calibri"/>
          <w:b/>
          <w:sz w:val="20"/>
          <w:szCs w:val="20"/>
          <w:lang w:val="fr-BE"/>
        </w:rPr>
        <w:t>Akcija br</w:t>
      </w:r>
      <w:r w:rsidRPr="00F563CD">
        <w:rPr>
          <w:rFonts w:asciiTheme="minorHAnsi" w:hAnsiTheme="minorHAnsi"/>
          <w:b/>
          <w:sz w:val="20"/>
          <w:szCs w:val="20"/>
          <w:lang w:val="fr-BE" w:eastAsia="en-GB"/>
        </w:rPr>
        <w:t>.6 – Unapređenje uslova koji se odnose na zdravlje i bezbjednost na radu</w:t>
      </w:r>
    </w:p>
    <w:p w14:paraId="411A51D7"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sz w:val="20"/>
          <w:szCs w:val="20"/>
          <w:lang w:val="fr-BE" w:eastAsia="en-GB"/>
        </w:rPr>
      </w:pPr>
      <w:r w:rsidRPr="00F563CD">
        <w:rPr>
          <w:rFonts w:asciiTheme="minorHAnsi" w:hAnsiTheme="minorHAnsi"/>
          <w:sz w:val="20"/>
          <w:szCs w:val="20"/>
          <w:lang w:val="fr-BE" w:eastAsia="en-GB"/>
        </w:rPr>
        <w:t xml:space="preserve">Jedan od prioriteta u ovoj oblasti ostaje upućivanje na pitanja koja se odnose na zdravlje i bezbjednost na radu. Fond za bezbjednost i zdravlje na radnom mjestu koji je predviđen sektorskim strategijama (2010-2014 i 2016-2020) treba da bude uspostavljen. Rad na unapređenju odgovarajućeg zakonodavnog okvira je u toku. Da bi se omogućili uslovi i unaprijedila saradnja u oblasti bezbjednosti na radu, dalja podrška za osnivanje Fonda za bezbjednost i zdravlje na radnom mjestu predviđena je u okviru IPA III u oblasti zdravlja. EU-OSHA is je informaciona agencija Evropske unije za bezbjednost i zdravlje na radnom mjestu. Tijesna saradnja </w:t>
      </w:r>
      <w:proofErr w:type="gramStart"/>
      <w:r w:rsidRPr="00F563CD">
        <w:rPr>
          <w:rFonts w:asciiTheme="minorHAnsi" w:hAnsiTheme="minorHAnsi"/>
          <w:sz w:val="20"/>
          <w:szCs w:val="20"/>
          <w:lang w:val="fr-BE" w:eastAsia="en-GB"/>
        </w:rPr>
        <w:t>sa</w:t>
      </w:r>
      <w:proofErr w:type="gramEnd"/>
      <w:r w:rsidRPr="00F563CD">
        <w:rPr>
          <w:rFonts w:asciiTheme="minorHAnsi" w:hAnsiTheme="minorHAnsi"/>
          <w:sz w:val="20"/>
          <w:szCs w:val="20"/>
          <w:lang w:val="fr-BE" w:eastAsia="en-GB"/>
        </w:rPr>
        <w:t xml:space="preserve"> EU-OSHA potrebna je da bi se uputili nacionalni prioriteti, kao i Strateški okvir Evropske komisije za zdravlje i bezbjednost na radu 2021-2027 i ostale relevantne strategije i programi Evropske unije. </w:t>
      </w:r>
    </w:p>
    <w:p w14:paraId="29C28936"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b/>
          <w:sz w:val="20"/>
          <w:szCs w:val="20"/>
          <w:lang w:val="fr-BE"/>
        </w:rPr>
      </w:pPr>
      <w:r w:rsidRPr="00F563CD">
        <w:rPr>
          <w:rFonts w:asciiTheme="minorHAnsi" w:hAnsiTheme="minorHAnsi" w:cs="Calibri"/>
          <w:b/>
          <w:sz w:val="20"/>
          <w:szCs w:val="20"/>
          <w:lang w:val="fr-BE"/>
        </w:rPr>
        <w:t xml:space="preserve"> </w:t>
      </w:r>
    </w:p>
    <w:p w14:paraId="2716A9DF" w14:textId="77777777" w:rsidR="00047EF8" w:rsidRPr="00F563CD" w:rsidRDefault="00047EF8" w:rsidP="00047EF8">
      <w:pPr>
        <w:spacing w:line="240" w:lineRule="auto"/>
        <w:jc w:val="both"/>
        <w:rPr>
          <w:rFonts w:asciiTheme="minorHAnsi" w:hAnsiTheme="minorHAnsi" w:cstheme="minorHAnsi"/>
          <w:b/>
          <w:i/>
          <w:iCs/>
          <w:sz w:val="20"/>
          <w:szCs w:val="20"/>
          <w:lang w:val="fr-BE" w:eastAsia="en-US"/>
        </w:rPr>
      </w:pPr>
      <w:r w:rsidRPr="00F563CD">
        <w:rPr>
          <w:rFonts w:asciiTheme="minorHAnsi" w:hAnsiTheme="minorHAnsi" w:cstheme="minorHAnsi"/>
          <w:b/>
          <w:i/>
          <w:iCs/>
          <w:sz w:val="20"/>
          <w:szCs w:val="20"/>
          <w:lang w:val="fr-BE" w:eastAsia="en-US"/>
        </w:rPr>
        <w:t xml:space="preserve">Tematski prioritet </w:t>
      </w:r>
      <w:proofErr w:type="gramStart"/>
      <w:r w:rsidRPr="00F563CD">
        <w:rPr>
          <w:rFonts w:asciiTheme="minorHAnsi" w:hAnsiTheme="minorHAnsi" w:cstheme="minorHAnsi"/>
          <w:b/>
          <w:i/>
          <w:iCs/>
          <w:sz w:val="20"/>
          <w:szCs w:val="20"/>
          <w:lang w:val="fr-BE" w:eastAsia="en-US"/>
        </w:rPr>
        <w:t>2:</w:t>
      </w:r>
      <w:proofErr w:type="gramEnd"/>
      <w:r w:rsidRPr="00F563CD">
        <w:rPr>
          <w:rFonts w:asciiTheme="minorHAnsi" w:hAnsiTheme="minorHAnsi" w:cstheme="minorHAnsi"/>
          <w:b/>
          <w:i/>
          <w:iCs/>
          <w:sz w:val="20"/>
          <w:szCs w:val="20"/>
          <w:lang w:val="fr-BE" w:eastAsia="en-US"/>
        </w:rPr>
        <w:t xml:space="preserve"> Razvoj privatnog sektora, trgovina, istraživanje i inovacije</w:t>
      </w:r>
    </w:p>
    <w:p w14:paraId="2B7F8DE7"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b/>
          <w:sz w:val="20"/>
          <w:szCs w:val="20"/>
          <w:lang w:val="fr-BE"/>
        </w:rPr>
      </w:pPr>
      <w:r w:rsidRPr="00F563CD">
        <w:rPr>
          <w:rStyle w:val="xnormaltextrun"/>
          <w:rFonts w:asciiTheme="minorHAnsi" w:hAnsiTheme="minorHAnsi" w:cs="Calibri"/>
          <w:b/>
          <w:sz w:val="20"/>
          <w:szCs w:val="20"/>
          <w:lang w:val="fr-BE"/>
        </w:rPr>
        <w:t>Akcija br</w:t>
      </w:r>
      <w:r w:rsidRPr="00F563CD">
        <w:rPr>
          <w:rFonts w:asciiTheme="minorHAnsi" w:hAnsiTheme="minorHAnsi" w:cs="Calibri"/>
          <w:b/>
          <w:sz w:val="20"/>
          <w:szCs w:val="20"/>
          <w:lang w:val="fr-BE"/>
        </w:rPr>
        <w:t xml:space="preserve">. 1 –Okvir sprovođenja Strategije pametne specijalizacije i Fond za inovacije </w:t>
      </w:r>
    </w:p>
    <w:p w14:paraId="5773B21B"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theme="minorHAnsi"/>
          <w:sz w:val="20"/>
          <w:szCs w:val="20"/>
          <w:lang w:val="fr-BE"/>
        </w:rPr>
      </w:pPr>
      <w:r w:rsidRPr="00F563CD">
        <w:rPr>
          <w:rFonts w:asciiTheme="minorHAnsi" w:hAnsiTheme="minorHAnsi" w:cstheme="minorHAnsi"/>
          <w:sz w:val="20"/>
          <w:szCs w:val="20"/>
          <w:lang w:val="fr-BE"/>
        </w:rPr>
        <w:t>Sveukupni cilj ove akcije jeste da se doprinese povećanoj ekonomskoj konkurentnosti Crne Gore kroz istraživanje, razvoj i inovacije unapređenjem kapaciteta Fonda za inovacije kao tijela koje sprovodi Strategiju</w:t>
      </w:r>
      <w:r w:rsidRPr="00F563CD">
        <w:rPr>
          <w:rFonts w:asciiTheme="minorHAnsi" w:hAnsiTheme="minorHAnsi" w:cs="Calibri"/>
          <w:b/>
          <w:sz w:val="20"/>
          <w:szCs w:val="20"/>
          <w:lang w:val="fr-BE"/>
        </w:rPr>
        <w:t xml:space="preserve"> </w:t>
      </w:r>
      <w:r w:rsidRPr="00F563CD">
        <w:rPr>
          <w:rFonts w:asciiTheme="minorHAnsi" w:hAnsiTheme="minorHAnsi" w:cs="Calibri"/>
          <w:sz w:val="20"/>
          <w:szCs w:val="20"/>
          <w:lang w:val="fr-BE"/>
        </w:rPr>
        <w:t>pametne specijalizacije</w:t>
      </w:r>
      <w:r w:rsidRPr="00F563CD">
        <w:rPr>
          <w:rFonts w:asciiTheme="minorHAnsi" w:hAnsiTheme="minorHAnsi" w:cstheme="minorHAnsi"/>
          <w:sz w:val="20"/>
          <w:szCs w:val="20"/>
          <w:lang w:val="fr-BE"/>
        </w:rPr>
        <w:t xml:space="preserve"> (S3). Neki od rezultata koji će biti pruženi su definisanje novih programa i usluga za podršku inovacijama i jačanje kapaciteta (potencijalnih) korisnika Fonda za inovacije za djelotvornu upotrebu programa Fonda.</w:t>
      </w:r>
    </w:p>
    <w:p w14:paraId="0C8491D3"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theme="minorHAnsi"/>
          <w:sz w:val="20"/>
          <w:szCs w:val="20"/>
          <w:lang w:val="fr-BE"/>
        </w:rPr>
      </w:pPr>
    </w:p>
    <w:p w14:paraId="54DB013A"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b/>
          <w:sz w:val="20"/>
          <w:szCs w:val="20"/>
          <w:lang w:val="fr-BE"/>
        </w:rPr>
      </w:pPr>
      <w:r w:rsidRPr="00F563CD">
        <w:rPr>
          <w:rStyle w:val="xnormaltextrun"/>
          <w:rFonts w:asciiTheme="minorHAnsi" w:hAnsiTheme="minorHAnsi" w:cs="Calibri"/>
          <w:b/>
          <w:sz w:val="20"/>
          <w:szCs w:val="20"/>
          <w:lang w:val="fr-BE"/>
        </w:rPr>
        <w:t>Akcija br</w:t>
      </w:r>
      <w:r w:rsidRPr="00F563CD">
        <w:rPr>
          <w:rFonts w:asciiTheme="minorHAnsi" w:hAnsiTheme="minorHAnsi" w:cs="Calibri"/>
          <w:b/>
          <w:sz w:val="20"/>
          <w:szCs w:val="20"/>
          <w:lang w:val="fr-BE"/>
        </w:rPr>
        <w:t xml:space="preserve">. 2 – Inovacioni projekti većeg obima </w:t>
      </w:r>
    </w:p>
    <w:p w14:paraId="70CAE309"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theme="minorHAnsi"/>
          <w:sz w:val="20"/>
          <w:szCs w:val="20"/>
          <w:lang w:val="fr-BE"/>
        </w:rPr>
      </w:pPr>
      <w:r w:rsidRPr="00F563CD">
        <w:rPr>
          <w:rFonts w:asciiTheme="minorHAnsi" w:hAnsiTheme="minorHAnsi" w:cstheme="minorHAnsi"/>
          <w:sz w:val="20"/>
          <w:szCs w:val="20"/>
          <w:lang w:val="fr-BE"/>
        </w:rPr>
        <w:t>Ova akcija će doprinijeti povećanoj ekonomskoj konkurentnosti Crne Gore kroz istraživanje, razvoj i inovacije povećanjem pristupa i kvaliteta inovacione infrastrukture za prioritetna područja S3 zajedno sa povećanjem kvaliteta i uticaja usluga podrške za inovacije. Ova akcija će rezultirati sprovođenjem grant šeme za inovacione razvojne projekte i osnaživanjem kapaciteta Ministarstva za ekonomski razvoj i koirsnika grant šeme za sprovođenje projekta.</w:t>
      </w:r>
    </w:p>
    <w:p w14:paraId="3274CFB9"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theme="minorHAnsi"/>
          <w:sz w:val="20"/>
          <w:szCs w:val="20"/>
          <w:lang w:val="fr-BE"/>
        </w:rPr>
      </w:pPr>
    </w:p>
    <w:p w14:paraId="4651C4FF"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b/>
          <w:sz w:val="20"/>
          <w:szCs w:val="20"/>
          <w:lang w:val="fr-BE"/>
        </w:rPr>
      </w:pPr>
      <w:r w:rsidRPr="00F563CD">
        <w:rPr>
          <w:rStyle w:val="xnormaltextrun"/>
          <w:rFonts w:asciiTheme="minorHAnsi" w:hAnsiTheme="minorHAnsi" w:cs="Calibri"/>
          <w:b/>
          <w:sz w:val="20"/>
          <w:szCs w:val="20"/>
          <w:lang w:val="fr-BE"/>
        </w:rPr>
        <w:t>Akcija br</w:t>
      </w:r>
      <w:r w:rsidRPr="00F563CD">
        <w:rPr>
          <w:rFonts w:asciiTheme="minorHAnsi" w:hAnsiTheme="minorHAnsi" w:cs="Calibri"/>
          <w:b/>
          <w:sz w:val="20"/>
          <w:szCs w:val="20"/>
          <w:lang w:val="fr-BE"/>
        </w:rPr>
        <w:t xml:space="preserve">. 3 – Naučno-tehnološki park </w:t>
      </w:r>
    </w:p>
    <w:p w14:paraId="49FF4DD7"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theme="minorHAnsi"/>
          <w:sz w:val="20"/>
          <w:szCs w:val="20"/>
          <w:lang w:val="fr-BE"/>
        </w:rPr>
      </w:pPr>
      <w:r w:rsidRPr="00F563CD">
        <w:rPr>
          <w:rFonts w:asciiTheme="minorHAnsi" w:hAnsiTheme="minorHAnsi" w:cstheme="minorHAnsi"/>
          <w:sz w:val="20"/>
          <w:szCs w:val="20"/>
          <w:lang w:val="fr-BE"/>
        </w:rPr>
        <w:t>Glavni cilj akcija jeste da se doprinese povećanoj ekonomskoj konkurentnosti Crne Gore kroz istraživanje, razvoj i inovacije uspostavljanjem poptuno funkcionalnog savremenog inovacionog laboratorijskog centra u okviru naučno-tehnološkog parka u prioritetnim područjima Strategije S3. Rezultat ove akcije biće sprovođenje ugovora nabavke, jačanje kapaciteta naučno-tehnološkog parka za upravljanje i koordinaciju infrastrukturom za istraživanje, razvoj i inovacije, kao i za pružanje usluga klijentima.</w:t>
      </w:r>
    </w:p>
    <w:p w14:paraId="625A1DD3"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theme="minorHAnsi"/>
          <w:sz w:val="20"/>
          <w:szCs w:val="20"/>
          <w:lang w:val="fr-BE"/>
        </w:rPr>
      </w:pPr>
    </w:p>
    <w:p w14:paraId="363716FF"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Calibri"/>
          <w:b/>
          <w:sz w:val="20"/>
          <w:szCs w:val="20"/>
          <w:lang w:val="fr-BE"/>
        </w:rPr>
      </w:pPr>
      <w:r w:rsidRPr="00F563CD">
        <w:rPr>
          <w:rStyle w:val="xnormaltextrun"/>
          <w:rFonts w:asciiTheme="minorHAnsi" w:hAnsiTheme="minorHAnsi" w:cs="Calibri"/>
          <w:b/>
          <w:sz w:val="20"/>
          <w:szCs w:val="20"/>
          <w:lang w:val="fr-BE"/>
        </w:rPr>
        <w:t>Akcija br</w:t>
      </w:r>
      <w:r w:rsidRPr="00F563CD">
        <w:rPr>
          <w:rFonts w:asciiTheme="minorHAnsi" w:hAnsiTheme="minorHAnsi" w:cs="Calibri"/>
          <w:b/>
          <w:sz w:val="20"/>
          <w:szCs w:val="20"/>
          <w:lang w:val="fr-BE"/>
        </w:rPr>
        <w:t>. 4 – Razvoj privatnog sektora</w:t>
      </w:r>
    </w:p>
    <w:p w14:paraId="7A7A0B53" w14:textId="77777777" w:rsidR="00047EF8" w:rsidRPr="00F563CD" w:rsidRDefault="00047EF8" w:rsidP="00047EF8">
      <w:pPr>
        <w:pStyle w:val="xmsonormal"/>
        <w:shd w:val="clear" w:color="auto" w:fill="FFFFFF"/>
        <w:spacing w:before="0" w:beforeAutospacing="0" w:after="0" w:afterAutospacing="0"/>
        <w:jc w:val="both"/>
        <w:rPr>
          <w:rFonts w:asciiTheme="minorHAnsi" w:hAnsiTheme="minorHAnsi" w:cstheme="minorHAnsi"/>
          <w:sz w:val="20"/>
          <w:szCs w:val="20"/>
          <w:lang w:val="fr-BE"/>
        </w:rPr>
      </w:pPr>
      <w:r w:rsidRPr="00F563CD">
        <w:rPr>
          <w:rFonts w:asciiTheme="minorHAnsi" w:hAnsiTheme="minorHAnsi" w:cstheme="minorHAnsi"/>
          <w:sz w:val="20"/>
          <w:szCs w:val="20"/>
          <w:lang w:val="fr-BE"/>
        </w:rPr>
        <w:t>Glavni cilj ove akcije jeste doprinos ekonomskoj konkurentosti, inovacionom kapacitetu i inkluzivnom rastu Crne Gore. Naime, ovaj projekat ima za cilj podršku razvoju privatnog sektora, sa akcentom na malim i srednjim preduzećima, i crnogorske privrede zasnovane na znanju, u skladu sa pravnom tekovinom Evropske unije u oblasti konkurentnosti i inovacija.</w:t>
      </w:r>
    </w:p>
    <w:p w14:paraId="3711756D" w14:textId="77777777" w:rsidR="00047EF8" w:rsidRPr="00F563CD" w:rsidRDefault="00047EF8" w:rsidP="00047EF8">
      <w:pPr>
        <w:spacing w:after="120" w:line="240" w:lineRule="auto"/>
        <w:jc w:val="both"/>
        <w:rPr>
          <w:rFonts w:asciiTheme="minorHAnsi" w:hAnsiTheme="minorHAnsi" w:cs="Arial"/>
          <w:iCs/>
          <w:sz w:val="20"/>
          <w:szCs w:val="20"/>
          <w:lang w:val="fr-BE"/>
        </w:rPr>
      </w:pPr>
      <w:r w:rsidRPr="00F563CD">
        <w:rPr>
          <w:rFonts w:asciiTheme="minorHAnsi" w:hAnsiTheme="minorHAnsi" w:cs="Arial"/>
          <w:iCs/>
          <w:sz w:val="20"/>
          <w:szCs w:val="20"/>
          <w:lang w:val="fr-BE"/>
        </w:rPr>
        <w:t xml:space="preserve">Akcija “Razvoj privatnog sektora” ima za cilj omogućavanje procesa proizvodnje zasnovane na savremenim tehničkim i tehnološkim postignućima. Koordinacija razvojnih politika mikro, malih i srednjih preduzeća bila bi poboljšana kroz podršku za uspostavljanje Poslovnog razvojnog centra (Centra za ubrzanje biznisa) koji bi dopunio podršku vlade privatnom sektoru. Veliki broj programa mikro, malih i srednjih preduzeća održava slabu povezanost, nepostojanje centralnog organa da koordinira programima i da obavlja djelotvorni </w:t>
      </w:r>
      <w:r w:rsidRPr="00F563CD">
        <w:rPr>
          <w:rFonts w:asciiTheme="minorHAnsi" w:hAnsiTheme="minorHAnsi" w:cs="Arial"/>
          <w:i/>
          <w:iCs/>
          <w:sz w:val="20"/>
          <w:szCs w:val="20"/>
          <w:lang w:val="fr-BE"/>
        </w:rPr>
        <w:t>ex-post</w:t>
      </w:r>
      <w:r w:rsidRPr="00F563CD">
        <w:rPr>
          <w:rFonts w:asciiTheme="minorHAnsi" w:hAnsiTheme="minorHAnsi" w:cs="Arial"/>
          <w:iCs/>
          <w:sz w:val="20"/>
          <w:szCs w:val="20"/>
          <w:lang w:val="fr-BE"/>
        </w:rPr>
        <w:t xml:space="preserve"> pregled njihovog učinka. Usljed toga, nivo podrške malim i srednjim preduzećima određuju postepeno pojedinačna ministarstva, bez koordinisane strategije, a rezultat toga su dupliranja i preklapanja. Štaviše, nedostajanje informacionog sistema koji se odnosi na programe malih i srednjih preduzeća kreira nepodudaranje između ponude i tražnje za podršku malim i srednjim preduzećima. Uloga Centra za ubrzanje biznisa: (i) Stimulisanje, monitoring i koordinisanje pod-sektora mikro, malih i srednjih preduzeća; (ii) Iniciranje i artikulisanje ideja politike za rast i razvoj malih i srednjih preduzeća; (iii) Promovisanje i olakšavanje razvojnih programa, instrumenata i servisa podrške za ubrzanje razvoja i modernizovanje rada mikro, malih i srednjih preduzeća;  (iv) Izvidnica za industrijalizaciju, </w:t>
      </w:r>
      <w:r w:rsidRPr="00F563CD">
        <w:rPr>
          <w:rFonts w:asciiTheme="minorHAnsi" w:hAnsiTheme="minorHAnsi" w:cs="Arial"/>
          <w:iCs/>
          <w:sz w:val="20"/>
          <w:szCs w:val="20"/>
          <w:lang w:val="fr-BE"/>
        </w:rPr>
        <w:lastRenderedPageBreak/>
        <w:t xml:space="preserve">smanjenje siromaštva, stvaranje radnih mjesta i unaprijeđeno izdržavanje; (v) Povezivanje mikro, malih i srednjih preduzeća sa untrašnjim i spoljašnjim izvorima finansiranja, odgovarajućom tehnologijom, tehničkim vještinama kao i sa velikim preduzećima; (vi) Promovisanje i omogućavanje pristupa industrijskoj infrastrukturi kao što su makete, inkubatori, industrijsko-tehnološki parkovi; (vii) Posredovanje između mikro, malih i srednjih preduzeća i Vlade; (viii) Rad u kontaktu sa drugim ustanovama kako u javnom tako i u privatnom sektoru u cilju stvaranja dobrog podsticajnog okruženja za biznis uopšte, a naročito za djelatnosti mikro, malih i srednjih preduzeća. Imajući na umu da će se razviti Program revitalizacije industrijskog sektora kroz podršku IPA II, njegova implementacija će biti neophodna u narednim godinama kroz konkretne akcije kao što </w:t>
      </w:r>
      <w:proofErr w:type="gramStart"/>
      <w:r w:rsidRPr="00F563CD">
        <w:rPr>
          <w:rFonts w:asciiTheme="minorHAnsi" w:hAnsiTheme="minorHAnsi" w:cs="Arial"/>
          <w:iCs/>
          <w:sz w:val="20"/>
          <w:szCs w:val="20"/>
          <w:lang w:val="fr-BE"/>
        </w:rPr>
        <w:t>su:</w:t>
      </w:r>
      <w:proofErr w:type="gramEnd"/>
    </w:p>
    <w:p w14:paraId="33D29D42" w14:textId="77777777" w:rsidR="00047EF8" w:rsidRPr="00F563CD" w:rsidRDefault="00047EF8" w:rsidP="00076B03">
      <w:pPr>
        <w:spacing w:after="120" w:line="240" w:lineRule="auto"/>
        <w:ind w:left="270" w:hanging="27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Transformacija/revitalizacija proizvodne industrije kroz povećanje konkurentosti lanaca vrijednosti proizvodnje u Crnoj Gori.</w:t>
      </w:r>
    </w:p>
    <w:p w14:paraId="31E7AB78" w14:textId="77777777" w:rsidR="00047EF8" w:rsidRPr="00F563CD" w:rsidRDefault="00047EF8" w:rsidP="00076B03">
      <w:pPr>
        <w:spacing w:after="120" w:line="240" w:lineRule="auto"/>
        <w:ind w:left="270" w:hanging="27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Unapređenje pristupa finansijama za modernizovanje industrije kroz pristupačnost finansiranju za konkurentna i inovativna preduzeća putem grantova za podršku malim i srednjim preduzećima za podršku eliminaciji uskih grla u procesu proizvodnje, uvođenja novih stadijuma obrade, uvođenja novih proizvoda, modernizacije tehnologije, postizanja standarda i dobijanje sertifikata, djelotvorne upotrebe resursa i održivost, sa posebnim naglaskom na energetskoj efikasnosti industrije i tranziciji na nisko-karbonsku ekonomiju i primjenu digitalizacije;</w:t>
      </w:r>
    </w:p>
    <w:p w14:paraId="1FA9E0CE" w14:textId="77777777" w:rsidR="00047EF8" w:rsidRPr="00F563CD" w:rsidRDefault="00047EF8" w:rsidP="00076B03">
      <w:pPr>
        <w:spacing w:after="120" w:line="240" w:lineRule="auto"/>
        <w:ind w:left="360" w:hanging="36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 xml:space="preserve">Olakšavanje i jačanje integracije malih i srednjih preduzeća u lance vrijednosti kroz pristupačnost grantovima za finansiranje konkurentnih i inovativnih </w:t>
      </w:r>
      <w:proofErr w:type="gramStart"/>
      <w:r w:rsidRPr="00F563CD">
        <w:rPr>
          <w:rFonts w:asciiTheme="minorHAnsi" w:hAnsiTheme="minorHAnsi" w:cs="Arial"/>
          <w:iCs/>
          <w:sz w:val="20"/>
          <w:szCs w:val="20"/>
          <w:lang w:val="fr-BE"/>
        </w:rPr>
        <w:t>preduzeća;</w:t>
      </w:r>
      <w:proofErr w:type="gramEnd"/>
    </w:p>
    <w:p w14:paraId="5321F9E1" w14:textId="77777777" w:rsidR="00047EF8" w:rsidRPr="00F563CD" w:rsidRDefault="00047EF8" w:rsidP="00076B03">
      <w:pPr>
        <w:spacing w:after="120" w:line="240" w:lineRule="auto"/>
        <w:ind w:left="360" w:hanging="36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 xml:space="preserve">Uspostavljanje i operacionalizacija Centra za razvoj biznisa koji pruža podršku razvoju mikro, malih i srednjih </w:t>
      </w:r>
      <w:proofErr w:type="gramStart"/>
      <w:r w:rsidRPr="00F563CD">
        <w:rPr>
          <w:rFonts w:asciiTheme="minorHAnsi" w:hAnsiTheme="minorHAnsi" w:cs="Arial"/>
          <w:iCs/>
          <w:sz w:val="20"/>
          <w:szCs w:val="20"/>
          <w:lang w:val="fr-BE"/>
        </w:rPr>
        <w:t>preduzeća;</w:t>
      </w:r>
      <w:proofErr w:type="gramEnd"/>
      <w:r w:rsidRPr="00F563CD">
        <w:rPr>
          <w:rFonts w:asciiTheme="minorHAnsi" w:hAnsiTheme="minorHAnsi" w:cs="Arial"/>
          <w:iCs/>
          <w:sz w:val="20"/>
          <w:szCs w:val="20"/>
          <w:lang w:val="fr-BE"/>
        </w:rPr>
        <w:t xml:space="preserve"> </w:t>
      </w:r>
    </w:p>
    <w:p w14:paraId="597C0BAC" w14:textId="77777777" w:rsidR="00047EF8" w:rsidRPr="00F563CD" w:rsidRDefault="00047EF8" w:rsidP="00076B03">
      <w:pPr>
        <w:spacing w:after="120" w:line="240" w:lineRule="auto"/>
        <w:ind w:left="360" w:hanging="36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 xml:space="preserve">Finansijska i savjetodavna podrška mikro, malim i srednjim preduzećima za razvoj inovativnih cirkularnih rješenja zasnovanih na “cirkularnom sastavnom bloku” u industrijskoj simbiozi, efikasnost materijalnih resursa, produžetak životnog vijeka proizvoda, bioloških proizvoda, energetsku efikasnost i obnovljivu energiju, ekonomiju učinka, ekonomiju dijeljenja i platofrmsku </w:t>
      </w:r>
      <w:proofErr w:type="gramStart"/>
      <w:r w:rsidRPr="00F563CD">
        <w:rPr>
          <w:rFonts w:asciiTheme="minorHAnsi" w:hAnsiTheme="minorHAnsi" w:cs="Arial"/>
          <w:iCs/>
          <w:sz w:val="20"/>
          <w:szCs w:val="20"/>
          <w:lang w:val="fr-BE"/>
        </w:rPr>
        <w:t>ekonomiju;</w:t>
      </w:r>
      <w:proofErr w:type="gramEnd"/>
      <w:r w:rsidRPr="00F563CD">
        <w:rPr>
          <w:rFonts w:asciiTheme="minorHAnsi" w:hAnsiTheme="minorHAnsi" w:cs="Arial"/>
          <w:iCs/>
          <w:sz w:val="20"/>
          <w:szCs w:val="20"/>
          <w:lang w:val="fr-BE"/>
        </w:rPr>
        <w:t xml:space="preserve"> </w:t>
      </w:r>
    </w:p>
    <w:p w14:paraId="06D8A4A6" w14:textId="77777777" w:rsidR="00047EF8" w:rsidRPr="00F563CD" w:rsidRDefault="00047EF8" w:rsidP="00076B03">
      <w:pPr>
        <w:spacing w:after="120" w:line="240" w:lineRule="auto"/>
        <w:ind w:left="360" w:hanging="36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 xml:space="preserve">Finansijska i savjetodavna podrška za mikro, mala i srednja preduzeća za integrisanje novih cirkularnih biznis modela, naprednih tehnologija i procesa u </w:t>
      </w:r>
      <w:proofErr w:type="gramStart"/>
      <w:r w:rsidRPr="00F563CD">
        <w:rPr>
          <w:rFonts w:asciiTheme="minorHAnsi" w:hAnsiTheme="minorHAnsi" w:cs="Arial"/>
          <w:iCs/>
          <w:sz w:val="20"/>
          <w:szCs w:val="20"/>
          <w:lang w:val="fr-BE"/>
        </w:rPr>
        <w:t>kompanije;</w:t>
      </w:r>
      <w:proofErr w:type="gramEnd"/>
    </w:p>
    <w:p w14:paraId="40311BA4" w14:textId="77777777" w:rsidR="00047EF8" w:rsidRPr="00F563CD" w:rsidRDefault="00047EF8" w:rsidP="00076B03">
      <w:pPr>
        <w:spacing w:after="120" w:line="240" w:lineRule="auto"/>
        <w:ind w:left="360" w:hanging="36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 xml:space="preserve">Savjetodavne usluge i mentorstvo za mala i srednja preduzeća u vezi sa cirkularnom ekonomijom, digitalizacijom, preduzetničkim </w:t>
      </w:r>
      <w:proofErr w:type="gramStart"/>
      <w:r w:rsidRPr="00F563CD">
        <w:rPr>
          <w:rFonts w:asciiTheme="minorHAnsi" w:hAnsiTheme="minorHAnsi" w:cs="Arial"/>
          <w:iCs/>
          <w:sz w:val="20"/>
          <w:szCs w:val="20"/>
          <w:lang w:val="fr-BE"/>
        </w:rPr>
        <w:t>učenjem;</w:t>
      </w:r>
      <w:proofErr w:type="gramEnd"/>
      <w:r w:rsidRPr="00F563CD">
        <w:rPr>
          <w:rFonts w:asciiTheme="minorHAnsi" w:hAnsiTheme="minorHAnsi" w:cs="Arial"/>
          <w:iCs/>
          <w:sz w:val="20"/>
          <w:szCs w:val="20"/>
          <w:lang w:val="fr-BE"/>
        </w:rPr>
        <w:t xml:space="preserve"> </w:t>
      </w:r>
    </w:p>
    <w:p w14:paraId="36FE4A48" w14:textId="77777777" w:rsidR="00047EF8" w:rsidRPr="00F563CD" w:rsidRDefault="00047EF8" w:rsidP="00076B03">
      <w:pPr>
        <w:spacing w:after="120" w:line="240" w:lineRule="auto"/>
        <w:ind w:left="360" w:hanging="36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 xml:space="preserve">Povećanje dodatne vrijednosti koja se stvara u sektorima usluga (uključujući kreativne industrije), unapređenjem proizvodne infrastrukture za te sektore, uspostavljanje i operacionalizovanje objekata zajedničke upotrebe, kao i unapređenje integracije sektora usluga u proizvodnu </w:t>
      </w:r>
      <w:proofErr w:type="gramStart"/>
      <w:r w:rsidRPr="00F563CD">
        <w:rPr>
          <w:rFonts w:asciiTheme="minorHAnsi" w:hAnsiTheme="minorHAnsi" w:cs="Arial"/>
          <w:iCs/>
          <w:sz w:val="20"/>
          <w:szCs w:val="20"/>
          <w:lang w:val="fr-BE"/>
        </w:rPr>
        <w:t>industriju;</w:t>
      </w:r>
      <w:proofErr w:type="gramEnd"/>
    </w:p>
    <w:p w14:paraId="54746E9E" w14:textId="77777777" w:rsidR="00047EF8" w:rsidRPr="00F563CD" w:rsidRDefault="00047EF8" w:rsidP="00076B03">
      <w:pPr>
        <w:spacing w:after="120" w:line="240" w:lineRule="auto"/>
        <w:ind w:left="360" w:hanging="36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 xml:space="preserve">Jačanje preduzetništva kroz olakšavanje uspostavljanja ili unapređenja kapaciteta i sposobnosti postojećih inkubatora, akceleratora, itd. </w:t>
      </w:r>
    </w:p>
    <w:p w14:paraId="11C481A9" w14:textId="77777777" w:rsidR="00047EF8" w:rsidRPr="00F563CD" w:rsidRDefault="00047EF8" w:rsidP="00076B03">
      <w:pPr>
        <w:spacing w:after="120" w:line="240" w:lineRule="auto"/>
        <w:ind w:left="360" w:hanging="36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 xml:space="preserve"> Povećanje pristupa preduzetnika i malih i srednjih preduzeća finansijksim resursima olakšavanjem pristupa specijalizovanim kreditnim programima, širenjem upotrebe finansijskih </w:t>
      </w:r>
      <w:proofErr w:type="gramStart"/>
      <w:r w:rsidRPr="00F563CD">
        <w:rPr>
          <w:rFonts w:asciiTheme="minorHAnsi" w:hAnsiTheme="minorHAnsi" w:cs="Arial"/>
          <w:iCs/>
          <w:sz w:val="20"/>
          <w:szCs w:val="20"/>
          <w:lang w:val="fr-BE"/>
        </w:rPr>
        <w:t>instrumenata;</w:t>
      </w:r>
      <w:proofErr w:type="gramEnd"/>
    </w:p>
    <w:p w14:paraId="3AAEF734" w14:textId="77777777" w:rsidR="00047EF8" w:rsidRPr="00F563CD" w:rsidRDefault="00047EF8" w:rsidP="00076B03">
      <w:pPr>
        <w:spacing w:after="120" w:line="240" w:lineRule="auto"/>
        <w:ind w:left="360" w:hanging="36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 xml:space="preserve">Podrška malim i srednjim preduzećima u transformaciji ka digitalnoj ekonomiji kroz direktnu savjetodavnu i finansijsku podršku, kao i kroz osnivanje centra za elektronsku </w:t>
      </w:r>
      <w:proofErr w:type="gramStart"/>
      <w:r w:rsidRPr="00F563CD">
        <w:rPr>
          <w:rFonts w:asciiTheme="minorHAnsi" w:hAnsiTheme="minorHAnsi" w:cs="Arial"/>
          <w:iCs/>
          <w:sz w:val="20"/>
          <w:szCs w:val="20"/>
          <w:lang w:val="fr-BE"/>
        </w:rPr>
        <w:t>trgovinu;</w:t>
      </w:r>
      <w:proofErr w:type="gramEnd"/>
    </w:p>
    <w:p w14:paraId="654E5251" w14:textId="77777777" w:rsidR="00047EF8" w:rsidRPr="00F563CD" w:rsidRDefault="00047EF8" w:rsidP="00076B03">
      <w:pPr>
        <w:spacing w:after="120" w:line="240" w:lineRule="auto"/>
        <w:ind w:left="360" w:hanging="360"/>
        <w:jc w:val="both"/>
        <w:rPr>
          <w:rFonts w:asciiTheme="minorHAnsi" w:hAnsiTheme="minorHAnsi" w:cs="Arial"/>
          <w:iCs/>
          <w:sz w:val="20"/>
          <w:szCs w:val="20"/>
          <w:lang w:val="fr-BE"/>
        </w:rPr>
      </w:pPr>
      <w:r w:rsidRPr="00F563CD">
        <w:rPr>
          <w:rFonts w:asciiTheme="minorHAnsi" w:hAnsiTheme="minorHAnsi" w:cs="Arial"/>
          <w:iCs/>
          <w:sz w:val="20"/>
          <w:szCs w:val="20"/>
          <w:lang w:val="fr-BE"/>
        </w:rPr>
        <w:t>•</w:t>
      </w:r>
      <w:r w:rsidRPr="00F563CD">
        <w:rPr>
          <w:rFonts w:asciiTheme="minorHAnsi" w:hAnsiTheme="minorHAnsi" w:cs="Arial"/>
          <w:iCs/>
          <w:sz w:val="20"/>
          <w:szCs w:val="20"/>
          <w:lang w:val="fr-BE"/>
        </w:rPr>
        <w:tab/>
        <w:t>Promocija inicijativa lokalnog zapošljavanja za osiguranje razmatranja regionalnih i lokalnih nejednakosti na tržištu rada zajedno sa ostalim prilikama i mogućnostima.</w:t>
      </w:r>
    </w:p>
    <w:p w14:paraId="08B8D1C2" w14:textId="77777777" w:rsidR="00047EF8" w:rsidRPr="00F563CD" w:rsidRDefault="00047EF8" w:rsidP="00047EF8">
      <w:pPr>
        <w:spacing w:before="120" w:after="120" w:line="240" w:lineRule="auto"/>
        <w:rPr>
          <w:rStyle w:val="xnormaltextrun"/>
          <w:rFonts w:asciiTheme="minorHAnsi" w:hAnsiTheme="minorHAnsi" w:cs="Calibri"/>
          <w:lang w:val="fr-BE" w:eastAsia="en-US"/>
        </w:rPr>
      </w:pPr>
      <w:r w:rsidRPr="00F563CD">
        <w:rPr>
          <w:rStyle w:val="xnormaltextrun"/>
          <w:rFonts w:asciiTheme="minorHAnsi" w:hAnsiTheme="minorHAnsi" w:cs="Calibri"/>
          <w:b/>
          <w:sz w:val="20"/>
          <w:szCs w:val="20"/>
          <w:lang w:val="fr-BE"/>
        </w:rPr>
        <w:t>Akcija br</w:t>
      </w:r>
      <w:r w:rsidRPr="00F563CD">
        <w:rPr>
          <w:rStyle w:val="xnormaltextrun"/>
          <w:rFonts w:asciiTheme="minorHAnsi" w:hAnsiTheme="minorHAnsi" w:cs="Calibri"/>
          <w:b/>
          <w:sz w:val="20"/>
          <w:szCs w:val="20"/>
          <w:lang w:val="fr-BE" w:eastAsia="en-US"/>
        </w:rPr>
        <w:t>. 5 – Jačanje kapaciteta Komisije za tržište kapitala Crne Gore</w:t>
      </w:r>
    </w:p>
    <w:p w14:paraId="3553BB45" w14:textId="77777777" w:rsidR="00047EF8" w:rsidRPr="00F563CD" w:rsidRDefault="00047EF8" w:rsidP="00047EF8">
      <w:pPr>
        <w:spacing w:line="240" w:lineRule="auto"/>
        <w:jc w:val="both"/>
        <w:rPr>
          <w:rFonts w:asciiTheme="minorHAnsi" w:hAnsiTheme="minorHAnsi" w:cstheme="minorHAnsi"/>
          <w:sz w:val="20"/>
          <w:szCs w:val="20"/>
          <w:lang w:val="fr-BE" w:eastAsia="en-US"/>
        </w:rPr>
      </w:pPr>
      <w:r w:rsidRPr="00F563CD">
        <w:rPr>
          <w:rFonts w:asciiTheme="minorHAnsi" w:hAnsiTheme="minorHAnsi" w:cstheme="minorHAnsi"/>
          <w:sz w:val="20"/>
          <w:szCs w:val="20"/>
          <w:lang w:val="fr-BE" w:eastAsia="en-US"/>
        </w:rPr>
        <w:t>Predložena akcija koja se odnosi na izgradnju kapaciteta Komisije za tržište kapitala Crne Gore je u skladu sa specifičnim ciljem ovog tematskog prioriteta, a to je da se unaprijedi poslovno okruženje, inovacioni ekosistem i investiciona klima korisnika. Revidiranje i unapređenje Kodeksa korporativnog upravljanja osiguraće dalje usklađivanje sa principima korporativnog upravljanja u Evropskoj uniji i doprinijeti cjelokupnom razvoju crnogorskog tržišta. Predložene aktivnosti koje se odnose na nacrt sprovođenja zakona u oblasti kolektivnih investicionih šema doprinijeće daljem usklađivanju zakona u skladu sa obavezama iz Poglavlja 9 – Finansijske usluge. Razvoj softverskog rješenja za nadzor subjekata na tržištu kapitala u oblasti sprečavanja pranja novca doprinijeće unapređenju kapaciteta Komisije za tržište kapitala i obezbijediti efikasno sprovođenje obaveza Komisije u ovoj oblasti. Planirane aktivnosti doprinijeće unapređenju poslovnog okruženja i investicionoj klimi.</w:t>
      </w:r>
    </w:p>
    <w:p w14:paraId="183E1C51" w14:textId="7B52683B" w:rsidR="00047EF8" w:rsidRPr="00F563CD" w:rsidRDefault="00047EF8" w:rsidP="00FE2154">
      <w:pPr>
        <w:spacing w:after="120" w:line="240" w:lineRule="auto"/>
        <w:jc w:val="both"/>
        <w:rPr>
          <w:rFonts w:asciiTheme="minorHAnsi" w:hAnsiTheme="minorHAnsi" w:cs="Arial"/>
          <w:i/>
          <w:iCs/>
          <w:sz w:val="20"/>
          <w:szCs w:val="20"/>
          <w:lang w:val="fr-BE"/>
        </w:rPr>
      </w:pPr>
      <w:r w:rsidRPr="00F563CD">
        <w:rPr>
          <w:rFonts w:asciiTheme="minorHAnsi" w:hAnsiTheme="minorHAnsi" w:cs="Arial"/>
          <w:i/>
          <w:iCs/>
          <w:sz w:val="20"/>
          <w:szCs w:val="20"/>
          <w:lang w:val="fr-BE"/>
        </w:rPr>
        <w:t xml:space="preserve">Važno je naglasiti da trenutno nije moguće odrediti tačnu vrijednost predloženih akcija za svaku programsku godinu, imajući u vidu da će </w:t>
      </w:r>
      <w:r w:rsidR="00D94B15" w:rsidRPr="00F563CD">
        <w:rPr>
          <w:rFonts w:asciiTheme="minorHAnsi" w:hAnsiTheme="minorHAnsi" w:cs="Arial"/>
          <w:i/>
          <w:iCs/>
          <w:sz w:val="20"/>
          <w:szCs w:val="20"/>
          <w:lang w:val="fr-BE"/>
        </w:rPr>
        <w:t xml:space="preserve">opisi </w:t>
      </w:r>
      <w:r w:rsidRPr="00F563CD">
        <w:rPr>
          <w:rFonts w:asciiTheme="minorHAnsi" w:hAnsiTheme="minorHAnsi" w:cs="Arial"/>
          <w:i/>
          <w:iCs/>
          <w:sz w:val="20"/>
          <w:szCs w:val="20"/>
          <w:lang w:val="fr-BE"/>
        </w:rPr>
        <w:t>projekata zavisiti od njihove zrelosti i volje relevantnih interesnih strana da ih sprovode.</w:t>
      </w:r>
    </w:p>
    <w:p w14:paraId="6EE6F5DB" w14:textId="7775B65F" w:rsidR="00047EF8" w:rsidRPr="00F563CD" w:rsidRDefault="00047EF8" w:rsidP="00547174">
      <w:pPr>
        <w:pStyle w:val="Heading2"/>
        <w:numPr>
          <w:ilvl w:val="0"/>
          <w:numId w:val="31"/>
        </w:numPr>
        <w:spacing w:before="0"/>
        <w:rPr>
          <w:rFonts w:asciiTheme="minorHAnsi" w:hAnsiTheme="minorHAnsi" w:cs="Arial"/>
          <w:smallCaps/>
          <w:color w:val="auto"/>
          <w:sz w:val="24"/>
          <w:szCs w:val="24"/>
        </w:rPr>
      </w:pPr>
      <w:bookmarkStart w:id="63" w:name="_Toc91500286"/>
      <w:r w:rsidRPr="00F563CD">
        <w:rPr>
          <w:rFonts w:asciiTheme="minorHAnsi" w:hAnsiTheme="minorHAnsi" w:cs="Arial"/>
          <w:smallCaps/>
          <w:color w:val="auto"/>
          <w:sz w:val="24"/>
          <w:szCs w:val="24"/>
        </w:rPr>
        <w:lastRenderedPageBreak/>
        <w:t>Indikativni budžet i plan sprovođenja  2021-2024.</w:t>
      </w:r>
      <w:bookmarkEnd w:id="63"/>
    </w:p>
    <w:p w14:paraId="79E25877" w14:textId="77777777" w:rsidR="00547174" w:rsidRPr="00F563CD" w:rsidRDefault="00547174" w:rsidP="00547174">
      <w:pPr>
        <w:rPr>
          <w:rFonts w:asciiTheme="minorHAnsi" w:eastAsia="Arial Unicode MS" w:hAnsiTheme="minorHAnsi"/>
        </w:rPr>
      </w:pPr>
    </w:p>
    <w:tbl>
      <w:tblPr>
        <w:tblW w:w="9780" w:type="dxa"/>
        <w:tblLook w:val="04A0" w:firstRow="1" w:lastRow="0" w:firstColumn="1" w:lastColumn="0" w:noHBand="0" w:noVBand="1"/>
      </w:tblPr>
      <w:tblGrid>
        <w:gridCol w:w="2970"/>
        <w:gridCol w:w="2407"/>
        <w:gridCol w:w="4394"/>
        <w:gridCol w:w="9"/>
      </w:tblGrid>
      <w:tr w:rsidR="00047EF8" w:rsidRPr="00F563CD" w14:paraId="580E3D53" w14:textId="77777777" w:rsidTr="00A239C5">
        <w:trPr>
          <w:gridAfter w:val="1"/>
          <w:wAfter w:w="9" w:type="dxa"/>
          <w:trHeight w:val="285"/>
        </w:trPr>
        <w:tc>
          <w:tcPr>
            <w:tcW w:w="2970" w:type="dxa"/>
            <w:tcBorders>
              <w:top w:val="single" w:sz="8" w:space="0" w:color="auto"/>
              <w:left w:val="single" w:sz="8" w:space="0" w:color="auto"/>
              <w:bottom w:val="single" w:sz="8" w:space="0" w:color="auto"/>
              <w:right w:val="single" w:sz="8" w:space="0" w:color="auto"/>
            </w:tcBorders>
            <w:shd w:val="clear" w:color="auto" w:fill="auto"/>
            <w:vAlign w:val="center"/>
          </w:tcPr>
          <w:p w14:paraId="2D72D383" w14:textId="77777777" w:rsidR="00047EF8" w:rsidRPr="00F563CD" w:rsidRDefault="00047EF8" w:rsidP="00A239C5">
            <w:pPr>
              <w:rPr>
                <w:rFonts w:asciiTheme="minorHAnsi" w:eastAsia="Arial" w:hAnsiTheme="minorHAnsi" w:cs="Arial"/>
                <w:b/>
                <w:bCs/>
                <w:sz w:val="20"/>
                <w:szCs w:val="20"/>
              </w:rPr>
            </w:pPr>
          </w:p>
        </w:tc>
        <w:tc>
          <w:tcPr>
            <w:tcW w:w="2407" w:type="dxa"/>
            <w:tcBorders>
              <w:top w:val="single" w:sz="8" w:space="0" w:color="auto"/>
              <w:left w:val="single" w:sz="8" w:space="0" w:color="auto"/>
              <w:bottom w:val="single" w:sz="8" w:space="0" w:color="auto"/>
              <w:right w:val="single" w:sz="8" w:space="0" w:color="auto"/>
            </w:tcBorders>
            <w:shd w:val="clear" w:color="auto" w:fill="auto"/>
            <w:vAlign w:val="center"/>
          </w:tcPr>
          <w:p w14:paraId="2929134C" w14:textId="77777777" w:rsidR="00047EF8" w:rsidRPr="00F563CD" w:rsidRDefault="00047EF8" w:rsidP="00A239C5">
            <w:pPr>
              <w:rPr>
                <w:rFonts w:asciiTheme="minorHAnsi" w:eastAsia="Arial" w:hAnsiTheme="minorHAnsi" w:cs="Arial"/>
                <w:b/>
                <w:bCs/>
                <w:sz w:val="20"/>
                <w:szCs w:val="20"/>
              </w:rPr>
            </w:pPr>
            <w:r w:rsidRPr="00F563CD">
              <w:rPr>
                <w:rFonts w:asciiTheme="minorHAnsi" w:eastAsia="Arial" w:hAnsiTheme="minorHAnsi" w:cs="Arial"/>
                <w:b/>
                <w:bCs/>
                <w:sz w:val="20"/>
                <w:szCs w:val="20"/>
              </w:rPr>
              <w:t>Procijenjeni budžet (EUR)</w:t>
            </w:r>
          </w:p>
        </w:tc>
        <w:tc>
          <w:tcPr>
            <w:tcW w:w="4394" w:type="dxa"/>
            <w:tcBorders>
              <w:top w:val="single" w:sz="8" w:space="0" w:color="auto"/>
              <w:left w:val="single" w:sz="8" w:space="0" w:color="auto"/>
              <w:bottom w:val="single" w:sz="8" w:space="0" w:color="auto"/>
              <w:right w:val="single" w:sz="8" w:space="0" w:color="auto"/>
            </w:tcBorders>
            <w:shd w:val="clear" w:color="auto" w:fill="auto"/>
            <w:vAlign w:val="center"/>
          </w:tcPr>
          <w:p w14:paraId="27D601C2" w14:textId="77777777" w:rsidR="00047EF8" w:rsidRPr="00F563CD" w:rsidRDefault="00047EF8" w:rsidP="00A239C5">
            <w:pPr>
              <w:rPr>
                <w:rFonts w:asciiTheme="minorHAnsi" w:eastAsia="Arial" w:hAnsiTheme="minorHAnsi" w:cs="Arial"/>
                <w:b/>
                <w:bCs/>
                <w:sz w:val="20"/>
                <w:szCs w:val="20"/>
              </w:rPr>
            </w:pPr>
            <w:r w:rsidRPr="00F563CD">
              <w:rPr>
                <w:rFonts w:asciiTheme="minorHAnsi" w:eastAsia="Arial" w:hAnsiTheme="minorHAnsi" w:cs="Arial"/>
                <w:b/>
                <w:bCs/>
                <w:sz w:val="20"/>
                <w:szCs w:val="20"/>
              </w:rPr>
              <w:t>Plan sprovođenja</w:t>
            </w:r>
          </w:p>
        </w:tc>
      </w:tr>
      <w:tr w:rsidR="00047EF8" w:rsidRPr="00F563CD" w14:paraId="6199BBF7" w14:textId="77777777" w:rsidTr="00A239C5">
        <w:trPr>
          <w:gridAfter w:val="1"/>
          <w:wAfter w:w="9" w:type="dxa"/>
          <w:trHeight w:val="285"/>
        </w:trPr>
        <w:tc>
          <w:tcPr>
            <w:tcW w:w="9771"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5538ECA" w14:textId="77777777" w:rsidR="00047EF8" w:rsidRPr="00F563CD" w:rsidRDefault="00047EF8" w:rsidP="00A239C5">
            <w:pPr>
              <w:rPr>
                <w:rFonts w:asciiTheme="minorHAnsi" w:eastAsia="Arial" w:hAnsiTheme="minorHAnsi" w:cs="Arial"/>
                <w:b/>
                <w:bCs/>
                <w:sz w:val="20"/>
                <w:szCs w:val="20"/>
              </w:rPr>
            </w:pPr>
            <w:r w:rsidRPr="00F563CD">
              <w:rPr>
                <w:rFonts w:asciiTheme="minorHAnsi" w:eastAsia="Arial" w:hAnsiTheme="minorHAnsi" w:cs="Arial"/>
                <w:b/>
                <w:bCs/>
                <w:sz w:val="20"/>
                <w:szCs w:val="20"/>
              </w:rPr>
              <w:t>Tematski prioritet 3 – Poljoprivreda i ruralni razvoj i Tematski prioritet 4 - Ribarstvo</w:t>
            </w:r>
          </w:p>
        </w:tc>
      </w:tr>
      <w:tr w:rsidR="00047EF8" w:rsidRPr="00F563CD" w14:paraId="099725CB" w14:textId="77777777" w:rsidTr="00A239C5">
        <w:trPr>
          <w:gridAfter w:val="1"/>
          <w:wAfter w:w="9" w:type="dxa"/>
          <w:trHeight w:val="285"/>
        </w:trPr>
        <w:tc>
          <w:tcPr>
            <w:tcW w:w="9771"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1CCD1BD" w14:textId="77777777" w:rsidR="00047EF8" w:rsidRPr="00F563CD" w:rsidRDefault="00047EF8" w:rsidP="00A239C5">
            <w:pPr>
              <w:spacing w:line="240" w:lineRule="auto"/>
              <w:jc w:val="center"/>
              <w:rPr>
                <w:rFonts w:asciiTheme="minorHAnsi" w:hAnsiTheme="minorHAnsi"/>
                <w:sz w:val="20"/>
                <w:szCs w:val="20"/>
              </w:rPr>
            </w:pPr>
            <w:r w:rsidRPr="00F563CD">
              <w:rPr>
                <w:rFonts w:asciiTheme="minorHAnsi" w:eastAsia="Arial" w:hAnsiTheme="minorHAnsi" w:cs="Arial"/>
                <w:b/>
                <w:bCs/>
                <w:sz w:val="20"/>
                <w:szCs w:val="20"/>
              </w:rPr>
              <w:t>2021</w:t>
            </w:r>
          </w:p>
        </w:tc>
      </w:tr>
      <w:tr w:rsidR="00047EF8" w:rsidRPr="00F563CD" w14:paraId="6EFC98B6" w14:textId="77777777" w:rsidTr="00A239C5">
        <w:trPr>
          <w:gridAfter w:val="1"/>
          <w:wAfter w:w="9" w:type="dxa"/>
          <w:trHeight w:val="1175"/>
        </w:trPr>
        <w:tc>
          <w:tcPr>
            <w:tcW w:w="2970" w:type="dxa"/>
            <w:tcBorders>
              <w:top w:val="single" w:sz="8" w:space="0" w:color="auto"/>
              <w:left w:val="single" w:sz="8" w:space="0" w:color="auto"/>
              <w:bottom w:val="single" w:sz="8" w:space="0" w:color="auto"/>
              <w:right w:val="single" w:sz="8" w:space="0" w:color="auto"/>
            </w:tcBorders>
          </w:tcPr>
          <w:p w14:paraId="06917FF7" w14:textId="77777777" w:rsidR="00047EF8" w:rsidRPr="00F563CD" w:rsidRDefault="000A075D" w:rsidP="00A239C5">
            <w:pPr>
              <w:spacing w:line="240" w:lineRule="auto"/>
              <w:rPr>
                <w:rFonts w:asciiTheme="minorHAnsi" w:hAnsiTheme="minorHAnsi"/>
                <w:sz w:val="20"/>
                <w:szCs w:val="20"/>
              </w:rPr>
            </w:pPr>
            <w:r w:rsidRPr="00F563CD">
              <w:rPr>
                <w:rFonts w:asciiTheme="minorHAnsi" w:hAnsiTheme="minorHAnsi" w:cs="Arial"/>
                <w:sz w:val="20"/>
                <w:szCs w:val="20"/>
              </w:rPr>
              <w:t>Opis projekta</w:t>
            </w:r>
            <w:r w:rsidR="00047EF8" w:rsidRPr="00F563CD">
              <w:rPr>
                <w:rFonts w:asciiTheme="minorHAnsi" w:eastAsia="Arial" w:hAnsiTheme="minorHAnsi" w:cs="Arial"/>
                <w:sz w:val="20"/>
                <w:szCs w:val="20"/>
              </w:rPr>
              <w:t xml:space="preserve"> projekta br. 1– </w:t>
            </w:r>
            <w:r w:rsidR="00047EF8" w:rsidRPr="00F563CD">
              <w:rPr>
                <w:rFonts w:asciiTheme="minorHAnsi" w:eastAsia="Arial" w:hAnsiTheme="minorHAnsi" w:cs="Arial"/>
                <w:b/>
                <w:sz w:val="20"/>
                <w:szCs w:val="20"/>
              </w:rPr>
              <w:t>Podrška sektoru poljoprivrede i ruralnog razvoja u Crnoj Gori</w:t>
            </w:r>
          </w:p>
        </w:tc>
        <w:tc>
          <w:tcPr>
            <w:tcW w:w="2407" w:type="dxa"/>
            <w:tcBorders>
              <w:top w:val="nil"/>
              <w:left w:val="single" w:sz="8" w:space="0" w:color="auto"/>
              <w:bottom w:val="single" w:sz="8" w:space="0" w:color="auto"/>
              <w:right w:val="single" w:sz="8" w:space="0" w:color="auto"/>
            </w:tcBorders>
          </w:tcPr>
          <w:p w14:paraId="16E6E872" w14:textId="77777777" w:rsidR="00047EF8" w:rsidRPr="00F563CD" w:rsidRDefault="00047EF8" w:rsidP="00547174">
            <w:pPr>
              <w:spacing w:line="240" w:lineRule="auto"/>
              <w:rPr>
                <w:rFonts w:asciiTheme="minorHAnsi" w:hAnsiTheme="minorHAnsi"/>
                <w:sz w:val="20"/>
                <w:szCs w:val="20"/>
              </w:rPr>
            </w:pPr>
            <w:r w:rsidRPr="00F563CD">
              <w:rPr>
                <w:rFonts w:asciiTheme="minorHAnsi" w:eastAsia="Arial" w:hAnsiTheme="minorHAnsi" w:cs="Arial"/>
                <w:sz w:val="20"/>
                <w:szCs w:val="20"/>
              </w:rPr>
              <w:t>9.000.000,00</w:t>
            </w:r>
          </w:p>
        </w:tc>
        <w:tc>
          <w:tcPr>
            <w:tcW w:w="4394" w:type="dxa"/>
            <w:tcBorders>
              <w:top w:val="nil"/>
              <w:left w:val="nil"/>
              <w:bottom w:val="single" w:sz="8" w:space="0" w:color="auto"/>
              <w:right w:val="single" w:sz="8" w:space="0" w:color="auto"/>
            </w:tcBorders>
          </w:tcPr>
          <w:p w14:paraId="33701C5B"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eastAsia="Arial" w:hAnsiTheme="minorHAnsi" w:cs="Arial"/>
                <w:iCs/>
                <w:sz w:val="20"/>
                <w:szCs w:val="20"/>
              </w:rPr>
              <w:t xml:space="preserve">Prva verzija dokumenta predata u junu 2021, druga verzija predata u septembru 2021. godine. </w:t>
            </w:r>
            <w:r w:rsidRPr="00F563CD">
              <w:rPr>
                <w:rFonts w:asciiTheme="minorHAnsi" w:hAnsiTheme="minorHAnsi" w:cs="Arial"/>
                <w:sz w:val="20"/>
                <w:szCs w:val="20"/>
                <w:lang w:eastAsia="en-US"/>
              </w:rPr>
              <w:t xml:space="preserve">Modalitet sprovođenja: </w:t>
            </w:r>
            <w:r w:rsidRPr="00F563CD">
              <w:rPr>
                <w:rFonts w:asciiTheme="minorHAnsi" w:eastAsia="Calibri" w:hAnsiTheme="minorHAnsi" w:cs="Calibri"/>
                <w:sz w:val="20"/>
                <w:szCs w:val="20"/>
              </w:rPr>
              <w:t>direktno/indirektno upravljanje</w:t>
            </w:r>
          </w:p>
        </w:tc>
      </w:tr>
      <w:tr w:rsidR="00047EF8" w:rsidRPr="00F563CD" w14:paraId="4928B87F" w14:textId="77777777" w:rsidTr="00A239C5">
        <w:trPr>
          <w:gridAfter w:val="1"/>
          <w:wAfter w:w="9" w:type="dxa"/>
          <w:trHeight w:val="315"/>
        </w:trPr>
        <w:tc>
          <w:tcPr>
            <w:tcW w:w="2970" w:type="dxa"/>
            <w:tcBorders>
              <w:top w:val="single" w:sz="8" w:space="0" w:color="auto"/>
              <w:left w:val="single" w:sz="8" w:space="0" w:color="auto"/>
              <w:bottom w:val="single" w:sz="8" w:space="0" w:color="auto"/>
              <w:right w:val="single" w:sz="4" w:space="0" w:color="auto"/>
            </w:tcBorders>
            <w:shd w:val="clear" w:color="auto" w:fill="FFFFFF" w:themeFill="background1"/>
          </w:tcPr>
          <w:p w14:paraId="6B7B6D29" w14:textId="77777777" w:rsidR="00047EF8" w:rsidRPr="00F563CD" w:rsidRDefault="00047EF8" w:rsidP="00A239C5">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Tematski prioritet 3</w:t>
            </w:r>
            <w:r w:rsidRPr="00F563CD">
              <w:rPr>
                <w:rFonts w:asciiTheme="minorHAnsi" w:hAnsiTheme="minorHAnsi"/>
              </w:rPr>
              <w:t xml:space="preserve"> </w:t>
            </w:r>
            <w:r w:rsidRPr="00F563CD">
              <w:rPr>
                <w:rFonts w:asciiTheme="minorHAnsi" w:eastAsia="Arial" w:hAnsiTheme="minorHAnsi" w:cs="Arial"/>
                <w:sz w:val="20"/>
                <w:szCs w:val="20"/>
              </w:rPr>
              <w:t>i tematski prioritet 4 ukupno (2021)</w:t>
            </w:r>
          </w:p>
        </w:tc>
        <w:tc>
          <w:tcPr>
            <w:tcW w:w="2407" w:type="dxa"/>
            <w:tcBorders>
              <w:top w:val="single" w:sz="8" w:space="0" w:color="auto"/>
              <w:left w:val="single" w:sz="4" w:space="0" w:color="auto"/>
              <w:bottom w:val="single" w:sz="8" w:space="0" w:color="auto"/>
              <w:right w:val="single" w:sz="8" w:space="0" w:color="auto"/>
            </w:tcBorders>
            <w:shd w:val="clear" w:color="auto" w:fill="FFFFFF" w:themeFill="background1"/>
            <w:vAlign w:val="center"/>
          </w:tcPr>
          <w:p w14:paraId="79179F39"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9.000.000,00</w:t>
            </w:r>
          </w:p>
        </w:tc>
        <w:tc>
          <w:tcPr>
            <w:tcW w:w="4394" w:type="dxa"/>
            <w:tcBorders>
              <w:top w:val="single" w:sz="8" w:space="0" w:color="auto"/>
              <w:left w:val="nil"/>
              <w:bottom w:val="single" w:sz="8" w:space="0" w:color="auto"/>
              <w:right w:val="single" w:sz="4" w:space="0" w:color="auto"/>
            </w:tcBorders>
            <w:shd w:val="clear" w:color="auto" w:fill="FFFFFF" w:themeFill="background1"/>
          </w:tcPr>
          <w:p w14:paraId="1A444C1D" w14:textId="77777777" w:rsidR="00047EF8" w:rsidRPr="00F563CD" w:rsidRDefault="00047EF8" w:rsidP="00A239C5">
            <w:pPr>
              <w:spacing w:line="240" w:lineRule="auto"/>
              <w:rPr>
                <w:rFonts w:asciiTheme="minorHAnsi" w:hAnsiTheme="minorHAnsi" w:cs="Arial"/>
                <w:iCs/>
                <w:sz w:val="20"/>
                <w:szCs w:val="20"/>
                <w:lang w:eastAsia="en-US"/>
              </w:rPr>
            </w:pPr>
          </w:p>
        </w:tc>
      </w:tr>
      <w:tr w:rsidR="00047EF8" w:rsidRPr="00F563CD" w14:paraId="788AAE2C" w14:textId="77777777" w:rsidTr="00A239C5">
        <w:trPr>
          <w:gridAfter w:val="1"/>
          <w:wAfter w:w="9" w:type="dxa"/>
          <w:trHeight w:val="285"/>
        </w:trPr>
        <w:tc>
          <w:tcPr>
            <w:tcW w:w="9771" w:type="dxa"/>
            <w:gridSpan w:val="3"/>
            <w:tcBorders>
              <w:top w:val="single" w:sz="8" w:space="0" w:color="auto"/>
              <w:left w:val="single" w:sz="4" w:space="0" w:color="auto"/>
              <w:bottom w:val="single" w:sz="8" w:space="0" w:color="auto"/>
              <w:right w:val="single" w:sz="8" w:space="0" w:color="auto"/>
            </w:tcBorders>
            <w:shd w:val="clear" w:color="auto" w:fill="A6A6A6" w:themeFill="background1" w:themeFillShade="A6"/>
            <w:vAlign w:val="center"/>
          </w:tcPr>
          <w:p w14:paraId="3A3AB050" w14:textId="77777777" w:rsidR="00047EF8" w:rsidRPr="00F563CD" w:rsidRDefault="00047EF8" w:rsidP="00A239C5">
            <w:pPr>
              <w:spacing w:line="240" w:lineRule="auto"/>
              <w:rPr>
                <w:rFonts w:asciiTheme="minorHAnsi" w:hAnsiTheme="minorHAnsi"/>
                <w:sz w:val="20"/>
                <w:szCs w:val="20"/>
              </w:rPr>
            </w:pPr>
            <w:r w:rsidRPr="00F563CD">
              <w:rPr>
                <w:rFonts w:asciiTheme="minorHAnsi" w:eastAsia="Arial" w:hAnsiTheme="minorHAnsi" w:cs="Arial"/>
                <w:b/>
                <w:bCs/>
                <w:sz w:val="20"/>
                <w:szCs w:val="20"/>
              </w:rPr>
              <w:t>Tematski prioritet 1 – Obrazovanje, zapošljavanje, socijalna zaštita i inkluzivne politike, i  zdravlje</w:t>
            </w:r>
          </w:p>
        </w:tc>
      </w:tr>
      <w:tr w:rsidR="00047EF8" w:rsidRPr="00F563CD" w14:paraId="3237C354" w14:textId="77777777" w:rsidTr="00A239C5">
        <w:trPr>
          <w:gridAfter w:val="1"/>
          <w:wAfter w:w="9" w:type="dxa"/>
          <w:trHeight w:val="285"/>
        </w:trPr>
        <w:tc>
          <w:tcPr>
            <w:tcW w:w="9771"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B48C844" w14:textId="77777777" w:rsidR="00047EF8" w:rsidRPr="00F563CD" w:rsidRDefault="00047EF8" w:rsidP="00A239C5">
            <w:pPr>
              <w:spacing w:line="240" w:lineRule="auto"/>
              <w:jc w:val="center"/>
              <w:rPr>
                <w:rFonts w:asciiTheme="minorHAnsi" w:hAnsiTheme="minorHAnsi"/>
                <w:sz w:val="20"/>
                <w:szCs w:val="20"/>
              </w:rPr>
            </w:pPr>
            <w:r w:rsidRPr="00F563CD">
              <w:rPr>
                <w:rFonts w:asciiTheme="minorHAnsi" w:eastAsia="Arial" w:hAnsiTheme="minorHAnsi" w:cs="Arial"/>
                <w:b/>
                <w:bCs/>
                <w:sz w:val="20"/>
                <w:szCs w:val="20"/>
              </w:rPr>
              <w:t>2023</w:t>
            </w:r>
          </w:p>
        </w:tc>
      </w:tr>
      <w:tr w:rsidR="00047EF8" w:rsidRPr="00F563CD" w14:paraId="479FB61A" w14:textId="77777777" w:rsidTr="00A239C5">
        <w:trPr>
          <w:gridAfter w:val="1"/>
          <w:wAfter w:w="9" w:type="dxa"/>
          <w:trHeight w:val="660"/>
        </w:trPr>
        <w:tc>
          <w:tcPr>
            <w:tcW w:w="2970" w:type="dxa"/>
            <w:tcBorders>
              <w:top w:val="single" w:sz="8" w:space="0" w:color="auto"/>
              <w:left w:val="single" w:sz="8" w:space="0" w:color="auto"/>
              <w:bottom w:val="single" w:sz="8" w:space="0" w:color="auto"/>
              <w:right w:val="single" w:sz="8" w:space="0" w:color="auto"/>
            </w:tcBorders>
          </w:tcPr>
          <w:p w14:paraId="204D3347" w14:textId="77777777" w:rsidR="00047EF8" w:rsidRPr="00F563CD" w:rsidRDefault="000A075D" w:rsidP="00A239C5">
            <w:pPr>
              <w:spacing w:line="240" w:lineRule="auto"/>
              <w:rPr>
                <w:rFonts w:asciiTheme="minorHAnsi" w:hAnsiTheme="minorHAnsi"/>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 xml:space="preserve">br. 1 – </w:t>
            </w:r>
            <w:r w:rsidR="00047EF8" w:rsidRPr="00F563CD">
              <w:rPr>
                <w:rFonts w:asciiTheme="minorHAnsi" w:eastAsia="Arial" w:hAnsiTheme="minorHAnsi" w:cs="Arial"/>
                <w:b/>
                <w:sz w:val="20"/>
                <w:szCs w:val="20"/>
              </w:rPr>
              <w:t>Kreiranje perspektive cjeloživotnog učenja za sve</w:t>
            </w:r>
          </w:p>
        </w:tc>
        <w:tc>
          <w:tcPr>
            <w:tcW w:w="2407" w:type="dxa"/>
            <w:tcBorders>
              <w:top w:val="nil"/>
              <w:left w:val="single" w:sz="8" w:space="0" w:color="auto"/>
              <w:bottom w:val="single" w:sz="8" w:space="0" w:color="auto"/>
              <w:right w:val="single" w:sz="8" w:space="0" w:color="auto"/>
            </w:tcBorders>
          </w:tcPr>
          <w:p w14:paraId="4CB4E264" w14:textId="77777777" w:rsidR="00047EF8" w:rsidRPr="00F563CD" w:rsidRDefault="00047EF8" w:rsidP="00547174">
            <w:pPr>
              <w:spacing w:line="240" w:lineRule="auto"/>
              <w:rPr>
                <w:rFonts w:asciiTheme="minorHAnsi" w:hAnsiTheme="minorHAnsi"/>
                <w:sz w:val="20"/>
                <w:szCs w:val="20"/>
              </w:rPr>
            </w:pPr>
            <w:r w:rsidRPr="00F563CD">
              <w:rPr>
                <w:rFonts w:asciiTheme="minorHAnsi" w:eastAsia="Arial" w:hAnsiTheme="minorHAnsi" w:cs="Arial"/>
                <w:sz w:val="20"/>
                <w:szCs w:val="20"/>
              </w:rPr>
              <w:t xml:space="preserve">480.000,00 </w:t>
            </w:r>
          </w:p>
        </w:tc>
        <w:tc>
          <w:tcPr>
            <w:tcW w:w="4394" w:type="dxa"/>
            <w:tcBorders>
              <w:top w:val="nil"/>
              <w:left w:val="single" w:sz="8" w:space="0" w:color="auto"/>
              <w:bottom w:val="single" w:sz="8" w:space="0" w:color="auto"/>
              <w:right w:val="single" w:sz="8" w:space="0" w:color="auto"/>
            </w:tcBorders>
          </w:tcPr>
          <w:p w14:paraId="525DE7A0" w14:textId="77777777" w:rsidR="00047EF8" w:rsidRPr="00F563CD" w:rsidRDefault="00047EF8" w:rsidP="00A239C5">
            <w:pPr>
              <w:spacing w:line="240" w:lineRule="auto"/>
              <w:rPr>
                <w:rFonts w:asciiTheme="minorHAnsi" w:hAnsiTheme="minorHAnsi"/>
                <w:sz w:val="20"/>
                <w:szCs w:val="20"/>
              </w:rPr>
            </w:pPr>
            <w:r w:rsidRPr="00F563CD">
              <w:rPr>
                <w:rFonts w:asciiTheme="minorHAnsi" w:hAnsiTheme="minorHAnsi"/>
                <w:sz w:val="20"/>
                <w:szCs w:val="20"/>
              </w:rPr>
              <w:t>Ugovor o uslugama: Stvaranje prilika za cjeloživotno učenje za sve</w:t>
            </w:r>
          </w:p>
          <w:p w14:paraId="778BC208" w14:textId="77777777" w:rsidR="00047EF8" w:rsidRPr="00F563CD" w:rsidRDefault="00047EF8" w:rsidP="00A239C5">
            <w:pPr>
              <w:spacing w:line="240" w:lineRule="auto"/>
              <w:rPr>
                <w:rFonts w:asciiTheme="minorHAnsi" w:hAnsiTheme="minorHAnsi"/>
                <w:sz w:val="20"/>
                <w:szCs w:val="20"/>
              </w:rPr>
            </w:pPr>
            <w:r w:rsidRPr="00F563CD">
              <w:rPr>
                <w:rFonts w:asciiTheme="minorHAnsi" w:hAnsiTheme="minorHAnsi"/>
                <w:sz w:val="20"/>
                <w:szCs w:val="20"/>
              </w:rPr>
              <w:t>Ugovor o uslugama: 480.000,00 EUR</w:t>
            </w:r>
          </w:p>
        </w:tc>
      </w:tr>
      <w:tr w:rsidR="00047EF8" w:rsidRPr="00F563CD" w14:paraId="5E773A31" w14:textId="77777777" w:rsidTr="00A239C5">
        <w:trPr>
          <w:gridAfter w:val="1"/>
          <w:wAfter w:w="9" w:type="dxa"/>
          <w:trHeight w:val="810"/>
        </w:trPr>
        <w:tc>
          <w:tcPr>
            <w:tcW w:w="2970" w:type="dxa"/>
            <w:tcBorders>
              <w:top w:val="single" w:sz="8" w:space="0" w:color="auto"/>
              <w:left w:val="single" w:sz="8" w:space="0" w:color="auto"/>
              <w:bottom w:val="single" w:sz="8" w:space="0" w:color="auto"/>
              <w:right w:val="single" w:sz="8" w:space="0" w:color="auto"/>
            </w:tcBorders>
          </w:tcPr>
          <w:p w14:paraId="5519CD66" w14:textId="77777777" w:rsidR="00047EF8" w:rsidRPr="00F563CD" w:rsidRDefault="000A075D" w:rsidP="00A239C5">
            <w:pPr>
              <w:spacing w:line="240" w:lineRule="auto"/>
              <w:rPr>
                <w:rFonts w:asciiTheme="minorHAnsi" w:hAnsiTheme="minorHAnsi"/>
                <w:sz w:val="20"/>
                <w:szCs w:val="20"/>
                <w:lang w:val="fr-BE"/>
              </w:rPr>
            </w:pPr>
            <w:r w:rsidRPr="00F563CD">
              <w:rPr>
                <w:rFonts w:asciiTheme="minorHAnsi" w:hAnsiTheme="minorHAnsi" w:cs="Arial"/>
                <w:sz w:val="20"/>
                <w:szCs w:val="20"/>
                <w:lang w:val="fr-BE"/>
              </w:rPr>
              <w:t>Opis projekta</w:t>
            </w:r>
            <w:r w:rsidRPr="00F563CD">
              <w:rPr>
                <w:rFonts w:asciiTheme="minorHAnsi" w:eastAsia="Arial" w:hAnsiTheme="minorHAnsi" w:cs="Arial"/>
                <w:sz w:val="20"/>
                <w:szCs w:val="20"/>
                <w:lang w:val="fr-BE"/>
              </w:rPr>
              <w:t xml:space="preserve"> </w:t>
            </w:r>
            <w:r w:rsidR="00047EF8" w:rsidRPr="00F563CD">
              <w:rPr>
                <w:rFonts w:asciiTheme="minorHAnsi" w:eastAsia="Arial" w:hAnsiTheme="minorHAnsi" w:cs="Arial"/>
                <w:sz w:val="20"/>
                <w:szCs w:val="20"/>
                <w:lang w:val="fr-BE"/>
              </w:rPr>
              <w:t xml:space="preserve">br. 2 – </w:t>
            </w:r>
            <w:r w:rsidR="00047EF8" w:rsidRPr="00F563CD">
              <w:rPr>
                <w:rFonts w:asciiTheme="minorHAnsi" w:eastAsia="Arial" w:hAnsiTheme="minorHAnsi" w:cs="Arial"/>
                <w:b/>
                <w:sz w:val="20"/>
                <w:szCs w:val="20"/>
                <w:lang w:val="fr-BE"/>
              </w:rPr>
              <w:t xml:space="preserve">Modernizovanje visokog obrazovanja za ekonomski rast </w:t>
            </w:r>
          </w:p>
        </w:tc>
        <w:tc>
          <w:tcPr>
            <w:tcW w:w="2407" w:type="dxa"/>
            <w:tcBorders>
              <w:top w:val="single" w:sz="8" w:space="0" w:color="auto"/>
              <w:left w:val="single" w:sz="8" w:space="0" w:color="auto"/>
              <w:bottom w:val="single" w:sz="8" w:space="0" w:color="auto"/>
              <w:right w:val="single" w:sz="8" w:space="0" w:color="auto"/>
            </w:tcBorders>
          </w:tcPr>
          <w:p w14:paraId="59E9A69B" w14:textId="77777777" w:rsidR="00047EF8" w:rsidRPr="00F563CD" w:rsidRDefault="00047EF8" w:rsidP="00547174">
            <w:pPr>
              <w:spacing w:line="240" w:lineRule="auto"/>
              <w:rPr>
                <w:rFonts w:asciiTheme="minorHAnsi" w:hAnsiTheme="minorHAnsi"/>
                <w:sz w:val="20"/>
                <w:szCs w:val="20"/>
              </w:rPr>
            </w:pPr>
            <w:r w:rsidRPr="00F563CD">
              <w:rPr>
                <w:rFonts w:asciiTheme="minorHAnsi" w:eastAsia="Arial" w:hAnsiTheme="minorHAnsi" w:cs="Arial"/>
                <w:sz w:val="20"/>
                <w:szCs w:val="20"/>
              </w:rPr>
              <w:t xml:space="preserve">1.250.000,00 </w:t>
            </w:r>
          </w:p>
        </w:tc>
        <w:tc>
          <w:tcPr>
            <w:tcW w:w="4394" w:type="dxa"/>
            <w:tcBorders>
              <w:top w:val="single" w:sz="8" w:space="0" w:color="auto"/>
              <w:left w:val="single" w:sz="8" w:space="0" w:color="auto"/>
              <w:bottom w:val="single" w:sz="8" w:space="0" w:color="auto"/>
              <w:right w:val="single" w:sz="8" w:space="0" w:color="auto"/>
            </w:tcBorders>
          </w:tcPr>
          <w:p w14:paraId="73A97F5E" w14:textId="77777777" w:rsidR="00047EF8" w:rsidRPr="00F563CD" w:rsidRDefault="00047EF8" w:rsidP="00A239C5">
            <w:pPr>
              <w:spacing w:line="240" w:lineRule="auto"/>
              <w:jc w:val="both"/>
              <w:rPr>
                <w:rFonts w:asciiTheme="minorHAnsi" w:hAnsiTheme="minorHAnsi"/>
                <w:sz w:val="20"/>
                <w:szCs w:val="20"/>
              </w:rPr>
            </w:pPr>
            <w:r w:rsidRPr="00F563CD">
              <w:rPr>
                <w:rFonts w:asciiTheme="minorHAnsi" w:hAnsiTheme="minorHAnsi"/>
                <w:sz w:val="20"/>
                <w:szCs w:val="20"/>
              </w:rPr>
              <w:t xml:space="preserve">Ugovor o uslugama: Stvorena osnova zasnovana na činjenicama za razvoj politike i sprovođenje praktične nastave u visokom obrazovanju </w:t>
            </w:r>
          </w:p>
          <w:p w14:paraId="48882B0A" w14:textId="77777777" w:rsidR="00047EF8" w:rsidRPr="00F563CD" w:rsidRDefault="00047EF8" w:rsidP="00A239C5">
            <w:pPr>
              <w:spacing w:line="240" w:lineRule="auto"/>
              <w:jc w:val="both"/>
              <w:rPr>
                <w:rFonts w:asciiTheme="minorHAnsi" w:hAnsiTheme="minorHAnsi"/>
                <w:sz w:val="20"/>
                <w:szCs w:val="20"/>
              </w:rPr>
            </w:pPr>
            <w:r w:rsidRPr="00F563CD">
              <w:rPr>
                <w:rFonts w:asciiTheme="minorHAnsi" w:hAnsiTheme="minorHAnsi"/>
                <w:sz w:val="20"/>
                <w:szCs w:val="20"/>
              </w:rPr>
              <w:t xml:space="preserve">Ugovor o uslugama: 50.000,00 EUR </w:t>
            </w:r>
          </w:p>
          <w:p w14:paraId="2AE7FC12" w14:textId="77777777" w:rsidR="00047EF8" w:rsidRPr="00F563CD" w:rsidRDefault="00047EF8" w:rsidP="00A239C5">
            <w:pPr>
              <w:spacing w:line="240" w:lineRule="auto"/>
              <w:jc w:val="both"/>
              <w:rPr>
                <w:rFonts w:asciiTheme="minorHAnsi" w:hAnsiTheme="minorHAnsi"/>
                <w:sz w:val="20"/>
                <w:szCs w:val="20"/>
              </w:rPr>
            </w:pPr>
            <w:r w:rsidRPr="00F563CD">
              <w:rPr>
                <w:rFonts w:asciiTheme="minorHAnsi" w:hAnsiTheme="minorHAnsi"/>
                <w:sz w:val="20"/>
                <w:szCs w:val="20"/>
              </w:rPr>
              <w:t>Grant šema: Inovirani kurikulumi studijskih programa za unapređenje praktičnog znanja i vještina</w:t>
            </w:r>
          </w:p>
          <w:p w14:paraId="20BE056C" w14:textId="77777777" w:rsidR="00047EF8" w:rsidRPr="00F563CD" w:rsidRDefault="00047EF8" w:rsidP="00A239C5">
            <w:pPr>
              <w:spacing w:line="240" w:lineRule="auto"/>
              <w:jc w:val="both"/>
              <w:rPr>
                <w:rFonts w:asciiTheme="minorHAnsi" w:hAnsiTheme="minorHAnsi"/>
                <w:sz w:val="20"/>
                <w:szCs w:val="20"/>
              </w:rPr>
            </w:pPr>
            <w:r w:rsidRPr="00F563CD">
              <w:rPr>
                <w:rFonts w:asciiTheme="minorHAnsi" w:hAnsiTheme="minorHAnsi"/>
                <w:sz w:val="20"/>
                <w:szCs w:val="20"/>
              </w:rPr>
              <w:t xml:space="preserve">Grant šema: 450.000,00 EUR </w:t>
            </w:r>
          </w:p>
          <w:p w14:paraId="34E2D3A1" w14:textId="77777777" w:rsidR="00047EF8" w:rsidRPr="00F563CD" w:rsidRDefault="00047EF8" w:rsidP="00A239C5">
            <w:pPr>
              <w:spacing w:line="240" w:lineRule="auto"/>
              <w:jc w:val="both"/>
              <w:rPr>
                <w:rFonts w:asciiTheme="minorHAnsi" w:hAnsiTheme="minorHAnsi"/>
                <w:sz w:val="20"/>
                <w:szCs w:val="20"/>
              </w:rPr>
            </w:pPr>
            <w:r w:rsidRPr="00F563CD">
              <w:rPr>
                <w:rFonts w:asciiTheme="minorHAnsi" w:hAnsiTheme="minorHAnsi"/>
                <w:sz w:val="20"/>
                <w:szCs w:val="20"/>
              </w:rPr>
              <w:t xml:space="preserve">Ugovor o nabavci: Institucije visokog obrazovanja modernizovane i unaprijeđene za pružanje praktične nastave </w:t>
            </w:r>
          </w:p>
          <w:p w14:paraId="7CDDA7B1" w14:textId="77777777" w:rsidR="00047EF8" w:rsidRPr="00F563CD" w:rsidRDefault="00047EF8" w:rsidP="00A239C5">
            <w:pPr>
              <w:spacing w:line="240" w:lineRule="auto"/>
              <w:jc w:val="both"/>
              <w:rPr>
                <w:rFonts w:asciiTheme="minorHAnsi" w:hAnsiTheme="minorHAnsi"/>
                <w:sz w:val="20"/>
                <w:szCs w:val="20"/>
              </w:rPr>
            </w:pPr>
            <w:r w:rsidRPr="00F563CD">
              <w:rPr>
                <w:rFonts w:asciiTheme="minorHAnsi" w:hAnsiTheme="minorHAnsi"/>
                <w:sz w:val="20"/>
                <w:szCs w:val="20"/>
              </w:rPr>
              <w:t>Ugovor o nabavci: 750.000,00 EUR</w:t>
            </w:r>
          </w:p>
        </w:tc>
      </w:tr>
      <w:tr w:rsidR="00047EF8" w:rsidRPr="00F563CD" w14:paraId="15B78DD2" w14:textId="77777777" w:rsidTr="00A239C5">
        <w:trPr>
          <w:gridAfter w:val="1"/>
          <w:wAfter w:w="9" w:type="dxa"/>
          <w:trHeight w:val="825"/>
        </w:trPr>
        <w:tc>
          <w:tcPr>
            <w:tcW w:w="2970" w:type="dxa"/>
            <w:tcBorders>
              <w:top w:val="single" w:sz="8" w:space="0" w:color="auto"/>
              <w:left w:val="single" w:sz="8" w:space="0" w:color="auto"/>
              <w:bottom w:val="single" w:sz="8" w:space="0" w:color="auto"/>
              <w:right w:val="single" w:sz="8" w:space="0" w:color="auto"/>
            </w:tcBorders>
          </w:tcPr>
          <w:p w14:paraId="1F00649C" w14:textId="77777777" w:rsidR="00047EF8" w:rsidRPr="00F563CD" w:rsidRDefault="00D252F9" w:rsidP="00A239C5">
            <w:pPr>
              <w:spacing w:line="240" w:lineRule="auto"/>
              <w:rPr>
                <w:rFonts w:asciiTheme="minorHAnsi" w:hAnsiTheme="minorHAnsi"/>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 xml:space="preserve">br. 3 – </w:t>
            </w:r>
            <w:r w:rsidR="00047EF8" w:rsidRPr="00F563CD">
              <w:rPr>
                <w:rFonts w:asciiTheme="minorHAnsi" w:eastAsia="Arial" w:hAnsiTheme="minorHAnsi" w:cs="Arial"/>
                <w:b/>
                <w:sz w:val="20"/>
                <w:szCs w:val="20"/>
              </w:rPr>
              <w:t>Jačanje veza između obrazovanja i privrede</w:t>
            </w:r>
          </w:p>
        </w:tc>
        <w:tc>
          <w:tcPr>
            <w:tcW w:w="2407" w:type="dxa"/>
            <w:tcBorders>
              <w:top w:val="single" w:sz="8" w:space="0" w:color="auto"/>
              <w:left w:val="single" w:sz="8" w:space="0" w:color="auto"/>
              <w:bottom w:val="single" w:sz="8" w:space="0" w:color="auto"/>
              <w:right w:val="single" w:sz="8" w:space="0" w:color="auto"/>
            </w:tcBorders>
          </w:tcPr>
          <w:p w14:paraId="6D208358" w14:textId="77777777" w:rsidR="00047EF8" w:rsidRPr="00F563CD" w:rsidRDefault="00047EF8" w:rsidP="00547174">
            <w:pPr>
              <w:spacing w:line="240" w:lineRule="auto"/>
              <w:rPr>
                <w:rFonts w:asciiTheme="minorHAnsi" w:hAnsiTheme="minorHAnsi"/>
                <w:sz w:val="20"/>
                <w:szCs w:val="20"/>
              </w:rPr>
            </w:pPr>
            <w:r w:rsidRPr="00F563CD">
              <w:rPr>
                <w:rFonts w:asciiTheme="minorHAnsi" w:eastAsia="Arial" w:hAnsiTheme="minorHAnsi" w:cs="Arial"/>
                <w:sz w:val="20"/>
                <w:szCs w:val="20"/>
              </w:rPr>
              <w:t xml:space="preserve">630.000,00 </w:t>
            </w:r>
          </w:p>
        </w:tc>
        <w:tc>
          <w:tcPr>
            <w:tcW w:w="4394" w:type="dxa"/>
            <w:tcBorders>
              <w:top w:val="single" w:sz="8" w:space="0" w:color="auto"/>
              <w:left w:val="single" w:sz="8" w:space="0" w:color="auto"/>
              <w:bottom w:val="single" w:sz="8" w:space="0" w:color="auto"/>
              <w:right w:val="single" w:sz="8" w:space="0" w:color="auto"/>
            </w:tcBorders>
          </w:tcPr>
          <w:p w14:paraId="135BBC89" w14:textId="77777777" w:rsidR="00047EF8" w:rsidRPr="00F563CD" w:rsidRDefault="00047EF8" w:rsidP="00A239C5">
            <w:pPr>
              <w:spacing w:line="240" w:lineRule="auto"/>
              <w:rPr>
                <w:rFonts w:asciiTheme="minorHAnsi" w:hAnsiTheme="minorHAnsi"/>
                <w:sz w:val="20"/>
                <w:szCs w:val="20"/>
              </w:rPr>
            </w:pPr>
            <w:r w:rsidRPr="00F563CD">
              <w:rPr>
                <w:rFonts w:asciiTheme="minorHAnsi" w:hAnsiTheme="minorHAnsi"/>
                <w:sz w:val="20"/>
                <w:szCs w:val="20"/>
              </w:rPr>
              <w:t xml:space="preserve">Ugovor o uslugama: </w:t>
            </w:r>
            <w:r w:rsidRPr="00F563CD">
              <w:rPr>
                <w:rFonts w:asciiTheme="minorHAnsi" w:eastAsia="Arial" w:hAnsiTheme="minorHAnsi" w:cs="Arial"/>
                <w:sz w:val="20"/>
                <w:szCs w:val="20"/>
              </w:rPr>
              <w:t>Jačanje veza između obrazovanja i privrede</w:t>
            </w:r>
          </w:p>
          <w:p w14:paraId="415C8718" w14:textId="77777777" w:rsidR="00047EF8" w:rsidRPr="00F563CD" w:rsidRDefault="00047EF8" w:rsidP="00A239C5">
            <w:pPr>
              <w:spacing w:line="240" w:lineRule="auto"/>
              <w:rPr>
                <w:rFonts w:asciiTheme="minorHAnsi" w:hAnsiTheme="minorHAnsi"/>
                <w:sz w:val="20"/>
                <w:szCs w:val="20"/>
              </w:rPr>
            </w:pPr>
            <w:r w:rsidRPr="00F563CD">
              <w:rPr>
                <w:rFonts w:asciiTheme="minorHAnsi" w:hAnsiTheme="minorHAnsi"/>
                <w:sz w:val="20"/>
                <w:szCs w:val="20"/>
              </w:rPr>
              <w:t>Ugovor o uslugama: 630.000,00 EUR</w:t>
            </w:r>
          </w:p>
        </w:tc>
      </w:tr>
      <w:tr w:rsidR="00047EF8" w:rsidRPr="008C3F18" w14:paraId="64A45CBA" w14:textId="77777777" w:rsidTr="00A239C5">
        <w:trPr>
          <w:gridAfter w:val="1"/>
          <w:wAfter w:w="9" w:type="dxa"/>
          <w:trHeight w:val="1664"/>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3DC86C8F" w14:textId="77777777" w:rsidR="00047EF8" w:rsidRPr="00F563CD" w:rsidRDefault="00D252F9" w:rsidP="00A239C5">
            <w:pPr>
              <w:spacing w:line="240" w:lineRule="auto"/>
              <w:rPr>
                <w:rFonts w:asciiTheme="minorHAnsi" w:hAnsiTheme="minorHAnsi"/>
                <w:sz w:val="20"/>
                <w:szCs w:val="20"/>
                <w:highlight w:val="yellow"/>
              </w:rPr>
            </w:pPr>
            <w:r w:rsidRPr="00F563CD">
              <w:rPr>
                <w:rFonts w:asciiTheme="minorHAnsi" w:hAnsiTheme="minorHAnsi" w:cs="Arial"/>
                <w:sz w:val="20"/>
                <w:szCs w:val="20"/>
              </w:rPr>
              <w:lastRenderedPageBreak/>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 4 –</w:t>
            </w:r>
            <w:r w:rsidR="00047EF8" w:rsidRPr="00F563CD">
              <w:rPr>
                <w:rFonts w:asciiTheme="minorHAnsi" w:eastAsia="Arial" w:hAnsiTheme="minorHAnsi" w:cs="Arial"/>
                <w:i/>
                <w:iCs/>
                <w:sz w:val="20"/>
                <w:szCs w:val="20"/>
              </w:rPr>
              <w:t xml:space="preserve"> </w:t>
            </w:r>
            <w:r w:rsidR="00047EF8" w:rsidRPr="00F563CD">
              <w:rPr>
                <w:rFonts w:asciiTheme="minorHAnsi" w:eastAsia="Arial" w:hAnsiTheme="minorHAnsi" w:cs="Arial"/>
                <w:iCs/>
                <w:sz w:val="20"/>
                <w:szCs w:val="20"/>
              </w:rPr>
              <w:t xml:space="preserve">Jačanje vještina iz </w:t>
            </w:r>
            <w:r w:rsidR="00047EF8" w:rsidRPr="00F563CD">
              <w:rPr>
                <w:rFonts w:asciiTheme="minorHAnsi" w:eastAsia="Arial" w:hAnsiTheme="minorHAnsi" w:cs="Arial"/>
                <w:b/>
                <w:iCs/>
                <w:sz w:val="20"/>
                <w:szCs w:val="20"/>
              </w:rPr>
              <w:t>Strategije pametne specijalizacije i stvaranje radnih mjesta</w:t>
            </w:r>
          </w:p>
        </w:tc>
        <w:tc>
          <w:tcPr>
            <w:tcW w:w="2407" w:type="dxa"/>
            <w:tcBorders>
              <w:top w:val="single" w:sz="8" w:space="0" w:color="auto"/>
              <w:left w:val="single" w:sz="8" w:space="0" w:color="auto"/>
              <w:bottom w:val="single" w:sz="8" w:space="0" w:color="auto"/>
              <w:right w:val="single" w:sz="8" w:space="0" w:color="auto"/>
            </w:tcBorders>
          </w:tcPr>
          <w:p w14:paraId="4CF9776D" w14:textId="77777777" w:rsidR="00047EF8" w:rsidRPr="00F563CD" w:rsidRDefault="00047EF8" w:rsidP="00547174">
            <w:pPr>
              <w:spacing w:line="240" w:lineRule="auto"/>
              <w:rPr>
                <w:rFonts w:asciiTheme="minorHAnsi" w:hAnsiTheme="minorHAnsi"/>
                <w:sz w:val="20"/>
                <w:szCs w:val="20"/>
                <w:highlight w:val="yellow"/>
              </w:rPr>
            </w:pPr>
            <w:r w:rsidRPr="00F563CD">
              <w:rPr>
                <w:rFonts w:asciiTheme="minorHAnsi" w:eastAsia="Arial" w:hAnsiTheme="minorHAnsi" w:cs="Arial"/>
                <w:sz w:val="20"/>
                <w:szCs w:val="20"/>
              </w:rPr>
              <w:t xml:space="preserve">2.500.000,00 </w:t>
            </w:r>
          </w:p>
        </w:tc>
        <w:tc>
          <w:tcPr>
            <w:tcW w:w="4394" w:type="dxa"/>
            <w:tcBorders>
              <w:top w:val="single" w:sz="8" w:space="0" w:color="auto"/>
              <w:left w:val="single" w:sz="8" w:space="0" w:color="auto"/>
              <w:bottom w:val="single" w:sz="8" w:space="0" w:color="auto"/>
              <w:right w:val="single" w:sz="8" w:space="0" w:color="auto"/>
            </w:tcBorders>
          </w:tcPr>
          <w:p w14:paraId="19676365" w14:textId="77777777" w:rsidR="00047EF8" w:rsidRPr="00F563CD" w:rsidRDefault="00047EF8" w:rsidP="00A239C5">
            <w:pPr>
              <w:spacing w:line="240" w:lineRule="auto"/>
              <w:rPr>
                <w:rFonts w:asciiTheme="minorHAnsi" w:hAnsiTheme="minorHAnsi"/>
                <w:sz w:val="20"/>
                <w:szCs w:val="20"/>
              </w:rPr>
            </w:pPr>
            <w:r w:rsidRPr="00F563CD">
              <w:rPr>
                <w:rFonts w:asciiTheme="minorHAnsi" w:hAnsiTheme="minorHAnsi"/>
                <w:sz w:val="20"/>
                <w:szCs w:val="20"/>
              </w:rPr>
              <w:t xml:space="preserve">Unapređenje vještina iz Strategije pametne specijalizacije i podrška prilikama za zapošljavanje u okviru Strategije pametne specijalizacije </w:t>
            </w:r>
          </w:p>
          <w:p w14:paraId="2E5CE884" w14:textId="77777777" w:rsidR="00047EF8" w:rsidRPr="00F563CD" w:rsidRDefault="00047EF8" w:rsidP="00A239C5">
            <w:pPr>
              <w:spacing w:line="240" w:lineRule="auto"/>
              <w:rPr>
                <w:rFonts w:asciiTheme="minorHAnsi" w:hAnsiTheme="minorHAnsi"/>
                <w:sz w:val="20"/>
                <w:szCs w:val="20"/>
                <w:lang w:val="fr-BE"/>
              </w:rPr>
            </w:pPr>
            <w:r w:rsidRPr="00F563CD">
              <w:rPr>
                <w:rFonts w:asciiTheme="minorHAnsi" w:hAnsiTheme="minorHAnsi"/>
                <w:sz w:val="20"/>
                <w:szCs w:val="20"/>
                <w:lang w:val="fr-BE"/>
              </w:rPr>
              <w:t xml:space="preserve">Grant </w:t>
            </w:r>
            <w:proofErr w:type="gramStart"/>
            <w:r w:rsidRPr="00F563CD">
              <w:rPr>
                <w:rFonts w:asciiTheme="minorHAnsi" w:hAnsiTheme="minorHAnsi"/>
                <w:sz w:val="20"/>
                <w:szCs w:val="20"/>
                <w:lang w:val="fr-BE"/>
              </w:rPr>
              <w:t>šema:</w:t>
            </w:r>
            <w:proofErr w:type="gramEnd"/>
            <w:r w:rsidRPr="00F563CD">
              <w:rPr>
                <w:rFonts w:asciiTheme="minorHAnsi" w:hAnsiTheme="minorHAnsi"/>
                <w:sz w:val="20"/>
                <w:szCs w:val="20"/>
                <w:lang w:val="fr-BE"/>
              </w:rPr>
              <w:t xml:space="preserve"> 2.000.000,00 EUR</w:t>
            </w:r>
          </w:p>
          <w:p w14:paraId="3D50ED17" w14:textId="77777777" w:rsidR="00047EF8" w:rsidRPr="00F563CD" w:rsidRDefault="00047EF8" w:rsidP="00A239C5">
            <w:pPr>
              <w:spacing w:line="240" w:lineRule="auto"/>
              <w:rPr>
                <w:rFonts w:asciiTheme="minorHAnsi" w:hAnsiTheme="minorHAnsi"/>
                <w:sz w:val="20"/>
                <w:szCs w:val="20"/>
                <w:lang w:val="fr-BE"/>
              </w:rPr>
            </w:pPr>
            <w:r w:rsidRPr="00F563CD">
              <w:rPr>
                <w:rFonts w:asciiTheme="minorHAnsi" w:hAnsiTheme="minorHAnsi"/>
                <w:sz w:val="20"/>
                <w:szCs w:val="20"/>
                <w:lang w:val="fr-BE"/>
              </w:rPr>
              <w:t>Ugovor o uslugama: 500.000,00 EUR</w:t>
            </w:r>
          </w:p>
        </w:tc>
      </w:tr>
      <w:tr w:rsidR="00047EF8" w:rsidRPr="00F563CD" w14:paraId="4FBE7411"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FFFFFF" w:themeFill="background1"/>
          </w:tcPr>
          <w:p w14:paraId="10862F74" w14:textId="77777777" w:rsidR="00047EF8" w:rsidRPr="00F563CD" w:rsidRDefault="00D252F9" w:rsidP="00A239C5">
            <w:pPr>
              <w:spacing w:line="240" w:lineRule="auto"/>
              <w:rPr>
                <w:rFonts w:asciiTheme="minorHAnsi" w:eastAsia="Arial" w:hAnsiTheme="minorHAnsi" w:cs="Arial"/>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 xml:space="preserve">br. 5 – </w:t>
            </w:r>
            <w:r w:rsidR="00047EF8" w:rsidRPr="00F563CD">
              <w:rPr>
                <w:rFonts w:asciiTheme="minorHAnsi" w:hAnsiTheme="minorHAnsi" w:cstheme="minorHAnsi"/>
                <w:b/>
                <w:sz w:val="20"/>
                <w:szCs w:val="20"/>
              </w:rPr>
              <w:t>Unapređenje digitalizacije obrazovnog sistema</w:t>
            </w:r>
          </w:p>
        </w:tc>
        <w:tc>
          <w:tcPr>
            <w:tcW w:w="2407" w:type="dxa"/>
            <w:tcBorders>
              <w:top w:val="single" w:sz="8" w:space="0" w:color="auto"/>
              <w:left w:val="single" w:sz="8" w:space="0" w:color="auto"/>
              <w:bottom w:val="single" w:sz="8" w:space="0" w:color="auto"/>
              <w:right w:val="single" w:sz="8" w:space="0" w:color="auto"/>
            </w:tcBorders>
            <w:shd w:val="clear" w:color="auto" w:fill="FFFFFF" w:themeFill="background1"/>
          </w:tcPr>
          <w:p w14:paraId="06D72D7E"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2.000.000,00</w:t>
            </w:r>
          </w:p>
        </w:tc>
        <w:tc>
          <w:tcPr>
            <w:tcW w:w="4394" w:type="dxa"/>
            <w:tcBorders>
              <w:top w:val="single" w:sz="8" w:space="0" w:color="auto"/>
              <w:left w:val="single" w:sz="8" w:space="0" w:color="auto"/>
              <w:bottom w:val="single" w:sz="8" w:space="0" w:color="auto"/>
              <w:right w:val="single" w:sz="8" w:space="0" w:color="auto"/>
            </w:tcBorders>
            <w:shd w:val="clear" w:color="auto" w:fill="FFFFFF" w:themeFill="background1"/>
          </w:tcPr>
          <w:p w14:paraId="07F8DEAB" w14:textId="77777777" w:rsidR="00047EF8" w:rsidRPr="00F563CD" w:rsidRDefault="00047EF8" w:rsidP="00A239C5">
            <w:pPr>
              <w:spacing w:line="240" w:lineRule="auto"/>
              <w:rPr>
                <w:rFonts w:asciiTheme="minorHAnsi" w:hAnsiTheme="minorHAnsi"/>
                <w:sz w:val="20"/>
                <w:szCs w:val="20"/>
              </w:rPr>
            </w:pPr>
            <w:r w:rsidRPr="00F563CD">
              <w:rPr>
                <w:rFonts w:asciiTheme="minorHAnsi" w:hAnsiTheme="minorHAnsi"/>
                <w:sz w:val="20"/>
                <w:szCs w:val="20"/>
              </w:rPr>
              <w:t xml:space="preserve">Ugovor o uslugama: Unapređenje digitalnih usluga i digitalnih kompetencija unutar obrazovnog sistema Crne Gore </w:t>
            </w:r>
          </w:p>
          <w:p w14:paraId="7182F9D2" w14:textId="77777777" w:rsidR="00047EF8" w:rsidRPr="00F563CD" w:rsidRDefault="00047EF8" w:rsidP="00A239C5">
            <w:pPr>
              <w:spacing w:line="240" w:lineRule="auto"/>
              <w:rPr>
                <w:rFonts w:asciiTheme="minorHAnsi" w:hAnsiTheme="minorHAnsi"/>
                <w:sz w:val="20"/>
                <w:szCs w:val="20"/>
              </w:rPr>
            </w:pPr>
            <w:r w:rsidRPr="00F563CD">
              <w:rPr>
                <w:rFonts w:asciiTheme="minorHAnsi" w:hAnsiTheme="minorHAnsi"/>
                <w:sz w:val="20"/>
                <w:szCs w:val="20"/>
              </w:rPr>
              <w:t xml:space="preserve">Ugovor o uslugama: 1.000.000,00 EUR </w:t>
            </w:r>
          </w:p>
          <w:p w14:paraId="48B6D3DE" w14:textId="77777777" w:rsidR="00047EF8" w:rsidRPr="00F563CD" w:rsidRDefault="00047EF8" w:rsidP="00A239C5">
            <w:pPr>
              <w:spacing w:line="240" w:lineRule="auto"/>
              <w:rPr>
                <w:rFonts w:asciiTheme="minorHAnsi" w:hAnsiTheme="minorHAnsi"/>
                <w:sz w:val="20"/>
                <w:szCs w:val="20"/>
              </w:rPr>
            </w:pPr>
            <w:r w:rsidRPr="00F563CD">
              <w:rPr>
                <w:rFonts w:asciiTheme="minorHAnsi" w:hAnsiTheme="minorHAnsi"/>
                <w:sz w:val="20"/>
                <w:szCs w:val="20"/>
              </w:rPr>
              <w:t>Ugovor o nabavci za kupovinu IT opreme za škole</w:t>
            </w:r>
          </w:p>
          <w:p w14:paraId="28EAB8C0" w14:textId="77777777" w:rsidR="00047EF8" w:rsidRPr="00F563CD" w:rsidRDefault="00047EF8" w:rsidP="00A239C5">
            <w:pPr>
              <w:spacing w:line="240" w:lineRule="auto"/>
              <w:rPr>
                <w:rFonts w:asciiTheme="minorHAnsi" w:hAnsiTheme="minorHAnsi"/>
                <w:sz w:val="20"/>
                <w:szCs w:val="20"/>
              </w:rPr>
            </w:pPr>
            <w:r w:rsidRPr="00F563CD">
              <w:rPr>
                <w:rFonts w:asciiTheme="minorHAnsi" w:hAnsiTheme="minorHAnsi"/>
                <w:sz w:val="20"/>
                <w:szCs w:val="20"/>
              </w:rPr>
              <w:t>Ugovor o nabavci: 1.000.000,00 EUR</w:t>
            </w:r>
          </w:p>
        </w:tc>
      </w:tr>
      <w:tr w:rsidR="00047EF8" w:rsidRPr="00F563CD" w14:paraId="65622710" w14:textId="77777777" w:rsidTr="00A239C5">
        <w:trPr>
          <w:gridAfter w:val="1"/>
          <w:wAfter w:w="9" w:type="dxa"/>
          <w:trHeight w:val="1474"/>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5877939B" w14:textId="77777777" w:rsidR="00047EF8" w:rsidRPr="00F563CD" w:rsidRDefault="00D252F9" w:rsidP="00A239C5">
            <w:pPr>
              <w:rPr>
                <w:rFonts w:asciiTheme="minorHAnsi" w:eastAsia="Arial" w:hAnsiTheme="minorHAnsi" w:cs="Arial"/>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 6 –</w:t>
            </w:r>
            <w:r w:rsidR="00047EF8" w:rsidRPr="00F563CD">
              <w:rPr>
                <w:rFonts w:asciiTheme="minorHAnsi" w:eastAsia="Arial" w:hAnsiTheme="minorHAnsi" w:cs="Arial"/>
                <w:i/>
                <w:iCs/>
                <w:sz w:val="20"/>
                <w:szCs w:val="20"/>
              </w:rPr>
              <w:t xml:space="preserve"> </w:t>
            </w:r>
            <w:r w:rsidR="00047EF8" w:rsidRPr="00F563CD">
              <w:rPr>
                <w:rFonts w:asciiTheme="minorHAnsi" w:eastAsia="Arial" w:hAnsiTheme="minorHAnsi" w:cs="Arial"/>
                <w:b/>
                <w:sz w:val="20"/>
                <w:szCs w:val="20"/>
              </w:rPr>
              <w:t xml:space="preserve">Inicijative tržišta rada na lokalnom nivou koje podržavaju uspostavljanje i sprovođenje Garancije za mlade </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7E667C91"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 xml:space="preserve">5.000.000,00  </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3CC5D005" w14:textId="77777777" w:rsidR="00047EF8" w:rsidRPr="00F563CD" w:rsidRDefault="00047EF8" w:rsidP="00A239C5">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Program Garancije za mlade uspostavljen i pilotiran na lokalnom nivou</w:t>
            </w:r>
          </w:p>
          <w:p w14:paraId="0BCA27B6" w14:textId="77777777" w:rsidR="00047EF8" w:rsidRPr="00F563CD" w:rsidRDefault="00047EF8" w:rsidP="00A239C5">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Direktna budžetska podrška: 5.000.000,00 EUR</w:t>
            </w:r>
          </w:p>
        </w:tc>
      </w:tr>
      <w:tr w:rsidR="00047EF8" w:rsidRPr="00F563CD" w14:paraId="3A965ECE"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018188A1" w14:textId="77777777" w:rsidR="00047EF8" w:rsidRPr="00F563CD" w:rsidRDefault="00F7672F" w:rsidP="00A239C5">
            <w:pPr>
              <w:rPr>
                <w:rFonts w:asciiTheme="minorHAnsi" w:eastAsia="Arial" w:hAnsiTheme="minorHAnsi" w:cs="Arial"/>
                <w:b/>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 7 –</w:t>
            </w:r>
            <w:r w:rsidR="00047EF8" w:rsidRPr="00F563CD">
              <w:rPr>
                <w:rFonts w:asciiTheme="minorHAnsi" w:eastAsia="Arial" w:hAnsiTheme="minorHAnsi" w:cs="Arial"/>
                <w:i/>
                <w:iCs/>
                <w:sz w:val="20"/>
                <w:szCs w:val="20"/>
              </w:rPr>
              <w:t xml:space="preserve"> </w:t>
            </w:r>
            <w:r w:rsidR="00047EF8" w:rsidRPr="00F563CD">
              <w:rPr>
                <w:rFonts w:asciiTheme="minorHAnsi" w:eastAsia="Arial" w:hAnsiTheme="minorHAnsi" w:cs="Arial"/>
                <w:b/>
                <w:sz w:val="20"/>
                <w:szCs w:val="20"/>
              </w:rPr>
              <w:t xml:space="preserve">Deintitucionalizacija </w:t>
            </w:r>
          </w:p>
          <w:p w14:paraId="6163269C" w14:textId="77777777" w:rsidR="00047EF8" w:rsidRPr="00F563CD" w:rsidRDefault="00047EF8" w:rsidP="00A239C5">
            <w:pPr>
              <w:spacing w:after="0" w:line="240" w:lineRule="auto"/>
              <w:rPr>
                <w:rFonts w:asciiTheme="minorHAnsi" w:eastAsia="Arial" w:hAnsiTheme="minorHAnsi" w:cs="Arial"/>
                <w:sz w:val="20"/>
                <w:szCs w:val="20"/>
              </w:rPr>
            </w:pP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33CD0943"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4.000.000,00</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5BE9256E"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Tehnička pomoć za podršku politici Ministarstva finansija i socijalnog staranja za unapređenje politika deinstitucionalizacije i održivost akcije grant šeme.</w:t>
            </w:r>
          </w:p>
          <w:p w14:paraId="1A4DE1DA" w14:textId="77777777" w:rsidR="00047EF8" w:rsidRPr="00F563CD" w:rsidRDefault="00047EF8" w:rsidP="00A239C5">
            <w:pPr>
              <w:spacing w:line="240" w:lineRule="auto"/>
              <w:jc w:val="both"/>
              <w:rPr>
                <w:rFonts w:asciiTheme="minorHAnsi" w:eastAsia="Arial" w:hAnsiTheme="minorHAnsi"/>
              </w:rPr>
            </w:pPr>
            <w:r w:rsidRPr="00F563CD">
              <w:rPr>
                <w:rFonts w:asciiTheme="minorHAnsi" w:hAnsiTheme="minorHAnsi"/>
                <w:sz w:val="20"/>
                <w:szCs w:val="20"/>
              </w:rPr>
              <w:t>Ugovor o uslugama</w:t>
            </w:r>
            <w:r w:rsidRPr="00F563CD">
              <w:rPr>
                <w:rFonts w:asciiTheme="minorHAnsi" w:eastAsia="Arial" w:hAnsiTheme="minorHAnsi" w:cs="Arial"/>
                <w:sz w:val="20"/>
                <w:szCs w:val="20"/>
              </w:rPr>
              <w:t xml:space="preserve"> - 500.000,00 EUR  </w:t>
            </w:r>
          </w:p>
          <w:p w14:paraId="38DE2975" w14:textId="77777777" w:rsidR="00047EF8" w:rsidRPr="00F563CD" w:rsidRDefault="00047EF8" w:rsidP="00A239C5">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 xml:space="preserve">Grant šema – Unapređenje socijalne inkluzije u Crnoj Gori kroz podšrku </w:t>
            </w:r>
            <w:proofErr w:type="gramStart"/>
            <w:r w:rsidRPr="00F563CD">
              <w:rPr>
                <w:rFonts w:asciiTheme="minorHAnsi" w:eastAsia="Arial" w:hAnsiTheme="minorHAnsi" w:cs="Arial"/>
                <w:sz w:val="20"/>
                <w:szCs w:val="20"/>
              </w:rPr>
              <w:t>procesu  deinstitucionalizacije</w:t>
            </w:r>
            <w:proofErr w:type="gramEnd"/>
            <w:r w:rsidRPr="00F563CD">
              <w:rPr>
                <w:rFonts w:asciiTheme="minorHAnsi" w:eastAsia="Arial" w:hAnsiTheme="minorHAnsi" w:cs="Arial"/>
                <w:sz w:val="20"/>
                <w:szCs w:val="20"/>
              </w:rPr>
              <w:t>.</w:t>
            </w:r>
          </w:p>
          <w:p w14:paraId="3DE94F5C"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Grant šema – 3.500.000,00 EUR</w:t>
            </w:r>
          </w:p>
        </w:tc>
      </w:tr>
      <w:tr w:rsidR="00047EF8" w:rsidRPr="00F563CD" w14:paraId="63F6D05D"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35BFCB45" w14:textId="77777777" w:rsidR="00047EF8" w:rsidRPr="00F563CD" w:rsidRDefault="00F7672F" w:rsidP="00A239C5">
            <w:pPr>
              <w:spacing w:line="240" w:lineRule="auto"/>
              <w:jc w:val="both"/>
              <w:rPr>
                <w:rFonts w:asciiTheme="minorHAnsi" w:hAnsiTheme="minorHAnsi"/>
                <w:b/>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Style w:val="xnormaltextrun"/>
                <w:rFonts w:asciiTheme="minorHAnsi" w:hAnsiTheme="minorHAnsi" w:cs="Calibri"/>
                <w:sz w:val="20"/>
                <w:szCs w:val="20"/>
              </w:rPr>
              <w:t>. 8</w:t>
            </w:r>
            <w:r w:rsidR="00047EF8" w:rsidRPr="00F563CD">
              <w:rPr>
                <w:rStyle w:val="xnormaltextrun"/>
                <w:rFonts w:asciiTheme="minorHAnsi" w:hAnsiTheme="minorHAnsi" w:cs="Calibri"/>
                <w:b/>
                <w:sz w:val="20"/>
                <w:szCs w:val="20"/>
              </w:rPr>
              <w:t xml:space="preserve"> –</w:t>
            </w:r>
            <w:r w:rsidR="00047EF8" w:rsidRPr="00F563CD">
              <w:rPr>
                <w:rFonts w:asciiTheme="minorHAnsi" w:eastAsia="Calibri" w:hAnsiTheme="minorHAnsi" w:cs="Calibri"/>
                <w:b/>
                <w:sz w:val="20"/>
                <w:szCs w:val="20"/>
              </w:rPr>
              <w:t xml:space="preserve"> </w:t>
            </w:r>
            <w:r w:rsidR="00047EF8" w:rsidRPr="00F563CD">
              <w:rPr>
                <w:rFonts w:asciiTheme="minorHAnsi" w:hAnsiTheme="minorHAnsi"/>
                <w:b/>
                <w:sz w:val="20"/>
                <w:szCs w:val="20"/>
              </w:rPr>
              <w:t xml:space="preserve">Unapređenje kvaliteta zdravstvenih usluga </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19E5E604" w14:textId="77777777" w:rsidR="00047EF8" w:rsidRPr="00F563CD" w:rsidRDefault="00047EF8" w:rsidP="00547174">
            <w:pPr>
              <w:pStyle w:val="xmsonormal"/>
              <w:shd w:val="clear" w:color="auto" w:fill="FFFFFF"/>
              <w:spacing w:after="0"/>
              <w:rPr>
                <w:rFonts w:asciiTheme="minorHAnsi" w:hAnsiTheme="minorHAnsi" w:cstheme="minorHAnsi"/>
                <w:iCs/>
                <w:sz w:val="20"/>
                <w:szCs w:val="20"/>
              </w:rPr>
            </w:pPr>
            <w:r w:rsidRPr="00F563CD">
              <w:rPr>
                <w:rFonts w:asciiTheme="minorHAnsi" w:hAnsiTheme="minorHAnsi" w:cstheme="minorHAnsi"/>
                <w:iCs/>
                <w:sz w:val="20"/>
                <w:szCs w:val="20"/>
              </w:rPr>
              <w:t xml:space="preserve">             20.000.000,00</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23B5FA07" w14:textId="77777777" w:rsidR="00047EF8" w:rsidRPr="00F563CD" w:rsidRDefault="00047EF8" w:rsidP="00A239C5">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Ugovor o uslugama i nabavci</w:t>
            </w:r>
          </w:p>
          <w:p w14:paraId="17459877" w14:textId="77777777" w:rsidR="00047EF8" w:rsidRPr="00F563CD" w:rsidRDefault="00047EF8" w:rsidP="00A239C5">
            <w:pPr>
              <w:spacing w:line="240" w:lineRule="auto"/>
              <w:rPr>
                <w:rFonts w:asciiTheme="minorHAnsi" w:eastAsia="Arial" w:hAnsiTheme="minorHAnsi" w:cs="Arial"/>
                <w:sz w:val="20"/>
                <w:szCs w:val="20"/>
              </w:rPr>
            </w:pPr>
          </w:p>
        </w:tc>
      </w:tr>
      <w:tr w:rsidR="00047EF8" w:rsidRPr="00F563CD" w14:paraId="565EEF22" w14:textId="77777777" w:rsidTr="00A239C5">
        <w:trPr>
          <w:gridAfter w:val="1"/>
          <w:wAfter w:w="9" w:type="dxa"/>
          <w:trHeight w:val="386"/>
        </w:trPr>
        <w:tc>
          <w:tcPr>
            <w:tcW w:w="9771"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EA47666" w14:textId="77777777" w:rsidR="00047EF8" w:rsidRPr="00F563CD" w:rsidRDefault="00047EF8" w:rsidP="00A239C5">
            <w:pPr>
              <w:spacing w:after="0" w:line="240" w:lineRule="auto"/>
              <w:jc w:val="center"/>
              <w:rPr>
                <w:rFonts w:asciiTheme="minorHAnsi" w:eastAsia="Arial" w:hAnsiTheme="minorHAnsi" w:cs="Arial"/>
                <w:b/>
                <w:sz w:val="20"/>
                <w:szCs w:val="20"/>
              </w:rPr>
            </w:pPr>
            <w:r w:rsidRPr="00F563CD">
              <w:rPr>
                <w:rFonts w:asciiTheme="minorHAnsi" w:eastAsia="Arial" w:hAnsiTheme="minorHAnsi" w:cs="Arial"/>
                <w:b/>
                <w:sz w:val="20"/>
                <w:szCs w:val="20"/>
              </w:rPr>
              <w:t>2024</w:t>
            </w:r>
          </w:p>
        </w:tc>
      </w:tr>
      <w:tr w:rsidR="00047EF8" w:rsidRPr="00F563CD" w14:paraId="51F2042E"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1308E184" w14:textId="77777777" w:rsidR="00047EF8" w:rsidRPr="00F563CD" w:rsidRDefault="00492EB1" w:rsidP="00A239C5">
            <w:pPr>
              <w:spacing w:after="0" w:line="240" w:lineRule="auto"/>
              <w:jc w:val="both"/>
              <w:rPr>
                <w:rFonts w:asciiTheme="minorHAnsi" w:eastAsia="Arial" w:hAnsiTheme="minorHAnsi" w:cs="Arial"/>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 xml:space="preserve">br. 1 - </w:t>
            </w:r>
            <w:r w:rsidR="00047EF8" w:rsidRPr="00F563CD">
              <w:rPr>
                <w:rStyle w:val="xnormaltextrun"/>
                <w:rFonts w:asciiTheme="minorHAnsi" w:hAnsiTheme="minorHAnsi" w:cs="Calibri"/>
                <w:b/>
                <w:sz w:val="20"/>
                <w:szCs w:val="20"/>
              </w:rPr>
              <w:t xml:space="preserve"> Nastavak </w:t>
            </w:r>
            <w:r w:rsidR="00047EF8" w:rsidRPr="00F563CD">
              <w:rPr>
                <w:rFonts w:asciiTheme="minorHAnsi" w:eastAsia="Arial" w:hAnsiTheme="minorHAnsi" w:cs="Arial"/>
                <w:b/>
                <w:sz w:val="20"/>
                <w:szCs w:val="20"/>
              </w:rPr>
              <w:t>Inicijativa tržišta rada na lokalnom nivou koje podržavaju uspostavljanje i sprovođenje Garancije za mlade</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56C04996"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 xml:space="preserve">10.000.000,00 </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29D3E805" w14:textId="77777777" w:rsidR="00047EF8" w:rsidRPr="00F563CD" w:rsidRDefault="00047EF8" w:rsidP="00A239C5">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 xml:space="preserve">Lokalni program Garancije za mlade sproveden na nacionalnom nivou. </w:t>
            </w:r>
          </w:p>
          <w:p w14:paraId="4178CA34" w14:textId="77777777" w:rsidR="00047EF8" w:rsidRPr="00F563CD" w:rsidRDefault="00047EF8" w:rsidP="00A239C5">
            <w:pPr>
              <w:shd w:val="clear" w:color="auto" w:fill="FFFFFF"/>
              <w:spacing w:before="60" w:after="0"/>
              <w:rPr>
                <w:rFonts w:asciiTheme="minorHAnsi" w:eastAsia="Arial" w:hAnsiTheme="minorHAnsi" w:cs="Arial"/>
                <w:sz w:val="20"/>
                <w:szCs w:val="20"/>
              </w:rPr>
            </w:pPr>
            <w:r w:rsidRPr="00F563CD">
              <w:rPr>
                <w:rFonts w:asciiTheme="minorHAnsi" w:eastAsia="Arial" w:hAnsiTheme="minorHAnsi" w:cs="Arial"/>
                <w:sz w:val="20"/>
                <w:szCs w:val="20"/>
              </w:rPr>
              <w:t>Direktna budžetska podrška ili grantovi – 10.000.000,00 EUR</w:t>
            </w:r>
          </w:p>
        </w:tc>
      </w:tr>
      <w:tr w:rsidR="00047EF8" w:rsidRPr="00F563CD" w14:paraId="1FABF78E"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4C974A01" w14:textId="77777777" w:rsidR="00047EF8" w:rsidRPr="00F563CD" w:rsidRDefault="00C1387F" w:rsidP="00A239C5">
            <w:pPr>
              <w:spacing w:after="0" w:line="240" w:lineRule="auto"/>
              <w:rPr>
                <w:rFonts w:asciiTheme="minorHAnsi" w:eastAsia="Arial" w:hAnsiTheme="minorHAnsi" w:cs="Arial"/>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 xml:space="preserve">br. 2 – </w:t>
            </w:r>
            <w:r w:rsidR="00047EF8" w:rsidRPr="00F563CD">
              <w:rPr>
                <w:rFonts w:asciiTheme="minorHAnsi" w:eastAsia="Arial" w:hAnsiTheme="minorHAnsi" w:cs="Arial"/>
                <w:b/>
                <w:sz w:val="20"/>
                <w:szCs w:val="20"/>
              </w:rPr>
              <w:t>Podsticanje socijalnog preduzetništva</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62FED46A"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 xml:space="preserve">3.000.000,00 </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6527CE5B" w14:textId="77777777" w:rsidR="00047EF8" w:rsidRPr="00F563CD" w:rsidRDefault="00047EF8" w:rsidP="00A239C5">
            <w:pPr>
              <w:shd w:val="clear" w:color="auto" w:fill="FFFFFF"/>
              <w:spacing w:before="60" w:after="0"/>
              <w:rPr>
                <w:rFonts w:asciiTheme="minorHAnsi" w:eastAsia="Arial" w:hAnsiTheme="minorHAnsi" w:cs="Arial"/>
                <w:sz w:val="20"/>
                <w:szCs w:val="20"/>
              </w:rPr>
            </w:pPr>
            <w:r w:rsidRPr="00F563CD">
              <w:rPr>
                <w:rFonts w:asciiTheme="minorHAnsi" w:eastAsia="Arial" w:hAnsiTheme="minorHAnsi" w:cs="Arial"/>
                <w:sz w:val="20"/>
                <w:szCs w:val="20"/>
              </w:rPr>
              <w:t xml:space="preserve">“Tehnička podrška za promociju i razvoj socijalnog </w:t>
            </w:r>
            <w:proofErr w:type="gramStart"/>
            <w:r w:rsidRPr="00F563CD">
              <w:rPr>
                <w:rFonts w:asciiTheme="minorHAnsi" w:eastAsia="Arial" w:hAnsiTheme="minorHAnsi" w:cs="Arial"/>
                <w:sz w:val="20"/>
                <w:szCs w:val="20"/>
              </w:rPr>
              <w:t>preduzetništva“</w:t>
            </w:r>
            <w:proofErr w:type="gramEnd"/>
          </w:p>
          <w:p w14:paraId="43246FD2" w14:textId="77777777" w:rsidR="00047EF8" w:rsidRPr="00F563CD" w:rsidRDefault="00047EF8" w:rsidP="00A239C5">
            <w:pPr>
              <w:shd w:val="clear" w:color="auto" w:fill="FFFFFF"/>
              <w:spacing w:before="60" w:after="0"/>
              <w:rPr>
                <w:rFonts w:asciiTheme="minorHAnsi" w:eastAsia="Arial" w:hAnsiTheme="minorHAnsi" w:cs="Arial"/>
                <w:sz w:val="20"/>
                <w:szCs w:val="20"/>
              </w:rPr>
            </w:pPr>
            <w:r w:rsidRPr="00F563CD">
              <w:rPr>
                <w:rFonts w:asciiTheme="minorHAnsi" w:eastAsia="Arial" w:hAnsiTheme="minorHAnsi" w:cs="Arial"/>
                <w:sz w:val="20"/>
                <w:szCs w:val="20"/>
              </w:rPr>
              <w:t xml:space="preserve">Ugovor o uslugama: 450.000,00 EUR </w:t>
            </w:r>
          </w:p>
          <w:p w14:paraId="67E2A14E" w14:textId="77777777" w:rsidR="00047EF8" w:rsidRPr="00F563CD" w:rsidRDefault="00047EF8" w:rsidP="00A239C5">
            <w:pPr>
              <w:shd w:val="clear" w:color="auto" w:fill="FFFFFF"/>
              <w:autoSpaceDE w:val="0"/>
              <w:autoSpaceDN w:val="0"/>
              <w:adjustRightInd w:val="0"/>
              <w:spacing w:after="0" w:line="240" w:lineRule="auto"/>
              <w:rPr>
                <w:rFonts w:asciiTheme="minorHAnsi" w:eastAsia="Arial" w:hAnsiTheme="minorHAnsi" w:cs="Arial"/>
                <w:sz w:val="20"/>
                <w:szCs w:val="20"/>
              </w:rPr>
            </w:pPr>
            <w:r w:rsidRPr="00F563CD">
              <w:rPr>
                <w:rFonts w:asciiTheme="minorHAnsi" w:eastAsia="Arial" w:hAnsiTheme="minorHAnsi" w:cs="Arial"/>
                <w:sz w:val="20"/>
                <w:szCs w:val="20"/>
              </w:rPr>
              <w:lastRenderedPageBreak/>
              <w:t>Osnaženi kapaciteti operativne strukture i drugih tijela za sprovođenje mehanizama socijalnog preduzetništva</w:t>
            </w:r>
          </w:p>
          <w:p w14:paraId="7C531B41" w14:textId="77777777" w:rsidR="00047EF8" w:rsidRPr="00F563CD" w:rsidRDefault="00047EF8" w:rsidP="00A239C5">
            <w:pPr>
              <w:shd w:val="clear" w:color="auto" w:fill="FFFFFF"/>
              <w:autoSpaceDE w:val="0"/>
              <w:autoSpaceDN w:val="0"/>
              <w:adjustRightInd w:val="0"/>
              <w:spacing w:after="0" w:line="240" w:lineRule="auto"/>
              <w:rPr>
                <w:rFonts w:asciiTheme="minorHAnsi" w:eastAsia="Arial" w:hAnsiTheme="minorHAnsi" w:cs="Arial"/>
                <w:sz w:val="20"/>
                <w:szCs w:val="20"/>
              </w:rPr>
            </w:pPr>
          </w:p>
          <w:p w14:paraId="1B49785D" w14:textId="77777777" w:rsidR="00047EF8" w:rsidRPr="00F563CD" w:rsidRDefault="00047EF8" w:rsidP="00A239C5">
            <w:pPr>
              <w:shd w:val="clear" w:color="auto" w:fill="FFFFFF"/>
              <w:spacing w:before="60" w:after="0"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Podrška u pripremi i sprovođenju grant šeme za zapošljavanje ranjivih grupa kroz mehanizme socijalnog preduzetništva</w:t>
            </w:r>
          </w:p>
          <w:p w14:paraId="6C9B430D" w14:textId="77777777" w:rsidR="00047EF8" w:rsidRPr="00F563CD" w:rsidRDefault="00047EF8" w:rsidP="00A239C5">
            <w:pPr>
              <w:shd w:val="clear" w:color="auto" w:fill="FFFFFF"/>
              <w:spacing w:before="60" w:after="0" w:line="240" w:lineRule="auto"/>
              <w:jc w:val="both"/>
              <w:rPr>
                <w:rFonts w:asciiTheme="minorHAnsi" w:eastAsia="Arial" w:hAnsiTheme="minorHAnsi" w:cs="Arial"/>
                <w:sz w:val="20"/>
                <w:szCs w:val="20"/>
              </w:rPr>
            </w:pPr>
          </w:p>
          <w:p w14:paraId="1B683D90" w14:textId="77777777" w:rsidR="00047EF8" w:rsidRPr="00F563CD" w:rsidRDefault="00047EF8" w:rsidP="00A239C5">
            <w:pPr>
              <w:spacing w:after="120"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 xml:space="preserve">Grant šema – “Podrška uspostavljanju i jačanju inicijativa socijalnih preduzeća” </w:t>
            </w:r>
          </w:p>
          <w:p w14:paraId="090E9043" w14:textId="77777777" w:rsidR="00047EF8" w:rsidRPr="00F563CD" w:rsidRDefault="00047EF8" w:rsidP="00A239C5">
            <w:pPr>
              <w:spacing w:after="120"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Grant šema - 2.550.000,00 EUR</w:t>
            </w:r>
          </w:p>
          <w:p w14:paraId="0EC110BE" w14:textId="77777777" w:rsidR="00047EF8" w:rsidRPr="00F563CD" w:rsidRDefault="00047EF8" w:rsidP="00A239C5">
            <w:pPr>
              <w:shd w:val="clear" w:color="auto" w:fill="FFFFFF"/>
              <w:spacing w:before="60" w:after="0"/>
              <w:jc w:val="both"/>
              <w:rPr>
                <w:rFonts w:asciiTheme="minorHAnsi" w:eastAsia="Arial" w:hAnsiTheme="minorHAnsi" w:cs="Arial"/>
                <w:sz w:val="20"/>
                <w:szCs w:val="20"/>
              </w:rPr>
            </w:pPr>
            <w:r w:rsidRPr="00F563CD">
              <w:rPr>
                <w:rFonts w:asciiTheme="minorHAnsi" w:eastAsia="Arial" w:hAnsiTheme="minorHAnsi" w:cs="Arial"/>
                <w:sz w:val="20"/>
                <w:szCs w:val="20"/>
              </w:rPr>
              <w:t>Osnaženi kapaciteti socijalnih preduzeća i prilagodljivih pravnih subjekata (članovi, radnici i (su)vlasnici) za sprovođenje aktivnosti socijalnog preduzetništva kroz obuke (seminare / radionice / obuke na radnom mjestu) od strane zaposlenih  / nezaposlenih članova, u oblasti biznisa i razvoja socijalnog preduzetništva</w:t>
            </w:r>
          </w:p>
        </w:tc>
      </w:tr>
      <w:tr w:rsidR="00047EF8" w:rsidRPr="00F563CD" w14:paraId="71A577AD"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2344D4B6" w14:textId="77777777" w:rsidR="00047EF8" w:rsidRPr="00F563CD" w:rsidRDefault="00C1387F" w:rsidP="00A239C5">
            <w:pPr>
              <w:spacing w:after="0" w:line="240" w:lineRule="auto"/>
              <w:rPr>
                <w:rFonts w:asciiTheme="minorHAnsi" w:eastAsia="Arial" w:hAnsiTheme="minorHAnsi" w:cs="Arial"/>
                <w:sz w:val="20"/>
                <w:szCs w:val="20"/>
                <w:u w:val="single"/>
              </w:rPr>
            </w:pPr>
            <w:r w:rsidRPr="00F563CD">
              <w:rPr>
                <w:rFonts w:asciiTheme="minorHAnsi" w:hAnsiTheme="minorHAnsi" w:cs="Arial"/>
                <w:sz w:val="20"/>
                <w:szCs w:val="20"/>
              </w:rPr>
              <w:lastRenderedPageBreak/>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br.3 -</w:t>
            </w:r>
            <w:r w:rsidR="00047EF8" w:rsidRPr="00F563CD">
              <w:rPr>
                <w:rFonts w:asciiTheme="minorHAnsi" w:eastAsia="Arial" w:hAnsiTheme="minorHAnsi" w:cs="Arial"/>
                <w:sz w:val="20"/>
                <w:szCs w:val="20"/>
                <w:u w:val="single"/>
              </w:rPr>
              <w:t xml:space="preserve"> </w:t>
            </w:r>
            <w:r w:rsidR="00047EF8" w:rsidRPr="00F563CD">
              <w:rPr>
                <w:rStyle w:val="xnormaltextrun"/>
                <w:rFonts w:asciiTheme="minorHAnsi" w:hAnsiTheme="minorHAnsi" w:cs="Calibri"/>
                <w:b/>
                <w:bCs/>
                <w:sz w:val="20"/>
                <w:szCs w:val="20"/>
              </w:rPr>
              <w:t xml:space="preserve"> Implementacija novih šema rada za podršku unapređenju bezbjednosti i zdravlja na radnom mjestu u skladu sa zelenom i digitalnom agendom</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22A10098"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3.500.000,00</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15A07CB8" w14:textId="77777777" w:rsidR="00047EF8" w:rsidRPr="00F563CD" w:rsidRDefault="00047EF8" w:rsidP="00A239C5">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 xml:space="preserve">Nove šeme rada sprovedene i obezbijeđeni bezbjednost i zdravlje na radu. </w:t>
            </w:r>
          </w:p>
          <w:p w14:paraId="48DD6CD8" w14:textId="77777777" w:rsidR="00047EF8" w:rsidRPr="00F563CD" w:rsidRDefault="00047EF8" w:rsidP="00A239C5">
            <w:pPr>
              <w:shd w:val="clear" w:color="auto" w:fill="FFFFFF"/>
              <w:spacing w:before="60" w:after="0"/>
              <w:rPr>
                <w:rFonts w:asciiTheme="minorHAnsi" w:eastAsia="Arial" w:hAnsiTheme="minorHAnsi" w:cs="Arial"/>
                <w:sz w:val="20"/>
                <w:szCs w:val="20"/>
              </w:rPr>
            </w:pPr>
            <w:r w:rsidRPr="00F563CD">
              <w:rPr>
                <w:rFonts w:asciiTheme="minorHAnsi" w:eastAsia="Arial" w:hAnsiTheme="minorHAnsi" w:cs="Arial"/>
                <w:sz w:val="20"/>
                <w:szCs w:val="20"/>
              </w:rPr>
              <w:t>Direktni grant: 3.500.000 EUR</w:t>
            </w:r>
          </w:p>
        </w:tc>
      </w:tr>
      <w:tr w:rsidR="00047EF8" w:rsidRPr="00F563CD" w14:paraId="2F62CC3F"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73ED268C" w14:textId="77777777" w:rsidR="00047EF8" w:rsidRPr="00F563CD" w:rsidRDefault="009E4584" w:rsidP="00A239C5">
            <w:pPr>
              <w:spacing w:line="240" w:lineRule="auto"/>
              <w:rPr>
                <w:rFonts w:asciiTheme="minorHAnsi" w:eastAsia="Arial" w:hAnsiTheme="minorHAnsi" w:cs="Arial"/>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 xml:space="preserve">br. 4 – </w:t>
            </w:r>
            <w:r w:rsidR="00047EF8" w:rsidRPr="00F563CD">
              <w:rPr>
                <w:rFonts w:asciiTheme="minorHAnsi" w:eastAsia="Arial" w:hAnsiTheme="minorHAnsi" w:cs="Arial"/>
                <w:b/>
                <w:sz w:val="20"/>
                <w:szCs w:val="20"/>
              </w:rPr>
              <w:t>Podrška uspostavljanju i sprovođenju Garancije za djecu u Crnoj Gori</w:t>
            </w:r>
            <w:r w:rsidR="00047EF8" w:rsidRPr="00F563CD">
              <w:rPr>
                <w:rFonts w:asciiTheme="minorHAnsi" w:eastAsia="Arial" w:hAnsiTheme="minorHAnsi" w:cs="Arial"/>
                <w:sz w:val="20"/>
                <w:szCs w:val="20"/>
              </w:rPr>
              <w:t xml:space="preserve"> </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6BECCF0E"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 xml:space="preserve">4.000.000,00 </w:t>
            </w:r>
          </w:p>
          <w:p w14:paraId="76D03236"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 xml:space="preserve"> </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2C2331A3" w14:textId="77777777" w:rsidR="00047EF8" w:rsidRPr="00F563CD" w:rsidRDefault="00047EF8" w:rsidP="00A239C5">
            <w:pPr>
              <w:spacing w:line="240" w:lineRule="auto"/>
              <w:jc w:val="both"/>
              <w:rPr>
                <w:rFonts w:asciiTheme="minorHAnsi" w:hAnsiTheme="minorHAnsi" w:cs="Calibri"/>
                <w:sz w:val="20"/>
                <w:szCs w:val="20"/>
              </w:rPr>
            </w:pPr>
            <w:r w:rsidRPr="00F563CD">
              <w:rPr>
                <w:rFonts w:asciiTheme="minorHAnsi" w:hAnsiTheme="minorHAnsi" w:cs="Calibri"/>
                <w:sz w:val="20"/>
                <w:szCs w:val="20"/>
              </w:rPr>
              <w:t>Podrška relevantnim ustanovama u uspostavljanju, pilotiranju i sprovođenju Garancije za djecu u Crnoj Gori, na osnovu dobrih praksi Evropske unije.</w:t>
            </w:r>
          </w:p>
          <w:p w14:paraId="5D3402F8"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hAnsiTheme="minorHAnsi" w:cs="Calibri"/>
                <w:sz w:val="20"/>
                <w:szCs w:val="20"/>
              </w:rPr>
              <w:t xml:space="preserve">Direktna dodjela granta: 4.000.000,00 EUR </w:t>
            </w:r>
          </w:p>
        </w:tc>
      </w:tr>
      <w:tr w:rsidR="00047EF8" w:rsidRPr="00F563CD" w14:paraId="74D88752"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7C4252CB" w14:textId="77777777" w:rsidR="00047EF8" w:rsidRPr="00F563CD" w:rsidRDefault="009E4584" w:rsidP="00A239C5">
            <w:pPr>
              <w:spacing w:line="240" w:lineRule="auto"/>
              <w:rPr>
                <w:rFonts w:asciiTheme="minorHAnsi" w:eastAsia="Arial" w:hAnsiTheme="minorHAnsi" w:cs="Arial"/>
                <w:sz w:val="20"/>
                <w:szCs w:val="20"/>
                <w:lang w:val="fr-BE"/>
              </w:rPr>
            </w:pPr>
            <w:r w:rsidRPr="00F563CD">
              <w:rPr>
                <w:rFonts w:asciiTheme="minorHAnsi" w:hAnsiTheme="minorHAnsi" w:cs="Arial"/>
                <w:sz w:val="20"/>
                <w:szCs w:val="20"/>
                <w:lang w:val="fr-BE"/>
              </w:rPr>
              <w:t>Opis projekta</w:t>
            </w:r>
            <w:r w:rsidRPr="00F563CD">
              <w:rPr>
                <w:rFonts w:asciiTheme="minorHAnsi" w:eastAsia="Arial" w:hAnsiTheme="minorHAnsi" w:cs="Arial"/>
                <w:sz w:val="20"/>
                <w:szCs w:val="20"/>
                <w:lang w:val="fr-BE"/>
              </w:rPr>
              <w:t xml:space="preserve"> </w:t>
            </w:r>
            <w:r w:rsidR="00047EF8" w:rsidRPr="00F563CD">
              <w:rPr>
                <w:rFonts w:asciiTheme="minorHAnsi" w:eastAsia="Arial" w:hAnsiTheme="minorHAnsi" w:cs="Arial"/>
                <w:sz w:val="20"/>
                <w:szCs w:val="20"/>
                <w:lang w:val="fr-BE"/>
              </w:rPr>
              <w:t xml:space="preserve">br. 5 – </w:t>
            </w:r>
            <w:r w:rsidR="00047EF8" w:rsidRPr="00F563CD">
              <w:rPr>
                <w:rFonts w:asciiTheme="minorHAnsi" w:hAnsiTheme="minorHAnsi"/>
                <w:b/>
                <w:sz w:val="20"/>
                <w:szCs w:val="20"/>
                <w:lang w:val="fr-BE"/>
              </w:rPr>
              <w:t>Unapređenje pristupa zdravstvenim uslugama</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176F21A5"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10.000.000,00</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1D6A8000" w14:textId="77777777" w:rsidR="00047EF8" w:rsidRPr="00F563CD" w:rsidRDefault="00047EF8" w:rsidP="00A239C5">
            <w:pPr>
              <w:numPr>
                <w:ilvl w:val="0"/>
                <w:numId w:val="101"/>
              </w:numPr>
              <w:spacing w:after="0" w:line="360" w:lineRule="atLeast"/>
              <w:textAlignment w:val="baseline"/>
              <w:rPr>
                <w:rFonts w:asciiTheme="minorHAnsi" w:hAnsiTheme="minorHAnsi"/>
                <w:sz w:val="20"/>
                <w:szCs w:val="20"/>
              </w:rPr>
            </w:pPr>
            <w:r w:rsidRPr="00F563CD">
              <w:rPr>
                <w:rFonts w:asciiTheme="minorHAnsi" w:hAnsiTheme="minorHAnsi"/>
                <w:sz w:val="20"/>
                <w:szCs w:val="20"/>
              </w:rPr>
              <w:t>Osiguranje zdravstvenih objekata u ruralnim područjima</w:t>
            </w:r>
          </w:p>
          <w:p w14:paraId="19BD374D" w14:textId="77777777" w:rsidR="00047EF8" w:rsidRPr="00F563CD" w:rsidRDefault="00047EF8" w:rsidP="00A239C5">
            <w:pPr>
              <w:numPr>
                <w:ilvl w:val="0"/>
                <w:numId w:val="101"/>
              </w:numPr>
              <w:spacing w:after="0" w:line="360" w:lineRule="atLeast"/>
              <w:textAlignment w:val="baseline"/>
              <w:rPr>
                <w:rFonts w:asciiTheme="minorHAnsi" w:hAnsiTheme="minorHAnsi"/>
                <w:sz w:val="20"/>
                <w:szCs w:val="20"/>
              </w:rPr>
            </w:pPr>
            <w:r w:rsidRPr="00F563CD">
              <w:rPr>
                <w:rFonts w:asciiTheme="minorHAnsi" w:hAnsiTheme="minorHAnsi"/>
                <w:sz w:val="20"/>
                <w:szCs w:val="20"/>
              </w:rPr>
              <w:t>Unapređenje pružanja zdravstvene njege u ruralnim područjima</w:t>
            </w:r>
          </w:p>
          <w:p w14:paraId="0AFF3A66" w14:textId="77777777" w:rsidR="00047EF8" w:rsidRPr="00F563CD" w:rsidRDefault="00047EF8" w:rsidP="00A239C5">
            <w:pPr>
              <w:spacing w:after="0" w:line="360" w:lineRule="atLeast"/>
              <w:textAlignment w:val="baseline"/>
              <w:rPr>
                <w:rFonts w:asciiTheme="minorHAnsi" w:hAnsiTheme="minorHAnsi"/>
                <w:sz w:val="20"/>
                <w:szCs w:val="20"/>
              </w:rPr>
            </w:pPr>
          </w:p>
          <w:p w14:paraId="7C702215" w14:textId="77777777" w:rsidR="00047EF8" w:rsidRPr="00F563CD" w:rsidRDefault="00047EF8" w:rsidP="00A239C5">
            <w:pPr>
              <w:spacing w:line="240" w:lineRule="auto"/>
              <w:jc w:val="both"/>
              <w:rPr>
                <w:rFonts w:asciiTheme="minorHAnsi" w:hAnsiTheme="minorHAnsi" w:cs="Calibri"/>
                <w:sz w:val="20"/>
                <w:szCs w:val="20"/>
              </w:rPr>
            </w:pPr>
            <w:r w:rsidRPr="00F563CD">
              <w:rPr>
                <w:rFonts w:asciiTheme="minorHAnsi" w:hAnsiTheme="minorHAnsi" w:cs="Calibri"/>
                <w:sz w:val="20"/>
                <w:szCs w:val="20"/>
              </w:rPr>
              <w:t xml:space="preserve">Ugovor o radu: </w:t>
            </w:r>
            <w:r w:rsidRPr="00F563CD">
              <w:rPr>
                <w:rFonts w:asciiTheme="minorHAnsi" w:eastAsia="Arial" w:hAnsiTheme="minorHAnsi" w:cs="Arial"/>
                <w:sz w:val="20"/>
                <w:szCs w:val="20"/>
              </w:rPr>
              <w:t>10.000.000,00 EUR</w:t>
            </w:r>
          </w:p>
        </w:tc>
      </w:tr>
      <w:tr w:rsidR="00047EF8" w:rsidRPr="00F563CD" w14:paraId="060A3997"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31CC5332" w14:textId="77777777" w:rsidR="00047EF8" w:rsidRPr="00F563CD" w:rsidRDefault="009E4584" w:rsidP="00A239C5">
            <w:pPr>
              <w:spacing w:line="240" w:lineRule="auto"/>
              <w:rPr>
                <w:rFonts w:asciiTheme="minorHAnsi" w:eastAsia="Arial" w:hAnsiTheme="minorHAnsi" w:cs="Arial"/>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 xml:space="preserve">br. 6 – </w:t>
            </w:r>
            <w:r w:rsidR="00047EF8" w:rsidRPr="00F563CD">
              <w:rPr>
                <w:rFonts w:asciiTheme="minorHAnsi" w:hAnsiTheme="minorHAnsi"/>
                <w:b/>
                <w:sz w:val="20"/>
                <w:szCs w:val="20"/>
              </w:rPr>
              <w:t>Unapređenje uslova koji se odnose na zdravlje i bezbjednost na radu</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06A06921"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 xml:space="preserve">5.000.000,00 </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52EDC0CC" w14:textId="77777777" w:rsidR="00047EF8" w:rsidRPr="00F563CD" w:rsidRDefault="00047EF8" w:rsidP="00A239C5">
            <w:pPr>
              <w:spacing w:line="240" w:lineRule="auto"/>
              <w:jc w:val="both"/>
              <w:rPr>
                <w:rFonts w:asciiTheme="minorHAnsi" w:hAnsiTheme="minorHAnsi" w:cs="Calibri"/>
                <w:sz w:val="20"/>
                <w:szCs w:val="20"/>
              </w:rPr>
            </w:pPr>
            <w:r w:rsidRPr="00F563CD">
              <w:rPr>
                <w:rFonts w:asciiTheme="minorHAnsi" w:hAnsiTheme="minorHAnsi" w:cs="Calibri"/>
                <w:sz w:val="20"/>
                <w:szCs w:val="20"/>
              </w:rPr>
              <w:t>Ugovor o nabavci i uslugama</w:t>
            </w:r>
          </w:p>
        </w:tc>
      </w:tr>
      <w:tr w:rsidR="00047EF8" w:rsidRPr="00F563CD" w14:paraId="1C8A123F"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51500369" w14:textId="77777777" w:rsidR="00047EF8" w:rsidRPr="00F563CD" w:rsidRDefault="00047EF8" w:rsidP="00A239C5">
            <w:pPr>
              <w:spacing w:line="240" w:lineRule="auto"/>
              <w:rPr>
                <w:rFonts w:asciiTheme="minorHAnsi" w:eastAsia="Arial" w:hAnsiTheme="minorHAnsi" w:cs="Arial"/>
                <w:sz w:val="20"/>
                <w:szCs w:val="20"/>
              </w:rPr>
            </w:pPr>
            <w:r w:rsidRPr="00F563CD">
              <w:rPr>
                <w:rFonts w:asciiTheme="minorHAnsi" w:eastAsia="Arial" w:hAnsiTheme="minorHAnsi" w:cs="Arial"/>
                <w:bCs/>
                <w:sz w:val="20"/>
                <w:szCs w:val="20"/>
              </w:rPr>
              <w:t>Tematski prioritet 1 ukupno (2023/2024)</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059FBDC5"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71.360.000,00</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5C3FF440" w14:textId="77777777" w:rsidR="00047EF8" w:rsidRPr="00F563CD" w:rsidRDefault="00047EF8" w:rsidP="00A239C5">
            <w:pPr>
              <w:spacing w:line="240" w:lineRule="auto"/>
              <w:jc w:val="right"/>
              <w:rPr>
                <w:rFonts w:asciiTheme="minorHAnsi" w:eastAsia="Arial" w:hAnsiTheme="minorHAnsi" w:cs="Arial"/>
                <w:sz w:val="20"/>
                <w:szCs w:val="20"/>
              </w:rPr>
            </w:pPr>
          </w:p>
        </w:tc>
      </w:tr>
      <w:tr w:rsidR="00047EF8" w:rsidRPr="00F563CD" w14:paraId="00865F17" w14:textId="77777777" w:rsidTr="00A239C5">
        <w:trPr>
          <w:gridAfter w:val="1"/>
          <w:wAfter w:w="9" w:type="dxa"/>
          <w:trHeight w:val="428"/>
        </w:trPr>
        <w:tc>
          <w:tcPr>
            <w:tcW w:w="9771"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77EAA9F0" w14:textId="77777777" w:rsidR="00047EF8" w:rsidRPr="00F563CD" w:rsidRDefault="00047EF8" w:rsidP="00547174">
            <w:pPr>
              <w:spacing w:line="240" w:lineRule="auto"/>
              <w:rPr>
                <w:rFonts w:asciiTheme="minorHAnsi" w:eastAsia="Arial" w:hAnsiTheme="minorHAnsi" w:cs="Arial"/>
                <w:b/>
                <w:sz w:val="20"/>
                <w:szCs w:val="20"/>
              </w:rPr>
            </w:pPr>
            <w:r w:rsidRPr="00F563CD">
              <w:rPr>
                <w:rFonts w:asciiTheme="minorHAnsi" w:eastAsia="Arial" w:hAnsiTheme="minorHAnsi" w:cs="Arial"/>
                <w:b/>
                <w:bCs/>
                <w:sz w:val="20"/>
                <w:szCs w:val="20"/>
              </w:rPr>
              <w:t xml:space="preserve">Tematski prioritet </w:t>
            </w:r>
            <w:r w:rsidRPr="00F563CD">
              <w:rPr>
                <w:rFonts w:asciiTheme="minorHAnsi" w:eastAsia="Arial" w:hAnsiTheme="minorHAnsi" w:cs="Arial"/>
                <w:b/>
                <w:sz w:val="20"/>
                <w:szCs w:val="20"/>
              </w:rPr>
              <w:t>2- Razvoj privatnog sektora, trgovina, istraživanje i inovacije</w:t>
            </w:r>
          </w:p>
        </w:tc>
      </w:tr>
      <w:tr w:rsidR="00047EF8" w:rsidRPr="00F563CD" w14:paraId="560EAF53" w14:textId="77777777" w:rsidTr="00A239C5">
        <w:trPr>
          <w:gridAfter w:val="1"/>
          <w:wAfter w:w="9" w:type="dxa"/>
          <w:trHeight w:val="419"/>
        </w:trPr>
        <w:tc>
          <w:tcPr>
            <w:tcW w:w="9771"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3DFAB56B"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b/>
                <w:bCs/>
                <w:sz w:val="20"/>
                <w:szCs w:val="20"/>
              </w:rPr>
              <w:t>2023/2024</w:t>
            </w:r>
          </w:p>
        </w:tc>
      </w:tr>
      <w:tr w:rsidR="00047EF8" w:rsidRPr="00F563CD" w14:paraId="0A30168A" w14:textId="77777777" w:rsidTr="00A239C5">
        <w:trPr>
          <w:gridAfter w:val="1"/>
          <w:wAfter w:w="9" w:type="dxa"/>
          <w:trHeight w:val="8894"/>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0C68E636" w14:textId="77777777" w:rsidR="00047EF8" w:rsidRPr="00F563CD" w:rsidRDefault="005C4345" w:rsidP="00A239C5">
            <w:pPr>
              <w:pStyle w:val="xmsonormal"/>
              <w:shd w:val="clear" w:color="auto" w:fill="FFFFFF"/>
              <w:spacing w:after="0"/>
              <w:jc w:val="both"/>
              <w:rPr>
                <w:rFonts w:asciiTheme="minorHAnsi" w:hAnsiTheme="minorHAnsi" w:cs="Calibri"/>
                <w:sz w:val="20"/>
                <w:szCs w:val="20"/>
              </w:rPr>
            </w:pPr>
            <w:r w:rsidRPr="00F563CD">
              <w:rPr>
                <w:rFonts w:asciiTheme="minorHAnsi" w:hAnsiTheme="minorHAnsi" w:cs="Arial"/>
                <w:sz w:val="20"/>
                <w:szCs w:val="20"/>
              </w:rPr>
              <w:lastRenderedPageBreak/>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sz w:val="20"/>
                <w:szCs w:val="20"/>
              </w:rPr>
              <w:t xml:space="preserve">. 1 – Okvir sprovođenja Strategije pametne specijalizacije i Fond za inovacije </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2F545E0A" w14:textId="77777777" w:rsidR="00047EF8" w:rsidRPr="00F563CD" w:rsidRDefault="00047EF8" w:rsidP="00547174">
            <w:pPr>
              <w:spacing w:line="240" w:lineRule="auto"/>
              <w:rPr>
                <w:rFonts w:asciiTheme="minorHAnsi" w:eastAsia="Calibri" w:hAnsiTheme="minorHAnsi" w:cs="Calibri"/>
                <w:b/>
                <w:sz w:val="20"/>
                <w:szCs w:val="20"/>
              </w:rPr>
            </w:pPr>
            <w:r w:rsidRPr="00F563CD">
              <w:rPr>
                <w:rFonts w:asciiTheme="minorHAnsi" w:eastAsia="Arial" w:hAnsiTheme="minorHAnsi" w:cs="Arial"/>
                <w:sz w:val="20"/>
                <w:szCs w:val="20"/>
              </w:rPr>
              <w:t>3.000.000</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52A876DB"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 xml:space="preserve">Tehnička pomoć za </w:t>
            </w:r>
            <w:r w:rsidRPr="00F563CD">
              <w:rPr>
                <w:rFonts w:asciiTheme="minorHAnsi" w:hAnsiTheme="minorHAnsi" w:cs="Calibri"/>
                <w:sz w:val="20"/>
                <w:szCs w:val="20"/>
              </w:rPr>
              <w:t>okvir sprovođenja Strategije pametne specijalizacije i izgradnja kapaciteta Fonda za inovacije</w:t>
            </w:r>
          </w:p>
          <w:p w14:paraId="23E48581"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Ugovor o uslugama: 1,500,000.00 EUR</w:t>
            </w:r>
          </w:p>
          <w:p w14:paraId="10E26674"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Fond za inovacije Crne Gore biće uspostavljen 2021. godine, a postaće operativan uz nacionalno finansiranje od 2022. godine.</w:t>
            </w:r>
          </w:p>
          <w:p w14:paraId="588139A5"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 xml:space="preserve">Ostali elementi Okvira Strategije pametne specijalizacije biće unaprijeđeni u periodu 2021-2022, na osnovu ishoda projekta Centra za zajednička istraživanja. </w:t>
            </w:r>
          </w:p>
          <w:p w14:paraId="708D500C"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Priprema novih grant šema; priprema Fonda za EU IPA akreditaciju ili akreditaciju za strukturne fondove; podrška dobitnicima granta - klaster, najvažniji s3; podrška operativnoj strukturi pametne specijalizacije - Savjet, Sekretarijat, EDP grupe, ali i uloga inovacionih infrastruktura u sprovođenju Strategije pametne specijalizacije; evaluacija Strategije pametne specijalizacije; priprema nove Strategije pametne specijalizacije Crne Gore, izgradnja kapaciteta za “Horizon Europe”</w:t>
            </w:r>
          </w:p>
          <w:p w14:paraId="7844C5C8"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Podrška za razvoj okvira Strategije pametne specijalizacije (S4)</w:t>
            </w:r>
          </w:p>
          <w:p w14:paraId="01647961"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Ugovor o uslugama: 1,500,000.00 EUR</w:t>
            </w:r>
          </w:p>
          <w:p w14:paraId="06912B20"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Novi projekat tehničke pomoći za izgradnju kapaciteta Fonda za inovacije za sprovođenje strukturnih fondova; unapređenje dizajna programa podrške Fonda; dalja podrška operativnoj strukturi; priprema novog Operativnog programa za S4</w:t>
            </w:r>
          </w:p>
        </w:tc>
      </w:tr>
      <w:tr w:rsidR="00047EF8" w:rsidRPr="008C3F18" w14:paraId="70717B7B"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71DD55AC" w14:textId="77777777" w:rsidR="00047EF8" w:rsidRPr="00F563CD" w:rsidRDefault="007A3208" w:rsidP="00A239C5">
            <w:pPr>
              <w:spacing w:line="240" w:lineRule="auto"/>
              <w:rPr>
                <w:rFonts w:asciiTheme="minorHAnsi" w:eastAsia="Arial" w:hAnsiTheme="minorHAnsi" w:cs="Arial"/>
                <w:bCs/>
                <w:sz w:val="20"/>
                <w:szCs w:val="20"/>
                <w:lang w:val="fr-BE"/>
              </w:rPr>
            </w:pPr>
            <w:r w:rsidRPr="00F563CD">
              <w:rPr>
                <w:rFonts w:asciiTheme="minorHAnsi" w:hAnsiTheme="minorHAnsi" w:cs="Arial"/>
                <w:sz w:val="20"/>
                <w:szCs w:val="20"/>
                <w:lang w:val="fr-BE"/>
              </w:rPr>
              <w:t>Opis projekta</w:t>
            </w:r>
            <w:r w:rsidRPr="00F563CD">
              <w:rPr>
                <w:rFonts w:asciiTheme="minorHAnsi" w:eastAsia="Arial" w:hAnsiTheme="minorHAnsi" w:cs="Arial"/>
                <w:sz w:val="20"/>
                <w:szCs w:val="20"/>
                <w:lang w:val="fr-BE"/>
              </w:rPr>
              <w:t xml:space="preserve"> </w:t>
            </w:r>
            <w:r w:rsidR="00047EF8" w:rsidRPr="00F563CD">
              <w:rPr>
                <w:rFonts w:asciiTheme="minorHAnsi" w:eastAsia="Arial" w:hAnsiTheme="minorHAnsi" w:cs="Arial"/>
                <w:sz w:val="20"/>
                <w:szCs w:val="20"/>
                <w:lang w:val="fr-BE"/>
              </w:rPr>
              <w:t>br</w:t>
            </w:r>
            <w:r w:rsidR="00047EF8" w:rsidRPr="00F563CD">
              <w:rPr>
                <w:rFonts w:asciiTheme="minorHAnsi" w:hAnsiTheme="minorHAnsi" w:cs="Calibri"/>
                <w:sz w:val="20"/>
                <w:szCs w:val="20"/>
                <w:lang w:val="fr-BE"/>
              </w:rPr>
              <w:t>. 2 – Inovacioni projekti većeg obima</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532CA87E" w14:textId="77777777" w:rsidR="00047EF8" w:rsidRPr="00F563CD" w:rsidRDefault="00047EF8" w:rsidP="00547174">
            <w:pPr>
              <w:spacing w:line="240" w:lineRule="auto"/>
              <w:rPr>
                <w:rFonts w:asciiTheme="minorHAnsi" w:eastAsia="Calibri" w:hAnsiTheme="minorHAnsi" w:cs="Calibri"/>
                <w:b/>
                <w:sz w:val="20"/>
                <w:szCs w:val="20"/>
              </w:rPr>
            </w:pPr>
            <w:r w:rsidRPr="00F563CD">
              <w:rPr>
                <w:rFonts w:asciiTheme="minorHAnsi" w:eastAsia="Arial" w:hAnsiTheme="minorHAnsi" w:cs="Arial"/>
                <w:sz w:val="20"/>
                <w:szCs w:val="20"/>
              </w:rPr>
              <w:t>10.000.000</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7348C34F" w14:textId="77777777" w:rsidR="00047EF8" w:rsidRPr="00F563CD" w:rsidRDefault="00047EF8" w:rsidP="00A239C5">
            <w:pPr>
              <w:tabs>
                <w:tab w:val="left" w:pos="255"/>
              </w:tabs>
              <w:spacing w:line="240" w:lineRule="auto"/>
              <w:jc w:val="both"/>
              <w:rPr>
                <w:rFonts w:asciiTheme="minorHAnsi" w:eastAsia="Arial" w:hAnsiTheme="minorHAnsi" w:cs="Arial"/>
                <w:b/>
                <w:bCs/>
                <w:sz w:val="20"/>
                <w:szCs w:val="20"/>
              </w:rPr>
            </w:pPr>
            <w:bookmarkStart w:id="64" w:name="_Hlk67052629"/>
            <w:r w:rsidRPr="00F563CD">
              <w:rPr>
                <w:rFonts w:asciiTheme="minorHAnsi" w:eastAsia="Arial" w:hAnsiTheme="minorHAnsi" w:cs="Arial"/>
                <w:b/>
                <w:bCs/>
                <w:sz w:val="20"/>
                <w:szCs w:val="20"/>
              </w:rPr>
              <w:t>Fond za inovacije - grant šema za nove klastere za IKT i Održivu poljoprivredu i lanac vrijednosti u prehrani</w:t>
            </w:r>
            <w:bookmarkEnd w:id="64"/>
            <w:r w:rsidRPr="00F563CD">
              <w:rPr>
                <w:rFonts w:asciiTheme="minorHAnsi" w:eastAsia="Arial" w:hAnsiTheme="minorHAnsi" w:cs="Arial"/>
                <w:b/>
                <w:bCs/>
                <w:sz w:val="20"/>
                <w:szCs w:val="20"/>
              </w:rPr>
              <w:t xml:space="preserve"> /grant šema: 3,000,000.00 EUR</w:t>
            </w:r>
          </w:p>
          <w:p w14:paraId="4979B039" w14:textId="77777777" w:rsidR="00047EF8" w:rsidRPr="00F563CD" w:rsidRDefault="00047EF8" w:rsidP="00A239C5">
            <w:pPr>
              <w:tabs>
                <w:tab w:val="left" w:pos="255"/>
              </w:tabs>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Prvi poziv za IKT S3 klaster će biti objavljen kroz nacionalne fondove u 2020-2021.</w:t>
            </w:r>
          </w:p>
          <w:p w14:paraId="5C6A64BB" w14:textId="77777777" w:rsidR="00047EF8" w:rsidRPr="00F563CD" w:rsidRDefault="00047EF8" w:rsidP="00A239C5">
            <w:pPr>
              <w:tabs>
                <w:tab w:val="left" w:pos="255"/>
              </w:tabs>
              <w:spacing w:line="240" w:lineRule="auto"/>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Iskustvo sa prvog poziva će se iskoristiti za osmišljavanje novog. GfA će se osmisliti kroz tehničku pomoć za izgradnju kapaciteta projekta Fonda za inovacije.</w:t>
            </w:r>
          </w:p>
          <w:p w14:paraId="78A73498" w14:textId="77777777" w:rsidR="00047EF8" w:rsidRPr="00F563CD" w:rsidRDefault="00047EF8" w:rsidP="00A239C5">
            <w:pPr>
              <w:tabs>
                <w:tab w:val="left" w:pos="255"/>
              </w:tabs>
              <w:spacing w:line="240" w:lineRule="auto"/>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Grant šeme u potpunosti sprovedena i ugovorena od strane Fonda za inovacije ili kombinovano CFCU / Fond.</w:t>
            </w:r>
          </w:p>
          <w:p w14:paraId="4199A32E" w14:textId="77777777" w:rsidR="00047EF8" w:rsidRPr="00F563CD" w:rsidRDefault="00047EF8" w:rsidP="00A239C5">
            <w:pPr>
              <w:tabs>
                <w:tab w:val="left" w:pos="255"/>
              </w:tabs>
              <w:spacing w:line="240" w:lineRule="auto"/>
              <w:jc w:val="both"/>
              <w:rPr>
                <w:rFonts w:asciiTheme="minorHAnsi" w:eastAsia="Arial" w:hAnsiTheme="minorHAnsi" w:cs="Arial"/>
                <w:b/>
                <w:bCs/>
                <w:sz w:val="20"/>
                <w:szCs w:val="20"/>
                <w:lang w:val="fr-BE"/>
              </w:rPr>
            </w:pPr>
            <w:r w:rsidRPr="00F563CD">
              <w:rPr>
                <w:rFonts w:asciiTheme="minorHAnsi" w:eastAsia="Arial" w:hAnsiTheme="minorHAnsi" w:cs="Arial"/>
                <w:b/>
                <w:bCs/>
                <w:sz w:val="20"/>
                <w:szCs w:val="20"/>
                <w:lang w:val="fr-BE"/>
              </w:rPr>
              <w:lastRenderedPageBreak/>
              <w:t>Fond za inovacije – Grant šema za najvažnije S4 projekte/</w:t>
            </w:r>
            <w:r w:rsidRPr="00F563CD">
              <w:rPr>
                <w:rFonts w:asciiTheme="minorHAnsi" w:eastAsia="Arial" w:hAnsiTheme="minorHAnsi" w:cs="Arial"/>
                <w:sz w:val="20"/>
                <w:szCs w:val="20"/>
                <w:lang w:val="fr-BE"/>
              </w:rPr>
              <w:t xml:space="preserve"> </w:t>
            </w:r>
            <w:r w:rsidRPr="00F563CD">
              <w:rPr>
                <w:rFonts w:asciiTheme="minorHAnsi" w:eastAsia="Arial" w:hAnsiTheme="minorHAnsi" w:cs="Arial"/>
                <w:b/>
                <w:bCs/>
                <w:sz w:val="20"/>
                <w:szCs w:val="20"/>
                <w:lang w:val="fr-BE"/>
              </w:rPr>
              <w:t xml:space="preserve">Grant </w:t>
            </w:r>
            <w:proofErr w:type="gramStart"/>
            <w:r w:rsidRPr="00F563CD">
              <w:rPr>
                <w:rFonts w:asciiTheme="minorHAnsi" w:eastAsia="Arial" w:hAnsiTheme="minorHAnsi" w:cs="Arial"/>
                <w:b/>
                <w:bCs/>
                <w:sz w:val="20"/>
                <w:szCs w:val="20"/>
                <w:lang w:val="fr-BE"/>
              </w:rPr>
              <w:t>šema:</w:t>
            </w:r>
            <w:proofErr w:type="gramEnd"/>
            <w:r w:rsidRPr="00F563CD">
              <w:rPr>
                <w:rFonts w:asciiTheme="minorHAnsi" w:eastAsia="Arial" w:hAnsiTheme="minorHAnsi" w:cs="Arial"/>
                <w:b/>
                <w:bCs/>
                <w:sz w:val="20"/>
                <w:szCs w:val="20"/>
                <w:lang w:val="fr-BE"/>
              </w:rPr>
              <w:t xml:space="preserve"> 4,000,000.00 EUR</w:t>
            </w:r>
          </w:p>
          <w:p w14:paraId="3E15EE35" w14:textId="77777777" w:rsidR="00047EF8" w:rsidRPr="00F563CD" w:rsidRDefault="00047EF8" w:rsidP="00A239C5">
            <w:pPr>
              <w:tabs>
                <w:tab w:val="left" w:pos="255"/>
              </w:tabs>
              <w:spacing w:line="240" w:lineRule="auto"/>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Na osnovu evaluacije prethodne grant šeme i u skladu sa novom strategijom S4, sprovesti novi ciklus grant šeme kroz Fond za inovacije</w:t>
            </w:r>
          </w:p>
          <w:p w14:paraId="6A604091" w14:textId="77777777" w:rsidR="00047EF8" w:rsidRPr="00F563CD" w:rsidRDefault="00047EF8" w:rsidP="00A239C5">
            <w:pPr>
              <w:tabs>
                <w:tab w:val="left" w:pos="255"/>
              </w:tabs>
              <w:spacing w:line="240" w:lineRule="auto"/>
              <w:jc w:val="both"/>
              <w:rPr>
                <w:rFonts w:asciiTheme="minorHAnsi" w:eastAsia="Arial" w:hAnsiTheme="minorHAnsi" w:cs="Arial"/>
                <w:b/>
                <w:bCs/>
                <w:sz w:val="20"/>
                <w:szCs w:val="20"/>
                <w:lang w:val="fr-BE"/>
              </w:rPr>
            </w:pPr>
            <w:bookmarkStart w:id="65" w:name="_Hlk67052832"/>
            <w:r w:rsidRPr="00F563CD">
              <w:rPr>
                <w:rFonts w:asciiTheme="minorHAnsi" w:eastAsia="Arial" w:hAnsiTheme="minorHAnsi" w:cs="Arial"/>
                <w:b/>
                <w:bCs/>
                <w:sz w:val="20"/>
                <w:szCs w:val="20"/>
                <w:lang w:val="fr-BE"/>
              </w:rPr>
              <w:t>Fond za inovacije - Grant šema za S4 klastere u prioritetnim područjima/</w:t>
            </w:r>
            <w:r w:rsidRPr="00F563CD">
              <w:rPr>
                <w:rFonts w:asciiTheme="minorHAnsi" w:eastAsia="Arial" w:hAnsiTheme="minorHAnsi" w:cs="Arial"/>
                <w:sz w:val="20"/>
                <w:szCs w:val="20"/>
                <w:lang w:val="fr-BE"/>
              </w:rPr>
              <w:t xml:space="preserve"> </w:t>
            </w:r>
            <w:r w:rsidRPr="00F563CD">
              <w:rPr>
                <w:rFonts w:asciiTheme="minorHAnsi" w:eastAsia="Arial" w:hAnsiTheme="minorHAnsi" w:cs="Arial"/>
                <w:b/>
                <w:bCs/>
                <w:sz w:val="20"/>
                <w:szCs w:val="20"/>
                <w:lang w:val="fr-BE"/>
              </w:rPr>
              <w:t xml:space="preserve">Grant </w:t>
            </w:r>
            <w:proofErr w:type="gramStart"/>
            <w:r w:rsidRPr="00F563CD">
              <w:rPr>
                <w:rFonts w:asciiTheme="minorHAnsi" w:eastAsia="Arial" w:hAnsiTheme="minorHAnsi" w:cs="Arial"/>
                <w:b/>
                <w:bCs/>
                <w:sz w:val="20"/>
                <w:szCs w:val="20"/>
                <w:lang w:val="fr-BE"/>
              </w:rPr>
              <w:t>šema:</w:t>
            </w:r>
            <w:proofErr w:type="gramEnd"/>
            <w:r w:rsidRPr="00F563CD">
              <w:rPr>
                <w:rFonts w:asciiTheme="minorHAnsi" w:eastAsia="Arial" w:hAnsiTheme="minorHAnsi" w:cs="Arial"/>
                <w:b/>
                <w:bCs/>
                <w:sz w:val="20"/>
                <w:szCs w:val="20"/>
                <w:lang w:val="fr-BE"/>
              </w:rPr>
              <w:t xml:space="preserve"> 3.000.000,00 EUR</w:t>
            </w:r>
          </w:p>
          <w:bookmarkEnd w:id="65"/>
          <w:p w14:paraId="0999E84D" w14:textId="77777777" w:rsidR="00047EF8" w:rsidRPr="00F563CD" w:rsidRDefault="00047EF8" w:rsidP="00A239C5">
            <w:pPr>
              <w:tabs>
                <w:tab w:val="left" w:pos="255"/>
              </w:tabs>
              <w:spacing w:line="240" w:lineRule="auto"/>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Na osnovu završenog i evaluiranog ciklusa S3 klastera, i u skladu sa novom strategijom S4, sprovesti novu grant šemu za klaster</w:t>
            </w:r>
          </w:p>
        </w:tc>
      </w:tr>
      <w:tr w:rsidR="00047EF8" w:rsidRPr="008C3F18" w14:paraId="13D83786"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4C9B0FA6" w14:textId="77777777" w:rsidR="00047EF8" w:rsidRPr="00F563CD" w:rsidRDefault="007A3208" w:rsidP="00A239C5">
            <w:pPr>
              <w:spacing w:line="240" w:lineRule="auto"/>
              <w:rPr>
                <w:rFonts w:asciiTheme="minorHAnsi" w:eastAsia="Arial" w:hAnsiTheme="minorHAnsi" w:cs="Arial"/>
                <w:bCs/>
                <w:sz w:val="20"/>
                <w:szCs w:val="20"/>
              </w:rPr>
            </w:pPr>
            <w:r w:rsidRPr="00F563CD">
              <w:rPr>
                <w:rFonts w:asciiTheme="minorHAnsi" w:hAnsiTheme="minorHAnsi" w:cs="Arial"/>
                <w:sz w:val="20"/>
                <w:szCs w:val="20"/>
              </w:rPr>
              <w:lastRenderedPageBreak/>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sz w:val="20"/>
                <w:szCs w:val="20"/>
              </w:rPr>
              <w:t>. 3 – Naučno-tehnološki park</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73B437C8" w14:textId="77777777" w:rsidR="00047EF8" w:rsidRPr="00F563CD" w:rsidRDefault="00047EF8" w:rsidP="00547174">
            <w:pPr>
              <w:spacing w:line="240" w:lineRule="auto"/>
              <w:rPr>
                <w:rFonts w:asciiTheme="minorHAnsi" w:eastAsia="Calibri" w:hAnsiTheme="minorHAnsi" w:cs="Calibri"/>
                <w:b/>
                <w:sz w:val="20"/>
                <w:szCs w:val="20"/>
              </w:rPr>
            </w:pPr>
            <w:r w:rsidRPr="00F563CD">
              <w:rPr>
                <w:rFonts w:asciiTheme="minorHAnsi" w:eastAsia="Arial" w:hAnsiTheme="minorHAnsi" w:cs="Arial"/>
                <w:sz w:val="20"/>
                <w:szCs w:val="20"/>
              </w:rPr>
              <w:t>4.000.000</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63CCE3BF" w14:textId="77777777" w:rsidR="00047EF8" w:rsidRPr="00F563CD" w:rsidRDefault="00047EF8" w:rsidP="00A239C5">
            <w:pPr>
              <w:spacing w:line="240" w:lineRule="auto"/>
              <w:jc w:val="both"/>
              <w:rPr>
                <w:rFonts w:asciiTheme="minorHAnsi" w:eastAsia="Arial" w:hAnsiTheme="minorHAnsi" w:cs="Arial"/>
                <w:b/>
                <w:bCs/>
                <w:sz w:val="20"/>
                <w:szCs w:val="20"/>
              </w:rPr>
            </w:pPr>
            <w:bookmarkStart w:id="66" w:name="_Hlk67052590"/>
            <w:bookmarkStart w:id="67" w:name="_Hlk67052673"/>
            <w:r w:rsidRPr="00F563CD">
              <w:rPr>
                <w:rFonts w:asciiTheme="minorHAnsi" w:eastAsia="Arial" w:hAnsiTheme="minorHAnsi" w:cs="Arial"/>
                <w:b/>
                <w:bCs/>
                <w:sz w:val="20"/>
                <w:szCs w:val="20"/>
              </w:rPr>
              <w:t>Razvoj infrastrukture za inovacije u skladu sa operativnim programom S3</w:t>
            </w:r>
            <w:bookmarkEnd w:id="66"/>
            <w:r w:rsidRPr="00F563CD">
              <w:rPr>
                <w:rFonts w:asciiTheme="minorHAnsi" w:eastAsia="Arial" w:hAnsiTheme="minorHAnsi" w:cs="Arial"/>
                <w:b/>
                <w:bCs/>
                <w:sz w:val="20"/>
                <w:szCs w:val="20"/>
              </w:rPr>
              <w:t xml:space="preserve"> /Ugovor o uslugama: 1.000.000,00 EUR</w:t>
            </w:r>
          </w:p>
          <w:p w14:paraId="464A0C66" w14:textId="77777777" w:rsidR="00047EF8" w:rsidRPr="00F563CD" w:rsidRDefault="00047EF8" w:rsidP="00A239C5">
            <w:pPr>
              <w:spacing w:line="240" w:lineRule="auto"/>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 xml:space="preserve">Dalje unapređenje infrastrukture za inovacije. Rad na studiji izvodljivosti TT kancelarije biće započet 2021. </w:t>
            </w:r>
            <w:proofErr w:type="gramStart"/>
            <w:r w:rsidRPr="00F563CD">
              <w:rPr>
                <w:rFonts w:asciiTheme="minorHAnsi" w:eastAsia="Arial" w:hAnsiTheme="minorHAnsi" w:cs="Arial"/>
                <w:sz w:val="20"/>
                <w:szCs w:val="20"/>
                <w:lang w:val="fr-BE"/>
              </w:rPr>
              <w:t>godine</w:t>
            </w:r>
            <w:proofErr w:type="gramEnd"/>
            <w:r w:rsidRPr="00F563CD">
              <w:rPr>
                <w:rFonts w:asciiTheme="minorHAnsi" w:eastAsia="Arial" w:hAnsiTheme="minorHAnsi" w:cs="Arial"/>
                <w:sz w:val="20"/>
                <w:szCs w:val="20"/>
                <w:lang w:val="fr-BE"/>
              </w:rPr>
              <w:t xml:space="preserve"> na osnovu smjernica koje su pripremljene u okviru projekta IPA 2014  (BESME). Podsticajni centri su predviđeni u Strategiji za osnivanje naučno-tehnološkog parka u Crnoj Gori. Jedan takav centar postoji (Tehnopolis Niksic), u studiji su razrađeni novi centri.</w:t>
            </w:r>
          </w:p>
          <w:p w14:paraId="21CA821E" w14:textId="77777777" w:rsidR="00047EF8" w:rsidRPr="00F563CD" w:rsidRDefault="00047EF8" w:rsidP="00A239C5">
            <w:pPr>
              <w:spacing w:line="240" w:lineRule="auto"/>
              <w:jc w:val="both"/>
              <w:rPr>
                <w:rFonts w:asciiTheme="minorHAnsi" w:eastAsia="Arial" w:hAnsiTheme="minorHAnsi" w:cs="Arial"/>
                <w:b/>
                <w:bCs/>
                <w:sz w:val="20"/>
                <w:szCs w:val="20"/>
                <w:lang w:val="fr-BE"/>
              </w:rPr>
            </w:pPr>
            <w:r w:rsidRPr="00F563CD">
              <w:rPr>
                <w:rFonts w:asciiTheme="minorHAnsi" w:eastAsia="Arial" w:hAnsiTheme="minorHAnsi" w:cs="Arial"/>
                <w:b/>
                <w:bCs/>
                <w:sz w:val="20"/>
                <w:szCs w:val="20"/>
                <w:lang w:val="fr-BE"/>
              </w:rPr>
              <w:t>STP – Laboratorijska oprema</w:t>
            </w:r>
            <w:bookmarkEnd w:id="67"/>
            <w:r w:rsidRPr="00F563CD">
              <w:rPr>
                <w:rFonts w:asciiTheme="minorHAnsi" w:eastAsia="Arial" w:hAnsiTheme="minorHAnsi" w:cs="Arial"/>
                <w:b/>
                <w:bCs/>
                <w:sz w:val="20"/>
                <w:szCs w:val="20"/>
                <w:lang w:val="fr-BE"/>
              </w:rPr>
              <w:t xml:space="preserve"> / Ugovor o </w:t>
            </w:r>
            <w:proofErr w:type="gramStart"/>
            <w:r w:rsidRPr="00F563CD">
              <w:rPr>
                <w:rFonts w:asciiTheme="minorHAnsi" w:eastAsia="Arial" w:hAnsiTheme="minorHAnsi" w:cs="Arial"/>
                <w:b/>
                <w:bCs/>
                <w:sz w:val="20"/>
                <w:szCs w:val="20"/>
                <w:lang w:val="fr-BE"/>
              </w:rPr>
              <w:t>nabavci:</w:t>
            </w:r>
            <w:proofErr w:type="gramEnd"/>
            <w:r w:rsidRPr="00F563CD">
              <w:rPr>
                <w:rFonts w:asciiTheme="minorHAnsi" w:eastAsia="Arial" w:hAnsiTheme="minorHAnsi" w:cs="Arial"/>
                <w:b/>
                <w:bCs/>
                <w:sz w:val="20"/>
                <w:szCs w:val="20"/>
                <w:lang w:val="fr-BE"/>
              </w:rPr>
              <w:t xml:space="preserve"> 1.500.000,00 EUR</w:t>
            </w:r>
          </w:p>
          <w:p w14:paraId="70EE834D" w14:textId="77777777" w:rsidR="00047EF8" w:rsidRPr="00F563CD" w:rsidRDefault="00047EF8" w:rsidP="00A239C5">
            <w:pPr>
              <w:spacing w:line="240" w:lineRule="auto"/>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Tehnička specifikacija će se uraditi na osnovu studije o laboratorijskoj opremi kroz donatorsku podršku.</w:t>
            </w:r>
          </w:p>
          <w:p w14:paraId="093008FA" w14:textId="77777777" w:rsidR="00047EF8" w:rsidRPr="00F563CD" w:rsidRDefault="00047EF8" w:rsidP="00A239C5">
            <w:pPr>
              <w:spacing w:line="240" w:lineRule="auto"/>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 xml:space="preserve">Nova zgrada Naučno-tehnološkog parka će biti spremna početkom 2022. </w:t>
            </w:r>
            <w:proofErr w:type="gramStart"/>
            <w:r w:rsidRPr="00F563CD">
              <w:rPr>
                <w:rFonts w:asciiTheme="minorHAnsi" w:eastAsia="Arial" w:hAnsiTheme="minorHAnsi" w:cs="Arial"/>
                <w:sz w:val="20"/>
                <w:szCs w:val="20"/>
                <w:lang w:val="fr-BE"/>
              </w:rPr>
              <w:t>godine</w:t>
            </w:r>
            <w:proofErr w:type="gramEnd"/>
            <w:r w:rsidRPr="00F563CD">
              <w:rPr>
                <w:rFonts w:asciiTheme="minorHAnsi" w:eastAsia="Arial" w:hAnsiTheme="minorHAnsi" w:cs="Arial"/>
                <w:sz w:val="20"/>
                <w:szCs w:val="20"/>
                <w:lang w:val="fr-BE"/>
              </w:rPr>
              <w:t xml:space="preserve"> i opremljena najvažnijim objektima. Na osnovu prethodno pripremljene studije, IPA III može podržati nabavku laboratorijske opreme.</w:t>
            </w:r>
          </w:p>
          <w:p w14:paraId="12D516CB" w14:textId="77777777" w:rsidR="00047EF8" w:rsidRPr="00F563CD" w:rsidRDefault="00047EF8" w:rsidP="00A239C5">
            <w:pPr>
              <w:spacing w:line="240" w:lineRule="auto"/>
              <w:jc w:val="both"/>
              <w:rPr>
                <w:rFonts w:asciiTheme="minorHAnsi" w:eastAsia="Arial" w:hAnsiTheme="minorHAnsi" w:cs="Arial"/>
                <w:b/>
                <w:bCs/>
                <w:sz w:val="20"/>
                <w:szCs w:val="20"/>
                <w:lang w:val="fr-BE"/>
              </w:rPr>
            </w:pPr>
            <w:r w:rsidRPr="00F563CD">
              <w:rPr>
                <w:rFonts w:asciiTheme="minorHAnsi" w:eastAsia="Arial" w:hAnsiTheme="minorHAnsi" w:cs="Arial"/>
                <w:b/>
                <w:bCs/>
                <w:sz w:val="20"/>
                <w:szCs w:val="20"/>
                <w:lang w:val="fr-BE"/>
              </w:rPr>
              <w:t>Nabavka opremeza 2 nova inovaciona podsticajna centra /</w:t>
            </w:r>
            <w:r w:rsidRPr="00F563CD">
              <w:rPr>
                <w:rFonts w:asciiTheme="minorHAnsi" w:eastAsia="Arial" w:hAnsiTheme="minorHAnsi" w:cs="Arial"/>
                <w:sz w:val="20"/>
                <w:szCs w:val="20"/>
                <w:lang w:val="fr-BE"/>
              </w:rPr>
              <w:t xml:space="preserve"> </w:t>
            </w:r>
            <w:r w:rsidRPr="00F563CD">
              <w:rPr>
                <w:rFonts w:asciiTheme="minorHAnsi" w:eastAsia="Arial" w:hAnsiTheme="minorHAnsi" w:cs="Arial"/>
                <w:b/>
                <w:bCs/>
                <w:sz w:val="20"/>
                <w:szCs w:val="20"/>
                <w:lang w:val="fr-BE"/>
              </w:rPr>
              <w:t>Ugovor o nabavci: 1.500.000,00 EUR</w:t>
            </w:r>
          </w:p>
        </w:tc>
      </w:tr>
      <w:tr w:rsidR="00047EF8" w:rsidRPr="00F563CD" w14:paraId="6038E5C8" w14:textId="77777777" w:rsidTr="00A239C5">
        <w:trPr>
          <w:gridAfter w:val="1"/>
          <w:wAfter w:w="9" w:type="dxa"/>
          <w:trHeight w:val="690"/>
        </w:trPr>
        <w:tc>
          <w:tcPr>
            <w:tcW w:w="2970" w:type="dxa"/>
            <w:tcBorders>
              <w:top w:val="single" w:sz="8" w:space="0" w:color="auto"/>
              <w:left w:val="single" w:sz="8" w:space="0" w:color="auto"/>
              <w:bottom w:val="single" w:sz="8" w:space="0" w:color="auto"/>
              <w:right w:val="single" w:sz="8" w:space="0" w:color="auto"/>
            </w:tcBorders>
            <w:shd w:val="clear" w:color="auto" w:fill="auto"/>
          </w:tcPr>
          <w:p w14:paraId="68D6D7FC" w14:textId="77777777" w:rsidR="00047EF8" w:rsidRPr="00F563CD" w:rsidRDefault="007A3208" w:rsidP="00A239C5">
            <w:pPr>
              <w:tabs>
                <w:tab w:val="left" w:pos="1935"/>
              </w:tabs>
              <w:spacing w:line="240" w:lineRule="auto"/>
              <w:rPr>
                <w:rFonts w:asciiTheme="minorHAnsi" w:eastAsia="Arial" w:hAnsiTheme="minorHAnsi" w:cs="Arial"/>
                <w:bCs/>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sz w:val="20"/>
                <w:szCs w:val="20"/>
              </w:rPr>
              <w:t>. 4 – Razvoj privatnog sektora</w:t>
            </w:r>
          </w:p>
        </w:tc>
        <w:tc>
          <w:tcPr>
            <w:tcW w:w="2407" w:type="dxa"/>
            <w:tcBorders>
              <w:top w:val="single" w:sz="8" w:space="0" w:color="auto"/>
              <w:left w:val="single" w:sz="8" w:space="0" w:color="auto"/>
              <w:bottom w:val="single" w:sz="8" w:space="0" w:color="auto"/>
              <w:right w:val="single" w:sz="8" w:space="0" w:color="auto"/>
            </w:tcBorders>
            <w:shd w:val="clear" w:color="auto" w:fill="auto"/>
          </w:tcPr>
          <w:p w14:paraId="57D74CE2" w14:textId="2A4D6675" w:rsidR="00047EF8" w:rsidRPr="00F563CD" w:rsidRDefault="00047EF8" w:rsidP="00547174">
            <w:pPr>
              <w:spacing w:line="240" w:lineRule="auto"/>
              <w:rPr>
                <w:rFonts w:asciiTheme="minorHAnsi" w:eastAsia="Calibri" w:hAnsiTheme="minorHAnsi" w:cs="Calibri"/>
                <w:b/>
                <w:bCs/>
                <w:sz w:val="20"/>
                <w:szCs w:val="20"/>
                <w:lang w:val="fr-BE"/>
              </w:rPr>
            </w:pPr>
            <w:proofErr w:type="gramStart"/>
            <w:r w:rsidRPr="00F563CD">
              <w:rPr>
                <w:rFonts w:asciiTheme="minorHAnsi" w:eastAsia="Calibri" w:hAnsiTheme="minorHAnsi" w:cs="Calibri"/>
                <w:b/>
                <w:bCs/>
                <w:sz w:val="20"/>
                <w:szCs w:val="20"/>
                <w:lang w:val="fr-BE"/>
              </w:rPr>
              <w:t>Ukupno:</w:t>
            </w:r>
            <w:proofErr w:type="gramEnd"/>
            <w:r w:rsidRPr="00F563CD">
              <w:rPr>
                <w:rFonts w:asciiTheme="minorHAnsi" w:eastAsia="Calibri" w:hAnsiTheme="minorHAnsi" w:cs="Calibri"/>
                <w:b/>
                <w:bCs/>
                <w:sz w:val="20"/>
                <w:szCs w:val="20"/>
                <w:lang w:val="fr-BE"/>
              </w:rPr>
              <w:t xml:space="preserve"> 19.200.000,00 EUR</w:t>
            </w:r>
          </w:p>
          <w:p w14:paraId="79AD63BF" w14:textId="77777777" w:rsidR="00047EF8" w:rsidRPr="00F563CD" w:rsidRDefault="00047EF8" w:rsidP="00547174">
            <w:pPr>
              <w:spacing w:line="240" w:lineRule="auto"/>
              <w:rPr>
                <w:rFonts w:asciiTheme="minorHAnsi" w:eastAsia="Calibri" w:hAnsiTheme="minorHAnsi" w:cs="Calibri"/>
                <w:sz w:val="20"/>
                <w:szCs w:val="20"/>
                <w:lang w:val="fr-BE"/>
              </w:rPr>
            </w:pPr>
            <w:r w:rsidRPr="00F563CD">
              <w:rPr>
                <w:rFonts w:asciiTheme="minorHAnsi" w:eastAsia="Calibri" w:hAnsiTheme="minorHAnsi" w:cs="Calibri"/>
                <w:bCs/>
                <w:sz w:val="20"/>
                <w:szCs w:val="20"/>
                <w:lang w:val="fr-BE"/>
              </w:rPr>
              <w:t xml:space="preserve">Različita vrsta grant </w:t>
            </w:r>
            <w:proofErr w:type="gramStart"/>
            <w:r w:rsidRPr="00F563CD">
              <w:rPr>
                <w:rFonts w:asciiTheme="minorHAnsi" w:eastAsia="Calibri" w:hAnsiTheme="minorHAnsi" w:cs="Calibri"/>
                <w:bCs/>
                <w:sz w:val="20"/>
                <w:szCs w:val="20"/>
                <w:lang w:val="fr-BE"/>
              </w:rPr>
              <w:t>šema:</w:t>
            </w:r>
            <w:proofErr w:type="gramEnd"/>
            <w:r w:rsidRPr="00F563CD">
              <w:rPr>
                <w:rFonts w:asciiTheme="minorHAnsi" w:eastAsia="Calibri" w:hAnsiTheme="minorHAnsi" w:cs="Calibri"/>
                <w:sz w:val="20"/>
                <w:szCs w:val="20"/>
                <w:lang w:val="fr-BE"/>
              </w:rPr>
              <w:t xml:space="preserve"> 9.500.000,00 EUR</w:t>
            </w:r>
          </w:p>
          <w:p w14:paraId="0BD89AF0" w14:textId="77777777" w:rsidR="00047EF8" w:rsidRPr="00F563CD" w:rsidRDefault="00047EF8" w:rsidP="00547174">
            <w:pPr>
              <w:spacing w:line="240" w:lineRule="auto"/>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 xml:space="preserve">Ugovori o </w:t>
            </w:r>
            <w:proofErr w:type="gramStart"/>
            <w:r w:rsidRPr="00F563CD">
              <w:rPr>
                <w:rFonts w:asciiTheme="minorHAnsi" w:eastAsia="Calibri" w:hAnsiTheme="minorHAnsi" w:cs="Calibri"/>
                <w:sz w:val="20"/>
                <w:szCs w:val="20"/>
                <w:lang w:val="fr-BE"/>
              </w:rPr>
              <w:t>uslugama:</w:t>
            </w:r>
            <w:proofErr w:type="gramEnd"/>
            <w:r w:rsidRPr="00F563CD">
              <w:rPr>
                <w:rFonts w:asciiTheme="minorHAnsi" w:eastAsia="Calibri" w:hAnsiTheme="minorHAnsi" w:cs="Calibri"/>
                <w:sz w:val="20"/>
                <w:szCs w:val="20"/>
                <w:lang w:val="fr-BE"/>
              </w:rPr>
              <w:t xml:space="preserve">  7.800.000,00 EUR</w:t>
            </w:r>
          </w:p>
          <w:p w14:paraId="0FBCA91B" w14:textId="77777777" w:rsidR="00047EF8" w:rsidRPr="00F563CD" w:rsidRDefault="00047EF8" w:rsidP="00547174">
            <w:pPr>
              <w:spacing w:line="240" w:lineRule="auto"/>
              <w:rPr>
                <w:rFonts w:asciiTheme="minorHAnsi" w:eastAsia="Calibri" w:hAnsiTheme="minorHAnsi" w:cs="Calibri"/>
                <w:sz w:val="20"/>
                <w:szCs w:val="20"/>
                <w:lang w:val="fr-BE"/>
              </w:rPr>
            </w:pPr>
            <w:r w:rsidRPr="00F563CD">
              <w:rPr>
                <w:rFonts w:asciiTheme="minorHAnsi" w:eastAsia="Calibri" w:hAnsiTheme="minorHAnsi" w:cs="Calibri"/>
                <w:sz w:val="20"/>
                <w:szCs w:val="20"/>
                <w:lang w:val="fr-BE"/>
              </w:rPr>
              <w:t>Ugovori o uslugama: 1.900.000,00 EUR</w:t>
            </w:r>
          </w:p>
        </w:tc>
        <w:tc>
          <w:tcPr>
            <w:tcW w:w="4394" w:type="dxa"/>
            <w:tcBorders>
              <w:top w:val="single" w:sz="8" w:space="0" w:color="auto"/>
              <w:left w:val="single" w:sz="8" w:space="0" w:color="auto"/>
              <w:bottom w:val="single" w:sz="8" w:space="0" w:color="auto"/>
              <w:right w:val="single" w:sz="8" w:space="0" w:color="auto"/>
            </w:tcBorders>
            <w:shd w:val="clear" w:color="auto" w:fill="auto"/>
          </w:tcPr>
          <w:p w14:paraId="53B021F6" w14:textId="77777777" w:rsidR="00047EF8" w:rsidRPr="00F563CD" w:rsidRDefault="00047EF8" w:rsidP="00A239C5">
            <w:pPr>
              <w:pStyle w:val="ListParagraph"/>
              <w:numPr>
                <w:ilvl w:val="0"/>
                <w:numId w:val="100"/>
              </w:numPr>
              <w:spacing w:line="240" w:lineRule="auto"/>
              <w:rPr>
                <w:rFonts w:asciiTheme="minorHAnsi" w:eastAsia="Arial" w:hAnsiTheme="minorHAnsi" w:cs="Arial"/>
                <w:sz w:val="20"/>
                <w:szCs w:val="20"/>
                <w:lang w:val="fr-BE"/>
              </w:rPr>
            </w:pPr>
            <w:r w:rsidRPr="00F563CD">
              <w:rPr>
                <w:rFonts w:asciiTheme="minorHAnsi" w:eastAsia="Arial" w:hAnsiTheme="minorHAnsi" w:cs="Arial"/>
                <w:sz w:val="20"/>
                <w:szCs w:val="20"/>
                <w:lang w:val="fr-BE"/>
              </w:rPr>
              <w:t>Analiza učinka i lanca vrijednosti odabranih sektora u proizvodnoj industriji</w:t>
            </w:r>
          </w:p>
          <w:p w14:paraId="2713BA34" w14:textId="77777777" w:rsidR="00047EF8" w:rsidRPr="00F563CD" w:rsidRDefault="00047EF8" w:rsidP="00A239C5">
            <w:pPr>
              <w:pStyle w:val="ListParagraph"/>
              <w:numPr>
                <w:ilvl w:val="0"/>
                <w:numId w:val="100"/>
              </w:numPr>
              <w:spacing w:line="240" w:lineRule="auto"/>
              <w:rPr>
                <w:rFonts w:asciiTheme="minorHAnsi" w:eastAsia="Arial" w:hAnsiTheme="minorHAnsi" w:cs="Arial"/>
                <w:sz w:val="20"/>
                <w:szCs w:val="20"/>
                <w:lang w:val="fr-BE"/>
              </w:rPr>
            </w:pPr>
            <w:r w:rsidRPr="00F563CD">
              <w:rPr>
                <w:rFonts w:asciiTheme="minorHAnsi" w:eastAsia="Arial" w:hAnsiTheme="minorHAnsi" w:cs="Arial"/>
                <w:sz w:val="20"/>
                <w:szCs w:val="20"/>
                <w:lang w:val="fr-BE"/>
              </w:rPr>
              <w:t>Unapređenje pristupa finansijama za modernizaciju industrije</w:t>
            </w:r>
          </w:p>
          <w:p w14:paraId="3ADB1C95" w14:textId="77777777" w:rsidR="00047EF8" w:rsidRPr="00F563CD" w:rsidRDefault="00047EF8" w:rsidP="00A239C5">
            <w:pPr>
              <w:pStyle w:val="ListParagraph"/>
              <w:numPr>
                <w:ilvl w:val="0"/>
                <w:numId w:val="100"/>
              </w:num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 xml:space="preserve">Sprovođenje programa Revitalizacije sektora industrije, naročito proizvodne industrije </w:t>
            </w:r>
          </w:p>
          <w:p w14:paraId="02E442BF" w14:textId="77777777" w:rsidR="00047EF8" w:rsidRPr="00F563CD" w:rsidRDefault="00047EF8" w:rsidP="00A239C5">
            <w:pPr>
              <w:pStyle w:val="ListParagraph"/>
              <w:numPr>
                <w:ilvl w:val="0"/>
                <w:numId w:val="100"/>
              </w:num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 xml:space="preserve">Tehnička podrška mikro, malim i srednjim preduzećima za izradu studije slučaja /biznis plana za strtukturisanje promjena </w:t>
            </w:r>
            <w:r w:rsidRPr="00F563CD">
              <w:rPr>
                <w:rFonts w:asciiTheme="minorHAnsi" w:eastAsia="Arial" w:hAnsiTheme="minorHAnsi" w:cs="Arial"/>
                <w:sz w:val="20"/>
                <w:szCs w:val="20"/>
              </w:rPr>
              <w:lastRenderedPageBreak/>
              <w:t xml:space="preserve">biznis modela u praktično cirkularno rješenje </w:t>
            </w:r>
          </w:p>
          <w:p w14:paraId="09E138DC" w14:textId="77777777" w:rsidR="00047EF8" w:rsidRPr="00F563CD" w:rsidRDefault="00047EF8" w:rsidP="00A239C5">
            <w:pPr>
              <w:pStyle w:val="ListParagraph"/>
              <w:numPr>
                <w:ilvl w:val="0"/>
                <w:numId w:val="100"/>
              </w:num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Fokus finansijske podrške na integrisanju novih cirkularnih modela poslovanja, naprednih tehnologija i procesa u kompanijama</w:t>
            </w:r>
          </w:p>
          <w:p w14:paraId="204F0E7E" w14:textId="77777777" w:rsidR="00047EF8" w:rsidRPr="00F563CD" w:rsidRDefault="00047EF8" w:rsidP="00A239C5">
            <w:pPr>
              <w:pStyle w:val="ListParagraph"/>
              <w:numPr>
                <w:ilvl w:val="0"/>
                <w:numId w:val="100"/>
              </w:num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Podrška osnivanju Razvojnog biznis centra (Centra za ubrzanje biznisa) da se pomogne preduzetnicima u njihovim početničkim procesima</w:t>
            </w:r>
          </w:p>
          <w:p w14:paraId="13EBB595" w14:textId="77777777" w:rsidR="00047EF8" w:rsidRPr="00F563CD" w:rsidRDefault="00047EF8" w:rsidP="00A239C5">
            <w:pPr>
              <w:pStyle w:val="ListParagraph"/>
              <w:numPr>
                <w:ilvl w:val="0"/>
                <w:numId w:val="100"/>
              </w:num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Osnivanje Centra za elektronsku trgovinu</w:t>
            </w:r>
          </w:p>
          <w:p w14:paraId="54A1DA19" w14:textId="77777777" w:rsidR="00047EF8" w:rsidRPr="00F563CD" w:rsidRDefault="00047EF8" w:rsidP="00A239C5">
            <w:pPr>
              <w:pStyle w:val="ListParagraph"/>
              <w:numPr>
                <w:ilvl w:val="0"/>
                <w:numId w:val="100"/>
              </w:num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Podrška razvoju održivog turizma</w:t>
            </w:r>
          </w:p>
        </w:tc>
      </w:tr>
      <w:tr w:rsidR="00047EF8" w:rsidRPr="00F563CD" w14:paraId="61FDE40E" w14:textId="77777777" w:rsidTr="00A239C5">
        <w:trPr>
          <w:gridAfter w:val="1"/>
          <w:wAfter w:w="9" w:type="dxa"/>
          <w:trHeight w:val="9945"/>
        </w:trPr>
        <w:tc>
          <w:tcPr>
            <w:tcW w:w="2970" w:type="dxa"/>
            <w:tcBorders>
              <w:top w:val="single" w:sz="8" w:space="0" w:color="auto"/>
              <w:left w:val="single" w:sz="8" w:space="0" w:color="auto"/>
              <w:bottom w:val="single" w:sz="4" w:space="0" w:color="auto"/>
              <w:right w:val="single" w:sz="8" w:space="0" w:color="auto"/>
            </w:tcBorders>
            <w:shd w:val="clear" w:color="auto" w:fill="auto"/>
          </w:tcPr>
          <w:p w14:paraId="01D41302" w14:textId="77777777" w:rsidR="00047EF8" w:rsidRPr="00F563CD" w:rsidRDefault="00DC3343" w:rsidP="00A239C5">
            <w:pPr>
              <w:spacing w:before="120" w:after="120" w:line="240" w:lineRule="auto"/>
              <w:rPr>
                <w:rFonts w:asciiTheme="minorHAnsi" w:hAnsiTheme="minorHAnsi" w:cs="Calibri"/>
                <w:sz w:val="20"/>
                <w:szCs w:val="20"/>
              </w:rPr>
            </w:pPr>
            <w:r w:rsidRPr="00F563CD">
              <w:rPr>
                <w:rFonts w:asciiTheme="minorHAnsi" w:hAnsiTheme="minorHAnsi" w:cs="Arial"/>
                <w:sz w:val="20"/>
                <w:szCs w:val="20"/>
              </w:rPr>
              <w:lastRenderedPageBreak/>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sz w:val="20"/>
                <w:szCs w:val="20"/>
              </w:rPr>
              <w:t>. 5 – Jačanje kapaciteta Komisije za tržište kapitala u Crnoj Gori</w:t>
            </w:r>
          </w:p>
          <w:p w14:paraId="3FE9F60A" w14:textId="77777777" w:rsidR="00047EF8" w:rsidRPr="00F563CD" w:rsidRDefault="00047EF8" w:rsidP="00A239C5">
            <w:pPr>
              <w:tabs>
                <w:tab w:val="left" w:pos="1935"/>
              </w:tabs>
              <w:spacing w:line="240" w:lineRule="auto"/>
              <w:rPr>
                <w:rFonts w:asciiTheme="minorHAnsi" w:hAnsiTheme="minorHAnsi" w:cs="Calibri"/>
                <w:sz w:val="20"/>
                <w:szCs w:val="20"/>
              </w:rPr>
            </w:pPr>
          </w:p>
        </w:tc>
        <w:tc>
          <w:tcPr>
            <w:tcW w:w="2407" w:type="dxa"/>
            <w:tcBorders>
              <w:top w:val="single" w:sz="8" w:space="0" w:color="auto"/>
              <w:left w:val="single" w:sz="8" w:space="0" w:color="auto"/>
              <w:bottom w:val="single" w:sz="4" w:space="0" w:color="auto"/>
              <w:right w:val="single" w:sz="8" w:space="0" w:color="auto"/>
            </w:tcBorders>
            <w:shd w:val="clear" w:color="auto" w:fill="auto"/>
          </w:tcPr>
          <w:p w14:paraId="0D90ADF6" w14:textId="77777777" w:rsidR="00047EF8" w:rsidRPr="00F563CD" w:rsidRDefault="00047EF8" w:rsidP="00547174">
            <w:pPr>
              <w:spacing w:line="240" w:lineRule="auto"/>
              <w:rPr>
                <w:rFonts w:asciiTheme="minorHAnsi" w:eastAsia="Arial" w:hAnsiTheme="minorHAnsi" w:cs="Arial"/>
                <w:sz w:val="20"/>
                <w:szCs w:val="20"/>
              </w:rPr>
            </w:pPr>
            <w:r w:rsidRPr="00F563CD">
              <w:rPr>
                <w:rFonts w:asciiTheme="minorHAnsi" w:eastAsia="Arial" w:hAnsiTheme="minorHAnsi" w:cs="Arial"/>
                <w:sz w:val="20"/>
                <w:szCs w:val="20"/>
              </w:rPr>
              <w:t>450.000</w:t>
            </w:r>
          </w:p>
        </w:tc>
        <w:tc>
          <w:tcPr>
            <w:tcW w:w="4394" w:type="dxa"/>
            <w:tcBorders>
              <w:top w:val="single" w:sz="8" w:space="0" w:color="auto"/>
              <w:left w:val="single" w:sz="8" w:space="0" w:color="auto"/>
              <w:bottom w:val="single" w:sz="4" w:space="0" w:color="auto"/>
              <w:right w:val="single" w:sz="8" w:space="0" w:color="auto"/>
            </w:tcBorders>
            <w:shd w:val="clear" w:color="auto" w:fill="auto"/>
          </w:tcPr>
          <w:p w14:paraId="026E760F" w14:textId="77777777" w:rsidR="00047EF8" w:rsidRPr="00F563CD" w:rsidRDefault="00047EF8" w:rsidP="00A239C5">
            <w:pPr>
              <w:spacing w:line="240" w:lineRule="auto"/>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Projektni dokument će se izraditi u skladu sa programskim rasporedom IPA 2023.</w:t>
            </w:r>
          </w:p>
          <w:p w14:paraId="62B3E00F" w14:textId="77777777" w:rsidR="00047EF8" w:rsidRPr="00F563CD" w:rsidRDefault="00047EF8" w:rsidP="00A239C5">
            <w:pPr>
              <w:spacing w:line="240" w:lineRule="auto"/>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 xml:space="preserve">Korisnik ove akcije je </w:t>
            </w:r>
            <w:r w:rsidRPr="00F563CD">
              <w:rPr>
                <w:rFonts w:asciiTheme="minorHAnsi" w:hAnsiTheme="minorHAnsi" w:cs="Calibri"/>
                <w:sz w:val="20"/>
                <w:szCs w:val="20"/>
                <w:lang w:val="fr-BE"/>
              </w:rPr>
              <w:t>Komisija za tržište kapitala u Crnoj Gori.</w:t>
            </w:r>
          </w:p>
          <w:p w14:paraId="29A78BA6" w14:textId="77777777" w:rsidR="00047EF8" w:rsidRPr="00F563CD" w:rsidRDefault="00047EF8" w:rsidP="00A239C5">
            <w:pPr>
              <w:spacing w:line="240" w:lineRule="auto"/>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 xml:space="preserve">Akcija će se sprovoditi kroz jedan ili više ugovora o uslugama sa sljedećim </w:t>
            </w:r>
            <w:proofErr w:type="gramStart"/>
            <w:r w:rsidRPr="00F563CD">
              <w:rPr>
                <w:rFonts w:asciiTheme="minorHAnsi" w:eastAsia="Arial" w:hAnsiTheme="minorHAnsi" w:cs="Arial"/>
                <w:sz w:val="20"/>
                <w:szCs w:val="20"/>
                <w:lang w:val="fr-BE"/>
              </w:rPr>
              <w:t>ciljevima:</w:t>
            </w:r>
            <w:proofErr w:type="gramEnd"/>
          </w:p>
          <w:p w14:paraId="1BA534E0" w14:textId="77777777" w:rsidR="00047EF8" w:rsidRPr="00F563CD" w:rsidRDefault="00047EF8" w:rsidP="00A239C5">
            <w:pPr>
              <w:pStyle w:val="ListParagraph"/>
              <w:numPr>
                <w:ilvl w:val="0"/>
                <w:numId w:val="57"/>
              </w:numPr>
              <w:spacing w:line="240" w:lineRule="auto"/>
              <w:ind w:left="720"/>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 xml:space="preserve">Revizija Zakona o korporativnom upravljanju i njegovih izmjena i dopuna </w:t>
            </w:r>
          </w:p>
          <w:p w14:paraId="2BEA397D" w14:textId="77777777" w:rsidR="00047EF8" w:rsidRPr="00F563CD" w:rsidRDefault="00047EF8" w:rsidP="00A239C5">
            <w:pPr>
              <w:spacing w:line="240" w:lineRule="auto"/>
              <w:jc w:val="both"/>
              <w:rPr>
                <w:rFonts w:asciiTheme="minorHAnsi" w:eastAsia="Arial" w:hAnsiTheme="minorHAnsi" w:cs="Arial"/>
                <w:sz w:val="20"/>
                <w:szCs w:val="20"/>
                <w:lang w:val="fr-BE"/>
              </w:rPr>
            </w:pPr>
            <w:r w:rsidRPr="00F563CD">
              <w:rPr>
                <w:rFonts w:asciiTheme="minorHAnsi" w:eastAsia="Arial" w:hAnsiTheme="minorHAnsi" w:cs="Arial"/>
                <w:sz w:val="20"/>
                <w:szCs w:val="20"/>
                <w:lang w:val="fr-BE"/>
              </w:rPr>
              <w:t xml:space="preserve">Zakon o korporativnom upravljanju je na snazi od 2009. </w:t>
            </w:r>
            <w:proofErr w:type="gramStart"/>
            <w:r w:rsidRPr="00F563CD">
              <w:rPr>
                <w:rFonts w:asciiTheme="minorHAnsi" w:eastAsia="Arial" w:hAnsiTheme="minorHAnsi" w:cs="Arial"/>
                <w:sz w:val="20"/>
                <w:szCs w:val="20"/>
                <w:lang w:val="fr-BE"/>
              </w:rPr>
              <w:t>godine</w:t>
            </w:r>
            <w:proofErr w:type="gramEnd"/>
            <w:r w:rsidRPr="00F563CD">
              <w:rPr>
                <w:rFonts w:asciiTheme="minorHAnsi" w:eastAsia="Arial" w:hAnsiTheme="minorHAnsi" w:cs="Arial"/>
                <w:sz w:val="20"/>
                <w:szCs w:val="20"/>
                <w:lang w:val="fr-BE"/>
              </w:rPr>
              <w:t>. Pripremljen je u saradnji sa Međunarodnom finansijskom korporacijom (IFC), koja je dio Inicijative za globalno korporativno upravljanje u ime Svjetske banke. U skladu sa Operativnim planom za sprovođenje preporuka iz Izvještaja Evropske komisije o Crnoj Gori u Poglavlju 6 – Privredno pravo, neophodno je revidirati, izmijeniti i dopuniti i ojačati sprovođenje Zakona o korporativnom upravljanju.</w:t>
            </w:r>
          </w:p>
          <w:p w14:paraId="53AC2828" w14:textId="77777777" w:rsidR="00047EF8" w:rsidRPr="00F563CD" w:rsidRDefault="00047EF8" w:rsidP="00A239C5">
            <w:pPr>
              <w:pStyle w:val="ListParagraph"/>
              <w:numPr>
                <w:ilvl w:val="0"/>
                <w:numId w:val="57"/>
              </w:numPr>
              <w:spacing w:line="240" w:lineRule="auto"/>
              <w:ind w:left="720"/>
              <w:jc w:val="both"/>
              <w:rPr>
                <w:rFonts w:asciiTheme="minorHAnsi" w:eastAsia="Arial" w:hAnsiTheme="minorHAnsi" w:cs="Arial"/>
                <w:sz w:val="20"/>
                <w:szCs w:val="20"/>
              </w:rPr>
            </w:pPr>
            <w:r w:rsidRPr="00F563CD">
              <w:rPr>
                <w:rFonts w:asciiTheme="minorHAnsi" w:eastAsia="Arial" w:hAnsiTheme="minorHAnsi" w:cs="Arial"/>
                <w:sz w:val="20"/>
                <w:szCs w:val="20"/>
              </w:rPr>
              <w:t>Nacrt zakona u oblasti kolektivnih investicionih šema</w:t>
            </w:r>
          </w:p>
          <w:p w14:paraId="0E8D65C5" w14:textId="6EA0BC06"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 xml:space="preserve">Ove aktivnosti će obuhvatiti izradu podzakonskih akata za Zakon o otvorenim investicionim </w:t>
            </w:r>
            <w:r w:rsidR="00547174" w:rsidRPr="00F563CD">
              <w:rPr>
                <w:rFonts w:asciiTheme="minorHAnsi" w:eastAsia="Arial" w:hAnsiTheme="minorHAnsi" w:cs="Arial"/>
                <w:sz w:val="20"/>
                <w:szCs w:val="20"/>
              </w:rPr>
              <w:t>fondovima sa</w:t>
            </w:r>
            <w:r w:rsidRPr="00F563CD">
              <w:rPr>
                <w:rFonts w:asciiTheme="minorHAnsi" w:eastAsia="Arial" w:hAnsiTheme="minorHAnsi" w:cs="Arial"/>
                <w:sz w:val="20"/>
                <w:szCs w:val="20"/>
              </w:rPr>
              <w:t xml:space="preserve"> javnom ponudom; podzakonskih akata za Zakon o alternativnim investicionim fondovima; podzakonskih akata za Zakon o penzionim fondovima.</w:t>
            </w:r>
          </w:p>
          <w:p w14:paraId="6185E4DF" w14:textId="77777777" w:rsidR="00047EF8" w:rsidRPr="00F563CD" w:rsidRDefault="00047EF8" w:rsidP="00A239C5">
            <w:pPr>
              <w:pStyle w:val="ListParagraph"/>
              <w:numPr>
                <w:ilvl w:val="0"/>
                <w:numId w:val="57"/>
              </w:numPr>
              <w:spacing w:line="240" w:lineRule="auto"/>
              <w:ind w:left="720"/>
              <w:jc w:val="both"/>
              <w:rPr>
                <w:rFonts w:asciiTheme="minorHAnsi" w:eastAsia="Arial" w:hAnsiTheme="minorHAnsi" w:cs="Arial"/>
                <w:sz w:val="20"/>
                <w:szCs w:val="20"/>
              </w:rPr>
            </w:pPr>
            <w:r w:rsidRPr="00F563CD">
              <w:rPr>
                <w:rFonts w:asciiTheme="minorHAnsi" w:eastAsia="Arial" w:hAnsiTheme="minorHAnsi" w:cs="Arial"/>
                <w:sz w:val="20"/>
                <w:szCs w:val="20"/>
              </w:rPr>
              <w:t>Razvoj softvera za nadzor subjekata na tržištu kapitala u oblasti sprečavanja pranja novca</w:t>
            </w:r>
          </w:p>
          <w:p w14:paraId="68AA2297" w14:textId="77777777" w:rsidR="00047EF8" w:rsidRPr="00F563CD" w:rsidRDefault="00047EF8" w:rsidP="00A239C5">
            <w:pPr>
              <w:spacing w:line="240" w:lineRule="auto"/>
              <w:jc w:val="both"/>
              <w:rPr>
                <w:rFonts w:asciiTheme="minorHAnsi" w:eastAsia="Arial" w:hAnsiTheme="minorHAnsi" w:cs="Arial"/>
                <w:sz w:val="20"/>
                <w:szCs w:val="20"/>
              </w:rPr>
            </w:pPr>
            <w:r w:rsidRPr="00F563CD">
              <w:rPr>
                <w:rFonts w:asciiTheme="minorHAnsi" w:eastAsia="Arial" w:hAnsiTheme="minorHAnsi" w:cs="Arial"/>
                <w:sz w:val="20"/>
                <w:szCs w:val="20"/>
              </w:rPr>
              <w:t>U skladu sa Nacionalnom procjenom rizika od pranja novca i finansiranja terorizma, neophodno je razviti softver za nadzor subjekata na tržištu kapitala u oblasti sprečavanja pranja novca.</w:t>
            </w:r>
          </w:p>
        </w:tc>
      </w:tr>
      <w:tr w:rsidR="00047EF8" w:rsidRPr="00F563CD" w14:paraId="6A72C41A" w14:textId="77777777" w:rsidTr="00A239C5">
        <w:trPr>
          <w:gridAfter w:val="1"/>
          <w:wAfter w:w="9" w:type="dxa"/>
          <w:trHeight w:val="1950"/>
        </w:trPr>
        <w:tc>
          <w:tcPr>
            <w:tcW w:w="2970" w:type="dxa"/>
            <w:tcBorders>
              <w:top w:val="single" w:sz="4" w:space="0" w:color="auto"/>
              <w:left w:val="single" w:sz="8" w:space="0" w:color="auto"/>
              <w:bottom w:val="single" w:sz="8" w:space="0" w:color="auto"/>
              <w:right w:val="single" w:sz="8" w:space="0" w:color="auto"/>
            </w:tcBorders>
            <w:shd w:val="clear" w:color="auto" w:fill="auto"/>
          </w:tcPr>
          <w:p w14:paraId="6422C7D2" w14:textId="77777777" w:rsidR="00047EF8" w:rsidRPr="00F563CD" w:rsidRDefault="00C61F48" w:rsidP="00A239C5">
            <w:pPr>
              <w:spacing w:before="120" w:after="120" w:line="240" w:lineRule="auto"/>
              <w:rPr>
                <w:rFonts w:asciiTheme="minorHAnsi" w:hAnsiTheme="minorHAnsi" w:cs="Calibri"/>
                <w:iCs/>
                <w:sz w:val="20"/>
                <w:szCs w:val="20"/>
              </w:rPr>
            </w:pPr>
            <w:r w:rsidRPr="00F563CD">
              <w:rPr>
                <w:rFonts w:asciiTheme="minorHAnsi" w:hAnsiTheme="minorHAnsi" w:cs="Arial"/>
                <w:sz w:val="20"/>
                <w:szCs w:val="20"/>
              </w:rPr>
              <w:lastRenderedPageBreak/>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sz w:val="20"/>
                <w:szCs w:val="20"/>
              </w:rPr>
              <w:t>. 6 – Jačanje kapaciteta u oblasti konkurentnosti i inovacija</w:t>
            </w:r>
          </w:p>
          <w:p w14:paraId="2558C238" w14:textId="77777777" w:rsidR="00047EF8" w:rsidRPr="00F563CD" w:rsidRDefault="00047EF8" w:rsidP="00A239C5">
            <w:pPr>
              <w:spacing w:before="120" w:after="120" w:line="240" w:lineRule="auto"/>
              <w:jc w:val="center"/>
              <w:rPr>
                <w:rFonts w:asciiTheme="minorHAnsi" w:hAnsiTheme="minorHAnsi" w:cs="Calibri"/>
                <w:sz w:val="20"/>
                <w:szCs w:val="20"/>
              </w:rPr>
            </w:pPr>
          </w:p>
        </w:tc>
        <w:tc>
          <w:tcPr>
            <w:tcW w:w="2407" w:type="dxa"/>
            <w:tcBorders>
              <w:top w:val="single" w:sz="4" w:space="0" w:color="auto"/>
              <w:left w:val="single" w:sz="8" w:space="0" w:color="auto"/>
              <w:bottom w:val="single" w:sz="8" w:space="0" w:color="auto"/>
              <w:right w:val="single" w:sz="8" w:space="0" w:color="auto"/>
            </w:tcBorders>
            <w:shd w:val="clear" w:color="auto" w:fill="auto"/>
          </w:tcPr>
          <w:p w14:paraId="2F2F08AA" w14:textId="1C8172FC" w:rsidR="00047EF8" w:rsidRPr="00F563CD" w:rsidRDefault="00047EF8" w:rsidP="00547174">
            <w:pPr>
              <w:spacing w:line="240" w:lineRule="auto"/>
              <w:rPr>
                <w:rFonts w:asciiTheme="minorHAnsi" w:eastAsia="Arial" w:hAnsiTheme="minorHAnsi" w:cs="Arial"/>
                <w:b/>
                <w:bCs/>
                <w:iCs/>
                <w:sz w:val="20"/>
                <w:szCs w:val="20"/>
                <w:lang w:val="fr-BE"/>
              </w:rPr>
            </w:pPr>
            <w:r w:rsidRPr="00F563CD">
              <w:rPr>
                <w:rFonts w:asciiTheme="minorHAnsi" w:eastAsia="Arial" w:hAnsiTheme="minorHAnsi" w:cs="Arial"/>
                <w:b/>
                <w:bCs/>
                <w:iCs/>
                <w:sz w:val="20"/>
                <w:szCs w:val="20"/>
                <w:lang w:val="fr-BE"/>
              </w:rPr>
              <w:t xml:space="preserve">Ukupna </w:t>
            </w:r>
            <w:proofErr w:type="gramStart"/>
            <w:r w:rsidRPr="00F563CD">
              <w:rPr>
                <w:rFonts w:asciiTheme="minorHAnsi" w:eastAsia="Arial" w:hAnsiTheme="minorHAnsi" w:cs="Arial"/>
                <w:b/>
                <w:bCs/>
                <w:iCs/>
                <w:sz w:val="20"/>
                <w:szCs w:val="20"/>
                <w:lang w:val="fr-BE"/>
              </w:rPr>
              <w:t>vrijednost:</w:t>
            </w:r>
            <w:proofErr w:type="gramEnd"/>
            <w:r w:rsidRPr="00F563CD">
              <w:rPr>
                <w:rFonts w:asciiTheme="minorHAnsi" w:eastAsia="Arial" w:hAnsiTheme="minorHAnsi" w:cs="Arial"/>
                <w:b/>
                <w:bCs/>
                <w:iCs/>
                <w:sz w:val="20"/>
                <w:szCs w:val="20"/>
                <w:lang w:val="fr-BE"/>
              </w:rPr>
              <w:t xml:space="preserve"> 9.100.000,00 EUR</w:t>
            </w:r>
          </w:p>
          <w:p w14:paraId="3A6C299D" w14:textId="77777777" w:rsidR="00047EF8" w:rsidRPr="00F563CD" w:rsidRDefault="00047EF8" w:rsidP="00547174">
            <w:pPr>
              <w:spacing w:line="240" w:lineRule="auto"/>
              <w:rPr>
                <w:rFonts w:asciiTheme="minorHAnsi" w:eastAsia="Arial" w:hAnsiTheme="minorHAnsi" w:cs="Arial"/>
                <w:iCs/>
                <w:sz w:val="20"/>
                <w:szCs w:val="20"/>
                <w:lang w:val="fr-BE"/>
              </w:rPr>
            </w:pPr>
            <w:r w:rsidRPr="00F563CD">
              <w:rPr>
                <w:rFonts w:asciiTheme="minorHAnsi" w:eastAsia="Arial" w:hAnsiTheme="minorHAnsi" w:cs="Arial"/>
                <w:iCs/>
                <w:sz w:val="20"/>
                <w:szCs w:val="20"/>
                <w:lang w:val="fr-BE"/>
              </w:rPr>
              <w:t xml:space="preserve">Ugovori o </w:t>
            </w:r>
            <w:proofErr w:type="gramStart"/>
            <w:r w:rsidRPr="00F563CD">
              <w:rPr>
                <w:rFonts w:asciiTheme="minorHAnsi" w:eastAsia="Arial" w:hAnsiTheme="minorHAnsi" w:cs="Arial"/>
                <w:iCs/>
                <w:sz w:val="20"/>
                <w:szCs w:val="20"/>
                <w:lang w:val="fr-BE"/>
              </w:rPr>
              <w:t>uslugama:</w:t>
            </w:r>
            <w:proofErr w:type="gramEnd"/>
            <w:r w:rsidRPr="00F563CD">
              <w:rPr>
                <w:rFonts w:asciiTheme="minorHAnsi" w:eastAsia="Arial" w:hAnsiTheme="minorHAnsi" w:cs="Arial"/>
                <w:iCs/>
                <w:sz w:val="20"/>
                <w:szCs w:val="20"/>
                <w:lang w:val="fr-BE"/>
              </w:rPr>
              <w:t xml:space="preserve"> 5.500.000,00 EUR</w:t>
            </w:r>
          </w:p>
          <w:p w14:paraId="62854D4A" w14:textId="77777777" w:rsidR="00047EF8" w:rsidRPr="00F563CD" w:rsidRDefault="00047EF8" w:rsidP="00547174">
            <w:pPr>
              <w:spacing w:line="240" w:lineRule="auto"/>
              <w:rPr>
                <w:rFonts w:asciiTheme="minorHAnsi" w:eastAsia="Arial" w:hAnsiTheme="minorHAnsi" w:cs="Arial"/>
                <w:iCs/>
                <w:sz w:val="20"/>
                <w:szCs w:val="20"/>
              </w:rPr>
            </w:pPr>
            <w:r w:rsidRPr="00F563CD">
              <w:rPr>
                <w:rFonts w:asciiTheme="minorHAnsi" w:eastAsia="Arial" w:hAnsiTheme="minorHAnsi" w:cs="Arial"/>
                <w:iCs/>
                <w:sz w:val="20"/>
                <w:szCs w:val="20"/>
              </w:rPr>
              <w:t>Ugovori o nabavci: 2.100.000,00 EUR</w:t>
            </w:r>
          </w:p>
          <w:p w14:paraId="2EF3073F" w14:textId="77777777" w:rsidR="00047EF8" w:rsidRPr="00F563CD" w:rsidRDefault="00047EF8" w:rsidP="00547174">
            <w:pPr>
              <w:spacing w:line="240" w:lineRule="auto"/>
              <w:rPr>
                <w:rFonts w:asciiTheme="minorHAnsi" w:eastAsia="Arial" w:hAnsiTheme="minorHAnsi" w:cs="Arial"/>
                <w:iCs/>
                <w:sz w:val="20"/>
                <w:szCs w:val="20"/>
              </w:rPr>
            </w:pPr>
            <w:r w:rsidRPr="00F563CD">
              <w:rPr>
                <w:rFonts w:asciiTheme="minorHAnsi" w:eastAsia="Arial" w:hAnsiTheme="minorHAnsi" w:cs="Arial"/>
                <w:iCs/>
                <w:sz w:val="20"/>
                <w:szCs w:val="20"/>
              </w:rPr>
              <w:t>Twinning ugovori: 1.500.000,00 EUR</w:t>
            </w:r>
          </w:p>
          <w:p w14:paraId="3C69BCED" w14:textId="77777777" w:rsidR="00047EF8" w:rsidRPr="00F563CD" w:rsidRDefault="00047EF8" w:rsidP="00A239C5">
            <w:pPr>
              <w:tabs>
                <w:tab w:val="left" w:pos="345"/>
              </w:tabs>
              <w:spacing w:line="240" w:lineRule="auto"/>
              <w:rPr>
                <w:rFonts w:asciiTheme="minorHAnsi" w:eastAsia="Arial" w:hAnsiTheme="minorHAnsi" w:cs="Arial"/>
                <w:sz w:val="20"/>
                <w:szCs w:val="20"/>
              </w:rPr>
            </w:pPr>
          </w:p>
        </w:tc>
        <w:tc>
          <w:tcPr>
            <w:tcW w:w="4394" w:type="dxa"/>
            <w:tcBorders>
              <w:top w:val="single" w:sz="4" w:space="0" w:color="auto"/>
              <w:left w:val="single" w:sz="8" w:space="0" w:color="auto"/>
              <w:bottom w:val="single" w:sz="8" w:space="0" w:color="auto"/>
              <w:right w:val="single" w:sz="8" w:space="0" w:color="auto"/>
            </w:tcBorders>
            <w:shd w:val="clear" w:color="auto" w:fill="auto"/>
          </w:tcPr>
          <w:p w14:paraId="3F819D0D" w14:textId="77777777" w:rsidR="00047EF8" w:rsidRPr="00F563CD" w:rsidRDefault="00047EF8" w:rsidP="00542019">
            <w:pPr>
              <w:spacing w:line="240" w:lineRule="auto"/>
              <w:jc w:val="both"/>
              <w:rPr>
                <w:rFonts w:asciiTheme="minorHAnsi" w:eastAsia="Arial" w:hAnsiTheme="minorHAnsi" w:cs="Arial"/>
                <w:iCs/>
                <w:sz w:val="20"/>
                <w:szCs w:val="20"/>
              </w:rPr>
            </w:pPr>
            <w:r w:rsidRPr="00F563CD">
              <w:rPr>
                <w:rFonts w:asciiTheme="minorHAnsi" w:eastAsia="Arial" w:hAnsiTheme="minorHAnsi" w:cs="Arial"/>
                <w:b/>
                <w:bCs/>
                <w:iCs/>
                <w:sz w:val="20"/>
                <w:szCs w:val="20"/>
                <w:u w:val="single"/>
              </w:rPr>
              <w:t>Akcija br. 3 “</w:t>
            </w:r>
            <w:bookmarkStart w:id="68" w:name="_Hlk66801617"/>
            <w:r w:rsidRPr="00F563CD">
              <w:rPr>
                <w:rFonts w:asciiTheme="minorHAnsi" w:eastAsia="Arial" w:hAnsiTheme="minorHAnsi" w:cs="Arial"/>
                <w:b/>
                <w:bCs/>
                <w:iCs/>
                <w:sz w:val="20"/>
                <w:szCs w:val="20"/>
                <w:u w:val="single"/>
              </w:rPr>
              <w:t>Izgradnja kapaciteta u oblasti konkurentnosti i inovacija</w:t>
            </w:r>
            <w:bookmarkEnd w:id="68"/>
            <w:r w:rsidRPr="00F563CD">
              <w:rPr>
                <w:rFonts w:asciiTheme="minorHAnsi" w:eastAsia="Arial" w:hAnsiTheme="minorHAnsi" w:cs="Arial"/>
                <w:b/>
                <w:bCs/>
                <w:iCs/>
                <w:sz w:val="20"/>
                <w:szCs w:val="20"/>
                <w:u w:val="single"/>
              </w:rPr>
              <w:t>”</w:t>
            </w:r>
            <w:r w:rsidRPr="00F563CD">
              <w:rPr>
                <w:rFonts w:asciiTheme="minorHAnsi" w:eastAsia="Arial" w:hAnsiTheme="minorHAnsi" w:cs="Arial"/>
                <w:iCs/>
                <w:sz w:val="20"/>
                <w:szCs w:val="20"/>
              </w:rPr>
              <w:t xml:space="preserve"> omogućiće postojanje akcije tehničke pomoći koja će pružiti podršku operativnoj strukturi za upravljanje i implementaciju sektorskog operativnog programa i potencijalnim korisnicima u pripremi </w:t>
            </w:r>
            <w:r w:rsidR="00542019" w:rsidRPr="00F563CD">
              <w:rPr>
                <w:rFonts w:asciiTheme="minorHAnsi" w:eastAsia="Arial" w:hAnsiTheme="minorHAnsi" w:cs="Arial"/>
                <w:iCs/>
                <w:sz w:val="20"/>
                <w:szCs w:val="20"/>
              </w:rPr>
              <w:t>opisa projekata</w:t>
            </w:r>
            <w:r w:rsidRPr="00F563CD">
              <w:rPr>
                <w:rFonts w:asciiTheme="minorHAnsi" w:eastAsia="Arial" w:hAnsiTheme="minorHAnsi" w:cs="Arial"/>
                <w:iCs/>
                <w:sz w:val="20"/>
                <w:szCs w:val="20"/>
              </w:rPr>
              <w:t xml:space="preserve"> i strateških dokumenata. Ova akcija će podržati implementaciju Nacionalnog plana za usvajanje pravne tekovine i akcionih planova najviše kroz: tehničku pomoć za podršku usklađivanju nacionalnih zakona i strategija sa pravnom tekovinom EU, za poglavlja uključena u sektor konkurentnosti i inovacija. Ova akcija će pružiti tehničku pomoć i twinning za usklađivanje regulatornog okvira sa pravnog tekovinom EU za poglavlja 1, 3, 6, 7, 8, 20, 25 i 28.</w:t>
            </w:r>
          </w:p>
        </w:tc>
      </w:tr>
      <w:tr w:rsidR="00047EF8" w:rsidRPr="00F563CD" w14:paraId="2D9D945C" w14:textId="77777777" w:rsidTr="00A239C5">
        <w:trPr>
          <w:trHeight w:val="795"/>
        </w:trPr>
        <w:tc>
          <w:tcPr>
            <w:tcW w:w="2970" w:type="dxa"/>
            <w:tcBorders>
              <w:top w:val="single" w:sz="8" w:space="0" w:color="auto"/>
              <w:left w:val="single" w:sz="8" w:space="0" w:color="auto"/>
              <w:bottom w:val="single" w:sz="4" w:space="0" w:color="auto"/>
              <w:right w:val="single" w:sz="8" w:space="0" w:color="auto"/>
            </w:tcBorders>
            <w:shd w:val="clear" w:color="auto" w:fill="auto"/>
          </w:tcPr>
          <w:p w14:paraId="4FDA051E" w14:textId="77777777" w:rsidR="00047EF8" w:rsidRPr="00F563CD" w:rsidRDefault="00047EF8" w:rsidP="00A239C5">
            <w:pPr>
              <w:spacing w:line="240" w:lineRule="auto"/>
              <w:jc w:val="center"/>
              <w:rPr>
                <w:rFonts w:asciiTheme="minorHAnsi" w:hAnsiTheme="minorHAnsi"/>
                <w:sz w:val="20"/>
                <w:szCs w:val="20"/>
              </w:rPr>
            </w:pPr>
          </w:p>
        </w:tc>
        <w:tc>
          <w:tcPr>
            <w:tcW w:w="2407" w:type="dxa"/>
            <w:tcBorders>
              <w:top w:val="single" w:sz="8" w:space="0" w:color="auto"/>
              <w:left w:val="single" w:sz="8" w:space="0" w:color="auto"/>
              <w:bottom w:val="single" w:sz="4" w:space="0" w:color="auto"/>
              <w:right w:val="single" w:sz="8" w:space="0" w:color="auto"/>
            </w:tcBorders>
            <w:shd w:val="clear" w:color="auto" w:fill="auto"/>
          </w:tcPr>
          <w:p w14:paraId="7A032A69" w14:textId="77777777" w:rsidR="00047EF8" w:rsidRPr="00F563CD" w:rsidRDefault="00047EF8" w:rsidP="00A239C5">
            <w:pPr>
              <w:spacing w:line="240" w:lineRule="auto"/>
              <w:rPr>
                <w:rFonts w:asciiTheme="minorHAnsi" w:hAnsiTheme="minorHAnsi"/>
                <w:sz w:val="20"/>
                <w:szCs w:val="20"/>
              </w:rPr>
            </w:pPr>
          </w:p>
        </w:tc>
        <w:tc>
          <w:tcPr>
            <w:tcW w:w="4403" w:type="dxa"/>
            <w:gridSpan w:val="2"/>
            <w:vMerge w:val="restart"/>
            <w:tcBorders>
              <w:top w:val="single" w:sz="4" w:space="0" w:color="auto"/>
              <w:right w:val="single" w:sz="4" w:space="0" w:color="auto"/>
            </w:tcBorders>
            <w:shd w:val="clear" w:color="auto" w:fill="auto"/>
          </w:tcPr>
          <w:p w14:paraId="667EE82B" w14:textId="77777777" w:rsidR="00047EF8" w:rsidRPr="00F563CD" w:rsidRDefault="00047EF8" w:rsidP="00A239C5">
            <w:pPr>
              <w:spacing w:after="0" w:line="240" w:lineRule="auto"/>
              <w:rPr>
                <w:rFonts w:asciiTheme="minorHAnsi" w:hAnsiTheme="minorHAnsi"/>
              </w:rPr>
            </w:pPr>
          </w:p>
        </w:tc>
      </w:tr>
      <w:tr w:rsidR="00047EF8" w:rsidRPr="00F563CD" w14:paraId="4D984476" w14:textId="77777777" w:rsidTr="00A239C5">
        <w:trPr>
          <w:trHeight w:val="465"/>
        </w:trPr>
        <w:tc>
          <w:tcPr>
            <w:tcW w:w="2970" w:type="dxa"/>
            <w:tcBorders>
              <w:top w:val="single" w:sz="4" w:space="0" w:color="auto"/>
              <w:left w:val="single" w:sz="8" w:space="0" w:color="auto"/>
              <w:bottom w:val="single" w:sz="4" w:space="0" w:color="auto"/>
              <w:right w:val="single" w:sz="8" w:space="0" w:color="auto"/>
            </w:tcBorders>
            <w:shd w:val="clear" w:color="auto" w:fill="EEECE1" w:themeFill="background2"/>
          </w:tcPr>
          <w:p w14:paraId="115165FE" w14:textId="77777777" w:rsidR="00047EF8" w:rsidRPr="00F563CD" w:rsidRDefault="00047EF8" w:rsidP="00A239C5">
            <w:pPr>
              <w:spacing w:line="240" w:lineRule="auto"/>
              <w:jc w:val="right"/>
              <w:rPr>
                <w:rFonts w:asciiTheme="minorHAnsi" w:eastAsia="Arial" w:hAnsiTheme="minorHAnsi" w:cs="Arial"/>
                <w:b/>
                <w:sz w:val="20"/>
                <w:szCs w:val="20"/>
              </w:rPr>
            </w:pPr>
            <w:r w:rsidRPr="00F563CD">
              <w:rPr>
                <w:rFonts w:asciiTheme="minorHAnsi" w:eastAsia="Arial" w:hAnsiTheme="minorHAnsi" w:cs="Arial"/>
                <w:b/>
                <w:bCs/>
                <w:sz w:val="20"/>
                <w:szCs w:val="20"/>
              </w:rPr>
              <w:t xml:space="preserve">Tematski prioritet </w:t>
            </w:r>
            <w:r w:rsidRPr="00F563CD">
              <w:rPr>
                <w:rFonts w:asciiTheme="minorHAnsi" w:eastAsia="Arial" w:hAnsiTheme="minorHAnsi" w:cs="Arial"/>
                <w:b/>
                <w:sz w:val="20"/>
                <w:szCs w:val="20"/>
              </w:rPr>
              <w:t>2 ukupno (2023-2024)</w:t>
            </w:r>
            <w:r w:rsidRPr="00F563CD">
              <w:rPr>
                <w:rFonts w:asciiTheme="minorHAnsi" w:eastAsia="Arial" w:hAnsiTheme="minorHAnsi" w:cs="Arial"/>
                <w:b/>
                <w:sz w:val="20"/>
                <w:szCs w:val="20"/>
              </w:rPr>
              <w:tab/>
            </w:r>
            <w:r w:rsidRPr="00F563CD">
              <w:rPr>
                <w:rFonts w:asciiTheme="minorHAnsi" w:eastAsia="Arial" w:hAnsiTheme="minorHAnsi" w:cs="Arial"/>
                <w:b/>
                <w:sz w:val="20"/>
                <w:szCs w:val="20"/>
              </w:rPr>
              <w:tab/>
            </w:r>
          </w:p>
        </w:tc>
        <w:tc>
          <w:tcPr>
            <w:tcW w:w="2407" w:type="dxa"/>
            <w:tcBorders>
              <w:top w:val="single" w:sz="4" w:space="0" w:color="auto"/>
              <w:left w:val="single" w:sz="8" w:space="0" w:color="auto"/>
              <w:bottom w:val="single" w:sz="4" w:space="0" w:color="auto"/>
              <w:right w:val="single" w:sz="8" w:space="0" w:color="auto"/>
            </w:tcBorders>
            <w:shd w:val="clear" w:color="auto" w:fill="EEECE1" w:themeFill="background2"/>
          </w:tcPr>
          <w:p w14:paraId="7AC26935" w14:textId="77777777" w:rsidR="00047EF8" w:rsidRPr="00F563CD" w:rsidRDefault="00047EF8" w:rsidP="00A239C5">
            <w:pPr>
              <w:spacing w:line="240" w:lineRule="auto"/>
              <w:jc w:val="center"/>
              <w:rPr>
                <w:rFonts w:asciiTheme="minorHAnsi" w:eastAsia="Calibri" w:hAnsiTheme="minorHAnsi" w:cs="Calibri"/>
                <w:b/>
                <w:sz w:val="20"/>
                <w:szCs w:val="20"/>
              </w:rPr>
            </w:pPr>
            <w:r w:rsidRPr="00F563CD">
              <w:rPr>
                <w:rFonts w:asciiTheme="minorHAnsi" w:eastAsia="Calibri" w:hAnsiTheme="minorHAnsi" w:cs="Calibri"/>
                <w:b/>
                <w:sz w:val="20"/>
                <w:szCs w:val="20"/>
              </w:rPr>
              <w:t>45.750.000</w:t>
            </w:r>
          </w:p>
        </w:tc>
        <w:tc>
          <w:tcPr>
            <w:tcW w:w="4403" w:type="dxa"/>
            <w:gridSpan w:val="2"/>
            <w:vMerge/>
            <w:tcBorders>
              <w:bottom w:val="single" w:sz="4" w:space="0" w:color="auto"/>
              <w:right w:val="single" w:sz="4" w:space="0" w:color="auto"/>
            </w:tcBorders>
            <w:shd w:val="clear" w:color="auto" w:fill="auto"/>
          </w:tcPr>
          <w:p w14:paraId="0F4B0F57" w14:textId="77777777" w:rsidR="00047EF8" w:rsidRPr="00F563CD" w:rsidRDefault="00047EF8" w:rsidP="00A239C5">
            <w:pPr>
              <w:spacing w:after="0" w:line="240" w:lineRule="auto"/>
              <w:rPr>
                <w:rFonts w:asciiTheme="minorHAnsi" w:hAnsiTheme="minorHAnsi"/>
              </w:rPr>
            </w:pPr>
          </w:p>
        </w:tc>
      </w:tr>
      <w:tr w:rsidR="00047EF8" w:rsidRPr="00F563CD" w14:paraId="5E1ACB29" w14:textId="77777777" w:rsidTr="00A239C5">
        <w:trPr>
          <w:trHeight w:val="960"/>
        </w:trPr>
        <w:tc>
          <w:tcPr>
            <w:tcW w:w="9780" w:type="dxa"/>
            <w:gridSpan w:val="4"/>
            <w:tcBorders>
              <w:top w:val="single" w:sz="4" w:space="0" w:color="auto"/>
              <w:left w:val="single" w:sz="8" w:space="0" w:color="auto"/>
              <w:bottom w:val="single" w:sz="4" w:space="0" w:color="auto"/>
              <w:right w:val="single" w:sz="4" w:space="0" w:color="auto"/>
            </w:tcBorders>
            <w:shd w:val="clear" w:color="auto" w:fill="auto"/>
          </w:tcPr>
          <w:p w14:paraId="6587441F" w14:textId="77777777" w:rsidR="00047EF8" w:rsidRPr="00F563CD" w:rsidRDefault="00047EF8" w:rsidP="00A239C5">
            <w:pPr>
              <w:spacing w:after="0" w:line="240" w:lineRule="auto"/>
              <w:rPr>
                <w:rFonts w:asciiTheme="minorHAnsi" w:hAnsiTheme="minorHAnsi"/>
                <w:b/>
                <w:sz w:val="20"/>
                <w:szCs w:val="20"/>
              </w:rPr>
            </w:pPr>
            <w:r w:rsidRPr="00F563CD">
              <w:rPr>
                <w:rFonts w:asciiTheme="minorHAnsi" w:eastAsia="Arial" w:hAnsiTheme="minorHAnsi" w:cs="Arial"/>
                <w:b/>
                <w:bCs/>
                <w:sz w:val="20"/>
                <w:szCs w:val="20"/>
              </w:rPr>
              <w:t xml:space="preserve">Tematski prioritet </w:t>
            </w:r>
            <w:r w:rsidRPr="00F563CD">
              <w:rPr>
                <w:rFonts w:asciiTheme="minorHAnsi" w:hAnsiTheme="minorHAnsi"/>
                <w:b/>
                <w:sz w:val="20"/>
                <w:szCs w:val="20"/>
              </w:rPr>
              <w:t xml:space="preserve">3: Poljoprivreda i ruralni razvoj i </w:t>
            </w:r>
            <w:r w:rsidRPr="00F563CD">
              <w:rPr>
                <w:rFonts w:asciiTheme="minorHAnsi" w:eastAsia="Arial" w:hAnsiTheme="minorHAnsi" w:cs="Arial"/>
                <w:b/>
                <w:bCs/>
                <w:sz w:val="20"/>
                <w:szCs w:val="20"/>
              </w:rPr>
              <w:t xml:space="preserve">Tematski prioritet </w:t>
            </w:r>
            <w:r w:rsidRPr="00F563CD">
              <w:rPr>
                <w:rFonts w:asciiTheme="minorHAnsi" w:hAnsiTheme="minorHAnsi"/>
                <w:b/>
                <w:sz w:val="20"/>
                <w:szCs w:val="20"/>
              </w:rPr>
              <w:t>4: Ribarstvo</w:t>
            </w:r>
          </w:p>
          <w:p w14:paraId="114D50A0" w14:textId="77777777" w:rsidR="00047EF8" w:rsidRPr="00F563CD" w:rsidRDefault="00047EF8" w:rsidP="00A239C5">
            <w:pPr>
              <w:spacing w:after="0" w:line="240" w:lineRule="auto"/>
              <w:rPr>
                <w:rFonts w:asciiTheme="minorHAnsi" w:hAnsiTheme="minorHAnsi"/>
              </w:rPr>
            </w:pPr>
            <w:r w:rsidRPr="00F563CD">
              <w:rPr>
                <w:rFonts w:asciiTheme="minorHAnsi" w:hAnsiTheme="minorHAnsi"/>
                <w:b/>
                <w:sz w:val="20"/>
                <w:szCs w:val="20"/>
              </w:rPr>
              <w:t>Programske godine 2023. i 2024.</w:t>
            </w:r>
          </w:p>
        </w:tc>
      </w:tr>
      <w:tr w:rsidR="00047EF8" w:rsidRPr="00F563CD" w14:paraId="7F45EAEB" w14:textId="77777777" w:rsidTr="00A239C5">
        <w:trPr>
          <w:trHeight w:val="2790"/>
        </w:trPr>
        <w:tc>
          <w:tcPr>
            <w:tcW w:w="2970" w:type="dxa"/>
            <w:tcBorders>
              <w:top w:val="single" w:sz="4" w:space="0" w:color="auto"/>
              <w:left w:val="single" w:sz="8" w:space="0" w:color="auto"/>
              <w:bottom w:val="single" w:sz="4" w:space="0" w:color="auto"/>
              <w:right w:val="single" w:sz="4" w:space="0" w:color="auto"/>
            </w:tcBorders>
            <w:shd w:val="clear" w:color="auto" w:fill="auto"/>
          </w:tcPr>
          <w:p w14:paraId="44F0D736" w14:textId="77777777" w:rsidR="00047EF8" w:rsidRPr="00F563CD" w:rsidRDefault="00496F2B" w:rsidP="00A239C5">
            <w:pPr>
              <w:spacing w:after="0" w:line="240" w:lineRule="auto"/>
              <w:rPr>
                <w:rFonts w:asciiTheme="minorHAnsi" w:hAnsiTheme="minorHAnsi" w:cs="Calibri"/>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sz w:val="20"/>
                <w:szCs w:val="20"/>
              </w:rPr>
              <w:t xml:space="preserve"> 1:  Jačanje pozicije poljoprivrednika u Crnoj Gori u lancu ponude i povećanje konkurentnosti agri-prehrambenog sektora</w:t>
            </w:r>
          </w:p>
          <w:p w14:paraId="667CFAFF" w14:textId="77777777" w:rsidR="00047EF8" w:rsidRPr="00F563CD" w:rsidRDefault="00047EF8" w:rsidP="00A239C5">
            <w:pPr>
              <w:spacing w:after="0" w:line="240" w:lineRule="auto"/>
              <w:rPr>
                <w:rFonts w:asciiTheme="minorHAnsi" w:hAnsiTheme="minorHAnsi"/>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3B5F44F" w14:textId="77777777" w:rsidR="00047EF8" w:rsidRPr="00F563CD" w:rsidRDefault="00047EF8" w:rsidP="00A239C5">
            <w:pPr>
              <w:spacing w:after="0" w:line="240" w:lineRule="auto"/>
              <w:rPr>
                <w:rFonts w:asciiTheme="minorHAnsi" w:hAnsiTheme="minorHAnsi"/>
                <w:sz w:val="20"/>
                <w:szCs w:val="20"/>
              </w:rPr>
            </w:pPr>
          </w:p>
          <w:p w14:paraId="566A5536"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5.000.000 EUR</w:t>
            </w:r>
          </w:p>
        </w:tc>
        <w:tc>
          <w:tcPr>
            <w:tcW w:w="4403" w:type="dxa"/>
            <w:gridSpan w:val="2"/>
            <w:tcBorders>
              <w:top w:val="single" w:sz="4" w:space="0" w:color="auto"/>
              <w:left w:val="single" w:sz="4" w:space="0" w:color="auto"/>
              <w:bottom w:val="single" w:sz="4" w:space="0" w:color="auto"/>
              <w:right w:val="single" w:sz="4" w:space="0" w:color="auto"/>
            </w:tcBorders>
            <w:shd w:val="clear" w:color="auto" w:fill="auto"/>
          </w:tcPr>
          <w:p w14:paraId="4853E2A4"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 xml:space="preserve">Ova akcija će ojačati saradnju između proizvođača, podići svijest i ojačati kapacitete u pogledu veza između agri-prehrambene proizvodnje i zaštite životne sredine, u skladu sa Evropskim zelenim dogovorom, uključujući politike kvaliteta (GI i GTS) sa organskom proizvodnjom. Takođe, kroz ovu akciju, poljoprivrednici bi bili podstaknuti da rade zajedno kako bi povećali konkurentnost i postigli bolje usklađivanje sa standardima EU u oblasti agri-prehrambene proizvodnje.  </w:t>
            </w:r>
          </w:p>
          <w:p w14:paraId="552A883E"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Sektor: Poljoprivreda i ruralni razvoj (Poglavlje 11)</w:t>
            </w:r>
          </w:p>
          <w:p w14:paraId="5BB9841E"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 xml:space="preserve">Vrsta ugovora: usluge </w:t>
            </w:r>
          </w:p>
          <w:p w14:paraId="770E6BAE" w14:textId="77777777" w:rsidR="00047EF8" w:rsidRPr="00F563CD" w:rsidRDefault="00047EF8" w:rsidP="00A239C5">
            <w:pPr>
              <w:spacing w:after="0" w:line="240" w:lineRule="auto"/>
              <w:jc w:val="both"/>
              <w:rPr>
                <w:rFonts w:asciiTheme="minorHAnsi" w:hAnsiTheme="minorHAnsi"/>
              </w:rPr>
            </w:pPr>
          </w:p>
        </w:tc>
      </w:tr>
      <w:tr w:rsidR="00047EF8" w:rsidRPr="00F563CD" w14:paraId="5C493241" w14:textId="77777777" w:rsidTr="00A239C5">
        <w:trPr>
          <w:trHeight w:val="3645"/>
        </w:trPr>
        <w:tc>
          <w:tcPr>
            <w:tcW w:w="2970" w:type="dxa"/>
            <w:tcBorders>
              <w:top w:val="single" w:sz="4" w:space="0" w:color="auto"/>
              <w:left w:val="single" w:sz="8" w:space="0" w:color="auto"/>
              <w:bottom w:val="single" w:sz="4" w:space="0" w:color="auto"/>
              <w:right w:val="single" w:sz="4" w:space="0" w:color="auto"/>
            </w:tcBorders>
            <w:shd w:val="clear" w:color="auto" w:fill="auto"/>
          </w:tcPr>
          <w:p w14:paraId="38522B30" w14:textId="77777777" w:rsidR="00047EF8" w:rsidRPr="00F563CD" w:rsidRDefault="00BA2663" w:rsidP="00A239C5">
            <w:pPr>
              <w:spacing w:after="0" w:line="240" w:lineRule="auto"/>
              <w:rPr>
                <w:rFonts w:asciiTheme="minorHAnsi" w:hAnsiTheme="minorHAnsi" w:cs="Calibri"/>
                <w:sz w:val="20"/>
                <w:szCs w:val="20"/>
                <w:u w:val="single"/>
              </w:rPr>
            </w:pPr>
            <w:r w:rsidRPr="00F563CD">
              <w:rPr>
                <w:rFonts w:asciiTheme="minorHAnsi" w:hAnsiTheme="minorHAnsi" w:cs="Arial"/>
                <w:sz w:val="20"/>
                <w:szCs w:val="20"/>
              </w:rPr>
              <w:lastRenderedPageBreak/>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b/>
                <w:sz w:val="20"/>
                <w:szCs w:val="20"/>
              </w:rPr>
              <w:t xml:space="preserve"> </w:t>
            </w:r>
            <w:r w:rsidR="00047EF8" w:rsidRPr="00F563CD">
              <w:rPr>
                <w:rFonts w:asciiTheme="minorHAnsi" w:hAnsiTheme="minorHAnsi" w:cs="Calibri"/>
                <w:sz w:val="20"/>
                <w:szCs w:val="20"/>
              </w:rPr>
              <w:t>2</w:t>
            </w:r>
            <w:r w:rsidR="00047EF8" w:rsidRPr="00F563CD">
              <w:rPr>
                <w:rFonts w:asciiTheme="minorHAnsi" w:hAnsiTheme="minorHAnsi" w:cs="Calibri"/>
                <w:b/>
                <w:i/>
                <w:sz w:val="20"/>
                <w:szCs w:val="20"/>
              </w:rPr>
              <w:t>:</w:t>
            </w:r>
            <w:r w:rsidR="00047EF8" w:rsidRPr="00F563CD">
              <w:rPr>
                <w:rFonts w:asciiTheme="minorHAnsi" w:hAnsiTheme="minorHAnsi" w:cs="Calibri"/>
                <w:sz w:val="20"/>
                <w:szCs w:val="20"/>
              </w:rPr>
              <w:t xml:space="preserve"> Dalje jačanje administrativnih kapaciteta Ministarstva poljoprivrede, šumarstva i vodoprivrede za usklađivanje i sprovođenje Zajedničke poljoprivredne politike u skladu sa kriterijumima EU kako bi se ispunila završna mjerila</w:t>
            </w:r>
            <w:r w:rsidR="00047EF8" w:rsidRPr="00F563CD">
              <w:rPr>
                <w:rFonts w:asciiTheme="minorHAnsi" w:hAnsiTheme="minorHAnsi" w:cs="Calibri"/>
                <w:sz w:val="20"/>
                <w:szCs w:val="20"/>
                <w:u w:val="single"/>
              </w:rPr>
              <w:t xml:space="preserve"> </w:t>
            </w:r>
          </w:p>
          <w:p w14:paraId="434FA6FB" w14:textId="77777777" w:rsidR="00047EF8" w:rsidRPr="00F563CD" w:rsidRDefault="00047EF8" w:rsidP="00A239C5">
            <w:pPr>
              <w:spacing w:after="0" w:line="240" w:lineRule="auto"/>
              <w:rPr>
                <w:rFonts w:asciiTheme="minorHAnsi" w:hAnsiTheme="minorHAnsi" w:cs="Calibri"/>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61C5BD27"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3.000.000 EUR</w:t>
            </w:r>
          </w:p>
        </w:tc>
        <w:tc>
          <w:tcPr>
            <w:tcW w:w="4403" w:type="dxa"/>
            <w:gridSpan w:val="2"/>
            <w:tcBorders>
              <w:top w:val="single" w:sz="4" w:space="0" w:color="auto"/>
              <w:left w:val="single" w:sz="4" w:space="0" w:color="auto"/>
              <w:bottom w:val="single" w:sz="4" w:space="0" w:color="auto"/>
              <w:right w:val="single" w:sz="4" w:space="0" w:color="auto"/>
            </w:tcBorders>
            <w:shd w:val="clear" w:color="auto" w:fill="auto"/>
          </w:tcPr>
          <w:p w14:paraId="79F6766D"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Ova akcija će doprinijeti usklađivanju Sistema integrisane uprave i kontrole (IACS) kako bi bio u potpunosti funkcionalan u skladu sa Zajedničkom politikom Evropske unije za poljoprivredu (CAP). Već uspostavljene komponente IACS treba da budu dalje osnažene i integrisane kako bi se koristile za kontrolu zahtjeva unakrsnog usklađivanja. Štaviše, sistemi za organizaciju zajedničkog tržišta i sprovođenje mjera za ruralni razvoj treba da se uspostave i da budu spremni za sprovođenje. Ova aktivnost će takođe obuhvatiti jačanje tehničkog kapaciteta sistema FADN i uspostavljanje sistema praćenja cijena.</w:t>
            </w:r>
          </w:p>
          <w:p w14:paraId="7F2A3E10"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Sektor: Poljoprivreda i ruralni razvoj (Poglavlje 11)</w:t>
            </w:r>
          </w:p>
          <w:p w14:paraId="129BDF6E"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Vrsta ugovora: Twinning</w:t>
            </w:r>
          </w:p>
          <w:p w14:paraId="00D73CEE" w14:textId="77777777" w:rsidR="00047EF8" w:rsidRPr="00F563CD" w:rsidRDefault="00047EF8" w:rsidP="00A239C5">
            <w:pPr>
              <w:spacing w:after="0" w:line="240" w:lineRule="auto"/>
              <w:jc w:val="both"/>
              <w:rPr>
                <w:rFonts w:asciiTheme="minorHAnsi" w:eastAsia="Arial" w:hAnsiTheme="minorHAnsi" w:cs="Arial"/>
                <w:iCs/>
                <w:sz w:val="20"/>
                <w:szCs w:val="20"/>
              </w:rPr>
            </w:pPr>
          </w:p>
        </w:tc>
      </w:tr>
      <w:tr w:rsidR="00047EF8" w:rsidRPr="00F563CD" w14:paraId="7C9F2954" w14:textId="77777777" w:rsidTr="00A239C5">
        <w:trPr>
          <w:trHeight w:val="4650"/>
        </w:trPr>
        <w:tc>
          <w:tcPr>
            <w:tcW w:w="2970" w:type="dxa"/>
            <w:tcBorders>
              <w:top w:val="single" w:sz="4" w:space="0" w:color="auto"/>
              <w:left w:val="single" w:sz="8" w:space="0" w:color="auto"/>
              <w:bottom w:val="single" w:sz="4" w:space="0" w:color="auto"/>
              <w:right w:val="single" w:sz="4" w:space="0" w:color="auto"/>
            </w:tcBorders>
            <w:shd w:val="clear" w:color="auto" w:fill="auto"/>
          </w:tcPr>
          <w:p w14:paraId="7F19BF80" w14:textId="2FCE7A51" w:rsidR="00047EF8" w:rsidRPr="00F563CD" w:rsidRDefault="00086147" w:rsidP="00A239C5">
            <w:pPr>
              <w:spacing w:after="0" w:line="240" w:lineRule="auto"/>
              <w:rPr>
                <w:rFonts w:asciiTheme="minorHAnsi" w:hAnsiTheme="minorHAnsi" w:cs="Calibri"/>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b/>
                <w:sz w:val="20"/>
                <w:szCs w:val="20"/>
              </w:rPr>
              <w:t xml:space="preserve"> </w:t>
            </w:r>
            <w:r w:rsidR="00047EF8" w:rsidRPr="00F563CD">
              <w:rPr>
                <w:rFonts w:asciiTheme="minorHAnsi" w:hAnsiTheme="minorHAnsi" w:cs="Calibri"/>
                <w:sz w:val="20"/>
                <w:szCs w:val="20"/>
              </w:rPr>
              <w:t xml:space="preserve">3: Dalje unapređenje administrativnih i inspekcijskih kapaciteta Uprave za ribarstvo za odgovarajuće sprovođenje Zajedničke </w:t>
            </w:r>
            <w:r w:rsidR="00547174" w:rsidRPr="00F563CD">
              <w:rPr>
                <w:rFonts w:asciiTheme="minorHAnsi" w:hAnsiTheme="minorHAnsi" w:cs="Calibri"/>
                <w:sz w:val="20"/>
                <w:szCs w:val="20"/>
              </w:rPr>
              <w:t>politike za</w:t>
            </w:r>
            <w:r w:rsidR="00047EF8" w:rsidRPr="00F563CD">
              <w:rPr>
                <w:rFonts w:asciiTheme="minorHAnsi" w:hAnsiTheme="minorHAnsi" w:cs="Calibri"/>
                <w:sz w:val="20"/>
                <w:szCs w:val="20"/>
              </w:rPr>
              <w:t xml:space="preserve"> ribarstvo</w:t>
            </w:r>
          </w:p>
          <w:p w14:paraId="19D49FA4" w14:textId="77777777" w:rsidR="00047EF8" w:rsidRPr="00F563CD" w:rsidRDefault="00047EF8" w:rsidP="00A239C5">
            <w:pPr>
              <w:spacing w:after="0" w:line="240" w:lineRule="auto"/>
              <w:rPr>
                <w:rFonts w:asciiTheme="minorHAnsi" w:hAnsiTheme="minorHAnsi" w:cs="Calibri"/>
                <w:sz w:val="20"/>
                <w:szCs w:val="20"/>
              </w:rPr>
            </w:pPr>
          </w:p>
          <w:p w14:paraId="0CFD2016" w14:textId="77777777" w:rsidR="00047EF8" w:rsidRPr="00F563CD" w:rsidRDefault="00047EF8" w:rsidP="00A239C5">
            <w:pPr>
              <w:spacing w:after="0" w:line="240" w:lineRule="auto"/>
              <w:rPr>
                <w:rFonts w:asciiTheme="minorHAnsi" w:hAnsiTheme="minorHAnsi" w:cs="Calibri"/>
                <w:sz w:val="20"/>
                <w:szCs w:val="20"/>
              </w:rPr>
            </w:pPr>
          </w:p>
          <w:p w14:paraId="65C4A6BC" w14:textId="77777777" w:rsidR="00047EF8" w:rsidRPr="00F563CD" w:rsidRDefault="00047EF8" w:rsidP="00A239C5">
            <w:pPr>
              <w:spacing w:after="0" w:line="240" w:lineRule="auto"/>
              <w:rPr>
                <w:rFonts w:asciiTheme="minorHAnsi" w:hAnsiTheme="minorHAnsi" w:cs="Calibri"/>
                <w:sz w:val="20"/>
                <w:szCs w:val="20"/>
              </w:rPr>
            </w:pPr>
          </w:p>
          <w:p w14:paraId="443D63B9" w14:textId="77777777" w:rsidR="00047EF8" w:rsidRPr="00F563CD" w:rsidRDefault="00047EF8" w:rsidP="00A239C5">
            <w:pPr>
              <w:spacing w:after="0" w:line="240" w:lineRule="auto"/>
              <w:rPr>
                <w:rFonts w:asciiTheme="minorHAnsi" w:hAnsiTheme="minorHAnsi" w:cs="Calibri"/>
                <w:sz w:val="20"/>
                <w:szCs w:val="20"/>
              </w:rPr>
            </w:pPr>
          </w:p>
          <w:p w14:paraId="0227797E" w14:textId="77777777" w:rsidR="00047EF8" w:rsidRPr="00F563CD" w:rsidRDefault="00047EF8" w:rsidP="00A239C5">
            <w:pPr>
              <w:spacing w:after="0" w:line="240" w:lineRule="auto"/>
              <w:rPr>
                <w:rFonts w:asciiTheme="minorHAnsi" w:hAnsiTheme="minorHAnsi" w:cs="Calibri"/>
                <w:sz w:val="20"/>
                <w:szCs w:val="20"/>
              </w:rPr>
            </w:pPr>
          </w:p>
          <w:p w14:paraId="3F6C7C9D" w14:textId="77777777" w:rsidR="00047EF8" w:rsidRPr="00F563CD" w:rsidRDefault="00047EF8" w:rsidP="00A239C5">
            <w:pPr>
              <w:spacing w:after="0" w:line="240" w:lineRule="auto"/>
              <w:rPr>
                <w:rFonts w:asciiTheme="minorHAnsi" w:hAnsiTheme="minorHAnsi" w:cs="Calibri"/>
                <w:sz w:val="20"/>
                <w:szCs w:val="20"/>
              </w:rPr>
            </w:pPr>
          </w:p>
          <w:p w14:paraId="3FF56276" w14:textId="77777777" w:rsidR="00047EF8" w:rsidRPr="00F563CD" w:rsidRDefault="00047EF8" w:rsidP="00A239C5">
            <w:pPr>
              <w:spacing w:after="0" w:line="240" w:lineRule="auto"/>
              <w:rPr>
                <w:rFonts w:asciiTheme="minorHAnsi" w:hAnsiTheme="minorHAnsi" w:cs="Calibri"/>
                <w:sz w:val="20"/>
                <w:szCs w:val="20"/>
              </w:rPr>
            </w:pPr>
          </w:p>
          <w:p w14:paraId="43CF2807" w14:textId="77777777" w:rsidR="00047EF8" w:rsidRPr="00F563CD" w:rsidRDefault="00047EF8" w:rsidP="00A239C5">
            <w:pPr>
              <w:spacing w:after="0" w:line="240" w:lineRule="auto"/>
              <w:rPr>
                <w:rFonts w:asciiTheme="minorHAnsi" w:hAnsiTheme="minorHAnsi" w:cs="Calibri"/>
                <w:sz w:val="20"/>
                <w:szCs w:val="20"/>
              </w:rPr>
            </w:pPr>
          </w:p>
          <w:p w14:paraId="7D3F623D" w14:textId="77777777" w:rsidR="00047EF8" w:rsidRPr="00F563CD" w:rsidRDefault="00047EF8" w:rsidP="00A239C5">
            <w:pPr>
              <w:spacing w:after="0" w:line="240" w:lineRule="auto"/>
              <w:rPr>
                <w:rFonts w:asciiTheme="minorHAnsi" w:hAnsiTheme="minorHAnsi" w:cs="Calibri"/>
                <w:sz w:val="20"/>
                <w:szCs w:val="20"/>
              </w:rPr>
            </w:pPr>
          </w:p>
          <w:p w14:paraId="03A8CC3A" w14:textId="77777777" w:rsidR="00047EF8" w:rsidRPr="00F563CD" w:rsidRDefault="00047EF8" w:rsidP="00A239C5">
            <w:pPr>
              <w:spacing w:after="0" w:line="240" w:lineRule="auto"/>
              <w:rPr>
                <w:rFonts w:asciiTheme="minorHAnsi" w:hAnsiTheme="minorHAnsi" w:cs="Calibri"/>
                <w:sz w:val="20"/>
                <w:szCs w:val="20"/>
              </w:rPr>
            </w:pPr>
          </w:p>
          <w:p w14:paraId="7DAF8F87" w14:textId="77777777" w:rsidR="00047EF8" w:rsidRPr="00F563CD" w:rsidRDefault="00047EF8" w:rsidP="00A239C5">
            <w:pPr>
              <w:spacing w:after="0" w:line="240" w:lineRule="auto"/>
              <w:rPr>
                <w:rFonts w:asciiTheme="minorHAnsi" w:hAnsiTheme="minorHAnsi" w:cs="Calibri"/>
                <w:sz w:val="20"/>
                <w:szCs w:val="20"/>
              </w:rPr>
            </w:pPr>
          </w:p>
          <w:p w14:paraId="532232AA" w14:textId="77777777" w:rsidR="00047EF8" w:rsidRPr="00F563CD" w:rsidRDefault="00047EF8" w:rsidP="00A239C5">
            <w:pPr>
              <w:spacing w:after="0" w:line="240" w:lineRule="auto"/>
              <w:rPr>
                <w:rFonts w:asciiTheme="minorHAnsi" w:hAnsiTheme="minorHAnsi" w:cs="Calibri"/>
                <w:sz w:val="20"/>
                <w:szCs w:val="20"/>
              </w:rPr>
            </w:pPr>
          </w:p>
          <w:p w14:paraId="61FE9114" w14:textId="77777777" w:rsidR="00047EF8" w:rsidRPr="00F563CD" w:rsidRDefault="00047EF8" w:rsidP="00A239C5">
            <w:pPr>
              <w:spacing w:after="0" w:line="240" w:lineRule="auto"/>
              <w:rPr>
                <w:rFonts w:asciiTheme="minorHAnsi" w:hAnsiTheme="minorHAnsi" w:cs="Calibri"/>
                <w:sz w:val="20"/>
                <w:szCs w:val="20"/>
              </w:rPr>
            </w:pPr>
          </w:p>
          <w:p w14:paraId="7E1086A0" w14:textId="77777777" w:rsidR="00047EF8" w:rsidRPr="00F563CD" w:rsidRDefault="00047EF8" w:rsidP="00A239C5">
            <w:pPr>
              <w:spacing w:after="0" w:line="240" w:lineRule="auto"/>
              <w:rPr>
                <w:rFonts w:asciiTheme="minorHAnsi" w:hAnsiTheme="minorHAnsi" w:cs="Calibri"/>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5B09AA93"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3.000.000 EUR</w:t>
            </w:r>
          </w:p>
        </w:tc>
        <w:tc>
          <w:tcPr>
            <w:tcW w:w="4403" w:type="dxa"/>
            <w:gridSpan w:val="2"/>
            <w:tcBorders>
              <w:top w:val="single" w:sz="4" w:space="0" w:color="auto"/>
              <w:left w:val="single" w:sz="4" w:space="0" w:color="auto"/>
              <w:bottom w:val="single" w:sz="4" w:space="0" w:color="auto"/>
              <w:right w:val="single" w:sz="4" w:space="0" w:color="auto"/>
            </w:tcBorders>
            <w:shd w:val="clear" w:color="auto" w:fill="auto"/>
          </w:tcPr>
          <w:p w14:paraId="1CE1AC63"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 xml:space="preserve">Ova akcija će obuhvatiti usklađivanje nacionalnih zakona kako bi se omogućio visok stepen usklađivanja sa trenutnim zakonima Evropske unije u oblasti ribarstva i akvakulture. Ovo će osigurati da Crna Gora bude u mogućnosti da u potpunosti primijeni Zajedničku politiku za ribarstvo. Ona takođe treba značajno da ojača administrativne, inspekcijske i kontrolne kapacitete koje zahtijeva Zajednička politika za ribarstvo i da osigura da su zahtjevi EU ispunjeni do datuma pristupanja. Informacioni sistem za ribarstvo i Centar za monitoring ribarstva takođe treba da budu u potpunosti usklađeni sa sadašnjim zahtjevima i standardima Evropske unije. Posebna pažnja u ovoj oblasti treba da se posveti sistemu praćenja u ribarstvu i akvakulturi.  </w:t>
            </w:r>
          </w:p>
          <w:p w14:paraId="189F036C"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Vrste ugovora: usluge (usklađivanje nacionalnih zakona, administrativni i inspekcijski kapaciteti, nadgradnja postojećih pod-sistema Informacionog sistema za ribarstvo) i nabavka (oprema za Informacioni sistem za ribarstvo i nadgradnja Centra za monitoring ribarstva).</w:t>
            </w:r>
          </w:p>
          <w:p w14:paraId="2752F537"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Sektor: Ribarstvo (Poglavlje 13)</w:t>
            </w:r>
          </w:p>
          <w:p w14:paraId="3496148D"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Vrsta ugovora: usluge i nabavka</w:t>
            </w:r>
          </w:p>
        </w:tc>
      </w:tr>
      <w:tr w:rsidR="00047EF8" w:rsidRPr="00F563CD" w14:paraId="608FEE07" w14:textId="77777777" w:rsidTr="00A239C5">
        <w:trPr>
          <w:trHeight w:val="4367"/>
        </w:trPr>
        <w:tc>
          <w:tcPr>
            <w:tcW w:w="2970" w:type="dxa"/>
            <w:tcBorders>
              <w:top w:val="single" w:sz="4" w:space="0" w:color="auto"/>
              <w:left w:val="single" w:sz="8" w:space="0" w:color="auto"/>
              <w:bottom w:val="single" w:sz="4" w:space="0" w:color="auto"/>
              <w:right w:val="single" w:sz="4" w:space="0" w:color="auto"/>
            </w:tcBorders>
            <w:shd w:val="clear" w:color="auto" w:fill="auto"/>
          </w:tcPr>
          <w:p w14:paraId="3197EC25" w14:textId="7AA89532" w:rsidR="00047EF8" w:rsidRPr="00F563CD" w:rsidRDefault="00086147" w:rsidP="00A239C5">
            <w:pPr>
              <w:spacing w:after="0" w:line="240" w:lineRule="auto"/>
              <w:rPr>
                <w:rFonts w:asciiTheme="minorHAnsi" w:hAnsiTheme="minorHAnsi" w:cs="Calibri"/>
                <w:sz w:val="20"/>
                <w:szCs w:val="20"/>
              </w:rPr>
            </w:pPr>
            <w:r w:rsidRPr="00F563CD">
              <w:rPr>
                <w:rFonts w:asciiTheme="minorHAnsi" w:hAnsiTheme="minorHAnsi" w:cs="Arial"/>
                <w:sz w:val="20"/>
                <w:szCs w:val="20"/>
              </w:rPr>
              <w:lastRenderedPageBreak/>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sz w:val="20"/>
                <w:szCs w:val="20"/>
              </w:rPr>
              <w:t xml:space="preserve"> 4: Razvoj II Nacionalne inventure šuma</w:t>
            </w:r>
          </w:p>
          <w:p w14:paraId="2C4B1C1D" w14:textId="77777777" w:rsidR="00047EF8" w:rsidRPr="00F563CD" w:rsidRDefault="00047EF8" w:rsidP="00A239C5">
            <w:pPr>
              <w:spacing w:after="0" w:line="240" w:lineRule="auto"/>
              <w:rPr>
                <w:rFonts w:asciiTheme="minorHAnsi" w:hAnsiTheme="minorHAnsi" w:cs="Calibri"/>
                <w:sz w:val="20"/>
                <w:szCs w:val="20"/>
              </w:rPr>
            </w:pPr>
          </w:p>
          <w:p w14:paraId="58824D40" w14:textId="77777777" w:rsidR="00047EF8" w:rsidRPr="00F563CD" w:rsidRDefault="00047EF8" w:rsidP="00A239C5">
            <w:pPr>
              <w:spacing w:after="0" w:line="240" w:lineRule="auto"/>
              <w:rPr>
                <w:rFonts w:asciiTheme="minorHAnsi" w:hAnsiTheme="minorHAnsi" w:cs="Calibri"/>
                <w:sz w:val="20"/>
                <w:szCs w:val="20"/>
              </w:rPr>
            </w:pPr>
          </w:p>
          <w:p w14:paraId="19DA881A" w14:textId="77777777" w:rsidR="00047EF8" w:rsidRPr="00F563CD" w:rsidRDefault="00047EF8" w:rsidP="00A239C5">
            <w:pPr>
              <w:spacing w:after="0" w:line="240" w:lineRule="auto"/>
              <w:rPr>
                <w:rFonts w:asciiTheme="minorHAnsi" w:hAnsiTheme="minorHAnsi" w:cs="Calibri"/>
                <w:sz w:val="20"/>
                <w:szCs w:val="20"/>
              </w:rPr>
            </w:pPr>
          </w:p>
          <w:p w14:paraId="6FA40231" w14:textId="77777777" w:rsidR="00047EF8" w:rsidRPr="00F563CD" w:rsidRDefault="00047EF8" w:rsidP="00A239C5">
            <w:pPr>
              <w:spacing w:after="0" w:line="240" w:lineRule="auto"/>
              <w:rPr>
                <w:rFonts w:asciiTheme="minorHAnsi" w:hAnsiTheme="minorHAnsi" w:cs="Calibri"/>
                <w:sz w:val="20"/>
                <w:szCs w:val="20"/>
              </w:rPr>
            </w:pPr>
          </w:p>
          <w:p w14:paraId="01F50D36" w14:textId="77777777" w:rsidR="00047EF8" w:rsidRPr="00F563CD" w:rsidRDefault="00047EF8" w:rsidP="00A239C5">
            <w:pPr>
              <w:spacing w:after="0" w:line="240" w:lineRule="auto"/>
              <w:rPr>
                <w:rFonts w:asciiTheme="minorHAnsi" w:hAnsiTheme="minorHAnsi" w:cs="Calibri"/>
                <w:sz w:val="20"/>
                <w:szCs w:val="20"/>
              </w:rPr>
            </w:pPr>
          </w:p>
          <w:p w14:paraId="31088A63" w14:textId="77777777" w:rsidR="00047EF8" w:rsidRPr="00F563CD" w:rsidRDefault="00047EF8" w:rsidP="00A239C5">
            <w:pPr>
              <w:spacing w:after="0" w:line="240" w:lineRule="auto"/>
              <w:rPr>
                <w:rFonts w:asciiTheme="minorHAnsi" w:hAnsiTheme="minorHAnsi" w:cs="Calibri"/>
                <w:sz w:val="20"/>
                <w:szCs w:val="20"/>
              </w:rPr>
            </w:pPr>
          </w:p>
          <w:p w14:paraId="2FB1D388" w14:textId="77777777" w:rsidR="00047EF8" w:rsidRPr="00F563CD" w:rsidRDefault="00047EF8" w:rsidP="00A239C5">
            <w:pPr>
              <w:spacing w:after="0" w:line="240" w:lineRule="auto"/>
              <w:rPr>
                <w:rFonts w:asciiTheme="minorHAnsi" w:hAnsiTheme="minorHAnsi" w:cs="Calibri"/>
                <w:b/>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0ACF5967" w14:textId="393D1368"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1.100.000 EUR</w:t>
            </w:r>
          </w:p>
        </w:tc>
        <w:tc>
          <w:tcPr>
            <w:tcW w:w="4403" w:type="dxa"/>
            <w:gridSpan w:val="2"/>
            <w:tcBorders>
              <w:top w:val="single" w:sz="4" w:space="0" w:color="auto"/>
              <w:left w:val="single" w:sz="4" w:space="0" w:color="auto"/>
              <w:bottom w:val="single" w:sz="4" w:space="0" w:color="auto"/>
              <w:right w:val="single" w:sz="4" w:space="0" w:color="auto"/>
            </w:tcBorders>
            <w:shd w:val="clear" w:color="auto" w:fill="auto"/>
          </w:tcPr>
          <w:p w14:paraId="19A2019E" w14:textId="3E0EDF64"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Nacionalna inventura šuma omogućava sveobuhvatni pregled šuma kao značajnog nacionalnog prirodnog resursa na državnom nivou. Ovaj pregled omogućava Vladi ne samo da ispuni svoje međunarodne obaveze u sektoru šumarstva, već i da prikupi sve relevantne podatke na jednom mjestu i da donosi informisane odluke o budućoj strategiji održivog upravljanja šumskim resursima, neophodnog faktora ekonomskog razvoja u ruralnim područjima na sjeveru. Prva Nacionalna inventura šuma pružila je precizne informacije o količini šuma u Crnoj Gori i to je prvi dokument koji je pokrio cijelu teritoriju Crne Gore, uključujući šume koje su i u državnom i u privatnom vlasništvu.</w:t>
            </w:r>
          </w:p>
          <w:p w14:paraId="7724C1D8"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Sektor: šumarstvo (Poglavlje 13)</w:t>
            </w:r>
          </w:p>
          <w:p w14:paraId="582D6531"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Vrsta ugovora: usluge i nabavka</w:t>
            </w:r>
          </w:p>
        </w:tc>
      </w:tr>
      <w:tr w:rsidR="00047EF8" w:rsidRPr="00F563CD" w14:paraId="71A08E23" w14:textId="77777777" w:rsidTr="00A239C5">
        <w:trPr>
          <w:trHeight w:val="720"/>
        </w:trPr>
        <w:tc>
          <w:tcPr>
            <w:tcW w:w="2970" w:type="dxa"/>
            <w:tcBorders>
              <w:top w:val="single" w:sz="4" w:space="0" w:color="auto"/>
              <w:left w:val="single" w:sz="8" w:space="0" w:color="auto"/>
              <w:bottom w:val="single" w:sz="4" w:space="0" w:color="auto"/>
              <w:right w:val="single" w:sz="4" w:space="0" w:color="auto"/>
            </w:tcBorders>
            <w:shd w:val="clear" w:color="auto" w:fill="auto"/>
          </w:tcPr>
          <w:p w14:paraId="274B7306" w14:textId="69011B7E" w:rsidR="00047EF8" w:rsidRPr="00F563CD" w:rsidRDefault="001C4F31" w:rsidP="00A239C5">
            <w:pPr>
              <w:spacing w:after="0" w:line="240" w:lineRule="auto"/>
              <w:rPr>
                <w:rFonts w:asciiTheme="minorHAnsi" w:hAnsiTheme="minorHAnsi" w:cs="Calibri"/>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sz w:val="20"/>
                <w:szCs w:val="20"/>
              </w:rPr>
              <w:t xml:space="preserve"> 5: Nadgradnja i dalji razvoj postojećih registara i IT opreme u skladu sa kriterijumima Evropske unije</w:t>
            </w:r>
          </w:p>
          <w:p w14:paraId="148867A0" w14:textId="77777777" w:rsidR="00047EF8" w:rsidRPr="00F563CD" w:rsidRDefault="00047EF8" w:rsidP="00A239C5">
            <w:pPr>
              <w:spacing w:after="0" w:line="240" w:lineRule="auto"/>
              <w:rPr>
                <w:rFonts w:asciiTheme="minorHAnsi" w:hAnsiTheme="minorHAnsi" w:cs="Calibri"/>
                <w:sz w:val="20"/>
                <w:szCs w:val="20"/>
              </w:rPr>
            </w:pPr>
          </w:p>
          <w:p w14:paraId="4FFC32AD" w14:textId="77777777" w:rsidR="00047EF8" w:rsidRPr="00F563CD" w:rsidRDefault="00047EF8" w:rsidP="00A239C5">
            <w:pPr>
              <w:spacing w:after="0" w:line="240" w:lineRule="auto"/>
              <w:rPr>
                <w:rFonts w:asciiTheme="minorHAnsi" w:hAnsiTheme="minorHAnsi" w:cs="Calibri"/>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1930F09D"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Orto-foto mape za LPIS-200.000</w:t>
            </w:r>
          </w:p>
          <w:p w14:paraId="058B81BE"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Nadgradnja svih softverskih rješenja za Ministarstvo poljoprivrede, šumarstva i vodoprivrede i Agenciju za plaćanja -500.000</w:t>
            </w:r>
          </w:p>
          <w:p w14:paraId="53FD0D2B" w14:textId="77777777" w:rsidR="00047EF8" w:rsidRPr="00F563CD" w:rsidRDefault="00047EF8" w:rsidP="00A239C5">
            <w:pPr>
              <w:spacing w:after="0" w:line="240" w:lineRule="auto"/>
              <w:rPr>
                <w:rFonts w:asciiTheme="minorHAnsi" w:hAnsiTheme="minorHAnsi"/>
                <w:sz w:val="20"/>
                <w:szCs w:val="20"/>
              </w:rPr>
            </w:pPr>
          </w:p>
          <w:p w14:paraId="2DEF1ED6"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IT oprema-500.000</w:t>
            </w:r>
          </w:p>
          <w:p w14:paraId="497EC704" w14:textId="77777777" w:rsidR="00047EF8" w:rsidRPr="00F563CD" w:rsidRDefault="00047EF8" w:rsidP="00A239C5">
            <w:pPr>
              <w:spacing w:after="0" w:line="240" w:lineRule="auto"/>
              <w:rPr>
                <w:rFonts w:asciiTheme="minorHAnsi" w:hAnsiTheme="minorHAnsi"/>
                <w:sz w:val="20"/>
                <w:szCs w:val="20"/>
              </w:rPr>
            </w:pPr>
          </w:p>
          <w:p w14:paraId="1FA5C50A"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Ukupno: 1.200.000 EUR</w:t>
            </w:r>
          </w:p>
        </w:tc>
        <w:tc>
          <w:tcPr>
            <w:tcW w:w="4403" w:type="dxa"/>
            <w:gridSpan w:val="2"/>
            <w:tcBorders>
              <w:top w:val="single" w:sz="4" w:space="0" w:color="auto"/>
              <w:left w:val="single" w:sz="4" w:space="0" w:color="auto"/>
              <w:bottom w:val="single" w:sz="4" w:space="0" w:color="auto"/>
              <w:right w:val="single" w:sz="4" w:space="0" w:color="auto"/>
            </w:tcBorders>
            <w:shd w:val="clear" w:color="auto" w:fill="auto"/>
          </w:tcPr>
          <w:p w14:paraId="3584C948"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 xml:space="preserve">Ova aktivnost obuhvata nabavku koja se odnosi na nove </w:t>
            </w:r>
            <w:r w:rsidRPr="00F563CD">
              <w:rPr>
                <w:rFonts w:asciiTheme="minorHAnsi" w:hAnsiTheme="minorHAnsi"/>
                <w:sz w:val="20"/>
                <w:szCs w:val="20"/>
              </w:rPr>
              <w:t>orto-foto mape za LPIS</w:t>
            </w:r>
            <w:r w:rsidRPr="00F563CD">
              <w:rPr>
                <w:rFonts w:asciiTheme="minorHAnsi" w:eastAsia="Arial" w:hAnsiTheme="minorHAnsi" w:cs="Arial"/>
                <w:iCs/>
                <w:sz w:val="20"/>
                <w:szCs w:val="20"/>
              </w:rPr>
              <w:t xml:space="preserve">, </w:t>
            </w:r>
            <w:r w:rsidRPr="00F563CD">
              <w:rPr>
                <w:rFonts w:asciiTheme="minorHAnsi" w:hAnsiTheme="minorHAnsi"/>
                <w:sz w:val="20"/>
                <w:szCs w:val="20"/>
              </w:rPr>
              <w:t>nadgradnju svih softverskih rješenja za</w:t>
            </w:r>
            <w:r w:rsidRPr="00F563CD">
              <w:rPr>
                <w:rFonts w:asciiTheme="minorHAnsi" w:eastAsia="Arial" w:hAnsiTheme="minorHAnsi" w:cs="Arial"/>
                <w:iCs/>
                <w:sz w:val="20"/>
                <w:szCs w:val="20"/>
              </w:rPr>
              <w:t xml:space="preserve"> upravljanje dokazima (predaja, kontrola i dokazi) svih zahtjeva i plaćanja EAGF i EARFD i sistema za računovodstvo i finansijsko izvještavanje Generalnom direktoratu za poljoprivredu, nadgradnja softverskih rješenja za implementaciju organizacije zajedničkog tržišta, za registar trgovaca voćem i povrćem, kao i registra </w:t>
            </w:r>
            <w:proofErr w:type="gramStart"/>
            <w:r w:rsidRPr="00F563CD">
              <w:rPr>
                <w:rFonts w:asciiTheme="minorHAnsi" w:eastAsia="Arial" w:hAnsiTheme="minorHAnsi" w:cs="Arial"/>
                <w:iCs/>
                <w:sz w:val="20"/>
                <w:szCs w:val="20"/>
              </w:rPr>
              <w:t>za  uzgajivače</w:t>
            </w:r>
            <w:proofErr w:type="gramEnd"/>
            <w:r w:rsidRPr="00F563CD">
              <w:rPr>
                <w:rFonts w:asciiTheme="minorHAnsi" w:eastAsia="Arial" w:hAnsiTheme="minorHAnsi" w:cs="Arial"/>
                <w:iCs/>
                <w:sz w:val="20"/>
                <w:szCs w:val="20"/>
              </w:rPr>
              <w:t xml:space="preserve"> vina i maslina.</w:t>
            </w:r>
          </w:p>
          <w:p w14:paraId="422A8EEC"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Sektor: poljoprivreda i ruralni razvoj (Poglavlje 11)</w:t>
            </w:r>
          </w:p>
          <w:p w14:paraId="75B9BD50"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Vrste ugovora: nabavka i usluge</w:t>
            </w:r>
          </w:p>
        </w:tc>
      </w:tr>
      <w:tr w:rsidR="00047EF8" w:rsidRPr="00F563CD" w14:paraId="0E188A51" w14:textId="77777777" w:rsidTr="00A239C5">
        <w:trPr>
          <w:trHeight w:val="975"/>
        </w:trPr>
        <w:tc>
          <w:tcPr>
            <w:tcW w:w="2970" w:type="dxa"/>
            <w:tcBorders>
              <w:top w:val="single" w:sz="4" w:space="0" w:color="auto"/>
              <w:left w:val="single" w:sz="8" w:space="0" w:color="auto"/>
              <w:bottom w:val="single" w:sz="4" w:space="0" w:color="auto"/>
              <w:right w:val="single" w:sz="4" w:space="0" w:color="auto"/>
            </w:tcBorders>
            <w:shd w:val="clear" w:color="auto" w:fill="auto"/>
          </w:tcPr>
          <w:p w14:paraId="53E4FB6A" w14:textId="6F80FBC5" w:rsidR="00047EF8" w:rsidRPr="00F563CD" w:rsidRDefault="001C4F31" w:rsidP="00A239C5">
            <w:pPr>
              <w:spacing w:after="0" w:line="240" w:lineRule="auto"/>
              <w:rPr>
                <w:rFonts w:asciiTheme="minorHAnsi" w:hAnsiTheme="minorHAnsi" w:cs="Calibri"/>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sz w:val="20"/>
                <w:szCs w:val="20"/>
              </w:rPr>
              <w:t xml:space="preserve"> 6: Dalji razvoj Agencije za plaćanja kroz nabavku vozila i opreme potrebne za uspješno sprovođenje Zajedničke poljoprivredne politike </w:t>
            </w:r>
          </w:p>
        </w:tc>
        <w:tc>
          <w:tcPr>
            <w:tcW w:w="2407" w:type="dxa"/>
            <w:tcBorders>
              <w:top w:val="single" w:sz="4" w:space="0" w:color="auto"/>
              <w:left w:val="single" w:sz="4" w:space="0" w:color="auto"/>
              <w:bottom w:val="single" w:sz="4" w:space="0" w:color="auto"/>
              <w:right w:val="single" w:sz="4" w:space="0" w:color="auto"/>
            </w:tcBorders>
            <w:shd w:val="clear" w:color="auto" w:fill="auto"/>
          </w:tcPr>
          <w:p w14:paraId="128E0367"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Vozila 4x4-200.000</w:t>
            </w:r>
          </w:p>
          <w:p w14:paraId="6D253D7D"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Uređaji za mjerenje površine i dužine - GPS, fotoaparati - 700.000</w:t>
            </w:r>
          </w:p>
          <w:p w14:paraId="48B4D1A8"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Oprema za regionalne kancelarije -300.000</w:t>
            </w:r>
          </w:p>
          <w:p w14:paraId="5BDBED93" w14:textId="77777777" w:rsidR="00047EF8" w:rsidRPr="00F563CD" w:rsidRDefault="00047EF8" w:rsidP="00A239C5">
            <w:pPr>
              <w:spacing w:after="0" w:line="240" w:lineRule="auto"/>
              <w:rPr>
                <w:rFonts w:asciiTheme="minorHAnsi" w:hAnsiTheme="minorHAnsi"/>
                <w:sz w:val="20"/>
                <w:szCs w:val="20"/>
              </w:rPr>
            </w:pPr>
          </w:p>
          <w:p w14:paraId="1F360E8D"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Ukupno: 1.200.000</w:t>
            </w:r>
          </w:p>
        </w:tc>
        <w:tc>
          <w:tcPr>
            <w:tcW w:w="4403" w:type="dxa"/>
            <w:gridSpan w:val="2"/>
            <w:tcBorders>
              <w:top w:val="single" w:sz="4" w:space="0" w:color="auto"/>
              <w:left w:val="single" w:sz="4" w:space="0" w:color="auto"/>
              <w:bottom w:val="single" w:sz="4" w:space="0" w:color="auto"/>
              <w:right w:val="single" w:sz="4" w:space="0" w:color="auto"/>
            </w:tcBorders>
            <w:shd w:val="clear" w:color="auto" w:fill="auto"/>
          </w:tcPr>
          <w:p w14:paraId="77D8EB25"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Ova aktivnost obuhvata nabavku koja se odnosi na sprovođenje kontrole mjera Sistema integrisane uprave i kontrole (terenska oprema za kontrolu implementacije: vozila 4x4, uređaji za mjerenje površine i dužine - GPS, fotoaparati).</w:t>
            </w:r>
          </w:p>
          <w:p w14:paraId="57C1E5EC"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Sektor: poljoprivreda i ruralni razvoj (Poglavlje 11)</w:t>
            </w:r>
          </w:p>
          <w:p w14:paraId="449E75C3"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Vrste ugovora: nabavka</w:t>
            </w:r>
          </w:p>
        </w:tc>
      </w:tr>
      <w:tr w:rsidR="00047EF8" w:rsidRPr="00F563CD" w14:paraId="7BB7590F" w14:textId="77777777" w:rsidTr="00A239C5">
        <w:trPr>
          <w:trHeight w:val="495"/>
        </w:trPr>
        <w:tc>
          <w:tcPr>
            <w:tcW w:w="2970" w:type="dxa"/>
            <w:tcBorders>
              <w:top w:val="single" w:sz="4" w:space="0" w:color="auto"/>
              <w:left w:val="single" w:sz="8" w:space="0" w:color="auto"/>
              <w:bottom w:val="single" w:sz="8" w:space="0" w:color="auto"/>
              <w:right w:val="single" w:sz="4" w:space="0" w:color="auto"/>
            </w:tcBorders>
            <w:shd w:val="clear" w:color="auto" w:fill="auto"/>
          </w:tcPr>
          <w:p w14:paraId="5E7EFC0C" w14:textId="77777777" w:rsidR="00047EF8" w:rsidRPr="00F563CD" w:rsidRDefault="001C4F31" w:rsidP="00A239C5">
            <w:pPr>
              <w:spacing w:after="0" w:line="240" w:lineRule="auto"/>
              <w:rPr>
                <w:rFonts w:asciiTheme="minorHAnsi" w:hAnsiTheme="minorHAnsi" w:cs="Calibri"/>
                <w:sz w:val="20"/>
                <w:szCs w:val="20"/>
              </w:rPr>
            </w:pPr>
            <w:r w:rsidRPr="00F563CD">
              <w:rPr>
                <w:rFonts w:asciiTheme="minorHAnsi" w:hAnsiTheme="minorHAnsi" w:cs="Arial"/>
                <w:sz w:val="20"/>
                <w:szCs w:val="20"/>
              </w:rPr>
              <w:t>Opis projekta</w:t>
            </w:r>
            <w:r w:rsidRPr="00F563CD">
              <w:rPr>
                <w:rFonts w:asciiTheme="minorHAnsi" w:eastAsia="Arial" w:hAnsiTheme="minorHAnsi" w:cs="Arial"/>
                <w:sz w:val="20"/>
                <w:szCs w:val="20"/>
              </w:rPr>
              <w:t xml:space="preserve"> </w:t>
            </w:r>
            <w:r w:rsidR="00047EF8" w:rsidRPr="00F563CD">
              <w:rPr>
                <w:rFonts w:asciiTheme="minorHAnsi" w:eastAsia="Arial" w:hAnsiTheme="minorHAnsi" w:cs="Arial"/>
                <w:sz w:val="20"/>
                <w:szCs w:val="20"/>
              </w:rPr>
              <w:t>br.</w:t>
            </w:r>
            <w:r w:rsidR="00047EF8" w:rsidRPr="00F563CD">
              <w:rPr>
                <w:rFonts w:asciiTheme="minorHAnsi" w:hAnsiTheme="minorHAnsi" w:cs="Calibri"/>
                <w:sz w:val="20"/>
                <w:szCs w:val="20"/>
              </w:rPr>
              <w:t xml:space="preserve"> 7: Dalje jačanje Uprave za bezbjednost hrane, veterinu i fitosanitarnu politiku za sprovođenje zakona Evropske unije kako bi se ispunila završna mjerila</w:t>
            </w:r>
          </w:p>
        </w:tc>
        <w:tc>
          <w:tcPr>
            <w:tcW w:w="2407" w:type="dxa"/>
            <w:tcBorders>
              <w:top w:val="single" w:sz="4" w:space="0" w:color="auto"/>
              <w:left w:val="single" w:sz="4" w:space="0" w:color="auto"/>
              <w:bottom w:val="single" w:sz="8" w:space="0" w:color="auto"/>
              <w:right w:val="single" w:sz="4" w:space="0" w:color="auto"/>
            </w:tcBorders>
            <w:shd w:val="clear" w:color="auto" w:fill="auto"/>
          </w:tcPr>
          <w:p w14:paraId="48984228"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3 x granična kontrolna mjesta (radovi i nabavka)- 2.000.000</w:t>
            </w:r>
          </w:p>
          <w:p w14:paraId="142EE4A8" w14:textId="77777777" w:rsidR="00047EF8" w:rsidRPr="00F563CD" w:rsidRDefault="00047EF8" w:rsidP="00A239C5">
            <w:pPr>
              <w:spacing w:after="0" w:line="240" w:lineRule="auto"/>
              <w:rPr>
                <w:rFonts w:asciiTheme="minorHAnsi" w:hAnsiTheme="minorHAnsi"/>
                <w:sz w:val="20"/>
                <w:szCs w:val="20"/>
              </w:rPr>
            </w:pPr>
          </w:p>
          <w:p w14:paraId="6606B8A0"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 xml:space="preserve">1 x objekat </w:t>
            </w:r>
            <w:r w:rsidRPr="00F563CD">
              <w:rPr>
                <w:rFonts w:asciiTheme="minorHAnsi" w:eastAsia="Arial" w:hAnsiTheme="minorHAnsi" w:cs="Arial"/>
                <w:iCs/>
                <w:sz w:val="20"/>
                <w:szCs w:val="20"/>
              </w:rPr>
              <w:t>administraciju za bezbjednost hrane, veterinu i fitosanitarnu politku</w:t>
            </w:r>
            <w:r w:rsidRPr="00F563CD">
              <w:rPr>
                <w:rFonts w:asciiTheme="minorHAnsi" w:hAnsiTheme="minorHAnsi"/>
                <w:sz w:val="20"/>
                <w:szCs w:val="20"/>
              </w:rPr>
              <w:t xml:space="preserve"> (radovi i nabavka)- 1.500.000</w:t>
            </w:r>
          </w:p>
          <w:p w14:paraId="2AE5C9C9" w14:textId="77777777" w:rsidR="00047EF8" w:rsidRPr="00F563CD" w:rsidRDefault="00047EF8" w:rsidP="00A239C5">
            <w:pPr>
              <w:spacing w:after="0" w:line="240" w:lineRule="auto"/>
              <w:rPr>
                <w:rFonts w:asciiTheme="minorHAnsi" w:hAnsiTheme="minorHAnsi"/>
                <w:sz w:val="20"/>
                <w:szCs w:val="20"/>
              </w:rPr>
            </w:pPr>
          </w:p>
          <w:p w14:paraId="4C7B00EE"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 xml:space="preserve">Dalje jačanje administrativnih kapaciteta </w:t>
            </w:r>
            <w:r w:rsidRPr="00F563CD">
              <w:rPr>
                <w:rFonts w:asciiTheme="minorHAnsi" w:hAnsiTheme="minorHAnsi" w:cs="Calibri"/>
                <w:sz w:val="20"/>
                <w:szCs w:val="20"/>
              </w:rPr>
              <w:t xml:space="preserve">Uprave za bezbjednost hrane, </w:t>
            </w:r>
            <w:r w:rsidRPr="00F563CD">
              <w:rPr>
                <w:rFonts w:asciiTheme="minorHAnsi" w:hAnsiTheme="minorHAnsi" w:cs="Calibri"/>
                <w:sz w:val="20"/>
                <w:szCs w:val="20"/>
              </w:rPr>
              <w:lastRenderedPageBreak/>
              <w:t>veterinu i fitosanitarnu politiku</w:t>
            </w:r>
            <w:r w:rsidRPr="00F563CD">
              <w:rPr>
                <w:rFonts w:asciiTheme="minorHAnsi" w:hAnsiTheme="minorHAnsi"/>
                <w:sz w:val="20"/>
                <w:szCs w:val="20"/>
              </w:rPr>
              <w:t xml:space="preserve"> za sprovođenje novih zakona (veterinarska, fitosanitarna i zvanična kontrola) tehnička pomoć -500.000</w:t>
            </w:r>
          </w:p>
          <w:p w14:paraId="25DF8D4B" w14:textId="77777777" w:rsidR="00047EF8" w:rsidRPr="00F563CD" w:rsidRDefault="00047EF8" w:rsidP="00A239C5">
            <w:pPr>
              <w:spacing w:after="0" w:line="240" w:lineRule="auto"/>
              <w:rPr>
                <w:rFonts w:asciiTheme="minorHAnsi" w:hAnsiTheme="minorHAnsi"/>
                <w:sz w:val="20"/>
                <w:szCs w:val="20"/>
              </w:rPr>
            </w:pPr>
          </w:p>
          <w:p w14:paraId="0C3C4021" w14:textId="77777777" w:rsidR="00047EF8" w:rsidRPr="00F563CD" w:rsidRDefault="00047EF8" w:rsidP="00A239C5">
            <w:pPr>
              <w:spacing w:after="0" w:line="240" w:lineRule="auto"/>
              <w:rPr>
                <w:rFonts w:asciiTheme="minorHAnsi" w:hAnsiTheme="minorHAnsi"/>
                <w:sz w:val="20"/>
                <w:szCs w:val="20"/>
              </w:rPr>
            </w:pPr>
            <w:r w:rsidRPr="00F563CD">
              <w:rPr>
                <w:rFonts w:asciiTheme="minorHAnsi" w:hAnsiTheme="minorHAnsi"/>
                <w:sz w:val="20"/>
                <w:szCs w:val="20"/>
              </w:rPr>
              <w:t>Ukupno: 4.000.000</w:t>
            </w:r>
          </w:p>
        </w:tc>
        <w:tc>
          <w:tcPr>
            <w:tcW w:w="4403" w:type="dxa"/>
            <w:gridSpan w:val="2"/>
            <w:tcBorders>
              <w:top w:val="single" w:sz="4" w:space="0" w:color="auto"/>
              <w:left w:val="single" w:sz="4" w:space="0" w:color="auto"/>
              <w:bottom w:val="single" w:sz="8" w:space="0" w:color="auto"/>
              <w:right w:val="single" w:sz="4" w:space="0" w:color="auto"/>
            </w:tcBorders>
            <w:shd w:val="clear" w:color="auto" w:fill="auto"/>
          </w:tcPr>
          <w:p w14:paraId="7E74E935"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lastRenderedPageBreak/>
              <w:t>Ova akcija će obuhvatiti izgradnju i opremanje tri dodatna granična kontrolna mjesta i jedan objekat za administraciju za bezbjednost hrane, veterinu i fitosanitarnu politku, u svrhe upravljanja Sistemom kontrole uvoza na granicama EU nakon pristupanja Evropskoj uniji, koje reguliše Poglavlje 12. Ova akcija će nastaviti izgradnju tri granična kontrolna mjesta što će se finansirati kroz IPA 2021. Štaviše, tehnička pomoć je potrebna u pogledu jačanja administrativnih kapaciteta</w:t>
            </w:r>
            <w:r w:rsidRPr="00F563CD">
              <w:rPr>
                <w:rFonts w:asciiTheme="minorHAnsi" w:hAnsiTheme="minorHAnsi" w:cs="Calibri"/>
                <w:sz w:val="20"/>
                <w:szCs w:val="20"/>
              </w:rPr>
              <w:t xml:space="preserve"> Uprave za bezbjednost hrane, veterinu i fitosanitarnu politiku</w:t>
            </w:r>
            <w:r w:rsidRPr="00F563CD">
              <w:rPr>
                <w:rFonts w:asciiTheme="minorHAnsi" w:eastAsia="Arial" w:hAnsiTheme="minorHAnsi" w:cs="Arial"/>
                <w:iCs/>
                <w:sz w:val="20"/>
                <w:szCs w:val="20"/>
              </w:rPr>
              <w:t xml:space="preserve"> za sprovođenje novih zakona u oblasti veterine, fitosanitarne politike i zvanične kontrole.</w:t>
            </w:r>
          </w:p>
          <w:p w14:paraId="6623916F"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lastRenderedPageBreak/>
              <w:t>Sektor: Bezbjednost hrane, veterina i fitosanitarni poslovi (Poglavlje 13)</w:t>
            </w:r>
          </w:p>
          <w:p w14:paraId="7D8F40D6" w14:textId="77777777" w:rsidR="00047EF8" w:rsidRPr="00F563CD" w:rsidRDefault="00047EF8" w:rsidP="00A239C5">
            <w:pPr>
              <w:spacing w:after="0" w:line="240" w:lineRule="auto"/>
              <w:jc w:val="both"/>
              <w:rPr>
                <w:rFonts w:asciiTheme="minorHAnsi" w:eastAsia="Arial" w:hAnsiTheme="minorHAnsi" w:cs="Arial"/>
                <w:iCs/>
                <w:sz w:val="20"/>
                <w:szCs w:val="20"/>
              </w:rPr>
            </w:pPr>
            <w:r w:rsidRPr="00F563CD">
              <w:rPr>
                <w:rFonts w:asciiTheme="minorHAnsi" w:eastAsia="Arial" w:hAnsiTheme="minorHAnsi" w:cs="Arial"/>
                <w:iCs/>
                <w:sz w:val="20"/>
                <w:szCs w:val="20"/>
              </w:rPr>
              <w:t>Vrste ugovora: radovi, nabavka i usluge</w:t>
            </w:r>
          </w:p>
        </w:tc>
      </w:tr>
      <w:tr w:rsidR="00047EF8" w:rsidRPr="00F563CD" w14:paraId="193D5D2D" w14:textId="77777777" w:rsidTr="00A239C5">
        <w:trPr>
          <w:trHeight w:val="600"/>
        </w:trPr>
        <w:tc>
          <w:tcPr>
            <w:tcW w:w="297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3E09673" w14:textId="77777777" w:rsidR="00047EF8" w:rsidRPr="00F563CD" w:rsidRDefault="00047EF8" w:rsidP="00A239C5">
            <w:pPr>
              <w:spacing w:line="240" w:lineRule="auto"/>
              <w:jc w:val="right"/>
              <w:rPr>
                <w:rFonts w:asciiTheme="minorHAnsi" w:eastAsia="Arial" w:hAnsiTheme="minorHAnsi" w:cs="Arial"/>
                <w:b/>
                <w:bCs/>
                <w:sz w:val="20"/>
                <w:szCs w:val="20"/>
              </w:rPr>
            </w:pPr>
            <w:r w:rsidRPr="00F563CD">
              <w:rPr>
                <w:rFonts w:asciiTheme="minorHAnsi" w:eastAsia="Arial" w:hAnsiTheme="minorHAnsi" w:cs="Arial"/>
                <w:b/>
                <w:bCs/>
                <w:sz w:val="20"/>
                <w:szCs w:val="20"/>
              </w:rPr>
              <w:lastRenderedPageBreak/>
              <w:t>Tematski prioritet 3 ukupno (2023-2024)</w:t>
            </w:r>
          </w:p>
        </w:tc>
        <w:tc>
          <w:tcPr>
            <w:tcW w:w="240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9F89950" w14:textId="77777777" w:rsidR="00047EF8" w:rsidRPr="00F563CD" w:rsidRDefault="00047EF8" w:rsidP="00A239C5">
            <w:pPr>
              <w:spacing w:line="240" w:lineRule="auto"/>
              <w:jc w:val="center"/>
              <w:rPr>
                <w:rFonts w:asciiTheme="minorHAnsi" w:eastAsia="Calibri" w:hAnsiTheme="minorHAnsi" w:cs="Calibri"/>
                <w:b/>
                <w:sz w:val="20"/>
                <w:szCs w:val="20"/>
              </w:rPr>
            </w:pPr>
            <w:r w:rsidRPr="00F563CD">
              <w:rPr>
                <w:rFonts w:asciiTheme="minorHAnsi" w:eastAsia="Calibri" w:hAnsiTheme="minorHAnsi" w:cs="Calibri"/>
                <w:b/>
                <w:sz w:val="20"/>
                <w:szCs w:val="20"/>
              </w:rPr>
              <w:t>18.500.000EUR</w:t>
            </w:r>
          </w:p>
          <w:p w14:paraId="711E5C3D" w14:textId="77777777" w:rsidR="00047EF8" w:rsidRPr="00F563CD" w:rsidRDefault="00047EF8" w:rsidP="00A239C5">
            <w:pPr>
              <w:spacing w:line="240" w:lineRule="auto"/>
              <w:jc w:val="center"/>
              <w:rPr>
                <w:rFonts w:asciiTheme="minorHAnsi" w:eastAsia="Calibri" w:hAnsiTheme="minorHAnsi" w:cs="Calibri"/>
                <w:b/>
                <w:sz w:val="20"/>
                <w:szCs w:val="20"/>
              </w:rPr>
            </w:pPr>
          </w:p>
        </w:tc>
        <w:tc>
          <w:tcPr>
            <w:tcW w:w="4403" w:type="dxa"/>
            <w:gridSpan w:val="2"/>
            <w:tcBorders>
              <w:top w:val="single" w:sz="4" w:space="0" w:color="auto"/>
              <w:bottom w:val="single" w:sz="4" w:space="0" w:color="auto"/>
              <w:right w:val="single" w:sz="4" w:space="0" w:color="auto"/>
            </w:tcBorders>
            <w:shd w:val="clear" w:color="auto" w:fill="auto"/>
          </w:tcPr>
          <w:p w14:paraId="34C5899F" w14:textId="77777777" w:rsidR="00047EF8" w:rsidRPr="00F563CD" w:rsidRDefault="00047EF8" w:rsidP="00A239C5">
            <w:pPr>
              <w:spacing w:after="0" w:line="240" w:lineRule="auto"/>
              <w:rPr>
                <w:rFonts w:asciiTheme="minorHAnsi" w:hAnsiTheme="minorHAnsi"/>
              </w:rPr>
            </w:pPr>
          </w:p>
        </w:tc>
      </w:tr>
    </w:tbl>
    <w:p w14:paraId="622C349A" w14:textId="77777777" w:rsidR="00047EF8" w:rsidRPr="00F563CD" w:rsidRDefault="00047EF8" w:rsidP="00047EF8">
      <w:pPr>
        <w:spacing w:after="0" w:line="240" w:lineRule="auto"/>
        <w:rPr>
          <w:rFonts w:asciiTheme="minorHAnsi" w:hAnsiTheme="minorHAnsi" w:cs="Arial"/>
          <w:b/>
          <w:bCs/>
          <w:caps/>
          <w:sz w:val="28"/>
          <w:szCs w:val="28"/>
        </w:rPr>
      </w:pPr>
    </w:p>
    <w:p w14:paraId="1D2A38E5" w14:textId="77777777" w:rsidR="00047EF8" w:rsidRPr="00F563CD" w:rsidRDefault="00047EF8" w:rsidP="00047EF8">
      <w:pPr>
        <w:pStyle w:val="Heading1"/>
        <w:pBdr>
          <w:bottom w:val="single" w:sz="12" w:space="1" w:color="auto"/>
        </w:pBdr>
        <w:rPr>
          <w:rFonts w:asciiTheme="minorHAnsi" w:hAnsiTheme="minorHAnsi" w:cs="Arial"/>
          <w:color w:val="auto"/>
        </w:rPr>
      </w:pPr>
      <w:bookmarkStart w:id="69" w:name="_Toc91500287"/>
      <w:r w:rsidRPr="00F563CD">
        <w:rPr>
          <w:rFonts w:asciiTheme="minorHAnsi" w:hAnsiTheme="minorHAnsi" w:cs="Arial"/>
          <w:color w:val="auto"/>
        </w:rPr>
        <w:t>PROZOR 5 – TERITORIJALNA I PREKOGRANIČNA SARADNJA</w:t>
      </w:r>
      <w:bookmarkEnd w:id="69"/>
    </w:p>
    <w:p w14:paraId="77D56654" w14:textId="77777777" w:rsidR="00047EF8" w:rsidRPr="00F563CD" w:rsidRDefault="00047EF8" w:rsidP="00047EF8">
      <w:pPr>
        <w:pStyle w:val="Style2"/>
        <w:spacing w:after="120" w:line="240" w:lineRule="auto"/>
        <w:ind w:left="0" w:firstLine="0"/>
        <w:rPr>
          <w:rFonts w:asciiTheme="minorHAnsi" w:hAnsiTheme="minorHAnsi" w:cs="Arial"/>
          <w:b w:val="0"/>
          <w:bCs w:val="0"/>
          <w:i/>
          <w:iCs/>
          <w:caps w:val="0"/>
          <w:sz w:val="20"/>
          <w:szCs w:val="20"/>
        </w:rPr>
      </w:pPr>
    </w:p>
    <w:p w14:paraId="50C3AD1C" w14:textId="77777777" w:rsidR="00047EF8" w:rsidRPr="00F563CD" w:rsidRDefault="00047EF8" w:rsidP="00047EF8">
      <w:pPr>
        <w:spacing w:after="0" w:line="240" w:lineRule="auto"/>
        <w:jc w:val="center"/>
        <w:rPr>
          <w:rFonts w:asciiTheme="minorHAnsi" w:eastAsia="Calibri" w:hAnsiTheme="minorHAnsi" w:cs="Arial"/>
          <w:sz w:val="20"/>
          <w:szCs w:val="20"/>
          <w:lang w:eastAsia="en-US"/>
        </w:rPr>
      </w:pPr>
    </w:p>
    <w:p w14:paraId="7DD4EA1A" w14:textId="77777777" w:rsidR="00047EF8" w:rsidRPr="00F563CD" w:rsidRDefault="00047EF8" w:rsidP="00047EF8">
      <w:pPr>
        <w:spacing w:after="0" w:line="240" w:lineRule="auto"/>
        <w:jc w:val="both"/>
        <w:rPr>
          <w:rFonts w:asciiTheme="minorHAnsi" w:eastAsia="Calibri" w:hAnsiTheme="minorHAnsi" w:cs="Arial"/>
          <w:b/>
          <w:sz w:val="20"/>
          <w:szCs w:val="20"/>
          <w:lang w:eastAsia="en-US"/>
        </w:rPr>
      </w:pPr>
      <w:r w:rsidRPr="00F563CD">
        <w:rPr>
          <w:rFonts w:asciiTheme="minorHAnsi" w:eastAsia="Calibri" w:hAnsiTheme="minorHAnsi" w:cs="Arial"/>
          <w:b/>
          <w:sz w:val="20"/>
          <w:szCs w:val="20"/>
          <w:lang w:eastAsia="en-US"/>
        </w:rPr>
        <w:t>BILATERALNI PREKOGRANIČNI PROGRAMI</w:t>
      </w:r>
    </w:p>
    <w:p w14:paraId="6C25ECF7"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0600B3F3"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Proces programiranja nove generacije bilateralnih programa 2021-2027. godine započet je u maju 2020. uvodnim sastancima, nakon čega je uslijedio upitnik o snagama, slabostima, prilikama i prijetnjama (SWOT) među glavnim stejkholderima u programskoj oblasti, koji je sproveden tokom jula i avgusta 2020. godine. Zajednička radna grupa za bilateralne programe (Bosna i Hercegovina-Crna Gora, Crna Gora-Albanija, Crna Gora-Kosovo, Srbija-Crna Gora) osnovana je u septembru 2020. godine u čijem su sastavu predstavnici relevantnih institucija/organizacija država učesnica. Radionica za izradu i formulaciju strategije za članove Zajedničkih radnih grupa organizovana je 13. oktobra 2020. godine u Crnoj Gori, na kojoj su učestvovali imenovani predstavnici u radnim grupama svih IPA-IPA programa koji su relevantni za Crnu Goru. Sastanci zajedničke radne grupe I priprema nacrta programskog dokumenta (uključujući SWOT i situacionu analizu) održali su se tokom oktobra i novembra 2020. godine. Zatim je prvi nacrt Programskog dokumenta za Program Crna Gora – Bosna i Hercegovina predat na razmatranje i komentare Evropskoj komisiji 2. decembra 2020, za Program Crna Gora – Albanija 4. decembra 2020, za Program Crna Gora - Kosovo 7. decembra, a za Program Srbija – Crna Gora 30. novembra 2020. godine. Nakon toga su pokrenute javne konsultacije putem veb stranica programa i OS, kao i direktnom elektronskom komunikacijom sa stejkholderima iz baze podataka Zajedničkog tehničkog sekretarijata. Nakon komentara i dodatnih inputa od Evropske komisije, revidiraće se nacrt programskih dokumenata za sve pomenute programe i očekuje se da će se isti usvojiti tokom 2021. godine.</w:t>
      </w:r>
    </w:p>
    <w:p w14:paraId="64041A43"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0C7063E5" w14:textId="77777777" w:rsidR="00047EF8" w:rsidRPr="00F563CD" w:rsidRDefault="00047EF8" w:rsidP="00047EF8">
      <w:pPr>
        <w:spacing w:after="16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Sljedeći tematski klasteri/tematski prioriteti i konkretni primjeri odabrani su za svaki Program:</w:t>
      </w:r>
    </w:p>
    <w:p w14:paraId="4EB4FCB7" w14:textId="77777777" w:rsidR="00047EF8" w:rsidRPr="00F563CD" w:rsidRDefault="00047EF8" w:rsidP="00047EF8">
      <w:pPr>
        <w:spacing w:after="160" w:line="240" w:lineRule="auto"/>
        <w:jc w:val="both"/>
        <w:rPr>
          <w:rFonts w:asciiTheme="minorHAnsi" w:eastAsia="Calibri" w:hAnsiTheme="minorHAnsi" w:cs="Arial"/>
          <w:b/>
          <w:sz w:val="20"/>
          <w:szCs w:val="20"/>
          <w:lang w:eastAsia="en-US"/>
        </w:rPr>
      </w:pPr>
      <w:r w:rsidRPr="00F563CD">
        <w:rPr>
          <w:rFonts w:asciiTheme="minorHAnsi" w:eastAsia="Calibri" w:hAnsiTheme="minorHAnsi" w:cs="Arial"/>
          <w:b/>
          <w:sz w:val="20"/>
          <w:szCs w:val="20"/>
          <w:lang w:eastAsia="en-US"/>
        </w:rPr>
        <w:t xml:space="preserve">Bosna i Hercegovina – Crna Gora </w:t>
      </w:r>
    </w:p>
    <w:p w14:paraId="104FDEFC" w14:textId="77777777" w:rsidR="00047EF8" w:rsidRPr="00F563CD" w:rsidRDefault="00047EF8" w:rsidP="00047EF8">
      <w:pPr>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t>Tematski klaster 2: Zelenija i unaprijeđena efikasnost resursa</w:t>
      </w:r>
    </w:p>
    <w:p w14:paraId="632A2F9A"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 xml:space="preserve">Tematski prioritet 2: Zaštita životne sredine, prilagođavanje klimatskim promjenama i ublažavanje klimatskih promjena, sprečavanje i upravljanje rizikom </w:t>
      </w:r>
    </w:p>
    <w:p w14:paraId="647120C7"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63035978" w14:textId="77777777" w:rsidR="00047EF8" w:rsidRPr="00F563CD" w:rsidRDefault="00047EF8" w:rsidP="00047EF8">
      <w:pPr>
        <w:spacing w:after="0" w:line="240" w:lineRule="auto"/>
        <w:ind w:firstLine="708"/>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1: Unaprijediti fleksibilnost zajednica na klimatske promjene i rizike izazvane prirodnim pojavama i ljudskim faktorom</w:t>
      </w:r>
    </w:p>
    <w:p w14:paraId="128C2F02"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26F40E1C" w14:textId="77777777" w:rsidR="00047EF8" w:rsidRPr="00F563CD" w:rsidRDefault="00047EF8" w:rsidP="00047EF8">
      <w:pPr>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t>Tematski klaster 4: Unaprijeđeno poslovno okruženje i konkurentost</w:t>
      </w:r>
    </w:p>
    <w:p w14:paraId="7BCE0C5A"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Tematski prioritet 5: Turizam i kulturno i prirodno nasljeđe</w:t>
      </w:r>
    </w:p>
    <w:p w14:paraId="2ABCE423"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2B88EDE7" w14:textId="77777777" w:rsidR="00047EF8" w:rsidRPr="00F563CD" w:rsidRDefault="00047EF8" w:rsidP="00047EF8">
      <w:pPr>
        <w:spacing w:after="0" w:line="240" w:lineRule="auto"/>
        <w:ind w:left="7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2: Razviti i promovisati održivi turizam zasnovan na kulturnom i prirodnom nasljeđu</w:t>
      </w:r>
    </w:p>
    <w:p w14:paraId="3F1B92EE" w14:textId="77777777" w:rsidR="00047EF8" w:rsidRPr="00F563CD" w:rsidRDefault="00047EF8" w:rsidP="00047EF8">
      <w:pPr>
        <w:spacing w:after="160" w:line="240" w:lineRule="auto"/>
        <w:jc w:val="both"/>
        <w:rPr>
          <w:rFonts w:asciiTheme="minorHAnsi" w:eastAsia="Calibri" w:hAnsiTheme="minorHAnsi" w:cs="Arial"/>
          <w:sz w:val="20"/>
          <w:szCs w:val="20"/>
          <w:lang w:eastAsia="en-US"/>
        </w:rPr>
      </w:pPr>
    </w:p>
    <w:p w14:paraId="1FE09066" w14:textId="77777777" w:rsidR="00047EF8" w:rsidRPr="00F563CD" w:rsidRDefault="00047EF8" w:rsidP="00047EF8">
      <w:pPr>
        <w:spacing w:after="160" w:line="240" w:lineRule="auto"/>
        <w:jc w:val="both"/>
        <w:rPr>
          <w:rFonts w:asciiTheme="minorHAnsi" w:eastAsia="Calibri" w:hAnsiTheme="minorHAnsi" w:cs="Arial"/>
          <w:b/>
          <w:sz w:val="20"/>
          <w:szCs w:val="20"/>
          <w:lang w:eastAsia="en-US"/>
        </w:rPr>
      </w:pPr>
      <w:r w:rsidRPr="00F563CD">
        <w:rPr>
          <w:rFonts w:asciiTheme="minorHAnsi" w:eastAsia="Calibri" w:hAnsiTheme="minorHAnsi" w:cs="Arial"/>
          <w:b/>
          <w:sz w:val="20"/>
          <w:szCs w:val="20"/>
          <w:lang w:eastAsia="en-US"/>
        </w:rPr>
        <w:t>Crna Gora - Albanija</w:t>
      </w:r>
    </w:p>
    <w:p w14:paraId="05106E07" w14:textId="77777777" w:rsidR="00047EF8" w:rsidRPr="00F563CD" w:rsidRDefault="00047EF8" w:rsidP="00047EF8">
      <w:pPr>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lastRenderedPageBreak/>
        <w:t xml:space="preserve">Tematski klaster 2: Zelenija i unaprijeđena efikasnost resursa </w:t>
      </w:r>
    </w:p>
    <w:p w14:paraId="6259B545"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Tematski prioritet 2: Zaštita životne sredine, prilagođavanje na klimatske promjene i ublažavanje klimatskih promjena, sprečavanje i upravljanje rizikom</w:t>
      </w:r>
    </w:p>
    <w:p w14:paraId="268BF0C9" w14:textId="77777777" w:rsidR="00047EF8" w:rsidRPr="00F563CD" w:rsidRDefault="00047EF8" w:rsidP="00047EF8">
      <w:pPr>
        <w:autoSpaceDE w:val="0"/>
        <w:autoSpaceDN w:val="0"/>
        <w:adjustRightInd w:val="0"/>
        <w:spacing w:after="0" w:line="240" w:lineRule="auto"/>
        <w:ind w:left="720"/>
        <w:jc w:val="both"/>
        <w:rPr>
          <w:rFonts w:asciiTheme="minorHAnsi" w:eastAsia="Calibri" w:hAnsiTheme="minorHAnsi" w:cs="Arial"/>
          <w:bCs/>
          <w:sz w:val="20"/>
          <w:szCs w:val="20"/>
          <w:lang w:eastAsia="en-US"/>
        </w:rPr>
      </w:pPr>
    </w:p>
    <w:p w14:paraId="61A104E4" w14:textId="77777777" w:rsidR="00047EF8" w:rsidRPr="00F563CD" w:rsidRDefault="00047EF8" w:rsidP="00047EF8">
      <w:pPr>
        <w:autoSpaceDE w:val="0"/>
        <w:autoSpaceDN w:val="0"/>
        <w:adjustRightInd w:val="0"/>
        <w:spacing w:after="0" w:line="240" w:lineRule="auto"/>
        <w:ind w:left="7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 xml:space="preserve">Posebni cilj </w:t>
      </w:r>
      <w:r w:rsidRPr="00F563CD">
        <w:rPr>
          <w:rFonts w:asciiTheme="minorHAnsi" w:eastAsia="Calibri" w:hAnsiTheme="minorHAnsi" w:cs="Arial"/>
          <w:bCs/>
          <w:sz w:val="20"/>
          <w:szCs w:val="20"/>
          <w:lang w:eastAsia="en-US"/>
        </w:rPr>
        <w:t>1</w:t>
      </w:r>
      <w:r w:rsidRPr="00F563CD">
        <w:rPr>
          <w:rFonts w:asciiTheme="minorHAnsi" w:eastAsia="Calibri" w:hAnsiTheme="minorHAnsi" w:cs="Arial"/>
          <w:sz w:val="20"/>
          <w:szCs w:val="20"/>
          <w:lang w:eastAsia="en-US"/>
        </w:rPr>
        <w:t>: Unaprijediti zaštitu životne sredine, fleksibilnost zajednica za prilagođavanje klimatskim promjenama, spremnost na rizik i upravljanje u katastrofama</w:t>
      </w:r>
    </w:p>
    <w:p w14:paraId="79458FAB"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b/>
          <w:bCs/>
          <w:sz w:val="20"/>
          <w:szCs w:val="20"/>
          <w:lang w:eastAsia="en-US"/>
        </w:rPr>
      </w:pPr>
    </w:p>
    <w:p w14:paraId="7CA58216" w14:textId="77777777" w:rsidR="00047EF8" w:rsidRPr="00F563CD" w:rsidRDefault="00047EF8" w:rsidP="00047EF8">
      <w:pPr>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t>Tematski klaster 4: Unaprijeđeno poslovno okruženje i konkurentost</w:t>
      </w:r>
    </w:p>
    <w:p w14:paraId="747C86A4"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Tematski prioritet 5: Turizam i kulturno i prirodno nasljeđe</w:t>
      </w:r>
    </w:p>
    <w:p w14:paraId="68463D22"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b/>
          <w:bCs/>
          <w:sz w:val="20"/>
          <w:szCs w:val="20"/>
          <w:lang w:eastAsia="en-US"/>
        </w:rPr>
      </w:pPr>
    </w:p>
    <w:p w14:paraId="69A42F6B" w14:textId="77777777" w:rsidR="00047EF8" w:rsidRPr="00F563CD" w:rsidRDefault="00047EF8" w:rsidP="00047EF8">
      <w:pPr>
        <w:autoSpaceDE w:val="0"/>
        <w:autoSpaceDN w:val="0"/>
        <w:adjustRightInd w:val="0"/>
        <w:spacing w:after="0" w:line="240" w:lineRule="auto"/>
        <w:ind w:firstLine="7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 xml:space="preserve">Posebni cilj </w:t>
      </w:r>
      <w:r w:rsidRPr="00F563CD">
        <w:rPr>
          <w:rFonts w:asciiTheme="minorHAnsi" w:eastAsia="Calibri" w:hAnsiTheme="minorHAnsi" w:cs="Arial"/>
          <w:bCs/>
          <w:sz w:val="20"/>
          <w:szCs w:val="20"/>
          <w:lang w:eastAsia="en-US"/>
        </w:rPr>
        <w:t>2:</w:t>
      </w:r>
      <w:r w:rsidRPr="00F563CD">
        <w:rPr>
          <w:rFonts w:asciiTheme="minorHAnsi" w:eastAsia="Calibri" w:hAnsiTheme="minorHAnsi" w:cs="Arial"/>
          <w:sz w:val="20"/>
          <w:szCs w:val="20"/>
          <w:lang w:eastAsia="en-US"/>
        </w:rPr>
        <w:t xml:space="preserve"> Unaprijediti turističke šanse promovisanjem kulturnog i prirodnog nasljeđa </w:t>
      </w:r>
    </w:p>
    <w:p w14:paraId="5ABC158E" w14:textId="77777777" w:rsidR="00047EF8" w:rsidRPr="00F563CD" w:rsidRDefault="00047EF8" w:rsidP="00047EF8">
      <w:pPr>
        <w:autoSpaceDE w:val="0"/>
        <w:autoSpaceDN w:val="0"/>
        <w:adjustRightInd w:val="0"/>
        <w:spacing w:after="0" w:line="240" w:lineRule="auto"/>
        <w:ind w:firstLine="7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 xml:space="preserve">Posebni cilj </w:t>
      </w:r>
      <w:r w:rsidRPr="00F563CD">
        <w:rPr>
          <w:rFonts w:asciiTheme="minorHAnsi" w:eastAsia="Calibri" w:hAnsiTheme="minorHAnsi" w:cs="Arial"/>
          <w:bCs/>
          <w:sz w:val="20"/>
          <w:szCs w:val="20"/>
          <w:lang w:eastAsia="en-US"/>
        </w:rPr>
        <w:t>3:</w:t>
      </w:r>
      <w:r w:rsidRPr="00F563CD">
        <w:rPr>
          <w:rFonts w:asciiTheme="minorHAnsi" w:eastAsia="Calibri" w:hAnsiTheme="minorHAnsi" w:cs="Arial"/>
          <w:sz w:val="20"/>
          <w:szCs w:val="20"/>
          <w:lang w:eastAsia="en-US"/>
        </w:rPr>
        <w:t xml:space="preserve"> Unaprijediti konkurentnost pružaoca usluga/malih i srednjih preduzeća u sektoru turizma </w:t>
      </w:r>
    </w:p>
    <w:p w14:paraId="7C93C1D2" w14:textId="77777777" w:rsidR="00047EF8" w:rsidRPr="00F563CD" w:rsidRDefault="00047EF8" w:rsidP="00047EF8">
      <w:pPr>
        <w:spacing w:after="160" w:line="240" w:lineRule="auto"/>
        <w:jc w:val="both"/>
        <w:rPr>
          <w:rFonts w:asciiTheme="minorHAnsi" w:eastAsia="Calibri" w:hAnsiTheme="minorHAnsi" w:cs="Arial"/>
          <w:sz w:val="20"/>
          <w:szCs w:val="20"/>
          <w:lang w:eastAsia="en-US"/>
        </w:rPr>
      </w:pPr>
    </w:p>
    <w:p w14:paraId="4B7FA24E" w14:textId="77777777" w:rsidR="00047EF8" w:rsidRPr="00F563CD" w:rsidRDefault="00047EF8" w:rsidP="00047EF8">
      <w:pPr>
        <w:spacing w:after="160" w:line="240" w:lineRule="auto"/>
        <w:jc w:val="both"/>
        <w:rPr>
          <w:rFonts w:asciiTheme="minorHAnsi" w:eastAsia="Calibri" w:hAnsiTheme="minorHAnsi" w:cs="Arial"/>
          <w:b/>
          <w:sz w:val="20"/>
          <w:szCs w:val="20"/>
          <w:lang w:eastAsia="en-US"/>
        </w:rPr>
      </w:pPr>
      <w:r w:rsidRPr="00F563CD">
        <w:rPr>
          <w:rFonts w:asciiTheme="minorHAnsi" w:eastAsia="Calibri" w:hAnsiTheme="minorHAnsi" w:cs="Arial"/>
          <w:b/>
          <w:sz w:val="20"/>
          <w:szCs w:val="20"/>
          <w:lang w:eastAsia="en-US"/>
        </w:rPr>
        <w:t>Crna Gora - Kosovo</w:t>
      </w:r>
    </w:p>
    <w:p w14:paraId="7A825E7A"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t xml:space="preserve">Tematski klaster 1: Unaprijeđene prilike za zapošljavanje i socijalna prava </w:t>
      </w:r>
    </w:p>
    <w:p w14:paraId="766F6DD8"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Tematski prioritet 1: Zapošljavanje, mobilnost u radu i socijalna i kulturna inkluzija širom granica</w:t>
      </w:r>
    </w:p>
    <w:p w14:paraId="2BD5FDAB"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ab/>
      </w:r>
    </w:p>
    <w:p w14:paraId="4B7148E2" w14:textId="77777777" w:rsidR="00047EF8" w:rsidRPr="00F563CD" w:rsidRDefault="00047EF8" w:rsidP="00047EF8">
      <w:pPr>
        <w:autoSpaceDE w:val="0"/>
        <w:autoSpaceDN w:val="0"/>
        <w:adjustRightInd w:val="0"/>
        <w:spacing w:after="0" w:line="240" w:lineRule="auto"/>
        <w:ind w:left="7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 xml:space="preserve">Posebni cilj 1: Poboljšati zapošljavanje i pristup tržištu rada za mlade i ranjive grupe </w:t>
      </w:r>
    </w:p>
    <w:p w14:paraId="5405F60B"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lang w:eastAsia="en-US"/>
        </w:rPr>
      </w:pPr>
    </w:p>
    <w:p w14:paraId="03BCEC13"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t xml:space="preserve">Tematski klaster 4: Unaprijeđeno poslovno okruženje i konkurentost </w:t>
      </w:r>
    </w:p>
    <w:p w14:paraId="01B953D9"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 xml:space="preserve">Tematski prioritet 5: Turizam i kulturno i prirodno nasljeđe </w:t>
      </w:r>
    </w:p>
    <w:p w14:paraId="3DD24F20"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ab/>
      </w:r>
    </w:p>
    <w:p w14:paraId="4832474F" w14:textId="77777777" w:rsidR="00047EF8" w:rsidRPr="00F563CD" w:rsidRDefault="00047EF8" w:rsidP="00047EF8">
      <w:pPr>
        <w:autoSpaceDE w:val="0"/>
        <w:autoSpaceDN w:val="0"/>
        <w:adjustRightInd w:val="0"/>
        <w:spacing w:after="0" w:line="240" w:lineRule="auto"/>
        <w:ind w:firstLine="7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 xml:space="preserve">Posebni cilj 2: Unaprijediti održivi turizam u Programskoj oblasti </w:t>
      </w:r>
    </w:p>
    <w:p w14:paraId="4BE67385"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lang w:eastAsia="en-US"/>
        </w:rPr>
      </w:pPr>
    </w:p>
    <w:p w14:paraId="62EA9CA4"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b/>
          <w:sz w:val="20"/>
          <w:szCs w:val="20"/>
          <w:lang w:eastAsia="en-US"/>
        </w:rPr>
      </w:pPr>
      <w:r w:rsidRPr="00F563CD">
        <w:rPr>
          <w:rFonts w:asciiTheme="minorHAnsi" w:eastAsia="Calibri" w:hAnsiTheme="minorHAnsi" w:cs="Arial"/>
          <w:b/>
          <w:sz w:val="20"/>
          <w:szCs w:val="20"/>
          <w:lang w:eastAsia="en-US"/>
        </w:rPr>
        <w:t>Srbija – Crna Gora</w:t>
      </w:r>
    </w:p>
    <w:p w14:paraId="5D882BEC"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u w:val="single"/>
          <w:lang w:eastAsia="en-US"/>
        </w:rPr>
      </w:pPr>
    </w:p>
    <w:p w14:paraId="4C09EF99"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t xml:space="preserve">Tematski klaster 1: Unaprijeđene prilike za zapošljavanje i socijalna prava </w:t>
      </w:r>
    </w:p>
    <w:p w14:paraId="3439ABE1"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Tematski prioritet 1: Zapošljavanje, mobilnost u radu i socijalna i kulturna inkluzija širom granica</w:t>
      </w:r>
    </w:p>
    <w:p w14:paraId="2383B4C6"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lang w:eastAsia="en-US"/>
        </w:rPr>
      </w:pPr>
    </w:p>
    <w:p w14:paraId="0EBAE833" w14:textId="77777777" w:rsidR="00047EF8" w:rsidRPr="00F563CD" w:rsidRDefault="00047EF8" w:rsidP="00047EF8">
      <w:pPr>
        <w:autoSpaceDE w:val="0"/>
        <w:autoSpaceDN w:val="0"/>
        <w:adjustRightInd w:val="0"/>
        <w:spacing w:after="0" w:line="240" w:lineRule="auto"/>
        <w:ind w:left="7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1: Unaprijediti kvalitet javnog zdravlja i socijalnih usluga za inkluziju marginalizovanih grupa u programskoj oblasti</w:t>
      </w:r>
    </w:p>
    <w:p w14:paraId="336A9EF5" w14:textId="77777777" w:rsidR="00047EF8" w:rsidRPr="00F563CD" w:rsidRDefault="00047EF8" w:rsidP="00047EF8">
      <w:pPr>
        <w:autoSpaceDE w:val="0"/>
        <w:autoSpaceDN w:val="0"/>
        <w:adjustRightInd w:val="0"/>
        <w:spacing w:after="0" w:line="240" w:lineRule="auto"/>
        <w:ind w:left="720"/>
        <w:jc w:val="both"/>
        <w:rPr>
          <w:rFonts w:asciiTheme="minorHAnsi" w:eastAsia="Calibri" w:hAnsiTheme="minorHAnsi" w:cs="Arial"/>
          <w:sz w:val="20"/>
          <w:szCs w:val="20"/>
          <w:lang w:eastAsia="en-US"/>
        </w:rPr>
      </w:pPr>
    </w:p>
    <w:p w14:paraId="1C60D9D9"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t>Tematski klaster 4: Unaprijeđeno poslovno okruženje i konkurentost</w:t>
      </w:r>
    </w:p>
    <w:p w14:paraId="4A922030" w14:textId="77777777" w:rsidR="00047EF8" w:rsidRPr="00F563CD" w:rsidRDefault="00047EF8" w:rsidP="00047EF8">
      <w:pPr>
        <w:autoSpaceDE w:val="0"/>
        <w:autoSpaceDN w:val="0"/>
        <w:adjustRightInd w:val="0"/>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Tematski prioritet 5: Podsticanje turizma i kulturnog i prirodnog nasljeđa</w:t>
      </w:r>
    </w:p>
    <w:p w14:paraId="62E9C0C7" w14:textId="77777777" w:rsidR="00047EF8" w:rsidRPr="00F563CD" w:rsidRDefault="00047EF8" w:rsidP="00047EF8">
      <w:pPr>
        <w:spacing w:after="160" w:line="240" w:lineRule="auto"/>
        <w:jc w:val="both"/>
        <w:rPr>
          <w:rFonts w:asciiTheme="minorHAnsi" w:eastAsia="Calibri" w:hAnsiTheme="minorHAnsi" w:cs="Arial"/>
          <w:b/>
          <w:sz w:val="20"/>
          <w:szCs w:val="20"/>
          <w:lang w:eastAsia="en-US"/>
        </w:rPr>
      </w:pPr>
    </w:p>
    <w:p w14:paraId="3C958F59" w14:textId="77777777" w:rsidR="00047EF8" w:rsidRPr="00F563CD" w:rsidRDefault="00047EF8" w:rsidP="00047EF8">
      <w:pPr>
        <w:spacing w:after="160" w:line="240" w:lineRule="auto"/>
        <w:ind w:left="7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2: Unaprijediti i promovisati zajednički koordinisanu prekograničnu turističku ponudu zasnovanu na zaštiti kulturnog i prirodnog nasljeđa</w:t>
      </w:r>
    </w:p>
    <w:p w14:paraId="50A9293D" w14:textId="77777777" w:rsidR="00047EF8" w:rsidRPr="00F563CD" w:rsidRDefault="00047EF8" w:rsidP="00047EF8">
      <w:pPr>
        <w:spacing w:after="16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Tematski prioritet tehničke pomoći predviđen je u sva četiri programa sa sljedećim konkretnim ciljem: Osigurati efikasno, djelotvorno, transparentno i pravovremeno sprovođenje programa prekogranične saradnje, kao i podići svijest o programu među nacionalnim, regionalnim i lokalnim zajednicama i, uopšteno, stanovništvom u odgovarajućoj programskoj oblasti. Tematski klaster 5 koji se odnosi na unaprijeđeni kapacitet lokalnih i regionalnih organa vlasti za suočavanje sa lokalnim izazovima biće prepoznat kroz dokument.</w:t>
      </w:r>
    </w:p>
    <w:p w14:paraId="049FF62F" w14:textId="77777777" w:rsidR="00047EF8" w:rsidRPr="00F563CD" w:rsidRDefault="00047EF8" w:rsidP="00047EF8">
      <w:pPr>
        <w:spacing w:after="160" w:line="240" w:lineRule="auto"/>
        <w:jc w:val="both"/>
        <w:rPr>
          <w:rFonts w:asciiTheme="minorHAnsi" w:eastAsia="Calibri" w:hAnsiTheme="minorHAnsi" w:cs="Arial"/>
          <w:sz w:val="20"/>
          <w:szCs w:val="20"/>
          <w:lang w:eastAsia="en-US"/>
        </w:rPr>
      </w:pPr>
    </w:p>
    <w:p w14:paraId="07B42791" w14:textId="77777777" w:rsidR="00047EF8" w:rsidRPr="00F563CD" w:rsidRDefault="00047EF8" w:rsidP="00047EF8">
      <w:pPr>
        <w:spacing w:after="0" w:line="240" w:lineRule="auto"/>
        <w:jc w:val="both"/>
        <w:rPr>
          <w:rFonts w:asciiTheme="minorHAnsi" w:eastAsia="Calibri" w:hAnsiTheme="minorHAnsi" w:cs="Arial"/>
          <w:b/>
          <w:sz w:val="20"/>
          <w:szCs w:val="20"/>
          <w:lang w:eastAsia="en-US"/>
        </w:rPr>
      </w:pPr>
      <w:r w:rsidRPr="00F563CD">
        <w:rPr>
          <w:rFonts w:asciiTheme="minorHAnsi" w:eastAsia="Calibri" w:hAnsiTheme="minorHAnsi" w:cs="Arial"/>
          <w:b/>
          <w:sz w:val="20"/>
          <w:szCs w:val="20"/>
          <w:lang w:eastAsia="en-US"/>
        </w:rPr>
        <w:t xml:space="preserve">PROGRAMI INTERREG </w:t>
      </w:r>
    </w:p>
    <w:p w14:paraId="255EABE3" w14:textId="77777777" w:rsidR="00047EF8" w:rsidRPr="00F563CD" w:rsidRDefault="00047EF8" w:rsidP="00047EF8">
      <w:pPr>
        <w:spacing w:after="0" w:line="240" w:lineRule="auto"/>
        <w:jc w:val="both"/>
        <w:rPr>
          <w:rFonts w:asciiTheme="minorHAnsi" w:eastAsia="Calibri" w:hAnsiTheme="minorHAnsi" w:cs="Arial"/>
          <w:b/>
          <w:sz w:val="20"/>
          <w:szCs w:val="20"/>
          <w:lang w:eastAsia="en-US"/>
        </w:rPr>
      </w:pPr>
    </w:p>
    <w:p w14:paraId="3BF4DE82"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Crna Gora učestvuje u 5 Interreg programa, tri transnacionalna: Jadransko-jonski (Adrion), Dunavski (DTP), Mediteranski (MED) i dva trilateralna: Hrvatska – Bosna i Hercegovina – Crna Gora i Italija – Albanija – Crna Gora. Proces programiranja za svih 5 programa započet je krajem 2019/početkom 2020. godine, i crnogorsko nacionalno tijelo je aktivno učestvovalo u razvoju nove generacije programa. U posljednjem kvartalu 2019. godine, Evropska komisija je objavila Smjernice (Border Orientation Papers) za svih pet programa, koji su poslužili kao referentni dokumenti za dalju diskusiju.</w:t>
      </w:r>
    </w:p>
    <w:p w14:paraId="3C090029"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4058040E" w14:textId="77777777" w:rsidR="00047EF8" w:rsidRPr="00F563CD" w:rsidRDefault="00047EF8" w:rsidP="00047EF8">
      <w:pPr>
        <w:spacing w:after="0" w:line="240" w:lineRule="auto"/>
        <w:jc w:val="both"/>
        <w:rPr>
          <w:rFonts w:asciiTheme="minorHAnsi" w:eastAsia="Calibri" w:hAnsiTheme="minorHAnsi" w:cs="Arial"/>
          <w:b/>
          <w:sz w:val="20"/>
          <w:szCs w:val="20"/>
          <w:lang w:eastAsia="en-US"/>
        </w:rPr>
      </w:pPr>
      <w:r w:rsidRPr="00F563CD">
        <w:rPr>
          <w:rFonts w:asciiTheme="minorHAnsi" w:eastAsia="Calibri" w:hAnsiTheme="minorHAnsi" w:cs="Arial"/>
          <w:b/>
          <w:sz w:val="20"/>
          <w:szCs w:val="20"/>
          <w:lang w:eastAsia="en-US"/>
        </w:rPr>
        <w:t>ADRION</w:t>
      </w:r>
    </w:p>
    <w:p w14:paraId="0BA05ACA" w14:textId="77777777" w:rsidR="00047EF8" w:rsidRPr="00F563CD" w:rsidRDefault="00047EF8" w:rsidP="00047EF8">
      <w:pPr>
        <w:spacing w:after="0" w:line="240" w:lineRule="auto"/>
        <w:jc w:val="both"/>
        <w:rPr>
          <w:rFonts w:asciiTheme="minorHAnsi" w:eastAsia="Calibri" w:hAnsiTheme="minorHAnsi" w:cs="Arial"/>
          <w:b/>
          <w:sz w:val="20"/>
          <w:szCs w:val="20"/>
          <w:lang w:eastAsia="en-US"/>
        </w:rPr>
      </w:pPr>
    </w:p>
    <w:p w14:paraId="21C7B8B9"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Do sada je održano devet sastanaka, dva neformalna i sedam formalnih. Urađena je teritorijalna i društveno-ekonomska analiza. Radna grupa je odlučila da uključi Sjevernu Makedoniju u program i preliminarno definisala ciljeve politike programa: Cilj politike 1- Pametnija Evropa, Cilj politike 2 - Zelenija Evropa, Cilj politike 3 - Povezanija Evropa i Cilj politike 4 – Društvenija Evropa. Dalje usaglašavanje inicijalno identifikovanih ciljeva politike i odabir konkretnih ciljeva dogodiće se u narednim mjesecima, nakon završetka postupka javnih konsultacija.</w:t>
      </w:r>
    </w:p>
    <w:p w14:paraId="060653AC"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3BC4A562"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 xml:space="preserve">Sadašnji Organ upravljanja – italijanska regija Emilio Romagna takođe je potvrđen i za finansijsku perspektivu 2021-2027. Nedavno </w:t>
      </w:r>
      <w:proofErr w:type="gramStart"/>
      <w:r w:rsidRPr="00F563CD">
        <w:rPr>
          <w:rFonts w:asciiTheme="minorHAnsi" w:eastAsia="Calibri" w:hAnsiTheme="minorHAnsi" w:cs="Arial"/>
          <w:sz w:val="20"/>
          <w:szCs w:val="20"/>
          <w:lang w:eastAsia="en-US"/>
        </w:rPr>
        <w:t>je  i</w:t>
      </w:r>
      <w:proofErr w:type="gramEnd"/>
      <w:r w:rsidRPr="00F563CD">
        <w:rPr>
          <w:rFonts w:asciiTheme="minorHAnsi" w:eastAsia="Calibri" w:hAnsiTheme="minorHAnsi" w:cs="Arial"/>
          <w:sz w:val="20"/>
          <w:szCs w:val="20"/>
          <w:lang w:eastAsia="en-US"/>
        </w:rPr>
        <w:t xml:space="preserve"> Kipar podnio zvaničan zahtjev da se pridruži ovom Programu. Očekuje se pozitivna odluka na prvom narednom sastanku.</w:t>
      </w:r>
    </w:p>
    <w:p w14:paraId="0209676A"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3DD0F392"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Okvir učinka programa za 2021-2027 i raspodjela budžeta će se definisati u narednim mjesecima.</w:t>
      </w:r>
    </w:p>
    <w:p w14:paraId="141D0C60"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39706B4F" w14:textId="77777777" w:rsidR="00047EF8" w:rsidRPr="00F563CD" w:rsidRDefault="00047EF8" w:rsidP="00047EF8">
      <w:pPr>
        <w:spacing w:after="0" w:line="240" w:lineRule="auto"/>
        <w:jc w:val="both"/>
        <w:rPr>
          <w:rFonts w:asciiTheme="minorHAnsi" w:eastAsia="Calibri" w:hAnsiTheme="minorHAnsi" w:cs="Arial"/>
          <w:b/>
          <w:sz w:val="20"/>
          <w:szCs w:val="20"/>
          <w:lang w:val="fr-BE" w:eastAsia="en-US"/>
        </w:rPr>
      </w:pPr>
      <w:r w:rsidRPr="00F563CD">
        <w:rPr>
          <w:rFonts w:asciiTheme="minorHAnsi" w:eastAsia="Calibri" w:hAnsiTheme="minorHAnsi" w:cs="Arial"/>
          <w:b/>
          <w:sz w:val="20"/>
          <w:szCs w:val="20"/>
          <w:lang w:val="fr-BE" w:eastAsia="en-US"/>
        </w:rPr>
        <w:t>DTP</w:t>
      </w:r>
    </w:p>
    <w:p w14:paraId="28D18487"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08D5E5D2"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val="fr-BE" w:eastAsia="en-US"/>
        </w:rPr>
        <w:t xml:space="preserve">Radna grupa je održala pet sastanka. Donijeta je odluka o potvrdi trenutnog Organa upravljanja – Ministarstva finansija Mađarske.  </w:t>
      </w:r>
      <w:r w:rsidRPr="00F563CD">
        <w:rPr>
          <w:rFonts w:asciiTheme="minorHAnsi" w:eastAsia="Calibri" w:hAnsiTheme="minorHAnsi" w:cs="Arial"/>
          <w:sz w:val="20"/>
          <w:szCs w:val="20"/>
          <w:lang w:eastAsia="en-US"/>
        </w:rPr>
        <w:t xml:space="preserve">Odrađena je i teritorijalna i socio-ekonomska analiza, kao i teritorijalna strategija. Definisani su programski ciljevi politike: </w:t>
      </w:r>
    </w:p>
    <w:p w14:paraId="10DE544D"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3C54CB7D" w14:textId="77777777" w:rsidR="00047EF8" w:rsidRPr="00F563CD" w:rsidRDefault="00047EF8" w:rsidP="00047EF8">
      <w:pPr>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t xml:space="preserve">Cilj politike 1- Pametnija Evropa </w:t>
      </w:r>
    </w:p>
    <w:p w14:paraId="1C0F591F"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13DAC485" w14:textId="77777777" w:rsidR="00047EF8" w:rsidRPr="00F563CD" w:rsidRDefault="00047EF8" w:rsidP="00047EF8">
      <w:pPr>
        <w:spacing w:after="0" w:line="240" w:lineRule="auto"/>
        <w:ind w:left="4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 xml:space="preserve">Posebni cilj 1. 2 – oblikovanje benefita digitalizacije za građane, privredna društva i državne organe; </w:t>
      </w:r>
    </w:p>
    <w:p w14:paraId="4AB1D604" w14:textId="77777777" w:rsidR="00047EF8" w:rsidRPr="00F563CD" w:rsidRDefault="00047EF8" w:rsidP="00047EF8">
      <w:pPr>
        <w:spacing w:after="0" w:line="240" w:lineRule="auto"/>
        <w:ind w:left="4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1.4 – razvoj vještina za pametnu specijalizaciju, industrijsku tranziciju i preduzetništvo,</w:t>
      </w:r>
    </w:p>
    <w:p w14:paraId="236C3E08"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0A9485F0" w14:textId="77777777" w:rsidR="00047EF8" w:rsidRPr="00F563CD" w:rsidRDefault="00047EF8" w:rsidP="00047EF8">
      <w:pPr>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t xml:space="preserve">Cilj politike 2 – Zelenija Evropa  </w:t>
      </w:r>
    </w:p>
    <w:p w14:paraId="7EE2F12B"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634B0C89" w14:textId="77777777" w:rsidR="00047EF8" w:rsidRPr="00F563CD" w:rsidRDefault="00047EF8" w:rsidP="00047EF8">
      <w:pPr>
        <w:spacing w:after="0" w:line="240" w:lineRule="auto"/>
        <w:ind w:left="4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2.2 – promovisanje obnovljive energije;</w:t>
      </w:r>
    </w:p>
    <w:p w14:paraId="512CBECF" w14:textId="77777777" w:rsidR="00047EF8" w:rsidRPr="00F563CD" w:rsidRDefault="00047EF8" w:rsidP="00047EF8">
      <w:pPr>
        <w:spacing w:after="0" w:line="240" w:lineRule="auto"/>
        <w:ind w:left="4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2.4 – promovisanje prilagođavanja klimatskim promjenama, sprečavanja rizika i fleksibilnosti;</w:t>
      </w:r>
    </w:p>
    <w:p w14:paraId="3CA0D946" w14:textId="77777777" w:rsidR="00047EF8" w:rsidRPr="00F563CD" w:rsidRDefault="00047EF8" w:rsidP="00047EF8">
      <w:pPr>
        <w:spacing w:after="0" w:line="240" w:lineRule="auto"/>
        <w:ind w:left="4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2.5 – promovisanje održivog upravljanja vodama;</w:t>
      </w:r>
    </w:p>
    <w:p w14:paraId="01BC369D" w14:textId="77777777" w:rsidR="00047EF8" w:rsidRPr="00F563CD" w:rsidRDefault="00047EF8" w:rsidP="00047EF8">
      <w:pPr>
        <w:spacing w:after="0" w:line="240" w:lineRule="auto"/>
        <w:ind w:left="4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2.7 – unapređenje biodiverziteta, zelene infrastrukture u urbanom orkuženju i smanjenje zagađenja;</w:t>
      </w:r>
    </w:p>
    <w:p w14:paraId="2C87D2E5"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71B254F6" w14:textId="77777777" w:rsidR="00047EF8" w:rsidRPr="00F563CD" w:rsidRDefault="00047EF8" w:rsidP="00047EF8">
      <w:pPr>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t>Cilj politike 4 – Društvenija Evropa</w:t>
      </w:r>
    </w:p>
    <w:p w14:paraId="617253EE" w14:textId="77777777" w:rsidR="00047EF8" w:rsidRPr="00F563CD" w:rsidRDefault="00047EF8" w:rsidP="00047EF8">
      <w:pPr>
        <w:spacing w:after="0" w:line="240" w:lineRule="auto"/>
        <w:jc w:val="both"/>
        <w:rPr>
          <w:rFonts w:asciiTheme="minorHAnsi" w:eastAsia="Calibri" w:hAnsiTheme="minorHAnsi" w:cs="Arial"/>
          <w:sz w:val="20"/>
          <w:szCs w:val="20"/>
          <w:u w:val="single"/>
          <w:lang w:eastAsia="en-US"/>
        </w:rPr>
      </w:pPr>
    </w:p>
    <w:p w14:paraId="7A0AC752" w14:textId="77777777" w:rsidR="00047EF8" w:rsidRPr="00F563CD" w:rsidRDefault="00047EF8" w:rsidP="00047EF8">
      <w:pPr>
        <w:spacing w:after="0" w:line="240" w:lineRule="auto"/>
        <w:ind w:left="4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4.1 – unapređenje djelotvornosti i inkluzivnosti tržišta rada i pristupa kvalitetnom zapošljavanju kroz razvoj socijalne infrastrukture i promovisanje socijalne ekonomije;</w:t>
      </w:r>
    </w:p>
    <w:p w14:paraId="0A8D8A48" w14:textId="77777777" w:rsidR="00047EF8" w:rsidRPr="00F563CD" w:rsidRDefault="00047EF8" w:rsidP="00047EF8">
      <w:pPr>
        <w:spacing w:after="0" w:line="240" w:lineRule="auto"/>
        <w:ind w:left="4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4.2 – unapređenje jednakog pristupa inkluzivnim i kvalitetnim servisima u obrazovanju, osposobljavanju i cjeloživotnom učenju kroz razvoj pristupačne infrastrukture;</w:t>
      </w:r>
    </w:p>
    <w:p w14:paraId="72FE9870" w14:textId="77777777" w:rsidR="00047EF8" w:rsidRPr="00F563CD" w:rsidRDefault="00047EF8" w:rsidP="00047EF8">
      <w:pPr>
        <w:spacing w:after="0" w:line="240" w:lineRule="auto"/>
        <w:ind w:left="420"/>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Posebni cilj 4.5 – unapređenje uloge kulture i turzima za ekonomski razvoj, socijalnu inkluziju i socijalne inovacije.</w:t>
      </w:r>
    </w:p>
    <w:p w14:paraId="2C2AE7F1"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0510C7B8" w14:textId="77777777" w:rsidR="00047EF8" w:rsidRPr="00F563CD" w:rsidRDefault="00047EF8" w:rsidP="00047EF8">
      <w:pPr>
        <w:spacing w:after="0" w:line="240" w:lineRule="auto"/>
        <w:jc w:val="both"/>
        <w:rPr>
          <w:rFonts w:asciiTheme="minorHAnsi" w:eastAsia="Calibri" w:hAnsiTheme="minorHAnsi" w:cs="Arial"/>
          <w:sz w:val="20"/>
          <w:szCs w:val="20"/>
          <w:u w:val="single"/>
          <w:lang w:eastAsia="en-US"/>
        </w:rPr>
      </w:pPr>
      <w:r w:rsidRPr="00F563CD">
        <w:rPr>
          <w:rFonts w:asciiTheme="minorHAnsi" w:eastAsia="Calibri" w:hAnsiTheme="minorHAnsi" w:cs="Arial"/>
          <w:sz w:val="20"/>
          <w:szCs w:val="20"/>
          <w:u w:val="single"/>
          <w:lang w:eastAsia="en-US"/>
        </w:rPr>
        <w:t>Interreg posebni cilj 1 – Bolje upravljanje</w:t>
      </w:r>
    </w:p>
    <w:p w14:paraId="6FCA960A" w14:textId="77777777" w:rsidR="00047EF8" w:rsidRPr="00F563CD" w:rsidRDefault="00047EF8" w:rsidP="00047EF8">
      <w:pPr>
        <w:spacing w:after="0" w:line="240" w:lineRule="auto"/>
        <w:jc w:val="both"/>
        <w:rPr>
          <w:rFonts w:asciiTheme="minorHAnsi" w:eastAsia="Calibri" w:hAnsiTheme="minorHAnsi" w:cs="Arial"/>
          <w:sz w:val="20"/>
          <w:szCs w:val="20"/>
          <w:u w:val="single"/>
          <w:lang w:eastAsia="en-US"/>
        </w:rPr>
      </w:pPr>
    </w:p>
    <w:p w14:paraId="49EAE050"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r w:rsidRPr="00F563CD">
        <w:rPr>
          <w:rFonts w:asciiTheme="minorHAnsi" w:eastAsia="Calibri" w:hAnsiTheme="minorHAnsi" w:cs="Arial"/>
          <w:sz w:val="20"/>
          <w:szCs w:val="20"/>
          <w:lang w:eastAsia="en-US"/>
        </w:rPr>
        <w:t>Okvir učinka programa za 2021-2027 i raspodjela budžeta će se definisati u narednim mjesecima.</w:t>
      </w:r>
    </w:p>
    <w:p w14:paraId="52AC3F71" w14:textId="77777777" w:rsidR="00047EF8" w:rsidRPr="00F563CD" w:rsidRDefault="00047EF8" w:rsidP="00047EF8">
      <w:pPr>
        <w:spacing w:after="0" w:line="240" w:lineRule="auto"/>
        <w:jc w:val="both"/>
        <w:rPr>
          <w:rFonts w:asciiTheme="minorHAnsi" w:eastAsia="Calibri" w:hAnsiTheme="minorHAnsi" w:cs="Arial"/>
          <w:sz w:val="20"/>
          <w:szCs w:val="20"/>
          <w:u w:val="single"/>
          <w:lang w:eastAsia="en-US"/>
        </w:rPr>
      </w:pPr>
    </w:p>
    <w:p w14:paraId="350ABED9" w14:textId="77777777" w:rsidR="00047EF8" w:rsidRPr="00F563CD" w:rsidRDefault="00047EF8" w:rsidP="00047EF8">
      <w:pPr>
        <w:spacing w:after="0" w:line="240" w:lineRule="auto"/>
        <w:jc w:val="both"/>
        <w:rPr>
          <w:rFonts w:asciiTheme="minorHAnsi" w:eastAsia="Calibri" w:hAnsiTheme="minorHAnsi" w:cs="Arial"/>
          <w:b/>
          <w:sz w:val="20"/>
          <w:szCs w:val="20"/>
          <w:lang w:val="fr-BE" w:eastAsia="en-US"/>
        </w:rPr>
      </w:pPr>
      <w:r w:rsidRPr="00F563CD">
        <w:rPr>
          <w:rFonts w:asciiTheme="minorHAnsi" w:eastAsia="Calibri" w:hAnsiTheme="minorHAnsi" w:cs="Arial"/>
          <w:b/>
          <w:sz w:val="20"/>
          <w:szCs w:val="20"/>
          <w:lang w:val="fr-BE" w:eastAsia="en-US"/>
        </w:rPr>
        <w:t>MED</w:t>
      </w:r>
    </w:p>
    <w:p w14:paraId="78485AC7" w14:textId="77777777" w:rsidR="00047EF8" w:rsidRPr="00F563CD" w:rsidRDefault="00047EF8" w:rsidP="00047EF8">
      <w:pPr>
        <w:spacing w:after="0" w:line="240" w:lineRule="auto"/>
        <w:jc w:val="both"/>
        <w:rPr>
          <w:rFonts w:asciiTheme="minorHAnsi" w:eastAsia="Calibri" w:hAnsiTheme="minorHAnsi" w:cs="Arial"/>
          <w:b/>
          <w:sz w:val="20"/>
          <w:szCs w:val="20"/>
          <w:lang w:val="fr-BE" w:eastAsia="en-US"/>
        </w:rPr>
      </w:pPr>
    </w:p>
    <w:p w14:paraId="0ACF7D3B"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Održano je deset sastanaka Radne grupe. Urađena je teritorijalna i socio-ekonomska analiza. Donijete su odluke o budućim ciljevima politike i teritoriji. Glavni cilj Programa sastoji se u doprinosu tranziciji ka klimatski neutralnom </w:t>
      </w:r>
      <w:proofErr w:type="gramStart"/>
      <w:r w:rsidRPr="00F563CD">
        <w:rPr>
          <w:rFonts w:asciiTheme="minorHAnsi" w:eastAsia="Calibri" w:hAnsiTheme="minorHAnsi" w:cs="Arial"/>
          <w:sz w:val="20"/>
          <w:szCs w:val="20"/>
          <w:lang w:val="fr-BE" w:eastAsia="en-US"/>
        </w:rPr>
        <w:t>društvu:</w:t>
      </w:r>
      <w:proofErr w:type="gramEnd"/>
      <w:r w:rsidRPr="00F563CD">
        <w:rPr>
          <w:rFonts w:asciiTheme="minorHAnsi" w:eastAsia="Calibri" w:hAnsiTheme="minorHAnsi" w:cs="Arial"/>
          <w:sz w:val="20"/>
          <w:szCs w:val="20"/>
          <w:lang w:val="fr-BE" w:eastAsia="en-US"/>
        </w:rPr>
        <w:t xml:space="preserve"> borba protiv uticaja klimatskih promjena na mediteranske resurse, dok se istovremeno obezbjeđuje održivi razvoj i blagostanje građana.</w:t>
      </w:r>
    </w:p>
    <w:p w14:paraId="5503FA81"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14ADF7F0"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Kada je u pitanju geografska pokrivenost programa Euro-MED, Radna grupa za ovaj program, na osnovu primljenih kandidatura, odlučila je o proširenju programa na tri autonomne regije Španije (Comunidad de Madrid, Extremadura, Castilla La Mancha), pod uslovom da se finansijska koverta Španije proporcionalno poveća, Bugarsku (cijela zemlja) i Republiku Sjevernu Makedoniju (cijela zemlja). </w:t>
      </w:r>
    </w:p>
    <w:p w14:paraId="710D7A31"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2D1598FF"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lastRenderedPageBreak/>
        <w:t>Radna grupa je odlučila da potvrdi sadašnji Organ upravljanja – francusku regiju Provence-Alpes Côte d’Azur. Uslijediće dalja diskusija o tipologiji projekata.</w:t>
      </w:r>
    </w:p>
    <w:p w14:paraId="309B3765"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4DA8DF7A"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Definisani su ciljevi politike ovog </w:t>
      </w:r>
      <w:proofErr w:type="gramStart"/>
      <w:r w:rsidRPr="00F563CD">
        <w:rPr>
          <w:rFonts w:asciiTheme="minorHAnsi" w:eastAsia="Calibri" w:hAnsiTheme="minorHAnsi" w:cs="Arial"/>
          <w:sz w:val="20"/>
          <w:szCs w:val="20"/>
          <w:lang w:val="fr-BE" w:eastAsia="en-US"/>
        </w:rPr>
        <w:t>programa:</w:t>
      </w:r>
      <w:proofErr w:type="gramEnd"/>
    </w:p>
    <w:p w14:paraId="62923797"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1E6B87C1" w14:textId="77777777" w:rsidR="00047EF8" w:rsidRPr="00F563CD" w:rsidRDefault="00047EF8" w:rsidP="00047EF8">
      <w:pPr>
        <w:spacing w:after="0" w:line="240" w:lineRule="auto"/>
        <w:jc w:val="both"/>
        <w:rPr>
          <w:rFonts w:asciiTheme="minorHAnsi" w:eastAsia="Calibri" w:hAnsiTheme="minorHAnsi" w:cs="Arial"/>
          <w:sz w:val="20"/>
          <w:szCs w:val="20"/>
          <w:u w:val="single"/>
          <w:lang w:val="fr-BE" w:eastAsia="en-US"/>
        </w:rPr>
      </w:pPr>
      <w:r w:rsidRPr="00F563CD">
        <w:rPr>
          <w:rFonts w:asciiTheme="minorHAnsi" w:eastAsia="Calibri" w:hAnsiTheme="minorHAnsi" w:cs="Arial"/>
          <w:sz w:val="20"/>
          <w:szCs w:val="20"/>
          <w:u w:val="single"/>
          <w:lang w:val="fr-BE" w:eastAsia="en-US"/>
        </w:rPr>
        <w:t xml:space="preserve">Cilj politike 1- Pametnija Evropa </w:t>
      </w:r>
    </w:p>
    <w:p w14:paraId="1E43C02C"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28300F49" w14:textId="77777777" w:rsidR="00047EF8" w:rsidRPr="00F563CD" w:rsidRDefault="00047EF8" w:rsidP="00047EF8">
      <w:pPr>
        <w:spacing w:after="0" w:line="240" w:lineRule="auto"/>
        <w:ind w:left="420"/>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Posebni cilj 1.1 – Unapređenje kapaciteta za istraživanje i inovacije i preuzimanje naprednih tehnologija </w:t>
      </w:r>
    </w:p>
    <w:p w14:paraId="56C718F1"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2F14C2F3" w14:textId="77777777" w:rsidR="00047EF8" w:rsidRPr="00F563CD" w:rsidRDefault="00047EF8" w:rsidP="00047EF8">
      <w:pPr>
        <w:spacing w:after="0" w:line="240" w:lineRule="auto"/>
        <w:jc w:val="both"/>
        <w:rPr>
          <w:rFonts w:asciiTheme="minorHAnsi" w:eastAsia="Calibri" w:hAnsiTheme="minorHAnsi" w:cs="Arial"/>
          <w:sz w:val="20"/>
          <w:szCs w:val="20"/>
          <w:u w:val="single"/>
          <w:lang w:val="fr-BE" w:eastAsia="en-US"/>
        </w:rPr>
      </w:pPr>
      <w:r w:rsidRPr="00F563CD">
        <w:rPr>
          <w:rFonts w:asciiTheme="minorHAnsi" w:eastAsia="Calibri" w:hAnsiTheme="minorHAnsi" w:cs="Arial"/>
          <w:sz w:val="20"/>
          <w:szCs w:val="20"/>
          <w:u w:val="single"/>
          <w:lang w:val="fr-BE" w:eastAsia="en-US"/>
        </w:rPr>
        <w:t xml:space="preserve">Cilj politike 2 – Zelenija Evropa   </w:t>
      </w:r>
    </w:p>
    <w:p w14:paraId="4A879F3F"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4FF50BDA" w14:textId="77777777" w:rsidR="00047EF8" w:rsidRPr="00F563CD" w:rsidRDefault="00047EF8" w:rsidP="00047EF8">
      <w:pPr>
        <w:spacing w:after="0" w:line="240" w:lineRule="auto"/>
        <w:ind w:left="420"/>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Posebni cilj 2.4 – promovisanje prilagođavanja klimatskim promjenama, sprečavanja rizika i fleksibilnosti tokom </w:t>
      </w:r>
      <w:proofErr w:type="gramStart"/>
      <w:r w:rsidRPr="00F563CD">
        <w:rPr>
          <w:rFonts w:asciiTheme="minorHAnsi" w:eastAsia="Calibri" w:hAnsiTheme="minorHAnsi" w:cs="Arial"/>
          <w:sz w:val="20"/>
          <w:szCs w:val="20"/>
          <w:lang w:val="fr-BE" w:eastAsia="en-US"/>
        </w:rPr>
        <w:t>katastrofa;</w:t>
      </w:r>
      <w:proofErr w:type="gramEnd"/>
    </w:p>
    <w:p w14:paraId="06D48D7B" w14:textId="77777777" w:rsidR="00047EF8" w:rsidRPr="00F563CD" w:rsidRDefault="00047EF8" w:rsidP="00047EF8">
      <w:pPr>
        <w:spacing w:after="0" w:line="240" w:lineRule="auto"/>
        <w:ind w:left="420"/>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Posebni cilj 2.6 – promovisanje prelaza na cirkularnu </w:t>
      </w:r>
      <w:proofErr w:type="gramStart"/>
      <w:r w:rsidRPr="00F563CD">
        <w:rPr>
          <w:rFonts w:asciiTheme="minorHAnsi" w:eastAsia="Calibri" w:hAnsiTheme="minorHAnsi" w:cs="Arial"/>
          <w:sz w:val="20"/>
          <w:szCs w:val="20"/>
          <w:lang w:val="fr-BE" w:eastAsia="en-US"/>
        </w:rPr>
        <w:t>ekonomiju;</w:t>
      </w:r>
      <w:proofErr w:type="gramEnd"/>
    </w:p>
    <w:p w14:paraId="23444EA6" w14:textId="77777777" w:rsidR="00047EF8" w:rsidRPr="00F563CD" w:rsidRDefault="00047EF8" w:rsidP="00047EF8">
      <w:pPr>
        <w:spacing w:after="0" w:line="240" w:lineRule="auto"/>
        <w:ind w:left="420"/>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Posebni cilj 2.7 –vunapređenje biodiverziteta, zelene infrastrukture u urbanom okruženju i smanjenje zagađivanja</w:t>
      </w:r>
    </w:p>
    <w:p w14:paraId="0E89FB2B"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5E755153" w14:textId="77777777" w:rsidR="00047EF8" w:rsidRPr="00F563CD" w:rsidRDefault="00047EF8" w:rsidP="00047EF8">
      <w:pPr>
        <w:spacing w:after="0" w:line="240" w:lineRule="auto"/>
        <w:jc w:val="both"/>
        <w:rPr>
          <w:rFonts w:asciiTheme="minorHAnsi" w:eastAsia="Calibri" w:hAnsiTheme="minorHAnsi" w:cs="Arial"/>
          <w:sz w:val="20"/>
          <w:szCs w:val="20"/>
          <w:u w:val="single"/>
          <w:lang w:val="fr-BE" w:eastAsia="en-US"/>
        </w:rPr>
      </w:pPr>
      <w:r w:rsidRPr="00F563CD">
        <w:rPr>
          <w:rFonts w:asciiTheme="minorHAnsi" w:eastAsia="Calibri" w:hAnsiTheme="minorHAnsi" w:cs="Arial"/>
          <w:sz w:val="20"/>
          <w:szCs w:val="20"/>
          <w:u w:val="single"/>
          <w:lang w:val="fr-BE" w:eastAsia="en-US"/>
        </w:rPr>
        <w:t>Interreg posebni cilj 1 – Bolje upravljanje</w:t>
      </w:r>
    </w:p>
    <w:p w14:paraId="55BDB98A"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6A83BB8C"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Održivi turizam i kultura izabrani su kao transverzalna misija Programa i poprečna pitanja.</w:t>
      </w:r>
    </w:p>
    <w:p w14:paraId="5ABED096"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6554E574"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U narednim mjesecima treba da se definišu Okvir učinka programa za 2021-2027. </w:t>
      </w:r>
      <w:proofErr w:type="gramStart"/>
      <w:r w:rsidRPr="00F563CD">
        <w:rPr>
          <w:rFonts w:asciiTheme="minorHAnsi" w:eastAsia="Calibri" w:hAnsiTheme="minorHAnsi" w:cs="Arial"/>
          <w:sz w:val="20"/>
          <w:szCs w:val="20"/>
          <w:lang w:val="fr-BE" w:eastAsia="en-US"/>
        </w:rPr>
        <w:t>i</w:t>
      </w:r>
      <w:proofErr w:type="gramEnd"/>
      <w:r w:rsidRPr="00F563CD">
        <w:rPr>
          <w:rFonts w:asciiTheme="minorHAnsi" w:eastAsia="Calibri" w:hAnsiTheme="minorHAnsi" w:cs="Arial"/>
          <w:sz w:val="20"/>
          <w:szCs w:val="20"/>
          <w:lang w:val="fr-BE" w:eastAsia="en-US"/>
        </w:rPr>
        <w:t xml:space="preserve"> raspodjela budžeta.</w:t>
      </w:r>
    </w:p>
    <w:p w14:paraId="04F3809D"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0C99C8FA" w14:textId="77777777" w:rsidR="00047EF8" w:rsidRPr="00F563CD" w:rsidRDefault="00047EF8" w:rsidP="00047EF8">
      <w:pPr>
        <w:spacing w:after="0" w:line="240" w:lineRule="auto"/>
        <w:jc w:val="both"/>
        <w:rPr>
          <w:rFonts w:asciiTheme="minorHAnsi" w:eastAsia="Calibri" w:hAnsiTheme="minorHAnsi" w:cs="Arial"/>
          <w:b/>
          <w:sz w:val="20"/>
          <w:szCs w:val="20"/>
          <w:lang w:val="fr-BE" w:eastAsia="en-US"/>
        </w:rPr>
      </w:pPr>
      <w:r w:rsidRPr="00F563CD">
        <w:rPr>
          <w:rFonts w:asciiTheme="minorHAnsi" w:eastAsia="Calibri" w:hAnsiTheme="minorHAnsi" w:cs="Arial"/>
          <w:b/>
          <w:sz w:val="20"/>
          <w:szCs w:val="20"/>
          <w:lang w:val="fr-BE" w:eastAsia="en-US"/>
        </w:rPr>
        <w:t>Italija – Albanija – Crna Gora</w:t>
      </w:r>
    </w:p>
    <w:p w14:paraId="02BFCC4E" w14:textId="77777777" w:rsidR="00047EF8" w:rsidRPr="00F563CD" w:rsidRDefault="00047EF8" w:rsidP="00047EF8">
      <w:pPr>
        <w:spacing w:after="0" w:line="240" w:lineRule="auto"/>
        <w:jc w:val="both"/>
        <w:rPr>
          <w:rFonts w:asciiTheme="minorHAnsi" w:eastAsia="Calibri" w:hAnsiTheme="minorHAnsi" w:cs="Arial"/>
          <w:b/>
          <w:sz w:val="20"/>
          <w:szCs w:val="20"/>
          <w:lang w:val="fr-BE" w:eastAsia="en-US"/>
        </w:rPr>
      </w:pPr>
    </w:p>
    <w:p w14:paraId="130D89A1"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Održano je pet sastanaka Radne grupe. Urađena je teritorijalna i socio-ekonomska analiza. Radna grupa je odlučila da potvrdi sadašnji Organ upravljanja – regiju Puglia. Donijete su odluke o budućim ciljevima </w:t>
      </w:r>
      <w:proofErr w:type="gramStart"/>
      <w:r w:rsidRPr="00F563CD">
        <w:rPr>
          <w:rFonts w:asciiTheme="minorHAnsi" w:eastAsia="Calibri" w:hAnsiTheme="minorHAnsi" w:cs="Arial"/>
          <w:sz w:val="20"/>
          <w:szCs w:val="20"/>
          <w:lang w:val="fr-BE" w:eastAsia="en-US"/>
        </w:rPr>
        <w:t>politike:</w:t>
      </w:r>
      <w:proofErr w:type="gramEnd"/>
    </w:p>
    <w:p w14:paraId="0965AF4C"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1D02BDDE" w14:textId="77777777" w:rsidR="00047EF8" w:rsidRPr="00F563CD" w:rsidRDefault="00047EF8" w:rsidP="00047EF8">
      <w:pPr>
        <w:spacing w:after="0" w:line="240" w:lineRule="auto"/>
        <w:jc w:val="both"/>
        <w:rPr>
          <w:rFonts w:asciiTheme="minorHAnsi" w:eastAsia="Calibri" w:hAnsiTheme="minorHAnsi" w:cs="Arial"/>
          <w:sz w:val="20"/>
          <w:szCs w:val="20"/>
          <w:u w:val="single"/>
          <w:lang w:val="fr-BE" w:eastAsia="en-US"/>
        </w:rPr>
      </w:pPr>
      <w:r w:rsidRPr="00F563CD">
        <w:rPr>
          <w:rFonts w:asciiTheme="minorHAnsi" w:eastAsia="Calibri" w:hAnsiTheme="minorHAnsi" w:cs="Arial"/>
          <w:sz w:val="20"/>
          <w:szCs w:val="20"/>
          <w:u w:val="single"/>
          <w:lang w:val="fr-BE" w:eastAsia="en-US"/>
        </w:rPr>
        <w:t xml:space="preserve">Cilj politike 1- Pametnija Evropa </w:t>
      </w:r>
    </w:p>
    <w:p w14:paraId="0D3ABD87"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21858949" w14:textId="77777777" w:rsidR="00047EF8" w:rsidRPr="00F563CD" w:rsidRDefault="00047EF8" w:rsidP="00047EF8">
      <w:pPr>
        <w:spacing w:after="0" w:line="240" w:lineRule="auto"/>
        <w:ind w:left="420"/>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Posebni cilj 1.3 – Unapređenje rasta i konkurentnosti malih i srednjih preduzeća kroz zajedničke prekogranične aktivnosti</w:t>
      </w:r>
    </w:p>
    <w:p w14:paraId="1AF07390"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158E1E14" w14:textId="77777777" w:rsidR="00047EF8" w:rsidRPr="00F563CD" w:rsidRDefault="00047EF8" w:rsidP="00047EF8">
      <w:pPr>
        <w:spacing w:after="0" w:line="240" w:lineRule="auto"/>
        <w:jc w:val="both"/>
        <w:rPr>
          <w:rFonts w:asciiTheme="minorHAnsi" w:eastAsia="Calibri" w:hAnsiTheme="minorHAnsi" w:cs="Arial"/>
          <w:sz w:val="20"/>
          <w:szCs w:val="20"/>
          <w:u w:val="single"/>
          <w:lang w:val="fr-BE" w:eastAsia="en-US"/>
        </w:rPr>
      </w:pPr>
      <w:r w:rsidRPr="00F563CD">
        <w:rPr>
          <w:rFonts w:asciiTheme="minorHAnsi" w:eastAsia="Calibri" w:hAnsiTheme="minorHAnsi" w:cs="Arial"/>
          <w:sz w:val="20"/>
          <w:szCs w:val="20"/>
          <w:u w:val="single"/>
          <w:lang w:val="fr-BE" w:eastAsia="en-US"/>
        </w:rPr>
        <w:t xml:space="preserve">Cilj politike 2 – Zelenija Evropa   </w:t>
      </w:r>
    </w:p>
    <w:p w14:paraId="082492AD"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7E1BAD2B" w14:textId="77777777" w:rsidR="00047EF8" w:rsidRPr="00F563CD" w:rsidRDefault="00047EF8" w:rsidP="00047EF8">
      <w:pPr>
        <w:spacing w:after="0" w:line="240" w:lineRule="auto"/>
        <w:ind w:left="420"/>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Posebni cilj 2.1 – Promovisanje energetske efikasnosti sa zajedničkim prekograničnim </w:t>
      </w:r>
      <w:proofErr w:type="gramStart"/>
      <w:r w:rsidRPr="00F563CD">
        <w:rPr>
          <w:rFonts w:asciiTheme="minorHAnsi" w:eastAsia="Calibri" w:hAnsiTheme="minorHAnsi" w:cs="Arial"/>
          <w:sz w:val="20"/>
          <w:szCs w:val="20"/>
          <w:lang w:val="fr-BE" w:eastAsia="en-US"/>
        </w:rPr>
        <w:t>aktivnostima;</w:t>
      </w:r>
      <w:proofErr w:type="gramEnd"/>
    </w:p>
    <w:p w14:paraId="06CF3EEA" w14:textId="77777777" w:rsidR="00047EF8" w:rsidRPr="00F563CD" w:rsidRDefault="00047EF8" w:rsidP="00047EF8">
      <w:pPr>
        <w:spacing w:after="0" w:line="240" w:lineRule="auto"/>
        <w:ind w:left="420"/>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Posebni cilj 2.4 – Promovisanje prilagođavanja klimatskim promjenama, sprečavanja rizika i fleksibilnosti u </w:t>
      </w:r>
      <w:proofErr w:type="gramStart"/>
      <w:r w:rsidRPr="00F563CD">
        <w:rPr>
          <w:rFonts w:asciiTheme="minorHAnsi" w:eastAsia="Calibri" w:hAnsiTheme="minorHAnsi" w:cs="Arial"/>
          <w:sz w:val="20"/>
          <w:szCs w:val="20"/>
          <w:lang w:val="fr-BE" w:eastAsia="en-US"/>
        </w:rPr>
        <w:t>katastrofama;</w:t>
      </w:r>
      <w:proofErr w:type="gramEnd"/>
    </w:p>
    <w:p w14:paraId="57AD46E3" w14:textId="77777777" w:rsidR="00047EF8" w:rsidRPr="00F563CD" w:rsidRDefault="00047EF8" w:rsidP="00047EF8">
      <w:pPr>
        <w:spacing w:after="0" w:line="240" w:lineRule="auto"/>
        <w:ind w:left="420"/>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Posebni cilj 2.7 – Unapređenje biodiverziteta, zelene infrastrukture u urbanom okruženju i smanjenje zagađenosti sa zajedničkim prekograničnim </w:t>
      </w:r>
      <w:proofErr w:type="gramStart"/>
      <w:r w:rsidRPr="00F563CD">
        <w:rPr>
          <w:rFonts w:asciiTheme="minorHAnsi" w:eastAsia="Calibri" w:hAnsiTheme="minorHAnsi" w:cs="Arial"/>
          <w:sz w:val="20"/>
          <w:szCs w:val="20"/>
          <w:lang w:val="fr-BE" w:eastAsia="en-US"/>
        </w:rPr>
        <w:t>aktivnostima;</w:t>
      </w:r>
      <w:proofErr w:type="gramEnd"/>
    </w:p>
    <w:p w14:paraId="2D854EEE"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6E31B97B" w14:textId="77777777" w:rsidR="00047EF8" w:rsidRPr="00F563CD" w:rsidRDefault="00047EF8" w:rsidP="00047EF8">
      <w:pPr>
        <w:spacing w:after="0" w:line="240" w:lineRule="auto"/>
        <w:jc w:val="both"/>
        <w:rPr>
          <w:rFonts w:asciiTheme="minorHAnsi" w:eastAsia="Calibri" w:hAnsiTheme="minorHAnsi" w:cs="Arial"/>
          <w:sz w:val="20"/>
          <w:szCs w:val="20"/>
          <w:u w:val="single"/>
          <w:lang w:val="fr-BE" w:eastAsia="en-US"/>
        </w:rPr>
      </w:pPr>
      <w:r w:rsidRPr="00F563CD">
        <w:rPr>
          <w:rFonts w:asciiTheme="minorHAnsi" w:eastAsia="Calibri" w:hAnsiTheme="minorHAnsi" w:cs="Arial"/>
          <w:sz w:val="20"/>
          <w:szCs w:val="20"/>
          <w:u w:val="single"/>
          <w:lang w:val="fr-BE" w:eastAsia="en-US"/>
        </w:rPr>
        <w:t>Cilj politike 3 – Povezanija Evropa</w:t>
      </w:r>
    </w:p>
    <w:p w14:paraId="04A5864B"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5D1DA038" w14:textId="77777777" w:rsidR="00047EF8" w:rsidRPr="00F563CD" w:rsidRDefault="00047EF8" w:rsidP="00047EF8">
      <w:pPr>
        <w:spacing w:after="0" w:line="240" w:lineRule="auto"/>
        <w:ind w:left="420"/>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Posebni cilj 3.3 – Razvoj održive, na klimu prilagodljive, inteligentne i intermodalne nacionalne, regionalne i lokalne mobilnosti, uključujući unaprijeđen pristup TEN-T i prekograničnu mobilnost, kroz zajedničke prekogranične aktivnosti</w:t>
      </w:r>
    </w:p>
    <w:p w14:paraId="54986E4B"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76CC06F0" w14:textId="77777777" w:rsidR="00047EF8" w:rsidRPr="00F563CD" w:rsidRDefault="00047EF8" w:rsidP="00047EF8">
      <w:pPr>
        <w:spacing w:after="0" w:line="240" w:lineRule="auto"/>
        <w:jc w:val="both"/>
        <w:rPr>
          <w:rFonts w:asciiTheme="minorHAnsi" w:eastAsia="Calibri" w:hAnsiTheme="minorHAnsi" w:cs="Arial"/>
          <w:sz w:val="20"/>
          <w:szCs w:val="20"/>
          <w:u w:val="single"/>
          <w:lang w:val="fr-BE" w:eastAsia="en-US"/>
        </w:rPr>
      </w:pPr>
      <w:r w:rsidRPr="00F563CD">
        <w:rPr>
          <w:rFonts w:asciiTheme="minorHAnsi" w:eastAsia="Calibri" w:hAnsiTheme="minorHAnsi" w:cs="Arial"/>
          <w:sz w:val="20"/>
          <w:szCs w:val="20"/>
          <w:u w:val="single"/>
          <w:lang w:val="fr-BE" w:eastAsia="en-US"/>
        </w:rPr>
        <w:t>Interreg posebni cilj 1 – Bolje upravljanje</w:t>
      </w:r>
    </w:p>
    <w:p w14:paraId="0C332146"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2090261D"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Za transverzalnu misiju Programa i poprečna pitanja odabrani </w:t>
      </w:r>
      <w:proofErr w:type="gramStart"/>
      <w:r w:rsidRPr="00F563CD">
        <w:rPr>
          <w:rFonts w:asciiTheme="minorHAnsi" w:eastAsia="Calibri" w:hAnsiTheme="minorHAnsi" w:cs="Arial"/>
          <w:sz w:val="20"/>
          <w:szCs w:val="20"/>
          <w:lang w:val="fr-BE" w:eastAsia="en-US"/>
        </w:rPr>
        <w:t>su:</w:t>
      </w:r>
      <w:proofErr w:type="gramEnd"/>
      <w:r w:rsidRPr="00F563CD">
        <w:rPr>
          <w:rFonts w:asciiTheme="minorHAnsi" w:eastAsia="Calibri" w:hAnsiTheme="minorHAnsi" w:cs="Arial"/>
          <w:sz w:val="20"/>
          <w:szCs w:val="20"/>
          <w:lang w:val="fr-BE" w:eastAsia="en-US"/>
        </w:rPr>
        <w:t xml:space="preserve"> Kulturno nasljeđe, turizam, kreativne industrije, Digitalizacija i pretpristupna pomoć i bezbjednost na granicama. </w:t>
      </w:r>
    </w:p>
    <w:p w14:paraId="5512FC67"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5469DB66"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 xml:space="preserve">Okvir učinka programa za 2021-2027. </w:t>
      </w:r>
      <w:proofErr w:type="gramStart"/>
      <w:r w:rsidRPr="00F563CD">
        <w:rPr>
          <w:rFonts w:asciiTheme="minorHAnsi" w:eastAsia="Calibri" w:hAnsiTheme="minorHAnsi" w:cs="Arial"/>
          <w:sz w:val="20"/>
          <w:szCs w:val="20"/>
          <w:lang w:val="fr-BE" w:eastAsia="en-US"/>
        </w:rPr>
        <w:t>godinu</w:t>
      </w:r>
      <w:proofErr w:type="gramEnd"/>
      <w:r w:rsidRPr="00F563CD">
        <w:rPr>
          <w:rFonts w:asciiTheme="minorHAnsi" w:eastAsia="Calibri" w:hAnsiTheme="minorHAnsi" w:cs="Arial"/>
          <w:sz w:val="20"/>
          <w:szCs w:val="20"/>
          <w:lang w:val="fr-BE" w:eastAsia="en-US"/>
        </w:rPr>
        <w:t xml:space="preserve"> i raspodjela budžeta treba da budu definisani u narednim mjesecima.</w:t>
      </w:r>
    </w:p>
    <w:p w14:paraId="7C12CC0A"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782AA2BA"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16B1A698" w14:textId="77777777" w:rsidR="00047EF8" w:rsidRPr="00F563CD" w:rsidRDefault="00047EF8" w:rsidP="00047EF8">
      <w:pPr>
        <w:spacing w:after="0" w:line="240" w:lineRule="auto"/>
        <w:jc w:val="both"/>
        <w:rPr>
          <w:rFonts w:asciiTheme="minorHAnsi" w:eastAsia="Calibri" w:hAnsiTheme="minorHAnsi" w:cs="Arial"/>
          <w:b/>
          <w:sz w:val="20"/>
          <w:szCs w:val="20"/>
          <w:lang w:eastAsia="en-US"/>
        </w:rPr>
      </w:pPr>
      <w:r w:rsidRPr="00F563CD">
        <w:rPr>
          <w:rFonts w:asciiTheme="minorHAnsi" w:eastAsia="Calibri" w:hAnsiTheme="minorHAnsi" w:cs="Arial"/>
          <w:b/>
          <w:sz w:val="20"/>
          <w:szCs w:val="20"/>
          <w:lang w:eastAsia="en-US"/>
        </w:rPr>
        <w:t xml:space="preserve">Hrvatska – Bosna i Hercegovina – Crna Gora </w:t>
      </w:r>
    </w:p>
    <w:p w14:paraId="3850D3C9" w14:textId="77777777" w:rsidR="00047EF8" w:rsidRPr="00F563CD" w:rsidRDefault="00047EF8" w:rsidP="00047EF8">
      <w:pPr>
        <w:spacing w:after="0" w:line="240" w:lineRule="auto"/>
        <w:jc w:val="both"/>
        <w:rPr>
          <w:rFonts w:asciiTheme="minorHAnsi" w:eastAsia="Calibri" w:hAnsiTheme="minorHAnsi" w:cs="Arial"/>
          <w:sz w:val="20"/>
          <w:szCs w:val="20"/>
          <w:lang w:eastAsia="en-US"/>
        </w:rPr>
      </w:pPr>
    </w:p>
    <w:p w14:paraId="0FD99333"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lastRenderedPageBreak/>
        <w:t xml:space="preserve">Održana su tri sastanka Radne grupe. Ranije, nakon dugog pregovaračkog procesa između nacionalnih tijela, programska teritorija je potvrđena sa sadašnje perspektive i za predstojeći programski period. </w:t>
      </w:r>
    </w:p>
    <w:p w14:paraId="28F0C274"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p>
    <w:p w14:paraId="37609516" w14:textId="77777777" w:rsidR="00047EF8" w:rsidRPr="00F563CD" w:rsidRDefault="00047EF8" w:rsidP="00047EF8">
      <w:pPr>
        <w:spacing w:after="0" w:line="240" w:lineRule="auto"/>
        <w:jc w:val="both"/>
        <w:rPr>
          <w:rFonts w:asciiTheme="minorHAnsi" w:eastAsia="Calibri" w:hAnsiTheme="minorHAnsi" w:cs="Arial"/>
          <w:sz w:val="20"/>
          <w:szCs w:val="20"/>
          <w:lang w:val="fr-BE" w:eastAsia="en-US"/>
        </w:rPr>
      </w:pPr>
      <w:r w:rsidRPr="00F563CD">
        <w:rPr>
          <w:rFonts w:asciiTheme="minorHAnsi" w:eastAsia="Calibri" w:hAnsiTheme="minorHAnsi" w:cs="Arial"/>
          <w:sz w:val="20"/>
          <w:szCs w:val="20"/>
          <w:lang w:val="fr-BE" w:eastAsia="en-US"/>
        </w:rPr>
        <w:t>Radna grupa radi na teritorijalnoj i socio-ekonomskoj analizi, koja treba da bude završena do kraja marta, a u kojoj će se identifikovati potrebe programske teritorije, potencijalno područje intervencije i koja će poslužiti kao osnova za odabir ciljeva politike.</w:t>
      </w:r>
    </w:p>
    <w:p w14:paraId="0F4448A2" w14:textId="77777777" w:rsidR="00047EF8" w:rsidRPr="00F563CD" w:rsidRDefault="00047EF8" w:rsidP="00047EF8">
      <w:pPr>
        <w:pStyle w:val="Style2"/>
        <w:spacing w:after="120" w:line="240" w:lineRule="auto"/>
        <w:ind w:left="0" w:firstLine="0"/>
        <w:jc w:val="both"/>
        <w:rPr>
          <w:rFonts w:asciiTheme="minorHAnsi" w:hAnsiTheme="minorHAnsi" w:cs="Arial"/>
          <w:b w:val="0"/>
          <w:bCs w:val="0"/>
          <w:i/>
          <w:iCs/>
          <w:caps w:val="0"/>
          <w:sz w:val="20"/>
          <w:szCs w:val="20"/>
          <w:lang w:val="fr-BE"/>
        </w:rPr>
      </w:pPr>
    </w:p>
    <w:p w14:paraId="04E0CCE4" w14:textId="4A66B9A3" w:rsidR="00547174" w:rsidRPr="00FE2154" w:rsidRDefault="00047EF8" w:rsidP="00FE2154">
      <w:pPr>
        <w:spacing w:after="0" w:line="240" w:lineRule="auto"/>
        <w:rPr>
          <w:rFonts w:asciiTheme="minorHAnsi" w:hAnsiTheme="minorHAnsi" w:cs="Arial"/>
          <w:b/>
          <w:sz w:val="20"/>
          <w:szCs w:val="20"/>
          <w:lang w:val="fr-BE"/>
        </w:rPr>
      </w:pPr>
      <w:bookmarkStart w:id="70" w:name="_Toc374626630"/>
      <w:bookmarkStart w:id="71" w:name="_Toc374626973"/>
      <w:bookmarkStart w:id="72" w:name="_Toc403392952"/>
      <w:r w:rsidRPr="00F563CD">
        <w:rPr>
          <w:rStyle w:val="Style3Char"/>
          <w:rFonts w:asciiTheme="minorHAnsi" w:hAnsiTheme="minorHAnsi"/>
          <w:caps/>
          <w:sz w:val="20"/>
          <w:szCs w:val="20"/>
          <w:lang w:val="fr-BE"/>
        </w:rPr>
        <w:br w:type="page"/>
      </w:r>
      <w:bookmarkEnd w:id="70"/>
      <w:bookmarkEnd w:id="71"/>
      <w:bookmarkEnd w:id="72"/>
    </w:p>
    <w:p w14:paraId="1340587E" w14:textId="0038249A" w:rsidR="00047EF8" w:rsidRPr="00F563CD" w:rsidRDefault="00047EF8" w:rsidP="00047EF8">
      <w:pPr>
        <w:keepNext/>
        <w:keepLines/>
        <w:spacing w:before="120" w:after="240" w:line="240" w:lineRule="auto"/>
        <w:outlineLvl w:val="1"/>
        <w:rPr>
          <w:rFonts w:asciiTheme="minorHAnsi" w:hAnsiTheme="minorHAnsi" w:cs="Arial"/>
          <w:b/>
          <w:i/>
          <w:sz w:val="24"/>
          <w:szCs w:val="24"/>
        </w:rPr>
      </w:pPr>
      <w:bookmarkStart w:id="73" w:name="_Toc91500288"/>
      <w:r w:rsidRPr="00F563CD">
        <w:rPr>
          <w:rFonts w:asciiTheme="minorHAnsi" w:hAnsiTheme="minorHAnsi" w:cs="Arial"/>
          <w:b/>
          <w:bCs/>
          <w:i/>
          <w:sz w:val="24"/>
          <w:szCs w:val="24"/>
        </w:rPr>
        <w:lastRenderedPageBreak/>
        <w:t xml:space="preserve">Prilog 1 – </w:t>
      </w:r>
      <w:r w:rsidRPr="00F563CD">
        <w:rPr>
          <w:rFonts w:asciiTheme="minorHAnsi" w:hAnsiTheme="minorHAnsi" w:cs="Arial"/>
          <w:b/>
          <w:i/>
          <w:sz w:val="24"/>
          <w:szCs w:val="24"/>
        </w:rPr>
        <w:t>Strateška dokumenta po sektoru i ukupan broj strategija (februar 2020)</w:t>
      </w:r>
      <w:bookmarkEnd w:id="73"/>
    </w:p>
    <w:tbl>
      <w:tblPr>
        <w:tblStyle w:val="TableGrid1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2"/>
        <w:gridCol w:w="94"/>
        <w:gridCol w:w="2266"/>
        <w:gridCol w:w="3786"/>
      </w:tblGrid>
      <w:tr w:rsidR="00047EF8" w:rsidRPr="00F563CD" w14:paraId="71706034" w14:textId="77777777" w:rsidTr="00A239C5">
        <w:trPr>
          <w:trHeight w:hRule="exact" w:val="4359"/>
        </w:trPr>
        <w:tc>
          <w:tcPr>
            <w:tcW w:w="3446" w:type="dxa"/>
            <w:gridSpan w:val="2"/>
            <w:shd w:val="clear" w:color="auto" w:fill="FFFFFF" w:themeFill="background1"/>
            <w:vAlign w:val="center"/>
          </w:tcPr>
          <w:p w14:paraId="268F8AA1" w14:textId="77777777" w:rsidR="00047EF8" w:rsidRPr="00F563CD" w:rsidRDefault="00047EF8" w:rsidP="00A239C5">
            <w:pPr>
              <w:ind w:firstLine="34"/>
              <w:rPr>
                <w:rFonts w:asciiTheme="minorHAnsi" w:hAnsiTheme="minorHAnsi"/>
                <w:color w:val="C00000"/>
                <w:spacing w:val="-20"/>
                <w:sz w:val="28"/>
                <w:szCs w:val="28"/>
              </w:rPr>
            </w:pPr>
          </w:p>
          <w:p w14:paraId="6BC60672" w14:textId="0A1A1344" w:rsidR="00047EF8" w:rsidRPr="00F563CD" w:rsidRDefault="007840BE" w:rsidP="00A239C5">
            <w:pPr>
              <w:ind w:firstLine="34"/>
              <w:rPr>
                <w:rFonts w:asciiTheme="minorHAnsi" w:hAnsiTheme="minorHAnsi"/>
                <w:spacing w:val="-20"/>
                <w:sz w:val="28"/>
                <w:szCs w:val="28"/>
              </w:rPr>
            </w:pPr>
            <w:r w:rsidRPr="00F563CD">
              <w:rPr>
                <w:rFonts w:asciiTheme="minorHAnsi" w:hAnsiTheme="minorHAnsi"/>
                <w:noProof/>
                <w:lang w:val="en-US" w:eastAsia="en-US"/>
              </w:rPr>
              <mc:AlternateContent>
                <mc:Choice Requires="wpg">
                  <w:drawing>
                    <wp:anchor distT="0" distB="0" distL="114300" distR="114300" simplePos="0" relativeHeight="251660288" behindDoc="0" locked="0" layoutInCell="1" allowOverlap="1" wp14:anchorId="05532792" wp14:editId="0C573F0A">
                      <wp:simplePos x="0" y="0"/>
                      <wp:positionH relativeFrom="column">
                        <wp:posOffset>1741170</wp:posOffset>
                      </wp:positionH>
                      <wp:positionV relativeFrom="paragraph">
                        <wp:posOffset>229870</wp:posOffset>
                      </wp:positionV>
                      <wp:extent cx="3056255" cy="2123440"/>
                      <wp:effectExtent l="0" t="22860" r="0" b="15875"/>
                      <wp:wrapNone/>
                      <wp:docPr id="7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255" cy="2123440"/>
                                <a:chOff x="0" y="-740"/>
                                <a:chExt cx="30485" cy="23584"/>
                              </a:xfrm>
                            </wpg:grpSpPr>
                            <wps:wsp>
                              <wps:cNvPr id="74" name="Freeform 23468"/>
                              <wps:cNvSpPr>
                                <a:spLocks/>
                              </wps:cNvSpPr>
                              <wps:spPr bwMode="auto">
                                <a:xfrm>
                                  <a:off x="13444" y="-740"/>
                                  <a:ext cx="7367" cy="9621"/>
                                </a:xfrm>
                                <a:custGeom>
                                  <a:avLst/>
                                  <a:gdLst>
                                    <a:gd name="T0" fmla="*/ 0 w 846823"/>
                                    <a:gd name="T1" fmla="*/ 481090 h 736736"/>
                                    <a:gd name="T2" fmla="*/ 160240 w 846823"/>
                                    <a:gd name="T3" fmla="*/ 0 h 736736"/>
                                    <a:gd name="T4" fmla="*/ 576497 w 846823"/>
                                    <a:gd name="T5" fmla="*/ 0 h 736736"/>
                                    <a:gd name="T6" fmla="*/ 736737 w 846823"/>
                                    <a:gd name="T7" fmla="*/ 481090 h 736736"/>
                                    <a:gd name="T8" fmla="*/ 576497 w 846823"/>
                                    <a:gd name="T9" fmla="*/ 962180 h 736736"/>
                                    <a:gd name="T10" fmla="*/ 160240 w 846823"/>
                                    <a:gd name="T11" fmla="*/ 962180 h 736736"/>
                                    <a:gd name="T12" fmla="*/ 0 w 846823"/>
                                    <a:gd name="T13" fmla="*/ 481090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C00000"/>
                                </a:solidFill>
                                <a:ln w="12700">
                                  <a:solidFill>
                                    <a:srgbClr val="FFFFFF"/>
                                  </a:solidFill>
                                  <a:miter lim="800000"/>
                                  <a:headEnd/>
                                  <a:tailEnd/>
                                </a:ln>
                              </wps:spPr>
                              <wps:txbx>
                                <w:txbxContent>
                                  <w:p w14:paraId="1859564F" w14:textId="77777777" w:rsidR="006712E0" w:rsidRPr="000F1B08" w:rsidRDefault="006712E0" w:rsidP="00047EF8">
                                    <w:pPr>
                                      <w:pStyle w:val="NormalWeb"/>
                                      <w:spacing w:before="0" w:beforeAutospacing="0" w:after="109" w:afterAutospacing="0" w:line="216" w:lineRule="auto"/>
                                      <w:jc w:val="center"/>
                                      <w:rPr>
                                        <w:rFonts w:ascii="Arial Narrow" w:hAnsi="Arial Narrow" w:cstheme="minorBidi"/>
                                        <w:b/>
                                        <w:bCs/>
                                        <w:color w:val="FFFFFF" w:themeColor="light1"/>
                                        <w:kern w:val="24"/>
                                        <w:sz w:val="26"/>
                                        <w:szCs w:val="26"/>
                                        <w:lang w:val="uz-Cyrl-UZ"/>
                                      </w:rPr>
                                    </w:pPr>
                                    <w:r w:rsidRPr="0006691B">
                                      <w:rPr>
                                        <w:rFonts w:ascii="Arial Narrow" w:hAnsi="Arial Narrow" w:cstheme="minorBidi"/>
                                        <w:b/>
                                        <w:bCs/>
                                        <w:color w:val="FFFFFF" w:themeColor="light1"/>
                                        <w:kern w:val="24"/>
                                        <w:sz w:val="26"/>
                                        <w:szCs w:val="26"/>
                                        <w:lang w:val="uz-Cyrl-UZ"/>
                                      </w:rPr>
                                      <w:t>M</w:t>
                                    </w:r>
                                    <w:r>
                                      <w:rPr>
                                        <w:rFonts w:ascii="Arial Narrow" w:hAnsi="Arial Narrow" w:cstheme="minorBidi"/>
                                        <w:b/>
                                        <w:bCs/>
                                        <w:color w:val="FFFFFF" w:themeColor="light1"/>
                                        <w:kern w:val="24"/>
                                        <w:sz w:val="26"/>
                                        <w:szCs w:val="26"/>
                                        <w:lang w:val="uz-Cyrl-UZ"/>
                                      </w:rPr>
                                      <w:t>PADSM (3)</w:t>
                                    </w:r>
                                  </w:p>
                                  <w:p w14:paraId="3650CEEB"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(7</w:t>
                                    </w:r>
                                    <w:r w:rsidRPr="0006691B">
                                      <w:rPr>
                                        <w:rFonts w:ascii="Arial Narrow" w:hAnsi="Arial Narrow" w:cstheme="minorBidi"/>
                                        <w:b/>
                                        <w:bCs/>
                                        <w:color w:val="FFFFFF" w:themeColor="light1"/>
                                        <w:kern w:val="24"/>
                                        <w:sz w:val="26"/>
                                        <w:szCs w:val="26"/>
                                        <w:lang w:val="uz-Cyrl-UZ"/>
                                      </w:rPr>
                                      <w:t>)</w:t>
                                    </w:r>
                                  </w:p>
                                </w:txbxContent>
                              </wps:txbx>
                              <wps:bodyPr rot="0" vert="horz" wrap="square" lIns="164338" tIns="181494" rIns="164339" bIns="181493" anchor="ctr" anchorCtr="0" upright="1">
                                <a:noAutofit/>
                              </wps:bodyPr>
                            </wps:wsp>
                            <wps:wsp>
                              <wps:cNvPr id="75" name="Rectangle 23469"/>
                              <wps:cNvSpPr>
                                <a:spLocks noChangeArrowheads="1"/>
                              </wps:cNvSpPr>
                              <wps:spPr bwMode="auto">
                                <a:xfrm>
                                  <a:off x="21035" y="1693"/>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Freeform 23470"/>
                              <wps:cNvSpPr>
                                <a:spLocks/>
                              </wps:cNvSpPr>
                              <wps:spPr bwMode="auto">
                                <a:xfrm>
                                  <a:off x="5487" y="-634"/>
                                  <a:ext cx="7367" cy="9102"/>
                                </a:xfrm>
                                <a:custGeom>
                                  <a:avLst/>
                                  <a:gdLst>
                                    <a:gd name="T0" fmla="*/ 0 w 846823"/>
                                    <a:gd name="T1" fmla="*/ 455137 h 736736"/>
                                    <a:gd name="T2" fmla="*/ 160240 w 846823"/>
                                    <a:gd name="T3" fmla="*/ 0 h 736736"/>
                                    <a:gd name="T4" fmla="*/ 576497 w 846823"/>
                                    <a:gd name="T5" fmla="*/ 0 h 736736"/>
                                    <a:gd name="T6" fmla="*/ 736737 w 846823"/>
                                    <a:gd name="T7" fmla="*/ 455137 h 736736"/>
                                    <a:gd name="T8" fmla="*/ 576497 w 846823"/>
                                    <a:gd name="T9" fmla="*/ 910274 h 736736"/>
                                    <a:gd name="T10" fmla="*/ 160240 w 846823"/>
                                    <a:gd name="T11" fmla="*/ 910274 h 736736"/>
                                    <a:gd name="T12" fmla="*/ 0 w 846823"/>
                                    <a:gd name="T13" fmla="*/ 455137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C00000"/>
                                </a:solidFill>
                                <a:ln w="12700">
                                  <a:solidFill>
                                    <a:srgbClr val="FFFFFF"/>
                                  </a:solidFill>
                                  <a:miter lim="800000"/>
                                  <a:headEnd/>
                                  <a:tailEnd/>
                                </a:ln>
                              </wps:spPr>
                              <wps:txbx>
                                <w:txbxContent>
                                  <w:p w14:paraId="1E5F2B5E"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MIA</w:t>
                                    </w:r>
                                  </w:p>
                                  <w:p w14:paraId="440F7EBA"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(7</w:t>
                                    </w:r>
                                    <w:r w:rsidRPr="0006691B">
                                      <w:rPr>
                                        <w:rFonts w:ascii="Arial Narrow" w:hAnsi="Arial Narrow" w:cstheme="minorBidi"/>
                                        <w:b/>
                                        <w:bCs/>
                                        <w:color w:val="FFFFFF" w:themeColor="light1"/>
                                        <w:kern w:val="24"/>
                                        <w:sz w:val="26"/>
                                        <w:szCs w:val="26"/>
                                        <w:lang w:val="uz-Cyrl-UZ"/>
                                      </w:rPr>
                                      <w:t>)</w:t>
                                    </w:r>
                                  </w:p>
                                </w:txbxContent>
                              </wps:txbx>
                              <wps:bodyPr rot="0" vert="horz" wrap="square" lIns="114808" tIns="131964" rIns="114809" bIns="131963" anchor="ctr" anchorCtr="0" upright="1">
                                <a:noAutofit/>
                              </wps:bodyPr>
                            </wps:wsp>
                            <wps:wsp>
                              <wps:cNvPr id="77" name="Freeform 23471">
                                <a:hlinkClick r:id="rId40"/>
                              </wps:cNvPr>
                              <wps:cNvSpPr>
                                <a:spLocks/>
                              </wps:cNvSpPr>
                              <wps:spPr bwMode="auto">
                                <a:xfrm>
                                  <a:off x="9450"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C00000"/>
                                </a:solidFill>
                                <a:ln w="12700">
                                  <a:solidFill>
                                    <a:srgbClr val="FFFFFF"/>
                                  </a:solidFill>
                                  <a:miter lim="800000"/>
                                  <a:headEnd/>
                                  <a:tailEnd/>
                                </a:ln>
                              </wps:spPr>
                              <wps:txbx>
                                <w:txbxContent>
                                  <w:p w14:paraId="68AFD83E" w14:textId="77777777" w:rsidR="006712E0" w:rsidRPr="0006691B" w:rsidRDefault="001D48BA" w:rsidP="00047EF8">
                                    <w:pPr>
                                      <w:pStyle w:val="NormalWeb"/>
                                      <w:spacing w:before="0" w:beforeAutospacing="0" w:after="109" w:afterAutospacing="0" w:line="216" w:lineRule="auto"/>
                                      <w:jc w:val="center"/>
                                      <w:rPr>
                                        <w:rFonts w:ascii="Arial Narrow" w:hAnsi="Arial Narrow" w:cs="Calibri"/>
                                        <w:b/>
                                        <w:sz w:val="26"/>
                                        <w:szCs w:val="26"/>
                                      </w:rPr>
                                    </w:pPr>
                                    <w:hyperlink w:anchor="DDU" w:history="1">
                                      <w:r w:rsidR="006712E0">
                                        <w:rPr>
                                          <w:rStyle w:val="Hyperlink"/>
                                          <w:rFonts w:ascii="Arial Narrow" w:hAnsi="Arial Narrow" w:cs="Calibri"/>
                                          <w:sz w:val="26"/>
                                          <w:szCs w:val="26"/>
                                        </w:rPr>
                                        <w:t>DGG</w:t>
                                      </w:r>
                                    </w:hyperlink>
                                    <w:r w:rsidR="006712E0">
                                      <w:rPr>
                                        <w:rFonts w:ascii="Arial Narrow" w:hAnsi="Arial Narrow" w:cs="Calibri"/>
                                        <w:b/>
                                        <w:sz w:val="26"/>
                                        <w:szCs w:val="26"/>
                                      </w:rPr>
                                      <w:t xml:space="preserve"> (16</w:t>
                                    </w:r>
                                    <w:r w:rsidR="006712E0" w:rsidRPr="0006691B">
                                      <w:rPr>
                                        <w:rFonts w:ascii="Arial Narrow" w:hAnsi="Arial Narrow" w:cs="Calibri"/>
                                        <w:b/>
                                        <w:sz w:val="26"/>
                                        <w:szCs w:val="26"/>
                                      </w:rPr>
                                      <w:t>)</w:t>
                                    </w:r>
                                  </w:p>
                                </w:txbxContent>
                              </wps:txbx>
                              <wps:bodyPr rot="0" vert="horz" wrap="square" lIns="164338" tIns="181494" rIns="164339" bIns="181493" anchor="ctr" anchorCtr="0" upright="1">
                                <a:noAutofit/>
                              </wps:bodyPr>
                            </wps:wsp>
                            <wps:wsp>
                              <wps:cNvPr id="78" name="Rectangle 23472"/>
                              <wps:cNvSpPr>
                                <a:spLocks noChangeArrowheads="1"/>
                              </wps:cNvSpPr>
                              <wps:spPr bwMode="auto">
                                <a:xfrm>
                                  <a:off x="0" y="8881"/>
                                  <a:ext cx="9145"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23473"/>
                              <wps:cNvSpPr>
                                <a:spLocks/>
                              </wps:cNvSpPr>
                              <wps:spPr bwMode="auto">
                                <a:xfrm>
                                  <a:off x="17407"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C00000"/>
                                </a:solidFill>
                                <a:ln w="12700">
                                  <a:solidFill>
                                    <a:srgbClr val="FFFFFF"/>
                                  </a:solidFill>
                                  <a:miter lim="800000"/>
                                  <a:headEnd/>
                                  <a:tailEnd/>
                                </a:ln>
                              </wps:spPr>
                              <wps:txbx>
                                <w:txbxContent>
                                  <w:p w14:paraId="6B59472D" w14:textId="77777777" w:rsidR="006712E0" w:rsidRPr="00BA23C0" w:rsidRDefault="006712E0" w:rsidP="00047EF8">
                                    <w:pPr>
                                      <w:pStyle w:val="NormalWeb"/>
                                      <w:spacing w:before="0" w:beforeAutospacing="0" w:after="109" w:afterAutospacing="0" w:line="216" w:lineRule="auto"/>
                                      <w:jc w:val="center"/>
                                      <w:rPr>
                                        <w:rFonts w:ascii="Arial Narrow" w:hAnsi="Arial Narrow" w:cstheme="minorHAnsi"/>
                                        <w:b/>
                                        <w:sz w:val="26"/>
                                        <w:szCs w:val="26"/>
                                        <w:lang w:val="uz-Cyrl-UZ"/>
                                      </w:rPr>
                                    </w:pPr>
                                    <w:r>
                                      <w:rPr>
                                        <w:rFonts w:ascii="Arial Narrow" w:hAnsi="Arial Narrow" w:cstheme="minorHAnsi"/>
                                        <w:b/>
                                        <w:sz w:val="26"/>
                                        <w:szCs w:val="26"/>
                                        <w:lang w:val="uz-Cyrl-UZ"/>
                                      </w:rPr>
                                      <w:t xml:space="preserve">MJHMR </w:t>
                                    </w:r>
                                    <w:r w:rsidRPr="00BA23C0">
                                      <w:rPr>
                                        <w:rFonts w:ascii="Arial Narrow" w:hAnsi="Arial Narrow" w:cstheme="minorHAnsi"/>
                                        <w:b/>
                                        <w:sz w:val="26"/>
                                        <w:szCs w:val="26"/>
                                        <w:lang w:val="uz-Cyrl-UZ"/>
                                      </w:rPr>
                                      <w:t>(</w:t>
                                    </w:r>
                                    <w:r>
                                      <w:rPr>
                                        <w:rFonts w:ascii="Arial Narrow" w:hAnsi="Arial Narrow" w:cstheme="minorHAnsi"/>
                                        <w:b/>
                                        <w:sz w:val="26"/>
                                        <w:szCs w:val="26"/>
                                        <w:lang w:val="uz-Cyrl-UZ"/>
                                      </w:rPr>
                                      <w:t>6</w:t>
                                    </w:r>
                                    <w:r w:rsidRPr="00BA23C0">
                                      <w:rPr>
                                        <w:rFonts w:ascii="Arial Narrow" w:hAnsi="Arial Narrow" w:cstheme="minorHAnsi"/>
                                        <w:b/>
                                        <w:sz w:val="26"/>
                                        <w:szCs w:val="26"/>
                                        <w:lang w:val="uz-Cyrl-UZ"/>
                                      </w:rPr>
                                      <w:t>)</w:t>
                                    </w:r>
                                  </w:p>
                                </w:txbxContent>
                              </wps:txbx>
                              <wps:bodyPr rot="0" vert="horz" wrap="square" lIns="114808" tIns="131964" rIns="114809" bIns="131963" anchor="ctr" anchorCtr="0" upright="1">
                                <a:noAutofit/>
                              </wps:bodyPr>
                            </wps:wsp>
                            <wps:wsp>
                              <wps:cNvPr id="80" name="Freeform 23474"/>
                              <wps:cNvSpPr>
                                <a:spLocks/>
                              </wps:cNvSpPr>
                              <wps:spPr bwMode="auto">
                                <a:xfrm>
                                  <a:off x="13444"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C00000"/>
                                </a:solidFill>
                                <a:ln w="12700">
                                  <a:solidFill>
                                    <a:srgbClr val="FFFFFF"/>
                                  </a:solidFill>
                                  <a:miter lim="800000"/>
                                  <a:headEnd/>
                                  <a:tailEnd/>
                                </a:ln>
                              </wps:spPr>
                              <wps:txbx>
                                <w:txbxContent>
                                  <w:p w14:paraId="065FAD84" w14:textId="77777777" w:rsidR="006712E0" w:rsidRPr="0006691B" w:rsidRDefault="006712E0" w:rsidP="00047EF8">
                                    <w:pPr>
                                      <w:pStyle w:val="NormalWeb"/>
                                      <w:spacing w:before="0" w:beforeAutospacing="0" w:after="109" w:afterAutospacing="0" w:line="216" w:lineRule="auto"/>
                                      <w:rPr>
                                        <w:rFonts w:ascii="Arial Narrow" w:hAnsi="Arial Narrow"/>
                                      </w:rPr>
                                    </w:pPr>
                                  </w:p>
                                </w:txbxContent>
                              </wps:txbx>
                              <wps:bodyPr rot="0" vert="horz" wrap="square" lIns="164338" tIns="181494" rIns="164339" bIns="181493" anchor="ctr" anchorCtr="0" upright="1">
                                <a:noAutofit/>
                              </wps:bodyPr>
                            </wps:wsp>
                            <wps:wsp>
                              <wps:cNvPr id="81" name="Rectangle 23475"/>
                              <wps:cNvSpPr>
                                <a:spLocks noChangeArrowheads="1"/>
                              </wps:cNvSpPr>
                              <wps:spPr bwMode="auto">
                                <a:xfrm>
                                  <a:off x="21035" y="16069"/>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23476"/>
                              <wps:cNvSpPr>
                                <a:spLocks/>
                              </wps:cNvSpPr>
                              <wps:spPr bwMode="auto">
                                <a:xfrm>
                                  <a:off x="5487"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C00000"/>
                                </a:solidFill>
                                <a:ln w="12700">
                                  <a:solidFill>
                                    <a:srgbClr val="FFFFFF"/>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532792" id="Group 34" o:spid="_x0000_s1027" style="position:absolute;left:0;text-align:left;margin-left:137.1pt;margin-top:18.1pt;width:240.65pt;height:167.2pt;z-index:251660288;mso-width-relative:margin;mso-height-relative:margin" coordorigin=",-740" coordsize="30485,2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">
                      <v:shape id="Freeform 23468" o:spid="_x0000_s1028" style="position:absolute;left:13444;top:-740;width:7367;height:9621;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" adj="-11796480,,5400" path="m423411,l846822,160240r,416256l423412,736736,1,576496,1,160240,423411,xe" fillcolor="#c00000" strokecolor="white" strokeweight="1pt">
                        <v:stroke joinstyle="miter"/>
                        <v:formulas/>
                        <v:path arrowok="t" o:connecttype="custom" o:connectlocs="0,6283;1394,0;5015,0;6409,6283;5015,12565;1394,12565;0,6283" o:connectangles="0,0,0,0,0,0,0" textboxrect="0,0,846823,736736"/>
                        <v:textbox inset="12.94pt,5.0415mm,4.56497mm,5.04147mm">
                          <w:txbxContent>
                            <w:p w14:paraId="1859564F" w14:textId="77777777" w:rsidR="006712E0" w:rsidRPr="000F1B08" w:rsidRDefault="006712E0" w:rsidP="00047EF8">
                              <w:pPr>
                                <w:pStyle w:val="NormalWeb"/>
                                <w:spacing w:before="0" w:beforeAutospacing="0" w:after="109" w:afterAutospacing="0" w:line="216" w:lineRule="auto"/>
                                <w:jc w:val="center"/>
                                <w:rPr>
                                  <w:rFonts w:ascii="Arial Narrow" w:hAnsi="Arial Narrow" w:cstheme="minorBidi"/>
                                  <w:b/>
                                  <w:bCs/>
                                  <w:color w:val="FFFFFF" w:themeColor="light1"/>
                                  <w:kern w:val="24"/>
                                  <w:sz w:val="26"/>
                                  <w:szCs w:val="26"/>
                                  <w:lang w:val="uz-Cyrl-UZ"/>
                                </w:rPr>
                              </w:pPr>
                              <w:r w:rsidRPr="0006691B">
                                <w:rPr>
                                  <w:rFonts w:ascii="Arial Narrow" w:hAnsi="Arial Narrow" w:cstheme="minorBidi"/>
                                  <w:b/>
                                  <w:bCs/>
                                  <w:color w:val="FFFFFF" w:themeColor="light1"/>
                                  <w:kern w:val="24"/>
                                  <w:sz w:val="26"/>
                                  <w:szCs w:val="26"/>
                                  <w:lang w:val="uz-Cyrl-UZ"/>
                                </w:rPr>
                                <w:t>M</w:t>
                              </w:r>
                              <w:r>
                                <w:rPr>
                                  <w:rFonts w:ascii="Arial Narrow" w:hAnsi="Arial Narrow" w:cstheme="minorBidi"/>
                                  <w:b/>
                                  <w:bCs/>
                                  <w:color w:val="FFFFFF" w:themeColor="light1"/>
                                  <w:kern w:val="24"/>
                                  <w:sz w:val="26"/>
                                  <w:szCs w:val="26"/>
                                  <w:lang w:val="uz-Cyrl-UZ"/>
                                </w:rPr>
                                <w:t>PADSM (3)</w:t>
                              </w:r>
                            </w:p>
                            <w:p w14:paraId="3650CEEB"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(7</w:t>
                              </w:r>
                              <w:r w:rsidRPr="0006691B">
                                <w:rPr>
                                  <w:rFonts w:ascii="Arial Narrow" w:hAnsi="Arial Narrow" w:cstheme="minorBidi"/>
                                  <w:b/>
                                  <w:bCs/>
                                  <w:color w:val="FFFFFF" w:themeColor="light1"/>
                                  <w:kern w:val="24"/>
                                  <w:sz w:val="26"/>
                                  <w:szCs w:val="26"/>
                                  <w:lang w:val="uz-Cyrl-UZ"/>
                                </w:rPr>
                                <w:t>)</w:t>
                              </w:r>
                            </w:p>
                          </w:txbxContent>
                        </v:textbox>
                      </v:shape>
                      <v:rect id="Rectangle 23469" o:spid="_x0000_s1029" style="position:absolute;left:21035;top:1693;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EnxAAAANsAAAAPAAAAZHJzL2Rvd25yZXYueG1sRI9Ba8JA&#10;FITvBf/D8gQvohuFVk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MKksSfEAAAA2wAAAA8A&#10;AAAAAAAAAAAAAAAABwIAAGRycy9kb3ducmV2LnhtbFBLBQYAAAAAAwADALcAAAD4AgAAAAA=&#10;" filled="f" stroked="f"/>
                      <v:shape id="Freeform 23470" o:spid="_x0000_s1030" style="position:absolute;left:5487;top:-634;width:7367;height:9102;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" adj="-11796480,,5400" path="m423411,l846822,160240r,416256l423412,736736,1,576496,1,160240,423411,xe" fillcolor="#c00000" strokecolor="white" strokeweight="1pt">
                        <v:stroke joinstyle="miter"/>
                        <v:formulas/>
                        <v:path arrowok="t" o:connecttype="custom" o:connectlocs="0,5623;1394,0;5015,0;6409,5623;5015,11246;1394,11246;0,5623" o:connectangles="0,0,0,0,0,0,0" textboxrect="0,0,846823,736736"/>
                        <v:textbox inset="9.04pt,3.66567mm,3.18914mm,3.66564mm">
                          <w:txbxContent>
                            <w:p w14:paraId="1E5F2B5E"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MIA</w:t>
                              </w:r>
                            </w:p>
                            <w:p w14:paraId="440F7EBA"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(7</w:t>
                              </w:r>
                              <w:r w:rsidRPr="0006691B">
                                <w:rPr>
                                  <w:rFonts w:ascii="Arial Narrow" w:hAnsi="Arial Narrow" w:cstheme="minorBidi"/>
                                  <w:b/>
                                  <w:bCs/>
                                  <w:color w:val="FFFFFF" w:themeColor="light1"/>
                                  <w:kern w:val="24"/>
                                  <w:sz w:val="26"/>
                                  <w:szCs w:val="26"/>
                                  <w:lang w:val="uz-Cyrl-UZ"/>
                                </w:rPr>
                                <w:t>)</w:t>
                              </w:r>
                            </w:p>
                          </w:txbxContent>
                        </v:textbox>
                      </v:shape>
                      <v:shape id="Freeform 23471" o:spid="_x0000_s1031" href="#DDU" style="position:absolute;left:9450;top:7187;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" o:button="t" adj="-11796480,,5400" path="m423411,l846822,160240r,416256l423412,736736,1,576496,1,160240,423411,xe" fillcolor="#c00000" strokecolor="white" strokeweight="1pt">
                        <v:fill o:detectmouseclick="t"/>
                        <v:stroke joinstyle="miter"/>
                        <v:formulas/>
                        <v:path arrowok="t" o:connecttype="custom" o:connectlocs="0,4867;1394,0;5015,0;6409,4867;5015,9734;1394,9734;0,4867" o:connectangles="0,0,0,0,0,0,0" textboxrect="0,0,846823,736736"/>
                        <v:textbox inset="12.94pt,5.0415mm,4.56497mm,5.04147mm">
                          <w:txbxContent>
                            <w:p w14:paraId="68AFD83E" w14:textId="77777777" w:rsidR="006712E0" w:rsidRPr="0006691B" w:rsidRDefault="006712E0" w:rsidP="00047EF8">
                              <w:pPr>
                                <w:pStyle w:val="NormalWeb"/>
                                <w:spacing w:before="0" w:beforeAutospacing="0" w:after="109" w:afterAutospacing="0" w:line="216" w:lineRule="auto"/>
                                <w:jc w:val="center"/>
                                <w:rPr>
                                  <w:rFonts w:ascii="Arial Narrow" w:hAnsi="Arial Narrow" w:cs="Calibri"/>
                                  <w:b/>
                                  <w:sz w:val="26"/>
                                  <w:szCs w:val="26"/>
                                </w:rPr>
                              </w:pPr>
                              <w:hyperlink w:anchor="DDU" w:history="1">
                                <w:r>
                                  <w:rPr>
                                    <w:rStyle w:val="Hyperlink"/>
                                    <w:rFonts w:ascii="Arial Narrow" w:hAnsi="Arial Narrow" w:cs="Calibri"/>
                                    <w:sz w:val="26"/>
                                    <w:szCs w:val="26"/>
                                  </w:rPr>
                                  <w:t>DGG</w:t>
                                </w:r>
                              </w:hyperlink>
                              <w:r>
                                <w:rPr>
                                  <w:rFonts w:ascii="Arial Narrow" w:hAnsi="Arial Narrow" w:cs="Calibri"/>
                                  <w:b/>
                                  <w:sz w:val="26"/>
                                  <w:szCs w:val="26"/>
                                </w:rPr>
                                <w:t xml:space="preserve"> (16</w:t>
                              </w:r>
                              <w:r w:rsidRPr="0006691B">
                                <w:rPr>
                                  <w:rFonts w:ascii="Arial Narrow" w:hAnsi="Arial Narrow" w:cs="Calibri"/>
                                  <w:b/>
                                  <w:sz w:val="26"/>
                                  <w:szCs w:val="26"/>
                                </w:rPr>
                                <w:t>)</w:t>
                              </w:r>
                            </w:p>
                          </w:txbxContent>
                        </v:textbox>
                      </v:shape>
                      <v:rect id="Rectangle 23472" o:spid="_x0000_s1032" style="position:absolute;top:8881;width:9145;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" filled="f" stroked="f"/>
                      <v:shape id="Freeform 23473" o:spid="_x0000_s1033" style="position:absolute;left:17407;top:7187;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" adj="-11796480,,5400" path="m423411,l846822,160240r,416256l423412,736736,1,576496,1,160240,423411,xe" fillcolor="#c00000" strokecolor="white" strokeweight="1pt">
                        <v:stroke joinstyle="miter"/>
                        <v:formulas/>
                        <v:path arrowok="t" o:connecttype="custom" o:connectlocs="0,4867;1394,0;5015,0;6409,4867;5015,9734;1394,9734;0,4867" o:connectangles="0,0,0,0,0,0,0" textboxrect="0,0,846823,736736"/>
                        <v:textbox inset="9.04pt,3.66567mm,3.18914mm,3.66564mm">
                          <w:txbxContent>
                            <w:p w14:paraId="6B59472D" w14:textId="77777777" w:rsidR="006712E0" w:rsidRPr="00BA23C0" w:rsidRDefault="006712E0" w:rsidP="00047EF8">
                              <w:pPr>
                                <w:pStyle w:val="NormalWeb"/>
                                <w:spacing w:before="0" w:beforeAutospacing="0" w:after="109" w:afterAutospacing="0" w:line="216" w:lineRule="auto"/>
                                <w:jc w:val="center"/>
                                <w:rPr>
                                  <w:rFonts w:ascii="Arial Narrow" w:hAnsi="Arial Narrow" w:cstheme="minorHAnsi"/>
                                  <w:b/>
                                  <w:sz w:val="26"/>
                                  <w:szCs w:val="26"/>
                                  <w:lang w:val="uz-Cyrl-UZ"/>
                                </w:rPr>
                              </w:pPr>
                              <w:r>
                                <w:rPr>
                                  <w:rFonts w:ascii="Arial Narrow" w:hAnsi="Arial Narrow" w:cstheme="minorHAnsi"/>
                                  <w:b/>
                                  <w:sz w:val="26"/>
                                  <w:szCs w:val="26"/>
                                  <w:lang w:val="uz-Cyrl-UZ"/>
                                </w:rPr>
                                <w:t xml:space="preserve">MJHMR </w:t>
                              </w:r>
                              <w:r w:rsidRPr="00BA23C0">
                                <w:rPr>
                                  <w:rFonts w:ascii="Arial Narrow" w:hAnsi="Arial Narrow" w:cstheme="minorHAnsi"/>
                                  <w:b/>
                                  <w:sz w:val="26"/>
                                  <w:szCs w:val="26"/>
                                  <w:lang w:val="uz-Cyrl-UZ"/>
                                </w:rPr>
                                <w:t>(</w:t>
                              </w:r>
                              <w:r>
                                <w:rPr>
                                  <w:rFonts w:ascii="Arial Narrow" w:hAnsi="Arial Narrow" w:cstheme="minorHAnsi"/>
                                  <w:b/>
                                  <w:sz w:val="26"/>
                                  <w:szCs w:val="26"/>
                                  <w:lang w:val="uz-Cyrl-UZ"/>
                                </w:rPr>
                                <w:t>6</w:t>
                              </w:r>
                              <w:r w:rsidRPr="00BA23C0">
                                <w:rPr>
                                  <w:rFonts w:ascii="Arial Narrow" w:hAnsi="Arial Narrow" w:cstheme="minorHAnsi"/>
                                  <w:b/>
                                  <w:sz w:val="26"/>
                                  <w:szCs w:val="26"/>
                                  <w:lang w:val="uz-Cyrl-UZ"/>
                                </w:rPr>
                                <w:t>)</w:t>
                              </w:r>
                            </w:p>
                          </w:txbxContent>
                        </v:textbox>
                      </v:shape>
                      <v:shape id="Freeform 23474" o:spid="_x0000_s1034" style="position:absolute;left:13444;top:14375;width:7367;height:8468;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" adj="-11796480,,5400" path="m423411,l846822,160240r,416256l423412,736736,1,576496,1,160240,423411,xe" fillcolor="#c00000" strokecolor="white" strokeweight="1pt">
                        <v:stroke joinstyle="miter"/>
                        <v:formulas/>
                        <v:path arrowok="t" o:connecttype="custom" o:connectlocs="0,4867;1394,0;5015,0;6409,4867;5015,9733;1394,9733;0,4867" o:connectangles="0,0,0,0,0,0,0" textboxrect="0,0,846823,736736"/>
                        <v:textbox inset="12.94pt,5.0415mm,4.56497mm,5.04147mm">
                          <w:txbxContent>
                            <w:p w14:paraId="065FAD84" w14:textId="77777777" w:rsidR="006712E0" w:rsidRPr="0006691B" w:rsidRDefault="006712E0" w:rsidP="00047EF8">
                              <w:pPr>
                                <w:pStyle w:val="NormalWeb"/>
                                <w:spacing w:before="0" w:beforeAutospacing="0" w:after="109" w:afterAutospacing="0" w:line="216" w:lineRule="auto"/>
                                <w:rPr>
                                  <w:rFonts w:ascii="Arial Narrow" w:hAnsi="Arial Narrow"/>
                                </w:rPr>
                              </w:pPr>
                            </w:p>
                          </w:txbxContent>
                        </v:textbox>
                      </v:shape>
                      <v:rect id="Rectangle 23475" o:spid="_x0000_s1035" style="position:absolute;left:21035;top:16069;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shape id="Freeform 23476" o:spid="_x0000_s1036" style="position:absolute;left:5487;top:14375;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" path="m423411,l846822,160240r,416256l423412,736736,1,576496,1,160240,423411,xe" fillcolor="#c00000" strokecolor="white" strokeweight="1pt">
                        <v:stroke joinstyle="miter"/>
                        <v:path arrowok="t" o:connecttype="custom" o:connectlocs="0,4867;1394,0;5015,0;6409,4867;5015,9733;1394,9733;0,4867" o:connectangles="0,0,0,0,0,0,0"/>
                      </v:shape>
                    </v:group>
                  </w:pict>
                </mc:Fallback>
              </mc:AlternateContent>
            </w:r>
            <w:r w:rsidR="00047EF8" w:rsidRPr="00F563CD">
              <w:rPr>
                <w:rFonts w:asciiTheme="minorHAnsi" w:hAnsiTheme="minorHAnsi"/>
                <w:color w:val="C00000"/>
                <w:spacing w:val="-20"/>
                <w:sz w:val="28"/>
                <w:szCs w:val="28"/>
              </w:rPr>
              <w:t>Demokatija i dobro upravljanje - DGG</w:t>
            </w:r>
          </w:p>
          <w:p w14:paraId="26F239F4" w14:textId="77777777" w:rsidR="00047EF8" w:rsidRPr="00F563CD" w:rsidRDefault="00047EF8" w:rsidP="00A239C5">
            <w:pPr>
              <w:ind w:firstLine="34"/>
              <w:rPr>
                <w:rFonts w:asciiTheme="minorHAnsi" w:hAnsiTheme="minorHAnsi"/>
                <w:color w:val="1F497D" w:themeColor="text2"/>
                <w:spacing w:val="-20"/>
                <w:sz w:val="28"/>
                <w:szCs w:val="28"/>
              </w:rPr>
            </w:pPr>
            <w:r w:rsidRPr="00F563CD">
              <w:rPr>
                <w:rFonts w:asciiTheme="minorHAnsi" w:hAnsiTheme="minorHAnsi"/>
                <w:color w:val="1F497D" w:themeColor="text2"/>
                <w:spacing w:val="-20"/>
                <w:sz w:val="28"/>
                <w:szCs w:val="28"/>
              </w:rPr>
              <w:t xml:space="preserve">Finansijska i fiskalna </w:t>
            </w:r>
            <w:proofErr w:type="gramStart"/>
            <w:r w:rsidRPr="00F563CD">
              <w:rPr>
                <w:rFonts w:asciiTheme="minorHAnsi" w:hAnsiTheme="minorHAnsi"/>
                <w:color w:val="1F497D" w:themeColor="text2"/>
                <w:spacing w:val="-20"/>
                <w:sz w:val="28"/>
                <w:szCs w:val="28"/>
              </w:rPr>
              <w:t>politika  -</w:t>
            </w:r>
            <w:proofErr w:type="gramEnd"/>
            <w:r w:rsidRPr="00F563CD">
              <w:rPr>
                <w:rFonts w:asciiTheme="minorHAnsi" w:hAnsiTheme="minorHAnsi"/>
                <w:color w:val="1F497D" w:themeColor="text2"/>
                <w:spacing w:val="-20"/>
                <w:sz w:val="28"/>
                <w:szCs w:val="28"/>
              </w:rPr>
              <w:t xml:space="preserve"> FFP</w:t>
            </w:r>
          </w:p>
          <w:p w14:paraId="35A606E7" w14:textId="77777777" w:rsidR="00047EF8" w:rsidRPr="00F563CD" w:rsidRDefault="00047EF8" w:rsidP="00A239C5">
            <w:pPr>
              <w:ind w:firstLine="34"/>
              <w:rPr>
                <w:rFonts w:asciiTheme="minorHAnsi" w:hAnsiTheme="minorHAnsi"/>
                <w:color w:val="92D050"/>
                <w:spacing w:val="-20"/>
                <w:sz w:val="28"/>
                <w:szCs w:val="28"/>
                <w:lang w:val="fr-BE"/>
              </w:rPr>
            </w:pPr>
            <w:r w:rsidRPr="00F563CD">
              <w:rPr>
                <w:rFonts w:asciiTheme="minorHAnsi" w:hAnsiTheme="minorHAnsi"/>
                <w:color w:val="92D050"/>
                <w:spacing w:val="-20"/>
                <w:sz w:val="28"/>
                <w:szCs w:val="28"/>
                <w:lang w:val="fr-BE"/>
              </w:rPr>
              <w:t>Transport, energetska i informaciona infrastrukura - TEI</w:t>
            </w:r>
          </w:p>
          <w:p w14:paraId="3D63ADC6" w14:textId="77777777" w:rsidR="00047EF8" w:rsidRPr="00F563CD" w:rsidRDefault="00047EF8" w:rsidP="00A239C5">
            <w:pPr>
              <w:ind w:firstLine="34"/>
              <w:rPr>
                <w:rFonts w:asciiTheme="minorHAnsi" w:hAnsiTheme="minorHAnsi"/>
                <w:color w:val="FFC000"/>
                <w:spacing w:val="-20"/>
                <w:sz w:val="28"/>
                <w:szCs w:val="28"/>
              </w:rPr>
            </w:pPr>
            <w:r w:rsidRPr="00F563CD">
              <w:rPr>
                <w:rFonts w:asciiTheme="minorHAnsi" w:hAnsiTheme="minorHAnsi"/>
                <w:color w:val="FFC000"/>
                <w:spacing w:val="-20"/>
                <w:sz w:val="28"/>
                <w:szCs w:val="28"/>
              </w:rPr>
              <w:t>Ekonomski razvoj i životna sredina - EDE</w:t>
            </w:r>
          </w:p>
          <w:p w14:paraId="340E6750" w14:textId="77777777" w:rsidR="00047EF8" w:rsidRPr="00F563CD" w:rsidRDefault="00047EF8" w:rsidP="00A239C5">
            <w:pPr>
              <w:ind w:firstLine="34"/>
              <w:rPr>
                <w:rFonts w:asciiTheme="minorHAnsi" w:hAnsiTheme="minorHAnsi"/>
                <w:color w:val="FF7C80"/>
                <w:spacing w:val="-20"/>
                <w:sz w:val="28"/>
                <w:szCs w:val="28"/>
              </w:rPr>
            </w:pPr>
            <w:r w:rsidRPr="00F563CD">
              <w:rPr>
                <w:rFonts w:asciiTheme="minorHAnsi" w:hAnsiTheme="minorHAnsi"/>
                <w:color w:val="FF7C80"/>
                <w:spacing w:val="-20"/>
                <w:sz w:val="28"/>
                <w:szCs w:val="28"/>
              </w:rPr>
              <w:t>Nauka, obrazovanje, kultura, mladi i sport - SEC</w:t>
            </w:r>
          </w:p>
          <w:p w14:paraId="279E2E7F" w14:textId="0F67AA46" w:rsidR="00047EF8" w:rsidRPr="00F563CD" w:rsidRDefault="007840BE" w:rsidP="00A239C5">
            <w:pPr>
              <w:ind w:firstLine="34"/>
              <w:rPr>
                <w:rFonts w:asciiTheme="minorHAnsi" w:hAnsiTheme="minorHAnsi"/>
                <w:color w:val="808080" w:themeColor="background1" w:themeShade="80"/>
                <w:spacing w:val="-20"/>
                <w:sz w:val="28"/>
                <w:szCs w:val="28"/>
              </w:rPr>
            </w:pPr>
            <w:r w:rsidRPr="00F563CD">
              <w:rPr>
                <w:rFonts w:asciiTheme="minorHAnsi" w:eastAsiaTheme="majorEastAsia" w:hAnsiTheme="minorHAnsi" w:cstheme="majorBidi"/>
                <w:bCs/>
                <w:caps/>
                <w:noProof/>
                <w:color w:val="365F91" w:themeColor="accent1" w:themeShade="BF"/>
                <w:sz w:val="24"/>
                <w:szCs w:val="24"/>
                <w:lang w:val="en-US" w:eastAsia="en-US"/>
              </w:rPr>
              <mc:AlternateContent>
                <mc:Choice Requires="wpg">
                  <w:drawing>
                    <wp:anchor distT="0" distB="0" distL="114300" distR="114300" simplePos="0" relativeHeight="251663360" behindDoc="0" locked="0" layoutInCell="1" allowOverlap="1" wp14:anchorId="6221BE8A" wp14:editId="71095DFD">
                      <wp:simplePos x="0" y="0"/>
                      <wp:positionH relativeFrom="column">
                        <wp:posOffset>-483235</wp:posOffset>
                      </wp:positionH>
                      <wp:positionV relativeFrom="paragraph">
                        <wp:posOffset>62230</wp:posOffset>
                      </wp:positionV>
                      <wp:extent cx="2581910" cy="1838325"/>
                      <wp:effectExtent l="635" t="14605" r="0" b="13970"/>
                      <wp:wrapNone/>
                      <wp:docPr id="6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910" cy="1838325"/>
                                <a:chOff x="0" y="-1782"/>
                                <a:chExt cx="31984" cy="24642"/>
                              </a:xfrm>
                            </wpg:grpSpPr>
                            <wps:wsp>
                              <wps:cNvPr id="63" name="Rectangle 23488"/>
                              <wps:cNvSpPr>
                                <a:spLocks noChangeArrowheads="1"/>
                              </wps:cNvSpPr>
                              <wps:spPr bwMode="auto">
                                <a:xfrm>
                                  <a:off x="0" y="0"/>
                                  <a:ext cx="31984" cy="22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23489"/>
                              <wps:cNvSpPr>
                                <a:spLocks/>
                              </wps:cNvSpPr>
                              <wps:spPr bwMode="auto">
                                <a:xfrm>
                                  <a:off x="14193" y="-1782"/>
                                  <a:ext cx="7368" cy="10258"/>
                                </a:xfrm>
                                <a:custGeom>
                                  <a:avLst/>
                                  <a:gdLst>
                                    <a:gd name="T0" fmla="*/ 0 w 846823"/>
                                    <a:gd name="T1" fmla="*/ 512946 h 736736"/>
                                    <a:gd name="T2" fmla="*/ 160240 w 846823"/>
                                    <a:gd name="T3" fmla="*/ 0 h 736736"/>
                                    <a:gd name="T4" fmla="*/ 576497 w 846823"/>
                                    <a:gd name="T5" fmla="*/ 0 h 736736"/>
                                    <a:gd name="T6" fmla="*/ 736737 w 846823"/>
                                    <a:gd name="T7" fmla="*/ 512946 h 736736"/>
                                    <a:gd name="T8" fmla="*/ 576497 w 846823"/>
                                    <a:gd name="T9" fmla="*/ 1025892 h 736736"/>
                                    <a:gd name="T10" fmla="*/ 160240 w 846823"/>
                                    <a:gd name="T11" fmla="*/ 1025892 h 736736"/>
                                    <a:gd name="T12" fmla="*/ 0 w 846823"/>
                                    <a:gd name="T13" fmla="*/ 512946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92D050"/>
                                </a:solidFill>
                                <a:ln w="12700">
                                  <a:solidFill>
                                    <a:srgbClr val="FFFFFF"/>
                                  </a:solidFill>
                                  <a:miter lim="800000"/>
                                  <a:headEnd/>
                                  <a:tailEnd/>
                                </a:ln>
                              </wps:spPr>
                              <wps:txbx>
                                <w:txbxContent>
                                  <w:p w14:paraId="7CF5C94C"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p>
                                </w:txbxContent>
                              </wps:txbx>
                              <wps:bodyPr rot="0" vert="horz" wrap="square" lIns="164338" tIns="181494" rIns="164339" bIns="181493" anchor="ctr" anchorCtr="0" upright="1">
                                <a:noAutofit/>
                              </wps:bodyPr>
                            </wps:wsp>
                            <wps:wsp>
                              <wps:cNvPr id="65" name="Rectangle 23490"/>
                              <wps:cNvSpPr>
                                <a:spLocks noChangeArrowheads="1"/>
                              </wps:cNvSpPr>
                              <wps:spPr bwMode="auto">
                                <a:xfrm>
                                  <a:off x="14088" y="2844"/>
                                  <a:ext cx="9451"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23491"/>
                              <wps:cNvSpPr>
                                <a:spLocks/>
                              </wps:cNvSpPr>
                              <wps:spPr bwMode="auto">
                                <a:xfrm>
                                  <a:off x="6237" y="-1468"/>
                                  <a:ext cx="7367" cy="9944"/>
                                </a:xfrm>
                                <a:custGeom>
                                  <a:avLst/>
                                  <a:gdLst>
                                    <a:gd name="T0" fmla="*/ 0 w 846823"/>
                                    <a:gd name="T1" fmla="*/ 497216 h 736736"/>
                                    <a:gd name="T2" fmla="*/ 160240 w 846823"/>
                                    <a:gd name="T3" fmla="*/ 0 h 736736"/>
                                    <a:gd name="T4" fmla="*/ 576497 w 846823"/>
                                    <a:gd name="T5" fmla="*/ 0 h 736736"/>
                                    <a:gd name="T6" fmla="*/ 736737 w 846823"/>
                                    <a:gd name="T7" fmla="*/ 497216 h 736736"/>
                                    <a:gd name="T8" fmla="*/ 576497 w 846823"/>
                                    <a:gd name="T9" fmla="*/ 994433 h 736736"/>
                                    <a:gd name="T10" fmla="*/ 160240 w 846823"/>
                                    <a:gd name="T11" fmla="*/ 994433 h 736736"/>
                                    <a:gd name="T12" fmla="*/ 0 w 846823"/>
                                    <a:gd name="T13" fmla="*/ 497216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92D050"/>
                                </a:solidFill>
                                <a:ln w="12700">
                                  <a:solidFill>
                                    <a:srgbClr val="FFFFFF"/>
                                  </a:solidFill>
                                  <a:miter lim="800000"/>
                                  <a:headEnd/>
                                  <a:tailEnd/>
                                </a:ln>
                              </wps:spPr>
                              <wps:txbx>
                                <w:txbxContent>
                                  <w:p w14:paraId="19117CCB"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MCI</w:t>
                                    </w:r>
                                  </w:p>
                                  <w:p w14:paraId="4EED49CB"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(4</w:t>
                                    </w:r>
                                    <w:r w:rsidRPr="002E562B">
                                      <w:rPr>
                                        <w:rFonts w:ascii="Arial Narrow" w:hAnsi="Arial Narrow" w:cstheme="minorBidi"/>
                                        <w:b/>
                                        <w:bCs/>
                                        <w:color w:val="FFFFFF" w:themeColor="light1"/>
                                        <w:kern w:val="24"/>
                                        <w:sz w:val="26"/>
                                        <w:szCs w:val="26"/>
                                        <w:lang w:val="uz-Cyrl-UZ"/>
                                      </w:rPr>
                                      <w:t>)</w:t>
                                    </w:r>
                                  </w:p>
                                </w:txbxContent>
                              </wps:txbx>
                              <wps:bodyPr rot="0" vert="horz" wrap="square" lIns="114808" tIns="131964" rIns="114809" bIns="131963" anchor="ctr" anchorCtr="0" upright="1">
                                <a:noAutofit/>
                              </wps:bodyPr>
                            </wps:wsp>
                            <wps:wsp>
                              <wps:cNvPr id="67" name="Freeform 23492"/>
                              <wps:cNvSpPr>
                                <a:spLocks/>
                              </wps:cNvSpPr>
                              <wps:spPr bwMode="auto">
                                <a:xfrm>
                                  <a:off x="10200" y="7195"/>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92D050"/>
                                </a:solidFill>
                                <a:ln w="12700">
                                  <a:solidFill>
                                    <a:srgbClr val="FFFFFF"/>
                                  </a:solidFill>
                                  <a:miter lim="800000"/>
                                  <a:headEnd/>
                                  <a:tailEnd/>
                                </a:ln>
                              </wps:spPr>
                              <wps:txbx>
                                <w:txbxContent>
                                  <w:p w14:paraId="03B45506" w14:textId="77777777" w:rsidR="006712E0" w:rsidRPr="00C65A62" w:rsidRDefault="006712E0" w:rsidP="00047EF8">
                                    <w:pPr>
                                      <w:pStyle w:val="NormalWeb"/>
                                      <w:spacing w:before="0" w:beforeAutospacing="0" w:after="109" w:afterAutospacing="0" w:line="216" w:lineRule="auto"/>
                                      <w:jc w:val="center"/>
                                      <w:rPr>
                                        <w:rStyle w:val="Hyperlink"/>
                                        <w:rFonts w:ascii="Arial Narrow" w:hAnsi="Arial Narrow"/>
                                      </w:rPr>
                                    </w:pPr>
                                    <w:r w:rsidRPr="00C65A62">
                                      <w:rPr>
                                        <w:rFonts w:ascii="Arial Narrow" w:hAnsi="Arial Narrow" w:cstheme="minorBidi"/>
                                        <w:b/>
                                        <w:bCs/>
                                        <w:kern w:val="24"/>
                                        <w:sz w:val="26"/>
                                        <w:szCs w:val="26"/>
                                        <w:lang w:val="uz-Cyrl-UZ"/>
                                      </w:rPr>
                                      <w:fldChar w:fldCharType="begin"/>
                                    </w:r>
                                    <w:r w:rsidRPr="00C65A62">
                                      <w:rPr>
                                        <w:rFonts w:ascii="Arial Narrow" w:hAnsi="Arial Narrow" w:cstheme="minorBidi"/>
                                        <w:b/>
                                        <w:bCs/>
                                        <w:kern w:val="24"/>
                                        <w:sz w:val="26"/>
                                        <w:szCs w:val="26"/>
                                        <w:lang w:val="uz-Cyrl-UZ"/>
                                      </w:rPr>
                                      <w:instrText xml:space="preserve"> HYPERLINK  \l "SEI" \o "Sektor saobraćajne i energetske infrastrukture " </w:instrText>
                                    </w:r>
                                    <w:r w:rsidRPr="00C65A62">
                                      <w:rPr>
                                        <w:rFonts w:ascii="Arial Narrow" w:hAnsi="Arial Narrow" w:cstheme="minorBidi"/>
                                        <w:b/>
                                        <w:bCs/>
                                        <w:kern w:val="24"/>
                                        <w:sz w:val="26"/>
                                        <w:szCs w:val="26"/>
                                        <w:lang w:val="uz-Cyrl-UZ"/>
                                      </w:rPr>
                                      <w:fldChar w:fldCharType="separate"/>
                                    </w:r>
                                    <w:r>
                                      <w:rPr>
                                        <w:rStyle w:val="Hyperlink"/>
                                        <w:rFonts w:ascii="Arial Narrow" w:hAnsi="Arial Narrow" w:cstheme="minorBidi"/>
                                        <w:bCs/>
                                        <w:kern w:val="24"/>
                                        <w:sz w:val="26"/>
                                        <w:szCs w:val="26"/>
                                        <w:lang w:val="uz-Cyrl-UZ"/>
                                      </w:rPr>
                                      <w:t>T</w:t>
                                    </w:r>
                                    <w:r w:rsidRPr="00C65A62">
                                      <w:rPr>
                                        <w:rStyle w:val="Hyperlink"/>
                                        <w:rFonts w:ascii="Arial Narrow" w:hAnsi="Arial Narrow" w:cstheme="minorBidi"/>
                                        <w:bCs/>
                                        <w:kern w:val="24"/>
                                        <w:sz w:val="26"/>
                                        <w:szCs w:val="26"/>
                                        <w:lang w:val="uz-Cyrl-UZ"/>
                                      </w:rPr>
                                      <w:t>EI</w:t>
                                    </w:r>
                                  </w:p>
                                  <w:p w14:paraId="382E6E72"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Style w:val="Hyperlink"/>
                                        <w:rFonts w:ascii="Arial Narrow" w:hAnsi="Arial Narrow" w:cstheme="minorBidi"/>
                                        <w:bCs/>
                                        <w:kern w:val="24"/>
                                        <w:sz w:val="26"/>
                                        <w:szCs w:val="26"/>
                                        <w:lang w:val="uz-Cyrl-UZ"/>
                                      </w:rPr>
                                      <w:t>(4</w:t>
                                    </w:r>
                                    <w:r w:rsidRPr="00C65A62">
                                      <w:rPr>
                                        <w:rStyle w:val="Hyperlink"/>
                                        <w:rFonts w:ascii="Arial Narrow" w:hAnsi="Arial Narrow" w:cstheme="minorBidi"/>
                                        <w:bCs/>
                                        <w:kern w:val="24"/>
                                        <w:sz w:val="26"/>
                                        <w:szCs w:val="26"/>
                                        <w:lang w:val="uz-Cyrl-UZ"/>
                                      </w:rPr>
                                      <w:t>)</w:t>
                                    </w:r>
                                    <w:r w:rsidRPr="00C65A62">
                                      <w:rPr>
                                        <w:rFonts w:ascii="Arial Narrow" w:hAnsi="Arial Narrow" w:cstheme="minorBidi"/>
                                        <w:b/>
                                        <w:bCs/>
                                        <w:kern w:val="24"/>
                                        <w:sz w:val="26"/>
                                        <w:szCs w:val="26"/>
                                        <w:lang w:val="uz-Cyrl-UZ"/>
                                      </w:rPr>
                                      <w:fldChar w:fldCharType="end"/>
                                    </w:r>
                                  </w:p>
                                </w:txbxContent>
                              </wps:txbx>
                              <wps:bodyPr rot="0" vert="horz" wrap="square" lIns="164338" tIns="181494" rIns="164339" bIns="181493" anchor="ctr" anchorCtr="0" upright="1">
                                <a:noAutofit/>
                              </wps:bodyPr>
                            </wps:wsp>
                            <wps:wsp>
                              <wps:cNvPr id="68" name="Rectangle 23493"/>
                              <wps:cNvSpPr>
                                <a:spLocks noChangeArrowheads="1"/>
                              </wps:cNvSpPr>
                              <wps:spPr bwMode="auto">
                                <a:xfrm>
                                  <a:off x="749" y="8889"/>
                                  <a:ext cx="9146"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Freeform 23494"/>
                              <wps:cNvSpPr>
                                <a:spLocks/>
                              </wps:cNvSpPr>
                              <wps:spPr bwMode="auto">
                                <a:xfrm>
                                  <a:off x="18156" y="7195"/>
                                  <a:ext cx="7368"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92D050"/>
                                </a:solidFill>
                                <a:ln w="12700">
                                  <a:solidFill>
                                    <a:srgbClr val="FFFFFF"/>
                                  </a:solidFill>
                                  <a:miter lim="800000"/>
                                  <a:headEnd/>
                                  <a:tailEnd/>
                                </a:ln>
                              </wps:spPr>
                              <wps:bodyPr rot="0" vert="horz" wrap="square" lIns="91440" tIns="45720" rIns="91440" bIns="45720" anchor="ctr" anchorCtr="0" upright="1">
                                <a:noAutofit/>
                              </wps:bodyPr>
                            </wps:wsp>
                            <wps:wsp>
                              <wps:cNvPr id="70" name="Freeform 23495"/>
                              <wps:cNvSpPr>
                                <a:spLocks/>
                              </wps:cNvSpPr>
                              <wps:spPr bwMode="auto">
                                <a:xfrm>
                                  <a:off x="14193" y="14383"/>
                                  <a:ext cx="7368"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92D050"/>
                                </a:solidFill>
                                <a:ln w="12700">
                                  <a:solidFill>
                                    <a:srgbClr val="FFFFFF"/>
                                  </a:solidFill>
                                  <a:miter lim="800000"/>
                                  <a:headEnd/>
                                  <a:tailEnd/>
                                </a:ln>
                              </wps:spPr>
                              <wps:bodyPr rot="0" vert="horz" wrap="square" lIns="91440" tIns="45720" rIns="91440" bIns="45720" anchor="ctr" anchorCtr="0" upright="1">
                                <a:noAutofit/>
                              </wps:bodyPr>
                            </wps:wsp>
                            <wps:wsp>
                              <wps:cNvPr id="71" name="Rectangle 23496"/>
                              <wps:cNvSpPr>
                                <a:spLocks noChangeArrowheads="1"/>
                              </wps:cNvSpPr>
                              <wps:spPr bwMode="auto">
                                <a:xfrm>
                                  <a:off x="21784" y="16077"/>
                                  <a:ext cx="9451"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Freeform 23497"/>
                              <wps:cNvSpPr>
                                <a:spLocks/>
                              </wps:cNvSpPr>
                              <wps:spPr bwMode="auto">
                                <a:xfrm>
                                  <a:off x="6237" y="14383"/>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92D050"/>
                                </a:solidFill>
                                <a:ln w="12700">
                                  <a:solidFill>
                                    <a:srgbClr val="FFFFFF"/>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21BE8A" id="Group 56" o:spid="_x0000_s1037" style="position:absolute;left:0;text-align:left;margin-left:-38.05pt;margin-top:4.9pt;width:203.3pt;height:144.75pt;z-index:251663360;mso-width-relative:margin;mso-height-relative:margin" coordorigin=",-1782" coordsize="31984,24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">
                      <v:rect id="Rectangle 23488" o:spid="_x0000_s1038" style="position:absolute;width:31984;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v:shape id="Freeform 23489" o:spid="_x0000_s1039" style="position:absolute;left:14193;top:-1782;width:7368;height:10258;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" adj="-11796480,,5400" path="m423411,l846822,160240r,416256l423412,736736,1,576496,1,160240,423411,xe" fillcolor="#92d050" strokecolor="white" strokeweight="1pt">
                        <v:stroke joinstyle="miter"/>
                        <v:formulas/>
                        <v:path arrowok="t" o:connecttype="custom" o:connectlocs="0,7142;1394,0;5016,0;6410,7142;5016,14284;1394,14284;0,7142" o:connectangles="0,0,0,0,0,0,0" textboxrect="0,0,846823,736736"/>
                        <v:textbox inset="12.94pt,5.0415mm,4.56497mm,5.04147mm">
                          <w:txbxContent>
                            <w:p w14:paraId="7CF5C94C"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p>
                          </w:txbxContent>
                        </v:textbox>
                      </v:shape>
                      <v:rect id="Rectangle 23490" o:spid="_x0000_s1040" style="position:absolute;left:14088;top:2844;width:9451;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v:shape id="Freeform 23491" o:spid="_x0000_s1041" style="position:absolute;left:6237;top:-1468;width:7367;height:9944;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" adj="-11796480,,5400" path="m423411,l846822,160240r,416256l423412,736736,1,576496,1,160240,423411,xe" fillcolor="#92d050" strokecolor="white" strokeweight="1pt">
                        <v:stroke joinstyle="miter"/>
                        <v:formulas/>
                        <v:path arrowok="t" o:connecttype="custom" o:connectlocs="0,6711;1394,0;5015,0;6409,6711;5015,13422;1394,13422;0,6711" o:connectangles="0,0,0,0,0,0,0" textboxrect="0,0,846823,736736"/>
                        <v:textbox inset="9.04pt,3.66567mm,3.18914mm,3.66564mm">
                          <w:txbxContent>
                            <w:p w14:paraId="19117CCB"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MCI</w:t>
                              </w:r>
                            </w:p>
                            <w:p w14:paraId="4EED49CB"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(4</w:t>
                              </w:r>
                              <w:r w:rsidRPr="002E562B">
                                <w:rPr>
                                  <w:rFonts w:ascii="Arial Narrow" w:hAnsi="Arial Narrow" w:cstheme="minorBidi"/>
                                  <w:b/>
                                  <w:bCs/>
                                  <w:color w:val="FFFFFF" w:themeColor="light1"/>
                                  <w:kern w:val="24"/>
                                  <w:sz w:val="26"/>
                                  <w:szCs w:val="26"/>
                                  <w:lang w:val="uz-Cyrl-UZ"/>
                                </w:rPr>
                                <w:t>)</w:t>
                              </w:r>
                            </w:p>
                          </w:txbxContent>
                        </v:textbox>
                      </v:shape>
                      <v:shape id="Freeform 23492" o:spid="_x0000_s1042" style="position:absolute;left:10200;top:7195;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" adj="-11796480,,5400" path="m423411,l846822,160240r,416256l423412,736736,1,576496,1,160240,423411,xe" fillcolor="#92d050" strokecolor="white" strokeweight="1pt">
                        <v:stroke joinstyle="miter"/>
                        <v:formulas/>
                        <v:path arrowok="t" o:connecttype="custom" o:connectlocs="0,4867;1394,0;5015,0;6409,4867;5015,9734;1394,9734;0,4867" o:connectangles="0,0,0,0,0,0,0" textboxrect="0,0,846823,736736"/>
                        <v:textbox inset="12.94pt,5.0415mm,4.56497mm,5.04147mm">
                          <w:txbxContent>
                            <w:p w14:paraId="03B45506" w14:textId="77777777" w:rsidR="006712E0" w:rsidRPr="00C65A62" w:rsidRDefault="006712E0" w:rsidP="00047EF8">
                              <w:pPr>
                                <w:pStyle w:val="NormalWeb"/>
                                <w:spacing w:before="0" w:beforeAutospacing="0" w:after="109" w:afterAutospacing="0" w:line="216" w:lineRule="auto"/>
                                <w:jc w:val="center"/>
                                <w:rPr>
                                  <w:rStyle w:val="Hyperlink"/>
                                  <w:rFonts w:ascii="Arial Narrow" w:hAnsi="Arial Narrow"/>
                                </w:rPr>
                              </w:pPr>
                              <w:r w:rsidRPr="00C65A62">
                                <w:rPr>
                                  <w:rFonts w:ascii="Arial Narrow" w:hAnsi="Arial Narrow" w:cstheme="minorBidi"/>
                                  <w:b/>
                                  <w:bCs/>
                                  <w:kern w:val="24"/>
                                  <w:sz w:val="26"/>
                                  <w:szCs w:val="26"/>
                                  <w:lang w:val="uz-Cyrl-UZ"/>
                                </w:rPr>
                                <w:fldChar w:fldCharType="begin"/>
                              </w:r>
                              <w:r w:rsidRPr="00C65A62">
                                <w:rPr>
                                  <w:rFonts w:ascii="Arial Narrow" w:hAnsi="Arial Narrow" w:cstheme="minorBidi"/>
                                  <w:b/>
                                  <w:bCs/>
                                  <w:kern w:val="24"/>
                                  <w:sz w:val="26"/>
                                  <w:szCs w:val="26"/>
                                  <w:lang w:val="uz-Cyrl-UZ"/>
                                </w:rPr>
                                <w:instrText xml:space="preserve"> HYPERLINK  \l "SEI" \o "Sektor saobraćajne i energetske infrastrukture " </w:instrText>
                              </w:r>
                              <w:r w:rsidRPr="00C65A62">
                                <w:rPr>
                                  <w:rFonts w:ascii="Arial Narrow" w:hAnsi="Arial Narrow" w:cstheme="minorBidi"/>
                                  <w:b/>
                                  <w:bCs/>
                                  <w:kern w:val="24"/>
                                  <w:sz w:val="26"/>
                                  <w:szCs w:val="26"/>
                                  <w:lang w:val="uz-Cyrl-UZ"/>
                                </w:rPr>
                                <w:fldChar w:fldCharType="separate"/>
                              </w:r>
                              <w:r>
                                <w:rPr>
                                  <w:rStyle w:val="Hyperlink"/>
                                  <w:rFonts w:ascii="Arial Narrow" w:hAnsi="Arial Narrow" w:cstheme="minorBidi"/>
                                  <w:bCs/>
                                  <w:kern w:val="24"/>
                                  <w:sz w:val="26"/>
                                  <w:szCs w:val="26"/>
                                  <w:lang w:val="uz-Cyrl-UZ"/>
                                </w:rPr>
                                <w:t>T</w:t>
                              </w:r>
                              <w:r w:rsidRPr="00C65A62">
                                <w:rPr>
                                  <w:rStyle w:val="Hyperlink"/>
                                  <w:rFonts w:ascii="Arial Narrow" w:hAnsi="Arial Narrow" w:cstheme="minorBidi"/>
                                  <w:bCs/>
                                  <w:kern w:val="24"/>
                                  <w:sz w:val="26"/>
                                  <w:szCs w:val="26"/>
                                  <w:lang w:val="uz-Cyrl-UZ"/>
                                </w:rPr>
                                <w:t>EI</w:t>
                              </w:r>
                            </w:p>
                            <w:p w14:paraId="382E6E72"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Style w:val="Hyperlink"/>
                                  <w:rFonts w:ascii="Arial Narrow" w:hAnsi="Arial Narrow" w:cstheme="minorBidi"/>
                                  <w:bCs/>
                                  <w:kern w:val="24"/>
                                  <w:sz w:val="26"/>
                                  <w:szCs w:val="26"/>
                                  <w:lang w:val="uz-Cyrl-UZ"/>
                                </w:rPr>
                                <w:t>(4</w:t>
                              </w:r>
                              <w:r w:rsidRPr="00C65A62">
                                <w:rPr>
                                  <w:rStyle w:val="Hyperlink"/>
                                  <w:rFonts w:ascii="Arial Narrow" w:hAnsi="Arial Narrow" w:cstheme="minorBidi"/>
                                  <w:bCs/>
                                  <w:kern w:val="24"/>
                                  <w:sz w:val="26"/>
                                  <w:szCs w:val="26"/>
                                  <w:lang w:val="uz-Cyrl-UZ"/>
                                </w:rPr>
                                <w:t>)</w:t>
                              </w:r>
                              <w:r w:rsidRPr="00C65A62">
                                <w:rPr>
                                  <w:rFonts w:ascii="Arial Narrow" w:hAnsi="Arial Narrow" w:cstheme="minorBidi"/>
                                  <w:b/>
                                  <w:bCs/>
                                  <w:kern w:val="24"/>
                                  <w:sz w:val="26"/>
                                  <w:szCs w:val="26"/>
                                  <w:lang w:val="uz-Cyrl-UZ"/>
                                </w:rPr>
                                <w:fldChar w:fldCharType="end"/>
                              </w:r>
                            </w:p>
                          </w:txbxContent>
                        </v:textbox>
                      </v:shape>
                      <v:rect id="Rectangle 23493" o:spid="_x0000_s1043" style="position:absolute;left:749;top:8889;width:9146;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" filled="f" stroked="f"/>
                      <v:shape id="Freeform 23494" o:spid="_x0000_s1044" style="position:absolute;left:18156;top:7195;width:7368;height:8469;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" path="m423411,l846822,160240r,416256l423412,736736,1,576496,1,160240,423411,xe" fillcolor="#92d050" strokecolor="white" strokeweight="1pt">
                        <v:stroke joinstyle="miter"/>
                        <v:path arrowok="t" o:connecttype="custom" o:connectlocs="0,4867;1394,0;5016,0;6410,4867;5016,9734;1394,9734;0,4867" o:connectangles="0,0,0,0,0,0,0"/>
                      </v:shape>
                      <v:shape id="Freeform 23495" o:spid="_x0000_s1045" style="position:absolute;left:14193;top:14383;width:7368;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" path="m423411,l846822,160240r,416256l423412,736736,1,576496,1,160240,423411,xe" fillcolor="#92d050" strokecolor="white" strokeweight="1pt">
                        <v:stroke joinstyle="miter"/>
                        <v:path arrowok="t" o:connecttype="custom" o:connectlocs="0,4867;1394,0;5016,0;6410,4867;5016,9733;1394,9733;0,4867" o:connectangles="0,0,0,0,0,0,0"/>
                      </v:shape>
                      <v:rect id="Rectangle 23496" o:spid="_x0000_s1046" style="position:absolute;left:21784;top:16077;width:9451;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" filled="f" stroked="f"/>
                      <v:shape id="Freeform 23497" o:spid="_x0000_s1047" style="position:absolute;left:6237;top:14383;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" path="m423411,l846822,160240r,416256l423412,736736,1,576496,1,160240,423411,xe" fillcolor="#92d050" strokecolor="white" strokeweight="1pt">
                        <v:stroke joinstyle="miter"/>
                        <v:path arrowok="t" o:connecttype="custom" o:connectlocs="0,4867;1394,0;5015,0;6409,4867;5015,9733;1394,9733;0,4867" o:connectangles="0,0,0,0,0,0,0"/>
                      </v:shape>
                    </v:group>
                  </w:pict>
                </mc:Fallback>
              </mc:AlternateContent>
            </w:r>
            <w:r w:rsidR="00047EF8" w:rsidRPr="00F563CD">
              <w:rPr>
                <w:rFonts w:asciiTheme="minorHAnsi" w:hAnsiTheme="minorHAnsi"/>
                <w:color w:val="808080" w:themeColor="background1" w:themeShade="80"/>
                <w:spacing w:val="-20"/>
                <w:sz w:val="28"/>
                <w:szCs w:val="28"/>
              </w:rPr>
              <w:t>Employment, social policy and health - ESH</w:t>
            </w:r>
          </w:p>
          <w:p w14:paraId="7A6A8E15" w14:textId="77777777" w:rsidR="00047EF8" w:rsidRPr="00F563CD" w:rsidRDefault="00047EF8" w:rsidP="00A239C5">
            <w:pPr>
              <w:ind w:firstLine="34"/>
              <w:jc w:val="both"/>
              <w:rPr>
                <w:rFonts w:asciiTheme="minorHAnsi" w:hAnsiTheme="minorHAnsi"/>
                <w:sz w:val="26"/>
                <w:szCs w:val="26"/>
              </w:rPr>
            </w:pPr>
            <w:r w:rsidRPr="00F563CD">
              <w:rPr>
                <w:rFonts w:asciiTheme="minorHAnsi" w:hAnsiTheme="minorHAnsi"/>
                <w:color w:val="002060"/>
                <w:spacing w:val="-20"/>
                <w:sz w:val="28"/>
                <w:szCs w:val="28"/>
              </w:rPr>
              <w:t>Foreign and security policy and defence - FSP</w:t>
            </w:r>
          </w:p>
        </w:tc>
        <w:tc>
          <w:tcPr>
            <w:tcW w:w="2266" w:type="dxa"/>
            <w:vAlign w:val="center"/>
          </w:tcPr>
          <w:p w14:paraId="64D9B490" w14:textId="1B01977B" w:rsidR="00047EF8" w:rsidRPr="00F563CD" w:rsidRDefault="007840BE" w:rsidP="00A239C5">
            <w:pPr>
              <w:rPr>
                <w:rFonts w:asciiTheme="minorHAnsi" w:hAnsiTheme="minorHAnsi"/>
              </w:rPr>
            </w:pPr>
            <w:r w:rsidRPr="00F563CD">
              <w:rPr>
                <w:rFonts w:asciiTheme="minorHAnsi" w:hAnsiTheme="minorHAnsi"/>
                <w:noProof/>
                <w:lang w:val="en-US" w:eastAsia="en-US"/>
              </w:rPr>
              <mc:AlternateContent>
                <mc:Choice Requires="wpg">
                  <w:drawing>
                    <wp:anchor distT="0" distB="0" distL="114300" distR="114300" simplePos="0" relativeHeight="251661312" behindDoc="0" locked="0" layoutInCell="1" allowOverlap="1" wp14:anchorId="43979E4E" wp14:editId="67B4B7F1">
                      <wp:simplePos x="0" y="0"/>
                      <wp:positionH relativeFrom="column">
                        <wp:posOffset>1331595</wp:posOffset>
                      </wp:positionH>
                      <wp:positionV relativeFrom="paragraph">
                        <wp:posOffset>-171450</wp:posOffset>
                      </wp:positionV>
                      <wp:extent cx="3034665" cy="2123440"/>
                      <wp:effectExtent l="3175" t="13970" r="635" b="15240"/>
                      <wp:wrapNone/>
                      <wp:docPr id="52"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4665" cy="2123440"/>
                                <a:chOff x="0" y="-1647"/>
                                <a:chExt cx="30485" cy="24491"/>
                              </a:xfrm>
                            </wpg:grpSpPr>
                            <wps:wsp>
                              <wps:cNvPr id="53" name="Freeform 23478"/>
                              <wps:cNvSpPr>
                                <a:spLocks/>
                              </wps:cNvSpPr>
                              <wps:spPr bwMode="auto">
                                <a:xfrm>
                                  <a:off x="13444" y="-1317"/>
                                  <a:ext cx="7367" cy="9785"/>
                                </a:xfrm>
                                <a:custGeom>
                                  <a:avLst/>
                                  <a:gdLst>
                                    <a:gd name="T0" fmla="*/ 0 w 846823"/>
                                    <a:gd name="T1" fmla="*/ 489303 h 736736"/>
                                    <a:gd name="T2" fmla="*/ 160240 w 846823"/>
                                    <a:gd name="T3" fmla="*/ 0 h 736736"/>
                                    <a:gd name="T4" fmla="*/ 576497 w 846823"/>
                                    <a:gd name="T5" fmla="*/ 0 h 736736"/>
                                    <a:gd name="T6" fmla="*/ 736737 w 846823"/>
                                    <a:gd name="T7" fmla="*/ 489303 h 736736"/>
                                    <a:gd name="T8" fmla="*/ 576497 w 846823"/>
                                    <a:gd name="T9" fmla="*/ 978605 h 736736"/>
                                    <a:gd name="T10" fmla="*/ 160240 w 846823"/>
                                    <a:gd name="T11" fmla="*/ 978605 h 736736"/>
                                    <a:gd name="T12" fmla="*/ 0 w 846823"/>
                                    <a:gd name="T13" fmla="*/ 489303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5B9BD5"/>
                                </a:solidFill>
                                <a:ln w="12700">
                                  <a:solidFill>
                                    <a:srgbClr val="FFFFFF"/>
                                  </a:solidFill>
                                  <a:miter lim="800000"/>
                                  <a:headEnd/>
                                  <a:tailEnd/>
                                </a:ln>
                              </wps:spPr>
                              <wps:bodyPr rot="0" vert="horz" wrap="square" lIns="91440" tIns="45720" rIns="91440" bIns="45720" anchor="ctr" anchorCtr="0" upright="1">
                                <a:noAutofit/>
                              </wps:bodyPr>
                            </wps:wsp>
                            <wps:wsp>
                              <wps:cNvPr id="54" name="Rectangle 23479"/>
                              <wps:cNvSpPr>
                                <a:spLocks noChangeArrowheads="1"/>
                              </wps:cNvSpPr>
                              <wps:spPr bwMode="auto">
                                <a:xfrm>
                                  <a:off x="21035" y="1693"/>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Freeform 23480"/>
                              <wps:cNvSpPr>
                                <a:spLocks/>
                              </wps:cNvSpPr>
                              <wps:spPr bwMode="auto">
                                <a:xfrm>
                                  <a:off x="5487" y="-1647"/>
                                  <a:ext cx="7367" cy="10115"/>
                                </a:xfrm>
                                <a:custGeom>
                                  <a:avLst/>
                                  <a:gdLst>
                                    <a:gd name="T0" fmla="*/ 0 w 846823"/>
                                    <a:gd name="T1" fmla="*/ 505782 h 736736"/>
                                    <a:gd name="T2" fmla="*/ 160240 w 846823"/>
                                    <a:gd name="T3" fmla="*/ 0 h 736736"/>
                                    <a:gd name="T4" fmla="*/ 576497 w 846823"/>
                                    <a:gd name="T5" fmla="*/ 0 h 736736"/>
                                    <a:gd name="T6" fmla="*/ 736737 w 846823"/>
                                    <a:gd name="T7" fmla="*/ 505782 h 736736"/>
                                    <a:gd name="T8" fmla="*/ 576497 w 846823"/>
                                    <a:gd name="T9" fmla="*/ 1011564 h 736736"/>
                                    <a:gd name="T10" fmla="*/ 160240 w 846823"/>
                                    <a:gd name="T11" fmla="*/ 1011564 h 736736"/>
                                    <a:gd name="T12" fmla="*/ 0 w 846823"/>
                                    <a:gd name="T13" fmla="*/ 50578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5B9BD5"/>
                                </a:solidFill>
                                <a:ln w="12700">
                                  <a:solidFill>
                                    <a:srgbClr val="FFFFFF"/>
                                  </a:solidFill>
                                  <a:miter lim="800000"/>
                                  <a:headEnd/>
                                  <a:tailEnd/>
                                </a:ln>
                              </wps:spPr>
                              <wps:txbx>
                                <w:txbxContent>
                                  <w:p w14:paraId="598AD3D4"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lang w:val="uz-Cyrl-UZ"/>
                                      </w:rPr>
                                      <w:t>M</w:t>
                                    </w:r>
                                    <w:r>
                                      <w:rPr>
                                        <w:rFonts w:ascii="Arial Narrow" w:hAnsi="Arial Narrow" w:cstheme="minorBidi"/>
                                        <w:b/>
                                        <w:bCs/>
                                        <w:color w:val="FFFFFF" w:themeColor="light1"/>
                                        <w:kern w:val="24"/>
                                        <w:sz w:val="26"/>
                                        <w:szCs w:val="26"/>
                                        <w:lang w:val="uz-Cyrl-UZ"/>
                                      </w:rPr>
                                      <w:t>FSW</w:t>
                                    </w:r>
                                  </w:p>
                                  <w:p w14:paraId="3DED48ED"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(5</w:t>
                                    </w:r>
                                    <w:r w:rsidRPr="0006691B">
                                      <w:rPr>
                                        <w:rFonts w:ascii="Arial Narrow" w:hAnsi="Arial Narrow" w:cstheme="minorBidi"/>
                                        <w:b/>
                                        <w:bCs/>
                                        <w:color w:val="FFFFFF" w:themeColor="light1"/>
                                        <w:kern w:val="24"/>
                                        <w:sz w:val="26"/>
                                        <w:szCs w:val="26"/>
                                        <w:lang w:val="uz-Cyrl-UZ"/>
                                      </w:rPr>
                                      <w:t>)</w:t>
                                    </w:r>
                                  </w:p>
                                </w:txbxContent>
                              </wps:txbx>
                              <wps:bodyPr rot="0" vert="horz" wrap="square" lIns="114808" tIns="131964" rIns="114809" bIns="131963" anchor="ctr" anchorCtr="0" upright="1">
                                <a:noAutofit/>
                              </wps:bodyPr>
                            </wps:wsp>
                            <wps:wsp>
                              <wps:cNvPr id="56" name="Freeform 23481"/>
                              <wps:cNvSpPr>
                                <a:spLocks/>
                              </wps:cNvSpPr>
                              <wps:spPr bwMode="auto">
                                <a:xfrm>
                                  <a:off x="9450"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5B9BD5"/>
                                </a:solidFill>
                                <a:ln w="12700">
                                  <a:solidFill>
                                    <a:srgbClr val="FFFFFF"/>
                                  </a:solidFill>
                                  <a:miter lim="800000"/>
                                  <a:headEnd/>
                                  <a:tailEnd/>
                                </a:ln>
                              </wps:spPr>
                              <wps:txbx>
                                <w:txbxContent>
                                  <w:p w14:paraId="305F0A57" w14:textId="77777777" w:rsidR="006712E0" w:rsidRPr="0006691B" w:rsidRDefault="006712E0" w:rsidP="00047EF8">
                                    <w:pPr>
                                      <w:pStyle w:val="NormalWeb"/>
                                      <w:spacing w:before="0" w:beforeAutospacing="0" w:after="109" w:afterAutospacing="0" w:line="216" w:lineRule="auto"/>
                                      <w:jc w:val="center"/>
                                      <w:rPr>
                                        <w:rStyle w:val="Hyperlink"/>
                                        <w:rFonts w:ascii="Arial Narrow" w:hAnsi="Arial Narrow"/>
                                      </w:rPr>
                                    </w:pPr>
                                    <w:r w:rsidRPr="0006691B">
                                      <w:rPr>
                                        <w:rFonts w:ascii="Arial Narrow" w:hAnsi="Arial Narrow" w:cstheme="minorBidi"/>
                                        <w:b/>
                                        <w:bCs/>
                                        <w:kern w:val="24"/>
                                        <w:sz w:val="26"/>
                                        <w:szCs w:val="26"/>
                                        <w:lang w:val="uz-Cyrl-UZ"/>
                                      </w:rPr>
                                      <w:fldChar w:fldCharType="begin"/>
                                    </w:r>
                                    <w:r w:rsidRPr="0006691B">
                                      <w:rPr>
                                        <w:rFonts w:ascii="Arial Narrow" w:hAnsi="Arial Narrow" w:cstheme="minorBidi"/>
                                        <w:b/>
                                        <w:bCs/>
                                        <w:kern w:val="24"/>
                                        <w:sz w:val="26"/>
                                        <w:szCs w:val="26"/>
                                        <w:lang w:val="uz-Cyrl-UZ"/>
                                      </w:rPr>
                                      <w:instrText xml:space="preserve"> HYPERLINK  \l "FFP" \o "Sektor finansija i fiskalne politike" </w:instrText>
                                    </w:r>
                                    <w:r w:rsidRPr="0006691B">
                                      <w:rPr>
                                        <w:rFonts w:ascii="Arial Narrow" w:hAnsi="Arial Narrow" w:cstheme="minorBidi"/>
                                        <w:b/>
                                        <w:bCs/>
                                        <w:kern w:val="24"/>
                                        <w:sz w:val="26"/>
                                        <w:szCs w:val="26"/>
                                        <w:lang w:val="uz-Cyrl-UZ"/>
                                      </w:rPr>
                                      <w:fldChar w:fldCharType="separate"/>
                                    </w:r>
                                    <w:r w:rsidRPr="0006691B">
                                      <w:rPr>
                                        <w:rStyle w:val="Hyperlink"/>
                                        <w:rFonts w:ascii="Arial Narrow" w:hAnsi="Arial Narrow" w:cstheme="minorBidi"/>
                                        <w:bCs/>
                                        <w:kern w:val="24"/>
                                        <w:sz w:val="26"/>
                                        <w:szCs w:val="26"/>
                                        <w:lang w:val="uz-Cyrl-UZ"/>
                                      </w:rPr>
                                      <w:t>FFP</w:t>
                                    </w:r>
                                  </w:p>
                                  <w:p w14:paraId="491C8931"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Style w:val="Hyperlink"/>
                                        <w:rFonts w:ascii="Arial Narrow" w:hAnsi="Arial Narrow" w:cstheme="minorBidi"/>
                                        <w:bCs/>
                                        <w:kern w:val="24"/>
                                        <w:sz w:val="26"/>
                                        <w:szCs w:val="26"/>
                                        <w:lang w:val="uz-Cyrl-UZ"/>
                                      </w:rPr>
                                      <w:t>(</w:t>
                                    </w:r>
                                    <w:r>
                                      <w:rPr>
                                        <w:rStyle w:val="Hyperlink"/>
                                        <w:rFonts w:ascii="Arial Narrow" w:hAnsi="Arial Narrow" w:cstheme="minorBidi"/>
                                        <w:bCs/>
                                        <w:kern w:val="24"/>
                                        <w:sz w:val="26"/>
                                        <w:szCs w:val="26"/>
                                        <w:lang w:val="uz-Cyrl-UZ"/>
                                      </w:rPr>
                                      <w:t>5</w:t>
                                    </w:r>
                                    <w:r w:rsidRPr="0006691B">
                                      <w:rPr>
                                        <w:rStyle w:val="Hyperlink"/>
                                        <w:rFonts w:ascii="Arial Narrow" w:hAnsi="Arial Narrow" w:cstheme="minorBidi"/>
                                        <w:bCs/>
                                        <w:kern w:val="24"/>
                                        <w:sz w:val="26"/>
                                        <w:szCs w:val="26"/>
                                        <w:lang w:val="uz-Cyrl-UZ"/>
                                      </w:rPr>
                                      <w:t>)</w:t>
                                    </w:r>
                                    <w:r w:rsidRPr="0006691B">
                                      <w:rPr>
                                        <w:rFonts w:ascii="Arial Narrow" w:hAnsi="Arial Narrow" w:cstheme="minorBidi"/>
                                        <w:b/>
                                        <w:bCs/>
                                        <w:kern w:val="24"/>
                                        <w:sz w:val="26"/>
                                        <w:szCs w:val="26"/>
                                        <w:lang w:val="uz-Cyrl-UZ"/>
                                      </w:rPr>
                                      <w:fldChar w:fldCharType="end"/>
                                    </w:r>
                                  </w:p>
                                </w:txbxContent>
                              </wps:txbx>
                              <wps:bodyPr rot="0" vert="horz" wrap="square" lIns="164338" tIns="181494" rIns="164339" bIns="181493" anchor="ctr" anchorCtr="0" upright="1">
                                <a:noAutofit/>
                              </wps:bodyPr>
                            </wps:wsp>
                            <wps:wsp>
                              <wps:cNvPr id="57" name="Rectangle 23482"/>
                              <wps:cNvSpPr>
                                <a:spLocks noChangeArrowheads="1"/>
                              </wps:cNvSpPr>
                              <wps:spPr bwMode="auto">
                                <a:xfrm>
                                  <a:off x="0" y="8881"/>
                                  <a:ext cx="9145"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23483"/>
                              <wps:cNvSpPr>
                                <a:spLocks/>
                              </wps:cNvSpPr>
                              <wps:spPr bwMode="auto">
                                <a:xfrm>
                                  <a:off x="17407"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5B9BD5"/>
                                </a:solidFill>
                                <a:ln w="12700">
                                  <a:solidFill>
                                    <a:srgbClr val="FFFFFF"/>
                                  </a:solidFill>
                                  <a:miter lim="800000"/>
                                  <a:headEnd/>
                                  <a:tailEnd/>
                                </a:ln>
                              </wps:spPr>
                              <wps:bodyPr rot="0" vert="horz" wrap="square" lIns="91440" tIns="45720" rIns="91440" bIns="45720" anchor="ctr" anchorCtr="0" upright="1">
                                <a:noAutofit/>
                              </wps:bodyPr>
                            </wps:wsp>
                            <wps:wsp>
                              <wps:cNvPr id="59" name="Freeform 23484"/>
                              <wps:cNvSpPr>
                                <a:spLocks/>
                              </wps:cNvSpPr>
                              <wps:spPr bwMode="auto">
                                <a:xfrm>
                                  <a:off x="13444"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5B9BD5"/>
                                </a:solidFill>
                                <a:ln w="12700">
                                  <a:solidFill>
                                    <a:srgbClr val="FFFFFF"/>
                                  </a:solidFill>
                                  <a:miter lim="800000"/>
                                  <a:headEnd/>
                                  <a:tailEnd/>
                                </a:ln>
                              </wps:spPr>
                              <wps:bodyPr rot="0" vert="horz" wrap="square" lIns="91440" tIns="45720" rIns="91440" bIns="45720" anchor="ctr" anchorCtr="0" upright="1">
                                <a:noAutofit/>
                              </wps:bodyPr>
                            </wps:wsp>
                            <wps:wsp>
                              <wps:cNvPr id="60" name="Rectangle 23485"/>
                              <wps:cNvSpPr>
                                <a:spLocks noChangeArrowheads="1"/>
                              </wps:cNvSpPr>
                              <wps:spPr bwMode="auto">
                                <a:xfrm>
                                  <a:off x="21035" y="16069"/>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23486"/>
                              <wps:cNvSpPr>
                                <a:spLocks/>
                              </wps:cNvSpPr>
                              <wps:spPr bwMode="auto">
                                <a:xfrm>
                                  <a:off x="5487"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5B9BD5"/>
                                </a:solidFill>
                                <a:ln w="12700">
                                  <a:solidFill>
                                    <a:srgbClr val="FFFFFF"/>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979E4E" id="Group 45" o:spid="_x0000_s1048" style="position:absolute;margin-left:104.85pt;margin-top:-13.5pt;width:238.95pt;height:167.2pt;z-index:251661312;mso-width-relative:margin;mso-height-relative:margin" coordorigin=",-1647" coordsize="30485,2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">
                      <v:shape id="Freeform 23478" o:spid="_x0000_s1049" style="position:absolute;left:13444;top:-1317;width:7367;height:9785;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" path="m423411,l846822,160240r,416256l423412,736736,1,576496,1,160240,423411,xe" fillcolor="#5b9bd5" strokecolor="white" strokeweight="1pt">
                        <v:stroke joinstyle="miter"/>
                        <v:path arrowok="t" o:connecttype="custom" o:connectlocs="0,6499;1394,0;5015,0;6409,6499;5015,12997;1394,12997;0,6499" o:connectangles="0,0,0,0,0,0,0"/>
                      </v:shape>
                      <v:rect id="Rectangle 23479" o:spid="_x0000_s1050" style="position:absolute;left:21035;top:1693;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shape id="Freeform 23480" o:spid="_x0000_s1051" style="position:absolute;left:5487;top:-1647;width:7367;height:10115;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" adj="-11796480,,5400" path="m423411,l846822,160240r,416256l423412,736736,1,576496,1,160240,423411,xe" fillcolor="#5b9bd5" strokecolor="white" strokeweight="1pt">
                        <v:stroke joinstyle="miter"/>
                        <v:formulas/>
                        <v:path arrowok="t" o:connecttype="custom" o:connectlocs="0,6944;1394,0;5015,0;6409,6944;5015,13888;1394,13888;0,6944" o:connectangles="0,0,0,0,0,0,0" textboxrect="0,0,846823,736736"/>
                        <v:textbox inset="9.04pt,3.66567mm,3.18914mm,3.66564mm">
                          <w:txbxContent>
                            <w:p w14:paraId="598AD3D4"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lang w:val="uz-Cyrl-UZ"/>
                                </w:rPr>
                                <w:t>M</w:t>
                              </w:r>
                              <w:r>
                                <w:rPr>
                                  <w:rFonts w:ascii="Arial Narrow" w:hAnsi="Arial Narrow" w:cstheme="minorBidi"/>
                                  <w:b/>
                                  <w:bCs/>
                                  <w:color w:val="FFFFFF" w:themeColor="light1"/>
                                  <w:kern w:val="24"/>
                                  <w:sz w:val="26"/>
                                  <w:szCs w:val="26"/>
                                  <w:lang w:val="uz-Cyrl-UZ"/>
                                </w:rPr>
                                <w:t>FSW</w:t>
                              </w:r>
                            </w:p>
                            <w:p w14:paraId="3DED48ED"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(5</w:t>
                              </w:r>
                              <w:r w:rsidRPr="0006691B">
                                <w:rPr>
                                  <w:rFonts w:ascii="Arial Narrow" w:hAnsi="Arial Narrow" w:cstheme="minorBidi"/>
                                  <w:b/>
                                  <w:bCs/>
                                  <w:color w:val="FFFFFF" w:themeColor="light1"/>
                                  <w:kern w:val="24"/>
                                  <w:sz w:val="26"/>
                                  <w:szCs w:val="26"/>
                                  <w:lang w:val="uz-Cyrl-UZ"/>
                                </w:rPr>
                                <w:t>)</w:t>
                              </w:r>
                            </w:p>
                          </w:txbxContent>
                        </v:textbox>
                      </v:shape>
                      <v:shape id="Freeform 23481" o:spid="_x0000_s1052" style="position:absolute;left:9450;top:7187;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" adj="-11796480,,5400" path="m423411,l846822,160240r,416256l423412,736736,1,576496,1,160240,423411,xe" fillcolor="#5b9bd5" strokecolor="white" strokeweight="1pt">
                        <v:stroke joinstyle="miter"/>
                        <v:formulas/>
                        <v:path arrowok="t" o:connecttype="custom" o:connectlocs="0,4867;1394,0;5015,0;6409,4867;5015,9734;1394,9734;0,4867" o:connectangles="0,0,0,0,0,0,0" textboxrect="0,0,846823,736736"/>
                        <v:textbox inset="12.94pt,5.0415mm,4.56497mm,5.04147mm">
                          <w:txbxContent>
                            <w:p w14:paraId="305F0A57" w14:textId="77777777" w:rsidR="006712E0" w:rsidRPr="0006691B" w:rsidRDefault="006712E0" w:rsidP="00047EF8">
                              <w:pPr>
                                <w:pStyle w:val="NormalWeb"/>
                                <w:spacing w:before="0" w:beforeAutospacing="0" w:after="109" w:afterAutospacing="0" w:line="216" w:lineRule="auto"/>
                                <w:jc w:val="center"/>
                                <w:rPr>
                                  <w:rStyle w:val="Hyperlink"/>
                                  <w:rFonts w:ascii="Arial Narrow" w:hAnsi="Arial Narrow"/>
                                </w:rPr>
                              </w:pPr>
                              <w:r w:rsidRPr="0006691B">
                                <w:rPr>
                                  <w:rFonts w:ascii="Arial Narrow" w:hAnsi="Arial Narrow" w:cstheme="minorBidi"/>
                                  <w:b/>
                                  <w:bCs/>
                                  <w:kern w:val="24"/>
                                  <w:sz w:val="26"/>
                                  <w:szCs w:val="26"/>
                                  <w:lang w:val="uz-Cyrl-UZ"/>
                                </w:rPr>
                                <w:fldChar w:fldCharType="begin"/>
                              </w:r>
                              <w:r w:rsidRPr="0006691B">
                                <w:rPr>
                                  <w:rFonts w:ascii="Arial Narrow" w:hAnsi="Arial Narrow" w:cstheme="minorBidi"/>
                                  <w:b/>
                                  <w:bCs/>
                                  <w:kern w:val="24"/>
                                  <w:sz w:val="26"/>
                                  <w:szCs w:val="26"/>
                                  <w:lang w:val="uz-Cyrl-UZ"/>
                                </w:rPr>
                                <w:instrText xml:space="preserve"> HYPERLINK  \l "FFP" \o "Sektor finansija i fiskalne politike" </w:instrText>
                              </w:r>
                              <w:r w:rsidRPr="0006691B">
                                <w:rPr>
                                  <w:rFonts w:ascii="Arial Narrow" w:hAnsi="Arial Narrow" w:cstheme="minorBidi"/>
                                  <w:b/>
                                  <w:bCs/>
                                  <w:kern w:val="24"/>
                                  <w:sz w:val="26"/>
                                  <w:szCs w:val="26"/>
                                  <w:lang w:val="uz-Cyrl-UZ"/>
                                </w:rPr>
                                <w:fldChar w:fldCharType="separate"/>
                              </w:r>
                              <w:r w:rsidRPr="0006691B">
                                <w:rPr>
                                  <w:rStyle w:val="Hyperlink"/>
                                  <w:rFonts w:ascii="Arial Narrow" w:hAnsi="Arial Narrow" w:cstheme="minorBidi"/>
                                  <w:bCs/>
                                  <w:kern w:val="24"/>
                                  <w:sz w:val="26"/>
                                  <w:szCs w:val="26"/>
                                  <w:lang w:val="uz-Cyrl-UZ"/>
                                </w:rPr>
                                <w:t>FFP</w:t>
                              </w:r>
                            </w:p>
                            <w:p w14:paraId="491C8931"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Style w:val="Hyperlink"/>
                                  <w:rFonts w:ascii="Arial Narrow" w:hAnsi="Arial Narrow" w:cstheme="minorBidi"/>
                                  <w:bCs/>
                                  <w:kern w:val="24"/>
                                  <w:sz w:val="26"/>
                                  <w:szCs w:val="26"/>
                                  <w:lang w:val="uz-Cyrl-UZ"/>
                                </w:rPr>
                                <w:t>(</w:t>
                              </w:r>
                              <w:r>
                                <w:rPr>
                                  <w:rStyle w:val="Hyperlink"/>
                                  <w:rFonts w:ascii="Arial Narrow" w:hAnsi="Arial Narrow" w:cstheme="minorBidi"/>
                                  <w:bCs/>
                                  <w:kern w:val="24"/>
                                  <w:sz w:val="26"/>
                                  <w:szCs w:val="26"/>
                                  <w:lang w:val="uz-Cyrl-UZ"/>
                                </w:rPr>
                                <w:t>5</w:t>
                              </w:r>
                              <w:r w:rsidRPr="0006691B">
                                <w:rPr>
                                  <w:rStyle w:val="Hyperlink"/>
                                  <w:rFonts w:ascii="Arial Narrow" w:hAnsi="Arial Narrow" w:cstheme="minorBidi"/>
                                  <w:bCs/>
                                  <w:kern w:val="24"/>
                                  <w:sz w:val="26"/>
                                  <w:szCs w:val="26"/>
                                  <w:lang w:val="uz-Cyrl-UZ"/>
                                </w:rPr>
                                <w:t>)</w:t>
                              </w:r>
                              <w:r w:rsidRPr="0006691B">
                                <w:rPr>
                                  <w:rFonts w:ascii="Arial Narrow" w:hAnsi="Arial Narrow" w:cstheme="minorBidi"/>
                                  <w:b/>
                                  <w:bCs/>
                                  <w:kern w:val="24"/>
                                  <w:sz w:val="26"/>
                                  <w:szCs w:val="26"/>
                                  <w:lang w:val="uz-Cyrl-UZ"/>
                                </w:rPr>
                                <w:fldChar w:fldCharType="end"/>
                              </w:r>
                            </w:p>
                          </w:txbxContent>
                        </v:textbox>
                      </v:shape>
                      <v:rect id="Rectangle 23482" o:spid="_x0000_s1053" style="position:absolute;top:8881;width:9145;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arxAAAANsAAAAPAAAAZHJzL2Rvd25yZXYueG1sRI9Ba8JA&#10;FITvBf/D8gQvohuFVk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BaP1qvEAAAA2wAAAA8A&#10;AAAAAAAAAAAAAAAABwIAAGRycy9kb3ducmV2LnhtbFBLBQYAAAAAAwADALcAAAD4AgAAAAA=&#10;" filled="f" stroked="f"/>
                      <v:shape id="Freeform 23483" o:spid="_x0000_s1054" style="position:absolute;left:17407;top:7187;width:7367;height:8469;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" path="m423411,l846822,160240r,416256l423412,736736,1,576496,1,160240,423411,xe" fillcolor="#5b9bd5" strokecolor="white" strokeweight="1pt">
                        <v:stroke joinstyle="miter"/>
                        <v:path arrowok="t" o:connecttype="custom" o:connectlocs="0,4867;1394,0;5015,0;6409,4867;5015,9734;1394,9734;0,4867" o:connectangles="0,0,0,0,0,0,0"/>
                      </v:shape>
                      <v:shape id="Freeform 23484" o:spid="_x0000_s1055" style="position:absolute;left:13444;top:14375;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" path="m423411,l846822,160240r,416256l423412,736736,1,576496,1,160240,423411,xe" fillcolor="#5b9bd5" strokecolor="white" strokeweight="1pt">
                        <v:stroke joinstyle="miter"/>
                        <v:path arrowok="t" o:connecttype="custom" o:connectlocs="0,4867;1394,0;5015,0;6409,4867;5015,9733;1394,9733;0,4867" o:connectangles="0,0,0,0,0,0,0"/>
                      </v:shape>
                      <v:rect id="Rectangle 23485" o:spid="_x0000_s1056" style="position:absolute;left:21035;top:16069;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" filled="f" stroked="f"/>
                      <v:shape id="Freeform 23486" o:spid="_x0000_s1057" style="position:absolute;left:5487;top:14375;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" path="m423411,l846822,160240r,416256l423412,736736,1,576496,1,160240,423411,xe" fillcolor="#5b9bd5" strokecolor="white" strokeweight="1pt">
                        <v:stroke joinstyle="miter"/>
                        <v:path arrowok="t" o:connecttype="custom" o:connectlocs="0,4867;1394,0;5015,0;6409,4867;5015,9733;1394,9733;0,4867" o:connectangles="0,0,0,0,0,0,0"/>
                      </v:shape>
                    </v:group>
                  </w:pict>
                </mc:Fallback>
              </mc:AlternateContent>
            </w:r>
          </w:p>
          <w:p w14:paraId="0EF0D8C0" w14:textId="77777777" w:rsidR="00047EF8" w:rsidRPr="00F563CD" w:rsidRDefault="00047EF8" w:rsidP="00A239C5">
            <w:pPr>
              <w:jc w:val="center"/>
              <w:rPr>
                <w:rFonts w:asciiTheme="minorHAnsi" w:hAnsiTheme="minorHAnsi"/>
              </w:rPr>
            </w:pPr>
          </w:p>
        </w:tc>
        <w:tc>
          <w:tcPr>
            <w:tcW w:w="3786" w:type="dxa"/>
            <w:vAlign w:val="center"/>
          </w:tcPr>
          <w:p w14:paraId="48B7E875" w14:textId="77777777" w:rsidR="00047EF8" w:rsidRPr="00F563CD" w:rsidRDefault="00047EF8" w:rsidP="00A239C5">
            <w:pPr>
              <w:jc w:val="right"/>
              <w:rPr>
                <w:rFonts w:asciiTheme="minorHAnsi" w:hAnsiTheme="minorHAnsi"/>
              </w:rPr>
            </w:pPr>
          </w:p>
          <w:p w14:paraId="525DBEDF" w14:textId="77777777" w:rsidR="00047EF8" w:rsidRPr="00F563CD" w:rsidRDefault="00047EF8" w:rsidP="00A239C5">
            <w:pPr>
              <w:jc w:val="right"/>
              <w:rPr>
                <w:rFonts w:asciiTheme="minorHAnsi" w:hAnsiTheme="minorHAnsi"/>
              </w:rPr>
            </w:pPr>
          </w:p>
        </w:tc>
      </w:tr>
      <w:tr w:rsidR="00047EF8" w:rsidRPr="00F563CD" w14:paraId="72B82E99" w14:textId="77777777" w:rsidTr="00A239C5">
        <w:trPr>
          <w:trHeight w:hRule="exact" w:val="1906"/>
        </w:trPr>
        <w:tc>
          <w:tcPr>
            <w:tcW w:w="3352" w:type="dxa"/>
            <w:vAlign w:val="center"/>
          </w:tcPr>
          <w:p w14:paraId="7F279A01" w14:textId="77777777" w:rsidR="00047EF8" w:rsidRPr="00F563CD" w:rsidRDefault="00047EF8" w:rsidP="00A239C5">
            <w:pPr>
              <w:rPr>
                <w:rFonts w:asciiTheme="minorHAnsi" w:hAnsiTheme="minorHAnsi"/>
              </w:rPr>
            </w:pPr>
          </w:p>
        </w:tc>
        <w:tc>
          <w:tcPr>
            <w:tcW w:w="2360" w:type="dxa"/>
            <w:gridSpan w:val="2"/>
            <w:vAlign w:val="center"/>
          </w:tcPr>
          <w:p w14:paraId="2D4C26F4" w14:textId="5BE509D0" w:rsidR="00047EF8" w:rsidRPr="00F563CD" w:rsidRDefault="007840BE" w:rsidP="00A239C5">
            <w:pPr>
              <w:jc w:val="center"/>
              <w:rPr>
                <w:rFonts w:asciiTheme="minorHAnsi" w:hAnsiTheme="minorHAnsi"/>
              </w:rPr>
            </w:pPr>
            <w:r w:rsidRPr="00F563CD">
              <w:rPr>
                <w:rFonts w:asciiTheme="minorHAnsi" w:hAnsiTheme="minorHAnsi"/>
                <w:noProof/>
                <w:lang w:val="en-US" w:eastAsia="en-US"/>
              </w:rPr>
              <mc:AlternateContent>
                <mc:Choice Requires="wpg">
                  <w:drawing>
                    <wp:anchor distT="0" distB="0" distL="114300" distR="114300" simplePos="0" relativeHeight="251664384" behindDoc="0" locked="0" layoutInCell="1" allowOverlap="1" wp14:anchorId="2AA0FEF0" wp14:editId="3F02723B">
                      <wp:simplePos x="0" y="0"/>
                      <wp:positionH relativeFrom="column">
                        <wp:posOffset>-685800</wp:posOffset>
                      </wp:positionH>
                      <wp:positionV relativeFrom="paragraph">
                        <wp:posOffset>107315</wp:posOffset>
                      </wp:positionV>
                      <wp:extent cx="2331085" cy="1520825"/>
                      <wp:effectExtent l="2540" t="20320" r="0" b="20955"/>
                      <wp:wrapNone/>
                      <wp:docPr id="4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1520825"/>
                                <a:chOff x="0" y="-1116"/>
                                <a:chExt cx="30485" cy="23960"/>
                              </a:xfrm>
                            </wpg:grpSpPr>
                            <wps:wsp>
                              <wps:cNvPr id="43" name="Freeform 84"/>
                              <wps:cNvSpPr>
                                <a:spLocks/>
                              </wps:cNvSpPr>
                              <wps:spPr bwMode="auto">
                                <a:xfrm>
                                  <a:off x="13444" y="-1015"/>
                                  <a:ext cx="7591" cy="9483"/>
                                </a:xfrm>
                                <a:custGeom>
                                  <a:avLst/>
                                  <a:gdLst>
                                    <a:gd name="T0" fmla="*/ 0 w 846823"/>
                                    <a:gd name="T1" fmla="*/ 474176 h 736736"/>
                                    <a:gd name="T2" fmla="*/ 165103 w 846823"/>
                                    <a:gd name="T3" fmla="*/ 0 h 736736"/>
                                    <a:gd name="T4" fmla="*/ 593990 w 846823"/>
                                    <a:gd name="T5" fmla="*/ 0 h 736736"/>
                                    <a:gd name="T6" fmla="*/ 759093 w 846823"/>
                                    <a:gd name="T7" fmla="*/ 474176 h 736736"/>
                                    <a:gd name="T8" fmla="*/ 593990 w 846823"/>
                                    <a:gd name="T9" fmla="*/ 948352 h 736736"/>
                                    <a:gd name="T10" fmla="*/ 165103 w 846823"/>
                                    <a:gd name="T11" fmla="*/ 948352 h 736736"/>
                                    <a:gd name="T12" fmla="*/ 0 w 846823"/>
                                    <a:gd name="T13" fmla="*/ 474176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C000"/>
                                </a:solidFill>
                                <a:ln w="12700">
                                  <a:solidFill>
                                    <a:srgbClr val="FFFFFF"/>
                                  </a:solidFill>
                                  <a:miter lim="800000"/>
                                  <a:headEnd/>
                                  <a:tailEnd/>
                                </a:ln>
                              </wps:spPr>
                              <wps:txbx>
                                <w:txbxContent>
                                  <w:p w14:paraId="1F8D2BEB"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sidRPr="00C65A62">
                                      <w:rPr>
                                        <w:rFonts w:ascii="Arial Narrow" w:hAnsi="Arial Narrow" w:cstheme="minorBidi"/>
                                        <w:b/>
                                        <w:bCs/>
                                        <w:color w:val="FFFFFF" w:themeColor="light1"/>
                                        <w:kern w:val="24"/>
                                        <w:sz w:val="26"/>
                                        <w:szCs w:val="26"/>
                                        <w:lang w:val="uz-Cyrl-UZ"/>
                                      </w:rPr>
                                      <w:t>M</w:t>
                                    </w:r>
                                    <w:r>
                                      <w:rPr>
                                        <w:rFonts w:ascii="Arial Narrow" w:hAnsi="Arial Narrow" w:cstheme="minorBidi"/>
                                        <w:b/>
                                        <w:bCs/>
                                        <w:color w:val="FFFFFF" w:themeColor="light1"/>
                                        <w:kern w:val="24"/>
                                        <w:sz w:val="26"/>
                                        <w:szCs w:val="26"/>
                                        <w:lang w:val="uz-Cyrl-UZ"/>
                                      </w:rPr>
                                      <w:t>ED</w:t>
                                    </w:r>
                                  </w:p>
                                  <w:p w14:paraId="05DA90F8"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(5</w:t>
                                    </w:r>
                                    <w:r w:rsidRPr="00C65A62">
                                      <w:rPr>
                                        <w:rFonts w:ascii="Arial Narrow" w:hAnsi="Arial Narrow" w:cstheme="minorBidi"/>
                                        <w:b/>
                                        <w:bCs/>
                                        <w:color w:val="FFFFFF" w:themeColor="light1"/>
                                        <w:kern w:val="24"/>
                                        <w:sz w:val="26"/>
                                        <w:szCs w:val="26"/>
                                        <w:lang w:val="uz-Cyrl-UZ"/>
                                      </w:rPr>
                                      <w:t>)</w:t>
                                    </w:r>
                                  </w:p>
                                </w:txbxContent>
                              </wps:txbx>
                              <wps:bodyPr rot="0" vert="horz" wrap="square" lIns="164338" tIns="181494" rIns="164339" bIns="181493" anchor="ctr" anchorCtr="0" upright="1">
                                <a:noAutofit/>
                              </wps:bodyPr>
                            </wps:wsp>
                            <wps:wsp>
                              <wps:cNvPr id="44" name="Rectangle 85"/>
                              <wps:cNvSpPr>
                                <a:spLocks noChangeArrowheads="1"/>
                              </wps:cNvSpPr>
                              <wps:spPr bwMode="auto">
                                <a:xfrm>
                                  <a:off x="21035" y="1693"/>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86"/>
                              <wps:cNvSpPr>
                                <a:spLocks/>
                              </wps:cNvSpPr>
                              <wps:spPr bwMode="auto">
                                <a:xfrm>
                                  <a:off x="5487" y="-1116"/>
                                  <a:ext cx="7367" cy="9584"/>
                                </a:xfrm>
                                <a:custGeom>
                                  <a:avLst/>
                                  <a:gdLst>
                                    <a:gd name="T0" fmla="*/ 0 w 846823"/>
                                    <a:gd name="T1" fmla="*/ 479253 h 736736"/>
                                    <a:gd name="T2" fmla="*/ 160240 w 846823"/>
                                    <a:gd name="T3" fmla="*/ 0 h 736736"/>
                                    <a:gd name="T4" fmla="*/ 576497 w 846823"/>
                                    <a:gd name="T5" fmla="*/ 0 h 736736"/>
                                    <a:gd name="T6" fmla="*/ 736737 w 846823"/>
                                    <a:gd name="T7" fmla="*/ 479253 h 736736"/>
                                    <a:gd name="T8" fmla="*/ 576497 w 846823"/>
                                    <a:gd name="T9" fmla="*/ 958505 h 736736"/>
                                    <a:gd name="T10" fmla="*/ 160240 w 846823"/>
                                    <a:gd name="T11" fmla="*/ 958505 h 736736"/>
                                    <a:gd name="T12" fmla="*/ 0 w 846823"/>
                                    <a:gd name="T13" fmla="*/ 479253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C000"/>
                                </a:solidFill>
                                <a:ln w="12700">
                                  <a:solidFill>
                                    <a:srgbClr val="FFFFFF"/>
                                  </a:solidFill>
                                  <a:miter lim="800000"/>
                                  <a:headEnd/>
                                  <a:tailEnd/>
                                </a:ln>
                              </wps:spPr>
                              <wps:txbx>
                                <w:txbxContent>
                                  <w:p w14:paraId="483848DE"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sidRPr="00C65A62">
                                      <w:rPr>
                                        <w:rFonts w:ascii="Arial Narrow" w:hAnsi="Arial Narrow" w:cstheme="minorBidi"/>
                                        <w:b/>
                                        <w:bCs/>
                                        <w:color w:val="FFFFFF" w:themeColor="light1"/>
                                        <w:kern w:val="24"/>
                                        <w:sz w:val="26"/>
                                        <w:szCs w:val="26"/>
                                        <w:lang w:val="uz-Cyrl-UZ"/>
                                      </w:rPr>
                                      <w:t>M</w:t>
                                    </w:r>
                                    <w:r>
                                      <w:rPr>
                                        <w:rFonts w:ascii="Arial Narrow" w:hAnsi="Arial Narrow" w:cstheme="minorBidi"/>
                                        <w:b/>
                                        <w:bCs/>
                                        <w:color w:val="FFFFFF" w:themeColor="light1"/>
                                        <w:kern w:val="24"/>
                                        <w:sz w:val="26"/>
                                        <w:szCs w:val="26"/>
                                        <w:lang w:val="uz-Cyrl-UZ"/>
                                      </w:rPr>
                                      <w:t>ESPU</w:t>
                                    </w:r>
                                  </w:p>
                                  <w:p w14:paraId="3250381A"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(6</w:t>
                                    </w:r>
                                    <w:r w:rsidRPr="00C65A62">
                                      <w:rPr>
                                        <w:rFonts w:ascii="Arial Narrow" w:hAnsi="Arial Narrow" w:cstheme="minorBidi"/>
                                        <w:b/>
                                        <w:bCs/>
                                        <w:color w:val="FFFFFF" w:themeColor="light1"/>
                                        <w:kern w:val="24"/>
                                        <w:sz w:val="26"/>
                                        <w:szCs w:val="26"/>
                                        <w:lang w:val="uz-Cyrl-UZ"/>
                                      </w:rPr>
                                      <w:t>)</w:t>
                                    </w:r>
                                  </w:p>
                                </w:txbxContent>
                              </wps:txbx>
                              <wps:bodyPr rot="0" vert="horz" wrap="square" lIns="114808" tIns="131964" rIns="114809" bIns="131963" anchor="ctr" anchorCtr="0" upright="1">
                                <a:noAutofit/>
                              </wps:bodyPr>
                            </wps:wsp>
                            <wps:wsp>
                              <wps:cNvPr id="46" name="Freeform 87"/>
                              <wps:cNvSpPr>
                                <a:spLocks/>
                              </wps:cNvSpPr>
                              <wps:spPr bwMode="auto">
                                <a:xfrm>
                                  <a:off x="9450"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C000"/>
                                </a:solidFill>
                                <a:ln w="12700">
                                  <a:solidFill>
                                    <a:srgbClr val="FFFFFF"/>
                                  </a:solidFill>
                                  <a:miter lim="800000"/>
                                  <a:headEnd/>
                                  <a:tailEnd/>
                                </a:ln>
                              </wps:spPr>
                              <wps:txbx>
                                <w:txbxContent>
                                  <w:p w14:paraId="6E59C302" w14:textId="77777777" w:rsidR="006712E0" w:rsidRPr="00C65A62" w:rsidRDefault="006712E0" w:rsidP="00047EF8">
                                    <w:pPr>
                                      <w:pStyle w:val="NormalWeb"/>
                                      <w:spacing w:before="0" w:beforeAutospacing="0" w:after="109" w:afterAutospacing="0" w:line="216" w:lineRule="auto"/>
                                      <w:jc w:val="center"/>
                                      <w:rPr>
                                        <w:rStyle w:val="Hyperlink"/>
                                        <w:rFonts w:ascii="Arial Narrow" w:hAnsi="Arial Narrow"/>
                                      </w:rPr>
                                    </w:pPr>
                                    <w:r w:rsidRPr="00C65A62">
                                      <w:rPr>
                                        <w:rFonts w:ascii="Arial Narrow" w:hAnsi="Arial Narrow" w:cstheme="minorBidi"/>
                                        <w:b/>
                                        <w:bCs/>
                                        <w:kern w:val="24"/>
                                        <w:sz w:val="26"/>
                                        <w:szCs w:val="26"/>
                                        <w:lang w:val="uz-Cyrl-UZ"/>
                                      </w:rPr>
                                      <w:fldChar w:fldCharType="begin"/>
                                    </w:r>
                                    <w:r w:rsidRPr="00C65A62">
                                      <w:rPr>
                                        <w:rFonts w:ascii="Arial Narrow" w:hAnsi="Arial Narrow" w:cstheme="minorBidi"/>
                                        <w:b/>
                                        <w:bCs/>
                                        <w:kern w:val="24"/>
                                        <w:sz w:val="26"/>
                                        <w:szCs w:val="26"/>
                                        <w:lang w:val="uz-Cyrl-UZ"/>
                                      </w:rPr>
                                      <w:instrText xml:space="preserve"> HYPERLINK  \l "ERŽS" \o "Sektor ekonomskog razvoja i životne sredine " </w:instrText>
                                    </w:r>
                                    <w:r w:rsidRPr="00C65A62">
                                      <w:rPr>
                                        <w:rFonts w:ascii="Arial Narrow" w:hAnsi="Arial Narrow" w:cstheme="minorBidi"/>
                                        <w:b/>
                                        <w:bCs/>
                                        <w:kern w:val="24"/>
                                        <w:sz w:val="26"/>
                                        <w:szCs w:val="26"/>
                                        <w:lang w:val="uz-Cyrl-UZ"/>
                                      </w:rPr>
                                      <w:fldChar w:fldCharType="separate"/>
                                    </w:r>
                                    <w:r w:rsidRPr="00C65A62">
                                      <w:rPr>
                                        <w:rStyle w:val="Hyperlink"/>
                                        <w:rFonts w:ascii="Arial Narrow" w:hAnsi="Arial Narrow" w:cstheme="minorBidi"/>
                                        <w:bCs/>
                                        <w:kern w:val="24"/>
                                        <w:sz w:val="26"/>
                                        <w:szCs w:val="26"/>
                                        <w:lang w:val="uz-Cyrl-UZ"/>
                                      </w:rPr>
                                      <w:t>E</w:t>
                                    </w:r>
                                    <w:r>
                                      <w:rPr>
                                        <w:rStyle w:val="Hyperlink"/>
                                        <w:rFonts w:ascii="Arial Narrow" w:hAnsi="Arial Narrow" w:cstheme="minorBidi"/>
                                        <w:bCs/>
                                        <w:kern w:val="24"/>
                                        <w:sz w:val="26"/>
                                        <w:szCs w:val="26"/>
                                        <w:lang w:val="uz-Cyrl-UZ"/>
                                      </w:rPr>
                                      <w:t>DE</w:t>
                                    </w:r>
                                  </w:p>
                                  <w:p w14:paraId="049B1D1D"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Style w:val="Hyperlink"/>
                                        <w:rFonts w:ascii="Arial Narrow" w:hAnsi="Arial Narrow" w:cstheme="minorBidi"/>
                                        <w:bCs/>
                                        <w:kern w:val="24"/>
                                        <w:sz w:val="26"/>
                                        <w:szCs w:val="26"/>
                                        <w:lang w:val="uz-Cyrl-UZ"/>
                                      </w:rPr>
                                      <w:t>(13</w:t>
                                    </w:r>
                                    <w:r w:rsidRPr="00C65A62">
                                      <w:rPr>
                                        <w:rStyle w:val="Hyperlink"/>
                                        <w:rFonts w:ascii="Arial Narrow" w:hAnsi="Arial Narrow" w:cstheme="minorBidi"/>
                                        <w:bCs/>
                                        <w:kern w:val="24"/>
                                        <w:sz w:val="26"/>
                                        <w:szCs w:val="26"/>
                                        <w:lang w:val="uz-Cyrl-UZ"/>
                                      </w:rPr>
                                      <w:t>)</w:t>
                                    </w:r>
                                    <w:r w:rsidRPr="00C65A62">
                                      <w:rPr>
                                        <w:rFonts w:ascii="Arial Narrow" w:hAnsi="Arial Narrow" w:cstheme="minorBidi"/>
                                        <w:b/>
                                        <w:bCs/>
                                        <w:kern w:val="24"/>
                                        <w:sz w:val="26"/>
                                        <w:szCs w:val="26"/>
                                        <w:lang w:val="uz-Cyrl-UZ"/>
                                      </w:rPr>
                                      <w:fldChar w:fldCharType="end"/>
                                    </w:r>
                                  </w:p>
                                </w:txbxContent>
                              </wps:txbx>
                              <wps:bodyPr rot="0" vert="horz" wrap="square" lIns="164338" tIns="181494" rIns="164339" bIns="181493" anchor="ctr" anchorCtr="0" upright="1">
                                <a:noAutofit/>
                              </wps:bodyPr>
                            </wps:wsp>
                            <wps:wsp>
                              <wps:cNvPr id="47" name="Rectangle 88"/>
                              <wps:cNvSpPr>
                                <a:spLocks noChangeArrowheads="1"/>
                              </wps:cNvSpPr>
                              <wps:spPr bwMode="auto">
                                <a:xfrm>
                                  <a:off x="0" y="8881"/>
                                  <a:ext cx="9145"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89"/>
                              <wps:cNvSpPr>
                                <a:spLocks/>
                              </wps:cNvSpPr>
                              <wps:spPr bwMode="auto">
                                <a:xfrm>
                                  <a:off x="17407"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C000"/>
                                </a:solidFill>
                                <a:ln w="12700">
                                  <a:solidFill>
                                    <a:srgbClr val="FFFFFF"/>
                                  </a:solidFill>
                                  <a:miter lim="800000"/>
                                  <a:headEnd/>
                                  <a:tailEnd/>
                                </a:ln>
                              </wps:spPr>
                              <wps:txbx>
                                <w:txbxContent>
                                  <w:p w14:paraId="3EB4D4B1"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MAFWM</w:t>
                                    </w:r>
                                  </w:p>
                                  <w:p w14:paraId="3A505CCC"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(2</w:t>
                                    </w:r>
                                    <w:r w:rsidRPr="00C65A62">
                                      <w:rPr>
                                        <w:rFonts w:ascii="Arial Narrow" w:hAnsi="Arial Narrow" w:cstheme="minorBidi"/>
                                        <w:b/>
                                        <w:bCs/>
                                        <w:color w:val="FFFFFF" w:themeColor="light1"/>
                                        <w:kern w:val="24"/>
                                        <w:sz w:val="26"/>
                                        <w:szCs w:val="26"/>
                                        <w:lang w:val="uz-Cyrl-UZ"/>
                                      </w:rPr>
                                      <w:t>)</w:t>
                                    </w:r>
                                  </w:p>
                                </w:txbxContent>
                              </wps:txbx>
                              <wps:bodyPr rot="0" vert="horz" wrap="square" lIns="114808" tIns="131964" rIns="114809" bIns="131963" anchor="ctr" anchorCtr="0" upright="1">
                                <a:noAutofit/>
                              </wps:bodyPr>
                            </wps:wsp>
                            <wps:wsp>
                              <wps:cNvPr id="49" name="Freeform 90"/>
                              <wps:cNvSpPr>
                                <a:spLocks/>
                              </wps:cNvSpPr>
                              <wps:spPr bwMode="auto">
                                <a:xfrm>
                                  <a:off x="13444"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C000"/>
                                </a:solidFill>
                                <a:ln w="12700">
                                  <a:solidFill>
                                    <a:srgbClr val="FFFFFF"/>
                                  </a:solidFill>
                                  <a:miter lim="800000"/>
                                  <a:headEnd/>
                                  <a:tailEnd/>
                                </a:ln>
                              </wps:spPr>
                              <wps:bodyPr rot="0" vert="horz" wrap="square" lIns="91440" tIns="45720" rIns="91440" bIns="45720" anchor="ctr" anchorCtr="0" upright="1">
                                <a:noAutofit/>
                              </wps:bodyPr>
                            </wps:wsp>
                            <wps:wsp>
                              <wps:cNvPr id="50" name="Rectangle 91"/>
                              <wps:cNvSpPr>
                                <a:spLocks noChangeArrowheads="1"/>
                              </wps:cNvSpPr>
                              <wps:spPr bwMode="auto">
                                <a:xfrm>
                                  <a:off x="21035" y="16069"/>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Freeform 92"/>
                              <wps:cNvSpPr>
                                <a:spLocks/>
                              </wps:cNvSpPr>
                              <wps:spPr bwMode="auto">
                                <a:xfrm>
                                  <a:off x="5487"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C000"/>
                                </a:solidFill>
                                <a:ln w="12700">
                                  <a:solidFill>
                                    <a:srgbClr val="FFFFFF"/>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A0FEF0" id="Group 68" o:spid="_x0000_s1058" style="position:absolute;left:0;text-align:left;margin-left:-54pt;margin-top:8.45pt;width:183.55pt;height:119.75pt;z-index:251664384;mso-width-relative:margin;mso-height-relative:margin" coordorigin=",-1116" coordsize="30485,2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">
                      <v:shape id="Freeform 84" o:spid="_x0000_s1059" style="position:absolute;left:13444;top:-1015;width:7591;height:9483;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" adj="-11796480,,5400" path="m423411,l846822,160240r,416256l423412,736736,1,576496,1,160240,423411,xe" fillcolor="#ffc000" strokecolor="white" strokeweight="1pt">
                        <v:stroke joinstyle="miter"/>
                        <v:formulas/>
                        <v:path arrowok="t" o:connecttype="custom" o:connectlocs="0,6103;1480,0;5325,0;6805,6103;5325,12207;1480,12207;0,6103" o:connectangles="0,0,0,0,0,0,0" textboxrect="0,0,846823,736736"/>
                        <v:textbox inset="12.94pt,5.0415mm,4.56497mm,5.04147mm">
                          <w:txbxContent>
                            <w:p w14:paraId="1F8D2BEB"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sidRPr="00C65A62">
                                <w:rPr>
                                  <w:rFonts w:ascii="Arial Narrow" w:hAnsi="Arial Narrow" w:cstheme="minorBidi"/>
                                  <w:b/>
                                  <w:bCs/>
                                  <w:color w:val="FFFFFF" w:themeColor="light1"/>
                                  <w:kern w:val="24"/>
                                  <w:sz w:val="26"/>
                                  <w:szCs w:val="26"/>
                                  <w:lang w:val="uz-Cyrl-UZ"/>
                                </w:rPr>
                                <w:t>M</w:t>
                              </w:r>
                              <w:r>
                                <w:rPr>
                                  <w:rFonts w:ascii="Arial Narrow" w:hAnsi="Arial Narrow" w:cstheme="minorBidi"/>
                                  <w:b/>
                                  <w:bCs/>
                                  <w:color w:val="FFFFFF" w:themeColor="light1"/>
                                  <w:kern w:val="24"/>
                                  <w:sz w:val="26"/>
                                  <w:szCs w:val="26"/>
                                  <w:lang w:val="uz-Cyrl-UZ"/>
                                </w:rPr>
                                <w:t>ED</w:t>
                              </w:r>
                            </w:p>
                            <w:p w14:paraId="05DA90F8"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(5</w:t>
                              </w:r>
                              <w:r w:rsidRPr="00C65A62">
                                <w:rPr>
                                  <w:rFonts w:ascii="Arial Narrow" w:hAnsi="Arial Narrow" w:cstheme="minorBidi"/>
                                  <w:b/>
                                  <w:bCs/>
                                  <w:color w:val="FFFFFF" w:themeColor="light1"/>
                                  <w:kern w:val="24"/>
                                  <w:sz w:val="26"/>
                                  <w:szCs w:val="26"/>
                                  <w:lang w:val="uz-Cyrl-UZ"/>
                                </w:rPr>
                                <w:t>)</w:t>
                              </w:r>
                            </w:p>
                          </w:txbxContent>
                        </v:textbox>
                      </v:shape>
                      <v:rect id="Rectangle 85" o:spid="_x0000_s1060" style="position:absolute;left:21035;top:1693;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v:shape id="Freeform 86" o:spid="_x0000_s1061" style="position:absolute;left:5487;top:-1116;width:7367;height:9584;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" adj="-11796480,,5400" path="m423411,l846822,160240r,416256l423412,736736,1,576496,1,160240,423411,xe" fillcolor="#ffc000" strokecolor="white" strokeweight="1pt">
                        <v:stroke joinstyle="miter"/>
                        <v:formulas/>
                        <v:path arrowok="t" o:connecttype="custom" o:connectlocs="0,6234;1394,0;5015,0;6409,6234;5015,12469;1394,12469;0,6234" o:connectangles="0,0,0,0,0,0,0" textboxrect="0,0,846823,736736"/>
                        <v:textbox inset="9.04pt,3.66567mm,3.18914mm,3.66564mm">
                          <w:txbxContent>
                            <w:p w14:paraId="483848DE"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sidRPr="00C65A62">
                                <w:rPr>
                                  <w:rFonts w:ascii="Arial Narrow" w:hAnsi="Arial Narrow" w:cstheme="minorBidi"/>
                                  <w:b/>
                                  <w:bCs/>
                                  <w:color w:val="FFFFFF" w:themeColor="light1"/>
                                  <w:kern w:val="24"/>
                                  <w:sz w:val="26"/>
                                  <w:szCs w:val="26"/>
                                  <w:lang w:val="uz-Cyrl-UZ"/>
                                </w:rPr>
                                <w:t>M</w:t>
                              </w:r>
                              <w:r>
                                <w:rPr>
                                  <w:rFonts w:ascii="Arial Narrow" w:hAnsi="Arial Narrow" w:cstheme="minorBidi"/>
                                  <w:b/>
                                  <w:bCs/>
                                  <w:color w:val="FFFFFF" w:themeColor="light1"/>
                                  <w:kern w:val="24"/>
                                  <w:sz w:val="26"/>
                                  <w:szCs w:val="26"/>
                                  <w:lang w:val="uz-Cyrl-UZ"/>
                                </w:rPr>
                                <w:t>ESPU</w:t>
                              </w:r>
                            </w:p>
                            <w:p w14:paraId="3250381A"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(6</w:t>
                              </w:r>
                              <w:r w:rsidRPr="00C65A62">
                                <w:rPr>
                                  <w:rFonts w:ascii="Arial Narrow" w:hAnsi="Arial Narrow" w:cstheme="minorBidi"/>
                                  <w:b/>
                                  <w:bCs/>
                                  <w:color w:val="FFFFFF" w:themeColor="light1"/>
                                  <w:kern w:val="24"/>
                                  <w:sz w:val="26"/>
                                  <w:szCs w:val="26"/>
                                  <w:lang w:val="uz-Cyrl-UZ"/>
                                </w:rPr>
                                <w:t>)</w:t>
                              </w:r>
                            </w:p>
                          </w:txbxContent>
                        </v:textbox>
                      </v:shape>
                      <v:shape id="Freeform 87" o:spid="_x0000_s1062" style="position:absolute;left:9450;top:7187;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" adj="-11796480,,5400" path="m423411,l846822,160240r,416256l423412,736736,1,576496,1,160240,423411,xe" fillcolor="#ffc000" strokecolor="white" strokeweight="1pt">
                        <v:stroke joinstyle="miter"/>
                        <v:formulas/>
                        <v:path arrowok="t" o:connecttype="custom" o:connectlocs="0,4867;1394,0;5015,0;6409,4867;5015,9734;1394,9734;0,4867" o:connectangles="0,0,0,0,0,0,0" textboxrect="0,0,846823,736736"/>
                        <v:textbox inset="12.94pt,5.0415mm,4.56497mm,5.04147mm">
                          <w:txbxContent>
                            <w:p w14:paraId="6E59C302" w14:textId="77777777" w:rsidR="006712E0" w:rsidRPr="00C65A62" w:rsidRDefault="006712E0" w:rsidP="00047EF8">
                              <w:pPr>
                                <w:pStyle w:val="NormalWeb"/>
                                <w:spacing w:before="0" w:beforeAutospacing="0" w:after="109" w:afterAutospacing="0" w:line="216" w:lineRule="auto"/>
                                <w:jc w:val="center"/>
                                <w:rPr>
                                  <w:rStyle w:val="Hyperlink"/>
                                  <w:rFonts w:ascii="Arial Narrow" w:hAnsi="Arial Narrow"/>
                                </w:rPr>
                              </w:pPr>
                              <w:r w:rsidRPr="00C65A62">
                                <w:rPr>
                                  <w:rFonts w:ascii="Arial Narrow" w:hAnsi="Arial Narrow" w:cstheme="minorBidi"/>
                                  <w:b/>
                                  <w:bCs/>
                                  <w:kern w:val="24"/>
                                  <w:sz w:val="26"/>
                                  <w:szCs w:val="26"/>
                                  <w:lang w:val="uz-Cyrl-UZ"/>
                                </w:rPr>
                                <w:fldChar w:fldCharType="begin"/>
                              </w:r>
                              <w:r w:rsidRPr="00C65A62">
                                <w:rPr>
                                  <w:rFonts w:ascii="Arial Narrow" w:hAnsi="Arial Narrow" w:cstheme="minorBidi"/>
                                  <w:b/>
                                  <w:bCs/>
                                  <w:kern w:val="24"/>
                                  <w:sz w:val="26"/>
                                  <w:szCs w:val="26"/>
                                  <w:lang w:val="uz-Cyrl-UZ"/>
                                </w:rPr>
                                <w:instrText xml:space="preserve"> HYPERLINK  \l "ERŽS" \o "Sektor ekonomskog razvoja i životne sredine " </w:instrText>
                              </w:r>
                              <w:r w:rsidRPr="00C65A62">
                                <w:rPr>
                                  <w:rFonts w:ascii="Arial Narrow" w:hAnsi="Arial Narrow" w:cstheme="minorBidi"/>
                                  <w:b/>
                                  <w:bCs/>
                                  <w:kern w:val="24"/>
                                  <w:sz w:val="26"/>
                                  <w:szCs w:val="26"/>
                                  <w:lang w:val="uz-Cyrl-UZ"/>
                                </w:rPr>
                                <w:fldChar w:fldCharType="separate"/>
                              </w:r>
                              <w:r w:rsidRPr="00C65A62">
                                <w:rPr>
                                  <w:rStyle w:val="Hyperlink"/>
                                  <w:rFonts w:ascii="Arial Narrow" w:hAnsi="Arial Narrow" w:cstheme="minorBidi"/>
                                  <w:bCs/>
                                  <w:kern w:val="24"/>
                                  <w:sz w:val="26"/>
                                  <w:szCs w:val="26"/>
                                  <w:lang w:val="uz-Cyrl-UZ"/>
                                </w:rPr>
                                <w:t>E</w:t>
                              </w:r>
                              <w:r>
                                <w:rPr>
                                  <w:rStyle w:val="Hyperlink"/>
                                  <w:rFonts w:ascii="Arial Narrow" w:hAnsi="Arial Narrow" w:cstheme="minorBidi"/>
                                  <w:bCs/>
                                  <w:kern w:val="24"/>
                                  <w:sz w:val="26"/>
                                  <w:szCs w:val="26"/>
                                  <w:lang w:val="uz-Cyrl-UZ"/>
                                </w:rPr>
                                <w:t>DE</w:t>
                              </w:r>
                            </w:p>
                            <w:p w14:paraId="049B1D1D"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Style w:val="Hyperlink"/>
                                  <w:rFonts w:ascii="Arial Narrow" w:hAnsi="Arial Narrow" w:cstheme="minorBidi"/>
                                  <w:bCs/>
                                  <w:kern w:val="24"/>
                                  <w:sz w:val="26"/>
                                  <w:szCs w:val="26"/>
                                  <w:lang w:val="uz-Cyrl-UZ"/>
                                </w:rPr>
                                <w:t>(13</w:t>
                              </w:r>
                              <w:r w:rsidRPr="00C65A62">
                                <w:rPr>
                                  <w:rStyle w:val="Hyperlink"/>
                                  <w:rFonts w:ascii="Arial Narrow" w:hAnsi="Arial Narrow" w:cstheme="minorBidi"/>
                                  <w:bCs/>
                                  <w:kern w:val="24"/>
                                  <w:sz w:val="26"/>
                                  <w:szCs w:val="26"/>
                                  <w:lang w:val="uz-Cyrl-UZ"/>
                                </w:rPr>
                                <w:t>)</w:t>
                              </w:r>
                              <w:r w:rsidRPr="00C65A62">
                                <w:rPr>
                                  <w:rFonts w:ascii="Arial Narrow" w:hAnsi="Arial Narrow" w:cstheme="minorBidi"/>
                                  <w:b/>
                                  <w:bCs/>
                                  <w:kern w:val="24"/>
                                  <w:sz w:val="26"/>
                                  <w:szCs w:val="26"/>
                                  <w:lang w:val="uz-Cyrl-UZ"/>
                                </w:rPr>
                                <w:fldChar w:fldCharType="end"/>
                              </w:r>
                            </w:p>
                          </w:txbxContent>
                        </v:textbox>
                      </v:shape>
                      <v:rect id="Rectangle 88" o:spid="_x0000_s1063" style="position:absolute;top:8881;width:9145;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B2xAAAANsAAAAPAAAAZHJzL2Rvd25yZXYueG1sRI9Ba8JA&#10;FITvBf/D8gQvohul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JNWQHbEAAAA2wAAAA8A&#10;AAAAAAAAAAAAAAAABwIAAGRycy9kb3ducmV2LnhtbFBLBQYAAAAAAwADALcAAAD4AgAAAAA=&#10;" filled="f" stroked="f"/>
                      <v:shape id="Freeform 89" o:spid="_x0000_s1064" style="position:absolute;left:17407;top:7187;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" adj="-11796480,,5400" path="m423411,l846822,160240r,416256l423412,736736,1,576496,1,160240,423411,xe" fillcolor="#ffc000" strokecolor="white" strokeweight="1pt">
                        <v:stroke joinstyle="miter"/>
                        <v:formulas/>
                        <v:path arrowok="t" o:connecttype="custom" o:connectlocs="0,4867;1394,0;5015,0;6409,4867;5015,9734;1394,9734;0,4867" o:connectangles="0,0,0,0,0,0,0" textboxrect="0,0,846823,736736"/>
                        <v:textbox inset="9.04pt,3.66567mm,3.18914mm,3.66564mm">
                          <w:txbxContent>
                            <w:p w14:paraId="3EB4D4B1"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MAFWM</w:t>
                              </w:r>
                            </w:p>
                            <w:p w14:paraId="3A505CCC" w14:textId="77777777" w:rsidR="006712E0" w:rsidRPr="00C65A62"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lang w:val="uz-Cyrl-UZ"/>
                                </w:rPr>
                                <w:t>(2</w:t>
                              </w:r>
                              <w:r w:rsidRPr="00C65A62">
                                <w:rPr>
                                  <w:rFonts w:ascii="Arial Narrow" w:hAnsi="Arial Narrow" w:cstheme="minorBidi"/>
                                  <w:b/>
                                  <w:bCs/>
                                  <w:color w:val="FFFFFF" w:themeColor="light1"/>
                                  <w:kern w:val="24"/>
                                  <w:sz w:val="26"/>
                                  <w:szCs w:val="26"/>
                                  <w:lang w:val="uz-Cyrl-UZ"/>
                                </w:rPr>
                                <w:t>)</w:t>
                              </w:r>
                            </w:p>
                          </w:txbxContent>
                        </v:textbox>
                      </v:shape>
                      <v:shape id="Freeform 90" o:spid="_x0000_s1065" style="position:absolute;left:13444;top:14375;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" path="m423411,l846822,160240r,416256l423412,736736,1,576496,1,160240,423411,xe" fillcolor="#ffc000" strokecolor="white" strokeweight="1pt">
                        <v:stroke joinstyle="miter"/>
                        <v:path arrowok="t" o:connecttype="custom" o:connectlocs="0,4867;1394,0;5015,0;6409,4867;5015,9733;1394,9733;0,4867" o:connectangles="0,0,0,0,0,0,0"/>
                      </v:shape>
                      <v:rect id="Rectangle 91" o:spid="_x0000_s1066" style="position:absolute;left:21035;top:16069;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shape id="Freeform 92" o:spid="_x0000_s1067" style="position:absolute;left:5487;top:14375;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" path="m423411,l846822,160240r,416256l423412,736736,1,576496,1,160240,423411,xe" fillcolor="#ffc000" strokecolor="white" strokeweight="1pt">
                        <v:stroke joinstyle="miter"/>
                        <v:path arrowok="t" o:connecttype="custom" o:connectlocs="0,4867;1394,0;5015,0;6409,4867;5015,9733;1394,9733;0,4867" o:connectangles="0,0,0,0,0,0,0"/>
                      </v:shape>
                    </v:group>
                  </w:pict>
                </mc:Fallback>
              </mc:AlternateContent>
            </w:r>
          </w:p>
        </w:tc>
        <w:tc>
          <w:tcPr>
            <w:tcW w:w="3786" w:type="dxa"/>
            <w:vAlign w:val="center"/>
          </w:tcPr>
          <w:p w14:paraId="5D7F2B97" w14:textId="1312856C" w:rsidR="00047EF8" w:rsidRPr="00F563CD" w:rsidRDefault="007840BE" w:rsidP="00A239C5">
            <w:pPr>
              <w:jc w:val="right"/>
              <w:rPr>
                <w:rFonts w:asciiTheme="minorHAnsi" w:hAnsiTheme="minorHAnsi"/>
              </w:rPr>
            </w:pPr>
            <w:r w:rsidRPr="00F563CD">
              <w:rPr>
                <w:rFonts w:asciiTheme="minorHAnsi" w:hAnsiTheme="minorHAnsi"/>
                <w:noProof/>
                <w:lang w:val="en-US" w:eastAsia="en-US"/>
              </w:rPr>
              <mc:AlternateContent>
                <mc:Choice Requires="wpg">
                  <w:drawing>
                    <wp:anchor distT="0" distB="0" distL="114300" distR="114300" simplePos="0" relativeHeight="251673600" behindDoc="0" locked="0" layoutInCell="1" allowOverlap="1" wp14:anchorId="7D61068A" wp14:editId="1DB3BAD0">
                      <wp:simplePos x="0" y="0"/>
                      <wp:positionH relativeFrom="column">
                        <wp:posOffset>329565</wp:posOffset>
                      </wp:positionH>
                      <wp:positionV relativeFrom="paragraph">
                        <wp:posOffset>61595</wp:posOffset>
                      </wp:positionV>
                      <wp:extent cx="1704975" cy="1400175"/>
                      <wp:effectExtent l="1905" t="22225" r="0" b="15875"/>
                      <wp:wrapNone/>
                      <wp:docPr id="3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400175"/>
                                <a:chOff x="0" y="-652"/>
                                <a:chExt cx="30485" cy="23496"/>
                              </a:xfrm>
                            </wpg:grpSpPr>
                            <wps:wsp>
                              <wps:cNvPr id="33" name="Freeform 23499"/>
                              <wps:cNvSpPr>
                                <a:spLocks/>
                              </wps:cNvSpPr>
                              <wps:spPr bwMode="auto">
                                <a:xfrm>
                                  <a:off x="13444" y="-652"/>
                                  <a:ext cx="7367" cy="9120"/>
                                </a:xfrm>
                                <a:custGeom>
                                  <a:avLst/>
                                  <a:gdLst>
                                    <a:gd name="T0" fmla="*/ 0 w 846823"/>
                                    <a:gd name="T1" fmla="*/ 456047 h 736736"/>
                                    <a:gd name="T2" fmla="*/ 160240 w 846823"/>
                                    <a:gd name="T3" fmla="*/ 0 h 736736"/>
                                    <a:gd name="T4" fmla="*/ 576497 w 846823"/>
                                    <a:gd name="T5" fmla="*/ 0 h 736736"/>
                                    <a:gd name="T6" fmla="*/ 736737 w 846823"/>
                                    <a:gd name="T7" fmla="*/ 456047 h 736736"/>
                                    <a:gd name="T8" fmla="*/ 576497 w 846823"/>
                                    <a:gd name="T9" fmla="*/ 912094 h 736736"/>
                                    <a:gd name="T10" fmla="*/ 160240 w 846823"/>
                                    <a:gd name="T11" fmla="*/ 912094 h 736736"/>
                                    <a:gd name="T12" fmla="*/ 0 w 846823"/>
                                    <a:gd name="T13" fmla="*/ 456047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7C80"/>
                                </a:solidFill>
                                <a:ln w="12700">
                                  <a:solidFill>
                                    <a:srgbClr val="FFFFFF"/>
                                  </a:solidFill>
                                  <a:miter lim="800000"/>
                                  <a:headEnd/>
                                  <a:tailEnd/>
                                </a:ln>
                              </wps:spPr>
                              <wps:txbx>
                                <w:txbxContent>
                                  <w:p w14:paraId="2CC937DB"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p>
                                </w:txbxContent>
                              </wps:txbx>
                              <wps:bodyPr rot="0" vert="horz" wrap="square" lIns="164338" tIns="181494" rIns="164339" bIns="181493" anchor="ctr" anchorCtr="0" upright="1">
                                <a:noAutofit/>
                              </wps:bodyPr>
                            </wps:wsp>
                            <wps:wsp>
                              <wps:cNvPr id="34" name="Rectangle 23500"/>
                              <wps:cNvSpPr>
                                <a:spLocks noChangeArrowheads="1"/>
                              </wps:cNvSpPr>
                              <wps:spPr bwMode="auto">
                                <a:xfrm>
                                  <a:off x="21035" y="1693"/>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23501"/>
                              <wps:cNvSpPr>
                                <a:spLocks/>
                              </wps:cNvSpPr>
                              <wps:spPr bwMode="auto">
                                <a:xfrm>
                                  <a:off x="5487" y="-543"/>
                                  <a:ext cx="7367" cy="9011"/>
                                </a:xfrm>
                                <a:custGeom>
                                  <a:avLst/>
                                  <a:gdLst>
                                    <a:gd name="T0" fmla="*/ 0 w 846823"/>
                                    <a:gd name="T1" fmla="*/ 450608 h 736736"/>
                                    <a:gd name="T2" fmla="*/ 160240 w 846823"/>
                                    <a:gd name="T3" fmla="*/ 0 h 736736"/>
                                    <a:gd name="T4" fmla="*/ 576497 w 846823"/>
                                    <a:gd name="T5" fmla="*/ 0 h 736736"/>
                                    <a:gd name="T6" fmla="*/ 736737 w 846823"/>
                                    <a:gd name="T7" fmla="*/ 450608 h 736736"/>
                                    <a:gd name="T8" fmla="*/ 576497 w 846823"/>
                                    <a:gd name="T9" fmla="*/ 901215 h 736736"/>
                                    <a:gd name="T10" fmla="*/ 160240 w 846823"/>
                                    <a:gd name="T11" fmla="*/ 901215 h 736736"/>
                                    <a:gd name="T12" fmla="*/ 0 w 846823"/>
                                    <a:gd name="T13" fmla="*/ 450608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7C80"/>
                                </a:solidFill>
                                <a:ln w="12700">
                                  <a:solidFill>
                                    <a:srgbClr val="FFFFFF"/>
                                  </a:solidFill>
                                  <a:miter lim="800000"/>
                                  <a:headEnd/>
                                  <a:tailEnd/>
                                </a:ln>
                              </wps:spPr>
                              <wps:txbx>
                                <w:txbxContent>
                                  <w:p w14:paraId="012E19EE" w14:textId="77777777" w:rsidR="006712E0" w:rsidRPr="0006691B" w:rsidRDefault="006712E0" w:rsidP="00047EF8">
                                    <w:pPr>
                                      <w:pStyle w:val="NormalWeb"/>
                                      <w:spacing w:before="0" w:beforeAutospacing="0" w:after="0" w:afterAutospacing="0" w:line="216" w:lineRule="auto"/>
                                      <w:jc w:val="center"/>
                                      <w:rPr>
                                        <w:rFonts w:ascii="Arial Narrow" w:hAnsi="Arial Narrow"/>
                                      </w:rPr>
                                    </w:pPr>
                                    <w:r>
                                      <w:rPr>
                                        <w:rFonts w:ascii="Arial Narrow" w:hAnsi="Arial Narrow" w:cstheme="minorBidi"/>
                                        <w:b/>
                                        <w:bCs/>
                                        <w:color w:val="FFFFFF" w:themeColor="light1"/>
                                        <w:kern w:val="24"/>
                                        <w:sz w:val="26"/>
                                        <w:szCs w:val="26"/>
                                      </w:rPr>
                                      <w:t>MESCS</w:t>
                                    </w:r>
                                  </w:p>
                                  <w:p w14:paraId="60A57D80" w14:textId="77777777" w:rsidR="006712E0" w:rsidRPr="0006691B" w:rsidRDefault="006712E0" w:rsidP="00047EF8">
                                    <w:pPr>
                                      <w:pStyle w:val="NormalWeb"/>
                                      <w:spacing w:before="0" w:beforeAutospacing="0" w:after="0" w:afterAutospacing="0" w:line="216" w:lineRule="auto"/>
                                      <w:jc w:val="center"/>
                                      <w:rPr>
                                        <w:rFonts w:ascii="Arial Narrow" w:hAnsi="Arial Narrow"/>
                                      </w:rPr>
                                    </w:pPr>
                                    <w:r>
                                      <w:rPr>
                                        <w:rFonts w:ascii="Arial Narrow" w:hAnsi="Arial Narrow" w:cstheme="minorBidi"/>
                                        <w:b/>
                                        <w:bCs/>
                                        <w:color w:val="FFFFFF" w:themeColor="light1"/>
                                        <w:kern w:val="24"/>
                                        <w:sz w:val="26"/>
                                        <w:szCs w:val="26"/>
                                      </w:rPr>
                                      <w:t>(8</w:t>
                                    </w:r>
                                    <w:r w:rsidRPr="0006691B">
                                      <w:rPr>
                                        <w:rFonts w:ascii="Arial Narrow" w:hAnsi="Arial Narrow" w:cstheme="minorBidi"/>
                                        <w:b/>
                                        <w:bCs/>
                                        <w:color w:val="FFFFFF" w:themeColor="light1"/>
                                        <w:kern w:val="24"/>
                                        <w:sz w:val="26"/>
                                        <w:szCs w:val="26"/>
                                      </w:rPr>
                                      <w:t>)</w:t>
                                    </w:r>
                                  </w:p>
                                </w:txbxContent>
                              </wps:txbx>
                              <wps:bodyPr rot="0" vert="horz" wrap="square" lIns="114808" tIns="131964" rIns="114809" bIns="131963" anchor="ctr" anchorCtr="0" upright="1">
                                <a:noAutofit/>
                              </wps:bodyPr>
                            </wps:wsp>
                            <wps:wsp>
                              <wps:cNvPr id="36" name="Freeform 23502"/>
                              <wps:cNvSpPr>
                                <a:spLocks/>
                              </wps:cNvSpPr>
                              <wps:spPr bwMode="auto">
                                <a:xfrm>
                                  <a:off x="9450"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7C80"/>
                                </a:solidFill>
                                <a:ln w="12700">
                                  <a:solidFill>
                                    <a:srgbClr val="FFFFFF"/>
                                  </a:solidFill>
                                  <a:miter lim="800000"/>
                                  <a:headEnd/>
                                  <a:tailEnd/>
                                </a:ln>
                              </wps:spPr>
                              <wps:txbx>
                                <w:txbxContent>
                                  <w:p w14:paraId="0B6F595D" w14:textId="77777777" w:rsidR="006712E0" w:rsidRPr="00CC1185" w:rsidRDefault="006712E0" w:rsidP="00047EF8">
                                    <w:pPr>
                                      <w:pStyle w:val="NormalWeb"/>
                                      <w:spacing w:before="0" w:beforeAutospacing="0" w:after="109" w:afterAutospacing="0" w:line="216" w:lineRule="auto"/>
                                      <w:jc w:val="center"/>
                                      <w:rPr>
                                        <w:rStyle w:val="Hyperlink"/>
                                        <w:rFonts w:ascii="Arial Narrow" w:hAnsi="Arial Narrow"/>
                                      </w:rPr>
                                    </w:pPr>
                                    <w:r w:rsidRPr="00CC1185">
                                      <w:rPr>
                                        <w:rFonts w:ascii="Arial Narrow" w:hAnsi="Arial Narrow" w:cstheme="minorBidi"/>
                                        <w:b/>
                                        <w:bCs/>
                                        <w:kern w:val="24"/>
                                        <w:sz w:val="26"/>
                                        <w:szCs w:val="26"/>
                                      </w:rPr>
                                      <w:fldChar w:fldCharType="begin"/>
                                    </w:r>
                                    <w:r w:rsidRPr="00CC1185">
                                      <w:rPr>
                                        <w:rFonts w:ascii="Arial Narrow" w:hAnsi="Arial Narrow" w:cstheme="minorBidi"/>
                                        <w:b/>
                                        <w:bCs/>
                                        <w:kern w:val="24"/>
                                        <w:sz w:val="26"/>
                                        <w:szCs w:val="26"/>
                                      </w:rPr>
                                      <w:instrText xml:space="preserve"> HYPERLINK  \l "NOK" \o "Sektor nauke, obrazovanja i kulture" </w:instrText>
                                    </w:r>
                                    <w:r w:rsidRPr="00CC1185">
                                      <w:rPr>
                                        <w:rFonts w:ascii="Arial Narrow" w:hAnsi="Arial Narrow" w:cstheme="minorBidi"/>
                                        <w:b/>
                                        <w:bCs/>
                                        <w:kern w:val="24"/>
                                        <w:sz w:val="26"/>
                                        <w:szCs w:val="26"/>
                                      </w:rPr>
                                      <w:fldChar w:fldCharType="separate"/>
                                    </w:r>
                                    <w:r>
                                      <w:rPr>
                                        <w:rStyle w:val="Hyperlink"/>
                                        <w:rFonts w:ascii="Arial Narrow" w:hAnsi="Arial Narrow" w:cstheme="minorBidi"/>
                                        <w:bCs/>
                                        <w:kern w:val="24"/>
                                        <w:sz w:val="26"/>
                                        <w:szCs w:val="26"/>
                                      </w:rPr>
                                      <w:t>SEC</w:t>
                                    </w:r>
                                  </w:p>
                                  <w:p w14:paraId="49C3F317" w14:textId="77777777" w:rsidR="006712E0" w:rsidRPr="00CC1185" w:rsidRDefault="006712E0" w:rsidP="00047EF8">
                                    <w:pPr>
                                      <w:pStyle w:val="NormalWeb"/>
                                      <w:spacing w:before="0" w:beforeAutospacing="0" w:after="109" w:afterAutospacing="0" w:line="216" w:lineRule="auto"/>
                                      <w:jc w:val="center"/>
                                      <w:rPr>
                                        <w:rFonts w:ascii="Arial Narrow" w:hAnsi="Arial Narrow"/>
                                      </w:rPr>
                                    </w:pPr>
                                    <w:r>
                                      <w:rPr>
                                        <w:rStyle w:val="Hyperlink"/>
                                        <w:rFonts w:ascii="Arial Narrow" w:hAnsi="Arial Narrow" w:cstheme="minorBidi"/>
                                        <w:bCs/>
                                        <w:kern w:val="24"/>
                                        <w:sz w:val="26"/>
                                        <w:szCs w:val="26"/>
                                      </w:rPr>
                                      <w:t>(13</w:t>
                                    </w:r>
                                    <w:r w:rsidRPr="00CC1185">
                                      <w:rPr>
                                        <w:rStyle w:val="Hyperlink"/>
                                        <w:rFonts w:ascii="Arial Narrow" w:hAnsi="Arial Narrow" w:cstheme="minorBidi"/>
                                        <w:bCs/>
                                        <w:kern w:val="24"/>
                                        <w:sz w:val="26"/>
                                        <w:szCs w:val="26"/>
                                      </w:rPr>
                                      <w:t>)</w:t>
                                    </w:r>
                                    <w:r w:rsidRPr="00CC1185">
                                      <w:rPr>
                                        <w:rFonts w:ascii="Arial Narrow" w:hAnsi="Arial Narrow" w:cstheme="minorBidi"/>
                                        <w:b/>
                                        <w:bCs/>
                                        <w:kern w:val="24"/>
                                        <w:sz w:val="26"/>
                                        <w:szCs w:val="26"/>
                                      </w:rPr>
                                      <w:fldChar w:fldCharType="end"/>
                                    </w:r>
                                  </w:p>
                                </w:txbxContent>
                              </wps:txbx>
                              <wps:bodyPr rot="0" vert="horz" wrap="square" lIns="164338" tIns="181494" rIns="164339" bIns="181493" anchor="ctr" anchorCtr="0" upright="1">
                                <a:noAutofit/>
                              </wps:bodyPr>
                            </wps:wsp>
                            <wps:wsp>
                              <wps:cNvPr id="37" name="Rectangle 23503"/>
                              <wps:cNvSpPr>
                                <a:spLocks noChangeArrowheads="1"/>
                              </wps:cNvSpPr>
                              <wps:spPr bwMode="auto">
                                <a:xfrm>
                                  <a:off x="0" y="8881"/>
                                  <a:ext cx="9145"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3504"/>
                              <wps:cNvSpPr>
                                <a:spLocks/>
                              </wps:cNvSpPr>
                              <wps:spPr bwMode="auto">
                                <a:xfrm>
                                  <a:off x="17407"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7C80"/>
                                </a:solidFill>
                                <a:ln w="12700">
                                  <a:solidFill>
                                    <a:srgbClr val="FFFFFF"/>
                                  </a:solidFill>
                                  <a:miter lim="800000"/>
                                  <a:headEnd/>
                                  <a:tailEnd/>
                                </a:ln>
                              </wps:spPr>
                              <wps:txbx>
                                <w:txbxContent>
                                  <w:p w14:paraId="3EFE6606"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p>
                                </w:txbxContent>
                              </wps:txbx>
                              <wps:bodyPr rot="0" vert="horz" wrap="square" lIns="114808" tIns="131964" rIns="114809" bIns="131963" anchor="ctr" anchorCtr="0" upright="1">
                                <a:noAutofit/>
                              </wps:bodyPr>
                            </wps:wsp>
                            <wps:wsp>
                              <wps:cNvPr id="39" name="Freeform 23505"/>
                              <wps:cNvSpPr>
                                <a:spLocks/>
                              </wps:cNvSpPr>
                              <wps:spPr bwMode="auto">
                                <a:xfrm>
                                  <a:off x="13444"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7C80"/>
                                </a:solidFill>
                                <a:ln w="12700">
                                  <a:solidFill>
                                    <a:srgbClr val="FFFFFF"/>
                                  </a:solidFill>
                                  <a:miter lim="800000"/>
                                  <a:headEnd/>
                                  <a:tailEnd/>
                                </a:ln>
                              </wps:spPr>
                              <wps:txbx>
                                <w:txbxContent>
                                  <w:p w14:paraId="5ABAE5EF"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p>
                                </w:txbxContent>
                              </wps:txbx>
                              <wps:bodyPr rot="0" vert="horz" wrap="square" lIns="164338" tIns="181494" rIns="164339" bIns="181493" anchor="ctr" anchorCtr="0" upright="1">
                                <a:noAutofit/>
                              </wps:bodyPr>
                            </wps:wsp>
                            <wps:wsp>
                              <wps:cNvPr id="40" name="Rectangle 23506"/>
                              <wps:cNvSpPr>
                                <a:spLocks noChangeArrowheads="1"/>
                              </wps:cNvSpPr>
                              <wps:spPr bwMode="auto">
                                <a:xfrm>
                                  <a:off x="21035" y="16069"/>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23507"/>
                              <wps:cNvSpPr>
                                <a:spLocks/>
                              </wps:cNvSpPr>
                              <wps:spPr bwMode="auto">
                                <a:xfrm>
                                  <a:off x="5487"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F7C80"/>
                                </a:solidFill>
                                <a:ln w="12700">
                                  <a:solidFill>
                                    <a:srgbClr val="FFFFFF"/>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61068A" id="Group 79" o:spid="_x0000_s1068" style="position:absolute;left:0;text-align:left;margin-left:25.95pt;margin-top:4.85pt;width:134.25pt;height:110.25pt;z-index:251673600;mso-width-relative:margin;mso-height-relative:margin" coordorigin=",-652" coordsize="30485,2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">
                      <v:shape id="Freeform 23499" o:spid="_x0000_s1069" style="position:absolute;left:13444;top:-652;width:7367;height:9120;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" adj="-11796480,,5400" path="m423411,l846822,160240r,416256l423412,736736,1,576496,1,160240,423411,xe" fillcolor="#ff7c80" strokecolor="white" strokeweight="1pt">
                        <v:stroke joinstyle="miter"/>
                        <v:formulas/>
                        <v:path arrowok="t" o:connecttype="custom" o:connectlocs="0,5645;1394,0;5015,0;6409,5645;5015,11291;1394,11291;0,5645" o:connectangles="0,0,0,0,0,0,0" textboxrect="0,0,846823,736736"/>
                        <v:textbox inset="12.94pt,5.0415mm,4.56497mm,5.04147mm">
                          <w:txbxContent>
                            <w:p w14:paraId="2CC937DB"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p>
                          </w:txbxContent>
                        </v:textbox>
                      </v:shape>
                      <v:rect id="Rectangle 23500" o:spid="_x0000_s1070" style="position:absolute;left:21035;top:1693;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shape id="Freeform 23501" o:spid="_x0000_s1071" style="position:absolute;left:5487;top:-543;width:7367;height:9011;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" adj="-11796480,,5400" path="m423411,l846822,160240r,416256l423412,736736,1,576496,1,160240,423411,xe" fillcolor="#ff7c80" strokecolor="white" strokeweight="1pt">
                        <v:stroke joinstyle="miter"/>
                        <v:formulas/>
                        <v:path arrowok="t" o:connecttype="custom" o:connectlocs="0,5511;1394,0;5015,0;6409,5511;5015,11023;1394,11023;0,5511" o:connectangles="0,0,0,0,0,0,0" textboxrect="0,0,846823,736736"/>
                        <v:textbox inset="9.04pt,3.66567mm,3.18914mm,3.66564mm">
                          <w:txbxContent>
                            <w:p w14:paraId="012E19EE" w14:textId="77777777" w:rsidR="006712E0" w:rsidRPr="0006691B" w:rsidRDefault="006712E0" w:rsidP="00047EF8">
                              <w:pPr>
                                <w:pStyle w:val="NormalWeb"/>
                                <w:spacing w:before="0" w:beforeAutospacing="0" w:after="0" w:afterAutospacing="0" w:line="216" w:lineRule="auto"/>
                                <w:jc w:val="center"/>
                                <w:rPr>
                                  <w:rFonts w:ascii="Arial Narrow" w:hAnsi="Arial Narrow"/>
                                </w:rPr>
                              </w:pPr>
                              <w:r>
                                <w:rPr>
                                  <w:rFonts w:ascii="Arial Narrow" w:hAnsi="Arial Narrow" w:cstheme="minorBidi"/>
                                  <w:b/>
                                  <w:bCs/>
                                  <w:color w:val="FFFFFF" w:themeColor="light1"/>
                                  <w:kern w:val="24"/>
                                  <w:sz w:val="26"/>
                                  <w:szCs w:val="26"/>
                                </w:rPr>
                                <w:t>MESCS</w:t>
                              </w:r>
                            </w:p>
                            <w:p w14:paraId="60A57D80" w14:textId="77777777" w:rsidR="006712E0" w:rsidRPr="0006691B" w:rsidRDefault="006712E0" w:rsidP="00047EF8">
                              <w:pPr>
                                <w:pStyle w:val="NormalWeb"/>
                                <w:spacing w:before="0" w:beforeAutospacing="0" w:after="0" w:afterAutospacing="0" w:line="216" w:lineRule="auto"/>
                                <w:jc w:val="center"/>
                                <w:rPr>
                                  <w:rFonts w:ascii="Arial Narrow" w:hAnsi="Arial Narrow"/>
                                </w:rPr>
                              </w:pPr>
                              <w:r>
                                <w:rPr>
                                  <w:rFonts w:ascii="Arial Narrow" w:hAnsi="Arial Narrow" w:cstheme="minorBidi"/>
                                  <w:b/>
                                  <w:bCs/>
                                  <w:color w:val="FFFFFF" w:themeColor="light1"/>
                                  <w:kern w:val="24"/>
                                  <w:sz w:val="26"/>
                                  <w:szCs w:val="26"/>
                                </w:rPr>
                                <w:t>(8</w:t>
                              </w:r>
                              <w:r w:rsidRPr="0006691B">
                                <w:rPr>
                                  <w:rFonts w:ascii="Arial Narrow" w:hAnsi="Arial Narrow" w:cstheme="minorBidi"/>
                                  <w:b/>
                                  <w:bCs/>
                                  <w:color w:val="FFFFFF" w:themeColor="light1"/>
                                  <w:kern w:val="24"/>
                                  <w:sz w:val="26"/>
                                  <w:szCs w:val="26"/>
                                </w:rPr>
                                <w:t>)</w:t>
                              </w:r>
                            </w:p>
                          </w:txbxContent>
                        </v:textbox>
                      </v:shape>
                      <v:shape id="Freeform 23502" o:spid="_x0000_s1072" style="position:absolute;left:9450;top:7187;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" adj="-11796480,,5400" path="m423411,l846822,160240r,416256l423412,736736,1,576496,1,160240,423411,xe" fillcolor="#ff7c80" strokecolor="white" strokeweight="1pt">
                        <v:stroke joinstyle="miter"/>
                        <v:formulas/>
                        <v:path arrowok="t" o:connecttype="custom" o:connectlocs="0,4867;1394,0;5015,0;6409,4867;5015,9734;1394,9734;0,4867" o:connectangles="0,0,0,0,0,0,0" textboxrect="0,0,846823,736736"/>
                        <v:textbox inset="12.94pt,5.0415mm,4.56497mm,5.04147mm">
                          <w:txbxContent>
                            <w:p w14:paraId="0B6F595D" w14:textId="77777777" w:rsidR="006712E0" w:rsidRPr="00CC1185" w:rsidRDefault="006712E0" w:rsidP="00047EF8">
                              <w:pPr>
                                <w:pStyle w:val="NormalWeb"/>
                                <w:spacing w:before="0" w:beforeAutospacing="0" w:after="109" w:afterAutospacing="0" w:line="216" w:lineRule="auto"/>
                                <w:jc w:val="center"/>
                                <w:rPr>
                                  <w:rStyle w:val="Hyperlink"/>
                                  <w:rFonts w:ascii="Arial Narrow" w:hAnsi="Arial Narrow"/>
                                </w:rPr>
                              </w:pPr>
                              <w:r w:rsidRPr="00CC1185">
                                <w:rPr>
                                  <w:rFonts w:ascii="Arial Narrow" w:hAnsi="Arial Narrow" w:cstheme="minorBidi"/>
                                  <w:b/>
                                  <w:bCs/>
                                  <w:kern w:val="24"/>
                                  <w:sz w:val="26"/>
                                  <w:szCs w:val="26"/>
                                </w:rPr>
                                <w:fldChar w:fldCharType="begin"/>
                              </w:r>
                              <w:r w:rsidRPr="00CC1185">
                                <w:rPr>
                                  <w:rFonts w:ascii="Arial Narrow" w:hAnsi="Arial Narrow" w:cstheme="minorBidi"/>
                                  <w:b/>
                                  <w:bCs/>
                                  <w:kern w:val="24"/>
                                  <w:sz w:val="26"/>
                                  <w:szCs w:val="26"/>
                                </w:rPr>
                                <w:instrText xml:space="preserve"> HYPERLINK  \l "NOK" \o "Sektor nauke, obrazovanja i kulture" </w:instrText>
                              </w:r>
                              <w:r w:rsidRPr="00CC1185">
                                <w:rPr>
                                  <w:rFonts w:ascii="Arial Narrow" w:hAnsi="Arial Narrow" w:cstheme="minorBidi"/>
                                  <w:b/>
                                  <w:bCs/>
                                  <w:kern w:val="24"/>
                                  <w:sz w:val="26"/>
                                  <w:szCs w:val="26"/>
                                </w:rPr>
                                <w:fldChar w:fldCharType="separate"/>
                              </w:r>
                              <w:r>
                                <w:rPr>
                                  <w:rStyle w:val="Hyperlink"/>
                                  <w:rFonts w:ascii="Arial Narrow" w:hAnsi="Arial Narrow" w:cstheme="minorBidi"/>
                                  <w:bCs/>
                                  <w:kern w:val="24"/>
                                  <w:sz w:val="26"/>
                                  <w:szCs w:val="26"/>
                                </w:rPr>
                                <w:t>SEC</w:t>
                              </w:r>
                            </w:p>
                            <w:p w14:paraId="49C3F317" w14:textId="77777777" w:rsidR="006712E0" w:rsidRPr="00CC1185" w:rsidRDefault="006712E0" w:rsidP="00047EF8">
                              <w:pPr>
                                <w:pStyle w:val="NormalWeb"/>
                                <w:spacing w:before="0" w:beforeAutospacing="0" w:after="109" w:afterAutospacing="0" w:line="216" w:lineRule="auto"/>
                                <w:jc w:val="center"/>
                                <w:rPr>
                                  <w:rFonts w:ascii="Arial Narrow" w:hAnsi="Arial Narrow"/>
                                </w:rPr>
                              </w:pPr>
                              <w:r>
                                <w:rPr>
                                  <w:rStyle w:val="Hyperlink"/>
                                  <w:rFonts w:ascii="Arial Narrow" w:hAnsi="Arial Narrow" w:cstheme="minorBidi"/>
                                  <w:bCs/>
                                  <w:kern w:val="24"/>
                                  <w:sz w:val="26"/>
                                  <w:szCs w:val="26"/>
                                </w:rPr>
                                <w:t>(13</w:t>
                              </w:r>
                              <w:r w:rsidRPr="00CC1185">
                                <w:rPr>
                                  <w:rStyle w:val="Hyperlink"/>
                                  <w:rFonts w:ascii="Arial Narrow" w:hAnsi="Arial Narrow" w:cstheme="minorBidi"/>
                                  <w:bCs/>
                                  <w:kern w:val="24"/>
                                  <w:sz w:val="26"/>
                                  <w:szCs w:val="26"/>
                                </w:rPr>
                                <w:t>)</w:t>
                              </w:r>
                              <w:r w:rsidRPr="00CC1185">
                                <w:rPr>
                                  <w:rFonts w:ascii="Arial Narrow" w:hAnsi="Arial Narrow" w:cstheme="minorBidi"/>
                                  <w:b/>
                                  <w:bCs/>
                                  <w:kern w:val="24"/>
                                  <w:sz w:val="26"/>
                                  <w:szCs w:val="26"/>
                                </w:rPr>
                                <w:fldChar w:fldCharType="end"/>
                              </w:r>
                            </w:p>
                          </w:txbxContent>
                        </v:textbox>
                      </v:shape>
                      <v:rect id="Rectangle 23503" o:spid="_x0000_s1073" style="position:absolute;top:8881;width:9145;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shape id="Freeform 23504" o:spid="_x0000_s1074" style="position:absolute;left:17407;top:7187;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" adj="-11796480,,5400" path="m423411,l846822,160240r,416256l423412,736736,1,576496,1,160240,423411,xe" fillcolor="#ff7c80" strokecolor="white" strokeweight="1pt">
                        <v:stroke joinstyle="miter"/>
                        <v:formulas/>
                        <v:path arrowok="t" o:connecttype="custom" o:connectlocs="0,4867;1394,0;5015,0;6409,4867;5015,9734;1394,9734;0,4867" o:connectangles="0,0,0,0,0,0,0" textboxrect="0,0,846823,736736"/>
                        <v:textbox inset="9.04pt,3.66567mm,3.18914mm,3.66564mm">
                          <w:txbxContent>
                            <w:p w14:paraId="3EFE6606"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p>
                          </w:txbxContent>
                        </v:textbox>
                      </v:shape>
                      <v:shape id="Freeform 23505" o:spid="_x0000_s1075" style="position:absolute;left:13444;top:14375;width:7367;height:8468;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" adj="-11796480,,5400" path="m423411,l846822,160240r,416256l423412,736736,1,576496,1,160240,423411,xe" fillcolor="#ff7c80" strokecolor="white" strokeweight="1pt">
                        <v:stroke joinstyle="miter"/>
                        <v:formulas/>
                        <v:path arrowok="t" o:connecttype="custom" o:connectlocs="0,4867;1394,0;5015,0;6409,4867;5015,9733;1394,9733;0,4867" o:connectangles="0,0,0,0,0,0,0" textboxrect="0,0,846823,736736"/>
                        <v:textbox inset="12.94pt,5.0415mm,4.56497mm,5.04147mm">
                          <w:txbxContent>
                            <w:p w14:paraId="5ABAE5EF"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p>
                          </w:txbxContent>
                        </v:textbox>
                      </v:shape>
                      <v:rect id="Rectangle 23506" o:spid="_x0000_s1076" style="position:absolute;left:21035;top:16069;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shape id="Freeform 23507" o:spid="_x0000_s1077" style="position:absolute;left:5487;top:14375;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" path="m423411,l846822,160240r,416256l423412,736736,1,576496,1,160240,423411,xe" fillcolor="#ff7c80" strokecolor="white" strokeweight="1pt">
                        <v:stroke joinstyle="miter"/>
                        <v:path arrowok="t" o:connecttype="custom" o:connectlocs="0,4867;1394,0;5015,0;6409,4867;5015,9733;1394,9733;0,4867" o:connectangles="0,0,0,0,0,0,0"/>
                      </v:shape>
                    </v:group>
                  </w:pict>
                </mc:Fallback>
              </mc:AlternateContent>
            </w:r>
          </w:p>
        </w:tc>
      </w:tr>
      <w:tr w:rsidR="00047EF8" w:rsidRPr="00F563CD" w14:paraId="6F58474E" w14:textId="77777777" w:rsidTr="00A239C5">
        <w:trPr>
          <w:trHeight w:val="3643"/>
        </w:trPr>
        <w:tc>
          <w:tcPr>
            <w:tcW w:w="3352" w:type="dxa"/>
            <w:vAlign w:val="center"/>
          </w:tcPr>
          <w:p w14:paraId="1EE08F42" w14:textId="02D15E8B" w:rsidR="00047EF8" w:rsidRPr="00F563CD" w:rsidRDefault="007840BE" w:rsidP="00A239C5">
            <w:pPr>
              <w:ind w:left="1062" w:hanging="1062"/>
              <w:rPr>
                <w:rFonts w:asciiTheme="minorHAnsi" w:hAnsiTheme="minorHAnsi"/>
              </w:rPr>
            </w:pPr>
            <w:r w:rsidRPr="00F563CD">
              <w:rPr>
                <w:rFonts w:asciiTheme="minorHAnsi" w:hAnsiTheme="minorHAnsi"/>
                <w:noProof/>
                <w:lang w:val="en-US" w:eastAsia="en-US"/>
              </w:rPr>
              <mc:AlternateContent>
                <mc:Choice Requires="wpg">
                  <w:drawing>
                    <wp:anchor distT="0" distB="0" distL="114300" distR="114300" simplePos="0" relativeHeight="251665408" behindDoc="0" locked="0" layoutInCell="1" allowOverlap="1" wp14:anchorId="0E44D5AB" wp14:editId="5F6A0F14">
                      <wp:simplePos x="0" y="0"/>
                      <wp:positionH relativeFrom="column">
                        <wp:posOffset>-430530</wp:posOffset>
                      </wp:positionH>
                      <wp:positionV relativeFrom="paragraph">
                        <wp:posOffset>1343025</wp:posOffset>
                      </wp:positionV>
                      <wp:extent cx="3200400" cy="2105025"/>
                      <wp:effectExtent l="0" t="14605" r="3810" b="13970"/>
                      <wp:wrapNone/>
                      <wp:docPr id="2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105025"/>
                                <a:chOff x="0" y="0"/>
                                <a:chExt cx="30485" cy="22843"/>
                              </a:xfrm>
                            </wpg:grpSpPr>
                            <wps:wsp>
                              <wps:cNvPr id="23" name="Freeform 104"/>
                              <wps:cNvSpPr>
                                <a:spLocks/>
                              </wps:cNvSpPr>
                              <wps:spPr bwMode="auto">
                                <a:xfrm>
                                  <a:off x="13444" y="0"/>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A6A6A6"/>
                                </a:solidFill>
                                <a:ln w="12700">
                                  <a:solidFill>
                                    <a:srgbClr val="FFFFFF"/>
                                  </a:solidFill>
                                  <a:miter lim="800000"/>
                                  <a:headEnd/>
                                  <a:tailEnd/>
                                </a:ln>
                              </wps:spPr>
                              <wps:txbx>
                                <w:txbxContent>
                                  <w:p w14:paraId="4BE3EC21"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MLSW</w:t>
                                    </w:r>
                                  </w:p>
                                  <w:p w14:paraId="01E69C36"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(8</w:t>
                                    </w:r>
                                    <w:r w:rsidRPr="002E562B">
                                      <w:rPr>
                                        <w:rFonts w:ascii="Arial Narrow" w:hAnsi="Arial Narrow" w:cstheme="minorBidi"/>
                                        <w:b/>
                                        <w:bCs/>
                                        <w:color w:val="FFFFFF" w:themeColor="light1"/>
                                        <w:kern w:val="24"/>
                                        <w:sz w:val="26"/>
                                        <w:szCs w:val="26"/>
                                      </w:rPr>
                                      <w:t>)</w:t>
                                    </w:r>
                                  </w:p>
                                </w:txbxContent>
                              </wps:txbx>
                              <wps:bodyPr rot="0" vert="horz" wrap="square" lIns="164338" tIns="181494" rIns="164339" bIns="181493" anchor="ctr" anchorCtr="0" upright="1">
                                <a:noAutofit/>
                              </wps:bodyPr>
                            </wps:wsp>
                            <wps:wsp>
                              <wps:cNvPr id="24" name="Rectangle 105"/>
                              <wps:cNvSpPr>
                                <a:spLocks noChangeArrowheads="1"/>
                              </wps:cNvSpPr>
                              <wps:spPr bwMode="auto">
                                <a:xfrm>
                                  <a:off x="21035" y="1693"/>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106"/>
                              <wps:cNvSpPr>
                                <a:spLocks/>
                              </wps:cNvSpPr>
                              <wps:spPr bwMode="auto">
                                <a:xfrm>
                                  <a:off x="5487" y="0"/>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A6A6A6"/>
                                </a:solidFill>
                                <a:ln w="12700">
                                  <a:solidFill>
                                    <a:srgbClr val="FFFFFF"/>
                                  </a:solidFill>
                                  <a:miter lim="800000"/>
                                  <a:headEnd/>
                                  <a:tailEnd/>
                                </a:ln>
                              </wps:spPr>
                              <wps:txbx>
                                <w:txbxContent>
                                  <w:p w14:paraId="2C193897"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MH</w:t>
                                    </w:r>
                                  </w:p>
                                  <w:p w14:paraId="5E9CD0E3"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(14</w:t>
                                    </w:r>
                                    <w:r w:rsidRPr="002E562B">
                                      <w:rPr>
                                        <w:rFonts w:ascii="Arial Narrow" w:hAnsi="Arial Narrow" w:cstheme="minorBidi"/>
                                        <w:b/>
                                        <w:bCs/>
                                        <w:color w:val="FFFFFF" w:themeColor="light1"/>
                                        <w:kern w:val="24"/>
                                        <w:sz w:val="26"/>
                                        <w:szCs w:val="26"/>
                                      </w:rPr>
                                      <w:t>)</w:t>
                                    </w:r>
                                  </w:p>
                                </w:txbxContent>
                              </wps:txbx>
                              <wps:bodyPr rot="0" vert="horz" wrap="square" lIns="114808" tIns="131964" rIns="114809" bIns="131963" anchor="ctr" anchorCtr="0" upright="1">
                                <a:noAutofit/>
                              </wps:bodyPr>
                            </wps:wsp>
                            <wps:wsp>
                              <wps:cNvPr id="26" name="Freeform 107"/>
                              <wps:cNvSpPr>
                                <a:spLocks/>
                              </wps:cNvSpPr>
                              <wps:spPr bwMode="auto">
                                <a:xfrm>
                                  <a:off x="9450"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A6A6A6"/>
                                </a:solidFill>
                                <a:ln w="12700">
                                  <a:solidFill>
                                    <a:srgbClr val="FFFFFF"/>
                                  </a:solidFill>
                                  <a:miter lim="800000"/>
                                  <a:headEnd/>
                                  <a:tailEnd/>
                                </a:ln>
                              </wps:spPr>
                              <wps:txbx>
                                <w:txbxContent>
                                  <w:p w14:paraId="2EEF060B" w14:textId="77777777" w:rsidR="006712E0" w:rsidRPr="002E562B" w:rsidRDefault="006712E0" w:rsidP="00047EF8">
                                    <w:pPr>
                                      <w:pStyle w:val="NormalWeb"/>
                                      <w:spacing w:before="0" w:beforeAutospacing="0" w:after="109" w:afterAutospacing="0" w:line="216" w:lineRule="auto"/>
                                      <w:jc w:val="center"/>
                                      <w:rPr>
                                        <w:rStyle w:val="Hyperlink"/>
                                        <w:rFonts w:ascii="Arial Narrow" w:hAnsi="Arial Narrow"/>
                                      </w:rPr>
                                    </w:pPr>
                                    <w:r w:rsidRPr="002E562B">
                                      <w:rPr>
                                        <w:rFonts w:ascii="Arial Narrow" w:hAnsi="Arial Narrow" w:cstheme="minorBidi"/>
                                        <w:b/>
                                        <w:bCs/>
                                        <w:kern w:val="24"/>
                                        <w:sz w:val="26"/>
                                        <w:szCs w:val="26"/>
                                        <w:lang w:val="uz-Cyrl-UZ"/>
                                      </w:rPr>
                                      <w:fldChar w:fldCharType="begin"/>
                                    </w:r>
                                    <w:r w:rsidRPr="002E562B">
                                      <w:rPr>
                                        <w:rFonts w:ascii="Arial Narrow" w:hAnsi="Arial Narrow" w:cstheme="minorBidi"/>
                                        <w:b/>
                                        <w:bCs/>
                                        <w:kern w:val="24"/>
                                        <w:sz w:val="26"/>
                                        <w:szCs w:val="26"/>
                                        <w:lang w:val="uz-Cyrl-UZ"/>
                                      </w:rPr>
                                      <w:instrText xml:space="preserve"> HYPERLINK  \l "ZSPZ" \o "Sektor zapošljavanja, socijalne politike i zdravstva" </w:instrText>
                                    </w:r>
                                    <w:r w:rsidRPr="002E562B">
                                      <w:rPr>
                                        <w:rFonts w:ascii="Arial Narrow" w:hAnsi="Arial Narrow" w:cstheme="minorBidi"/>
                                        <w:b/>
                                        <w:bCs/>
                                        <w:kern w:val="24"/>
                                        <w:sz w:val="26"/>
                                        <w:szCs w:val="26"/>
                                        <w:lang w:val="uz-Cyrl-UZ"/>
                                      </w:rPr>
                                      <w:fldChar w:fldCharType="separate"/>
                                    </w:r>
                                    <w:r>
                                      <w:rPr>
                                        <w:rStyle w:val="Hyperlink"/>
                                        <w:rFonts w:ascii="Arial Narrow" w:hAnsi="Arial Narrow" w:cstheme="minorBidi"/>
                                        <w:bCs/>
                                        <w:kern w:val="24"/>
                                        <w:sz w:val="26"/>
                                        <w:szCs w:val="26"/>
                                        <w:lang w:val="uz-Cyrl-UZ"/>
                                      </w:rPr>
                                      <w:t>ESH</w:t>
                                    </w:r>
                                  </w:p>
                                  <w:p w14:paraId="22C7975C"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Style w:val="Hyperlink"/>
                                        <w:rFonts w:ascii="Arial Narrow" w:hAnsi="Arial Narrow" w:cstheme="minorBidi"/>
                                        <w:bCs/>
                                        <w:kern w:val="24"/>
                                        <w:sz w:val="26"/>
                                        <w:szCs w:val="26"/>
                                      </w:rPr>
                                      <w:t>(9</w:t>
                                    </w:r>
                                    <w:r w:rsidRPr="002E562B">
                                      <w:rPr>
                                        <w:rStyle w:val="Hyperlink"/>
                                        <w:rFonts w:ascii="Arial Narrow" w:hAnsi="Arial Narrow" w:cstheme="minorBidi"/>
                                        <w:bCs/>
                                        <w:kern w:val="24"/>
                                        <w:sz w:val="26"/>
                                        <w:szCs w:val="26"/>
                                      </w:rPr>
                                      <w:t>)</w:t>
                                    </w:r>
                                    <w:r w:rsidRPr="002E562B">
                                      <w:rPr>
                                        <w:rFonts w:ascii="Arial Narrow" w:hAnsi="Arial Narrow" w:cstheme="minorBidi"/>
                                        <w:b/>
                                        <w:bCs/>
                                        <w:kern w:val="24"/>
                                        <w:sz w:val="26"/>
                                        <w:szCs w:val="26"/>
                                        <w:lang w:val="uz-Cyrl-UZ"/>
                                      </w:rPr>
                                      <w:fldChar w:fldCharType="end"/>
                                    </w:r>
                                  </w:p>
                                </w:txbxContent>
                              </wps:txbx>
                              <wps:bodyPr rot="0" vert="horz" wrap="square" lIns="164338" tIns="181494" rIns="164339" bIns="181493" anchor="ctr" anchorCtr="0" upright="1">
                                <a:noAutofit/>
                              </wps:bodyPr>
                            </wps:wsp>
                            <wps:wsp>
                              <wps:cNvPr id="27" name="Rectangle 108"/>
                              <wps:cNvSpPr>
                                <a:spLocks noChangeArrowheads="1"/>
                              </wps:cNvSpPr>
                              <wps:spPr bwMode="auto">
                                <a:xfrm>
                                  <a:off x="0" y="8881"/>
                                  <a:ext cx="9145"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109"/>
                              <wps:cNvSpPr>
                                <a:spLocks/>
                              </wps:cNvSpPr>
                              <wps:spPr bwMode="auto">
                                <a:xfrm>
                                  <a:off x="17407"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A6A6A6"/>
                                </a:solidFill>
                                <a:ln w="12700">
                                  <a:solidFill>
                                    <a:srgbClr val="FFFFFF"/>
                                  </a:solidFill>
                                  <a:miter lim="800000"/>
                                  <a:headEnd/>
                                  <a:tailEnd/>
                                </a:ln>
                              </wps:spPr>
                              <wps:bodyPr rot="0" vert="horz" wrap="square" lIns="91440" tIns="45720" rIns="91440" bIns="45720" anchor="ctr" anchorCtr="0" upright="1">
                                <a:noAutofit/>
                              </wps:bodyPr>
                            </wps:wsp>
                            <wps:wsp>
                              <wps:cNvPr id="29" name="Freeform 110"/>
                              <wps:cNvSpPr>
                                <a:spLocks/>
                              </wps:cNvSpPr>
                              <wps:spPr bwMode="auto">
                                <a:xfrm>
                                  <a:off x="13444"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A6A6A6"/>
                                </a:solidFill>
                                <a:ln w="12700">
                                  <a:solidFill>
                                    <a:srgbClr val="FFFFFF"/>
                                  </a:solidFill>
                                  <a:miter lim="800000"/>
                                  <a:headEnd/>
                                  <a:tailEnd/>
                                </a:ln>
                              </wps:spPr>
                              <wps:bodyPr rot="0" vert="horz" wrap="square" lIns="91440" tIns="45720" rIns="91440" bIns="45720" anchor="ctr" anchorCtr="0" upright="1">
                                <a:noAutofit/>
                              </wps:bodyPr>
                            </wps:wsp>
                            <wps:wsp>
                              <wps:cNvPr id="30" name="Rectangle 111"/>
                              <wps:cNvSpPr>
                                <a:spLocks noChangeArrowheads="1"/>
                              </wps:cNvSpPr>
                              <wps:spPr bwMode="auto">
                                <a:xfrm>
                                  <a:off x="21035" y="16069"/>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112"/>
                              <wps:cNvSpPr>
                                <a:spLocks/>
                              </wps:cNvSpPr>
                              <wps:spPr bwMode="auto">
                                <a:xfrm>
                                  <a:off x="5487"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A6A6A6"/>
                                </a:solidFill>
                                <a:ln w="12700">
                                  <a:solidFill>
                                    <a:srgbClr val="FFFFFF"/>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44D5AB" id="Group 90" o:spid="_x0000_s1078" style="position:absolute;left:0;text-align:left;margin-left:-33.9pt;margin-top:105.75pt;width:252pt;height:165.75pt;z-index:251665408;mso-width-relative:margin;mso-height-relative:margin" coordsize="30485,2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">
                      <v:shape id="Freeform 104" o:spid="_x0000_s1079" style="position:absolute;left:13444;width:7367;height:8468;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" adj="-11796480,,5400" path="m423411,l846822,160240r,416256l423412,736736,1,576496,1,160240,423411,xe" fillcolor="#a6a6a6" strokecolor="white" strokeweight="1pt">
                        <v:stroke joinstyle="miter"/>
                        <v:formulas/>
                        <v:path arrowok="t" o:connecttype="custom" o:connectlocs="0,4867;1394,0;5015,0;6409,4867;5015,9733;1394,9733;0,4867" o:connectangles="0,0,0,0,0,0,0" textboxrect="0,0,846823,736736"/>
                        <v:textbox inset="12.94pt,5.0415mm,4.56497mm,5.04147mm">
                          <w:txbxContent>
                            <w:p w14:paraId="4BE3EC21"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MLSW</w:t>
                              </w:r>
                            </w:p>
                            <w:p w14:paraId="01E69C36"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(8</w:t>
                              </w:r>
                              <w:r w:rsidRPr="002E562B">
                                <w:rPr>
                                  <w:rFonts w:ascii="Arial Narrow" w:hAnsi="Arial Narrow" w:cstheme="minorBidi"/>
                                  <w:b/>
                                  <w:bCs/>
                                  <w:color w:val="FFFFFF" w:themeColor="light1"/>
                                  <w:kern w:val="24"/>
                                  <w:sz w:val="26"/>
                                  <w:szCs w:val="26"/>
                                </w:rPr>
                                <w:t>)</w:t>
                              </w:r>
                            </w:p>
                          </w:txbxContent>
                        </v:textbox>
                      </v:shape>
                      <v:rect id="Rectangle 105" o:spid="_x0000_s1080" style="position:absolute;left:21035;top:1693;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shape id="Freeform 106" o:spid="_x0000_s1081" style="position:absolute;left:5487;width:7367;height:8468;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" adj="-11796480,,5400" path="m423411,l846822,160240r,416256l423412,736736,1,576496,1,160240,423411,xe" fillcolor="#a6a6a6" strokecolor="white" strokeweight="1pt">
                        <v:stroke joinstyle="miter"/>
                        <v:formulas/>
                        <v:path arrowok="t" o:connecttype="custom" o:connectlocs="0,4867;1394,0;5015,0;6409,4867;5015,9733;1394,9733;0,4867" o:connectangles="0,0,0,0,0,0,0" textboxrect="0,0,846823,736736"/>
                        <v:textbox inset="9.04pt,3.66567mm,3.18914mm,3.66564mm">
                          <w:txbxContent>
                            <w:p w14:paraId="2C193897"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MH</w:t>
                              </w:r>
                            </w:p>
                            <w:p w14:paraId="5E9CD0E3"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(14</w:t>
                              </w:r>
                              <w:r w:rsidRPr="002E562B">
                                <w:rPr>
                                  <w:rFonts w:ascii="Arial Narrow" w:hAnsi="Arial Narrow" w:cstheme="minorBidi"/>
                                  <w:b/>
                                  <w:bCs/>
                                  <w:color w:val="FFFFFF" w:themeColor="light1"/>
                                  <w:kern w:val="24"/>
                                  <w:sz w:val="26"/>
                                  <w:szCs w:val="26"/>
                                </w:rPr>
                                <w:t>)</w:t>
                              </w:r>
                            </w:p>
                          </w:txbxContent>
                        </v:textbox>
                      </v:shape>
                      <v:shape id="Freeform 107" o:spid="_x0000_s1082" style="position:absolute;left:9450;top:7187;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" adj="-11796480,,5400" path="m423411,l846822,160240r,416256l423412,736736,1,576496,1,160240,423411,xe" fillcolor="#a6a6a6" strokecolor="white" strokeweight="1pt">
                        <v:stroke joinstyle="miter"/>
                        <v:formulas/>
                        <v:path arrowok="t" o:connecttype="custom" o:connectlocs="0,4867;1394,0;5015,0;6409,4867;5015,9734;1394,9734;0,4867" o:connectangles="0,0,0,0,0,0,0" textboxrect="0,0,846823,736736"/>
                        <v:textbox inset="12.94pt,5.0415mm,4.56497mm,5.04147mm">
                          <w:txbxContent>
                            <w:p w14:paraId="2EEF060B" w14:textId="77777777" w:rsidR="006712E0" w:rsidRPr="002E562B" w:rsidRDefault="006712E0" w:rsidP="00047EF8">
                              <w:pPr>
                                <w:pStyle w:val="NormalWeb"/>
                                <w:spacing w:before="0" w:beforeAutospacing="0" w:after="109" w:afterAutospacing="0" w:line="216" w:lineRule="auto"/>
                                <w:jc w:val="center"/>
                                <w:rPr>
                                  <w:rStyle w:val="Hyperlink"/>
                                  <w:rFonts w:ascii="Arial Narrow" w:hAnsi="Arial Narrow"/>
                                </w:rPr>
                              </w:pPr>
                              <w:r w:rsidRPr="002E562B">
                                <w:rPr>
                                  <w:rFonts w:ascii="Arial Narrow" w:hAnsi="Arial Narrow" w:cstheme="minorBidi"/>
                                  <w:b/>
                                  <w:bCs/>
                                  <w:kern w:val="24"/>
                                  <w:sz w:val="26"/>
                                  <w:szCs w:val="26"/>
                                  <w:lang w:val="uz-Cyrl-UZ"/>
                                </w:rPr>
                                <w:fldChar w:fldCharType="begin"/>
                              </w:r>
                              <w:r w:rsidRPr="002E562B">
                                <w:rPr>
                                  <w:rFonts w:ascii="Arial Narrow" w:hAnsi="Arial Narrow" w:cstheme="minorBidi"/>
                                  <w:b/>
                                  <w:bCs/>
                                  <w:kern w:val="24"/>
                                  <w:sz w:val="26"/>
                                  <w:szCs w:val="26"/>
                                  <w:lang w:val="uz-Cyrl-UZ"/>
                                </w:rPr>
                                <w:instrText xml:space="preserve"> HYPERLINK  \l "ZSPZ" \o "Sektor zapošljavanja, socijalne politike i zdravstva" </w:instrText>
                              </w:r>
                              <w:r w:rsidRPr="002E562B">
                                <w:rPr>
                                  <w:rFonts w:ascii="Arial Narrow" w:hAnsi="Arial Narrow" w:cstheme="minorBidi"/>
                                  <w:b/>
                                  <w:bCs/>
                                  <w:kern w:val="24"/>
                                  <w:sz w:val="26"/>
                                  <w:szCs w:val="26"/>
                                  <w:lang w:val="uz-Cyrl-UZ"/>
                                </w:rPr>
                                <w:fldChar w:fldCharType="separate"/>
                              </w:r>
                              <w:r>
                                <w:rPr>
                                  <w:rStyle w:val="Hyperlink"/>
                                  <w:rFonts w:ascii="Arial Narrow" w:hAnsi="Arial Narrow" w:cstheme="minorBidi"/>
                                  <w:bCs/>
                                  <w:kern w:val="24"/>
                                  <w:sz w:val="26"/>
                                  <w:szCs w:val="26"/>
                                  <w:lang w:val="uz-Cyrl-UZ"/>
                                </w:rPr>
                                <w:t>ESH</w:t>
                              </w:r>
                            </w:p>
                            <w:p w14:paraId="22C7975C"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Style w:val="Hyperlink"/>
                                  <w:rFonts w:ascii="Arial Narrow" w:hAnsi="Arial Narrow" w:cstheme="minorBidi"/>
                                  <w:bCs/>
                                  <w:kern w:val="24"/>
                                  <w:sz w:val="26"/>
                                  <w:szCs w:val="26"/>
                                </w:rPr>
                                <w:t>(9</w:t>
                              </w:r>
                              <w:r w:rsidRPr="002E562B">
                                <w:rPr>
                                  <w:rStyle w:val="Hyperlink"/>
                                  <w:rFonts w:ascii="Arial Narrow" w:hAnsi="Arial Narrow" w:cstheme="minorBidi"/>
                                  <w:bCs/>
                                  <w:kern w:val="24"/>
                                  <w:sz w:val="26"/>
                                  <w:szCs w:val="26"/>
                                </w:rPr>
                                <w:t>)</w:t>
                              </w:r>
                              <w:r w:rsidRPr="002E562B">
                                <w:rPr>
                                  <w:rFonts w:ascii="Arial Narrow" w:hAnsi="Arial Narrow" w:cstheme="minorBidi"/>
                                  <w:b/>
                                  <w:bCs/>
                                  <w:kern w:val="24"/>
                                  <w:sz w:val="26"/>
                                  <w:szCs w:val="26"/>
                                  <w:lang w:val="uz-Cyrl-UZ"/>
                                </w:rPr>
                                <w:fldChar w:fldCharType="end"/>
                              </w:r>
                            </w:p>
                          </w:txbxContent>
                        </v:textbox>
                      </v:shape>
                      <v:rect id="Rectangle 108" o:spid="_x0000_s1083" style="position:absolute;top:8881;width:9145;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shape id="Freeform 109" o:spid="_x0000_s1084" style="position:absolute;left:17407;top:7187;width:7367;height:8469;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" path="m423411,l846822,160240r,416256l423412,736736,1,576496,1,160240,423411,xe" fillcolor="#a6a6a6" strokecolor="white" strokeweight="1pt">
                        <v:stroke joinstyle="miter"/>
                        <v:path arrowok="t" o:connecttype="custom" o:connectlocs="0,4867;1394,0;5015,0;6409,4867;5015,9734;1394,9734;0,4867" o:connectangles="0,0,0,0,0,0,0"/>
                      </v:shape>
                      <v:shape id="Freeform 110" o:spid="_x0000_s1085" style="position:absolute;left:13444;top:14375;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" path="m423411,l846822,160240r,416256l423412,736736,1,576496,1,160240,423411,xe" fillcolor="#a6a6a6" strokecolor="white" strokeweight="1pt">
                        <v:stroke joinstyle="miter"/>
                        <v:path arrowok="t" o:connecttype="custom" o:connectlocs="0,4867;1394,0;5015,0;6409,4867;5015,9733;1394,9733;0,4867" o:connectangles="0,0,0,0,0,0,0"/>
                      </v:shape>
                      <v:rect id="Rectangle 111" o:spid="_x0000_s1086" style="position:absolute;left:21035;top:16069;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v:shape id="Freeform 112" o:spid="_x0000_s1087" style="position:absolute;left:5487;top:14375;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" path="m423411,l846822,160240r,416256l423412,736736,1,576496,1,160240,423411,xe" fillcolor="#a6a6a6" strokecolor="white" strokeweight="1pt">
                        <v:stroke joinstyle="miter"/>
                        <v:path arrowok="t" o:connecttype="custom" o:connectlocs="0,4867;1394,0;5015,0;6409,4867;5015,9733;1394,9733;0,4867" o:connectangles="0,0,0,0,0,0,0"/>
                      </v:shape>
                    </v:group>
                  </w:pict>
                </mc:Fallback>
              </mc:AlternateContent>
            </w:r>
          </w:p>
        </w:tc>
        <w:tc>
          <w:tcPr>
            <w:tcW w:w="2360" w:type="dxa"/>
            <w:gridSpan w:val="2"/>
            <w:vAlign w:val="center"/>
          </w:tcPr>
          <w:p w14:paraId="27E48B34" w14:textId="4385CE6A" w:rsidR="00047EF8" w:rsidRPr="00F563CD" w:rsidRDefault="007840BE" w:rsidP="00A239C5">
            <w:pPr>
              <w:jc w:val="center"/>
              <w:rPr>
                <w:rFonts w:asciiTheme="minorHAnsi" w:hAnsiTheme="minorHAnsi"/>
              </w:rPr>
            </w:pPr>
            <w:r w:rsidRPr="00F563CD">
              <w:rPr>
                <w:rFonts w:asciiTheme="minorHAnsi" w:hAnsiTheme="minorHAnsi"/>
                <w:noProof/>
                <w:lang w:val="en-US" w:eastAsia="en-US"/>
              </w:rPr>
              <mc:AlternateContent>
                <mc:Choice Requires="wpg">
                  <w:drawing>
                    <wp:anchor distT="0" distB="0" distL="114300" distR="114300" simplePos="0" relativeHeight="251666432" behindDoc="0" locked="0" layoutInCell="1" allowOverlap="1" wp14:anchorId="01C5CC94" wp14:editId="0CF58F44">
                      <wp:simplePos x="0" y="0"/>
                      <wp:positionH relativeFrom="column">
                        <wp:posOffset>-592455</wp:posOffset>
                      </wp:positionH>
                      <wp:positionV relativeFrom="paragraph">
                        <wp:posOffset>1314450</wp:posOffset>
                      </wp:positionV>
                      <wp:extent cx="2705100" cy="2066925"/>
                      <wp:effectExtent l="635" t="20320" r="0" b="17780"/>
                      <wp:wrapNone/>
                      <wp:docPr id="1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2066925"/>
                                <a:chOff x="0" y="0"/>
                                <a:chExt cx="30485" cy="22843"/>
                              </a:xfrm>
                            </wpg:grpSpPr>
                            <wps:wsp>
                              <wps:cNvPr id="13" name="Freeform 114"/>
                              <wps:cNvSpPr>
                                <a:spLocks/>
                              </wps:cNvSpPr>
                              <wps:spPr bwMode="auto">
                                <a:xfrm>
                                  <a:off x="13444" y="0"/>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002060"/>
                                </a:solidFill>
                                <a:ln w="12700">
                                  <a:solidFill>
                                    <a:srgbClr val="FFFFFF"/>
                                  </a:solidFill>
                                  <a:miter lim="800000"/>
                                  <a:headEnd/>
                                  <a:tailEnd/>
                                </a:ln>
                              </wps:spPr>
                              <wps:txbx>
                                <w:txbxContent>
                                  <w:p w14:paraId="3618F0B3"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sidRPr="002E562B">
                                      <w:rPr>
                                        <w:rFonts w:ascii="Arial Narrow" w:hAnsi="Arial Narrow" w:cstheme="minorBidi"/>
                                        <w:b/>
                                        <w:bCs/>
                                        <w:color w:val="FFFFFF" w:themeColor="light1"/>
                                        <w:kern w:val="24"/>
                                        <w:sz w:val="26"/>
                                        <w:szCs w:val="26"/>
                                      </w:rPr>
                                      <w:t>M</w:t>
                                    </w:r>
                                    <w:r>
                                      <w:rPr>
                                        <w:rFonts w:ascii="Arial Narrow" w:hAnsi="Arial Narrow" w:cstheme="minorBidi"/>
                                        <w:b/>
                                        <w:bCs/>
                                        <w:color w:val="FFFFFF" w:themeColor="light1"/>
                                        <w:kern w:val="24"/>
                                        <w:sz w:val="26"/>
                                        <w:szCs w:val="26"/>
                                      </w:rPr>
                                      <w:t>FA</w:t>
                                    </w:r>
                                  </w:p>
                                  <w:p w14:paraId="75D6D3F2"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(1</w:t>
                                    </w:r>
                                    <w:r w:rsidRPr="002E562B">
                                      <w:rPr>
                                        <w:rFonts w:ascii="Arial Narrow" w:hAnsi="Arial Narrow" w:cstheme="minorBidi"/>
                                        <w:b/>
                                        <w:bCs/>
                                        <w:color w:val="FFFFFF" w:themeColor="light1"/>
                                        <w:kern w:val="24"/>
                                        <w:sz w:val="26"/>
                                        <w:szCs w:val="26"/>
                                      </w:rPr>
                                      <w:t>)</w:t>
                                    </w:r>
                                  </w:p>
                                </w:txbxContent>
                              </wps:txbx>
                              <wps:bodyPr rot="0" vert="horz" wrap="square" lIns="164338" tIns="181494" rIns="164339" bIns="181493" anchor="ctr" anchorCtr="0" upright="1">
                                <a:noAutofit/>
                              </wps:bodyPr>
                            </wps:wsp>
                            <wps:wsp>
                              <wps:cNvPr id="14" name="Rectangle 115"/>
                              <wps:cNvSpPr>
                                <a:spLocks noChangeArrowheads="1"/>
                              </wps:cNvSpPr>
                              <wps:spPr bwMode="auto">
                                <a:xfrm>
                                  <a:off x="21035" y="1693"/>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16"/>
                              <wps:cNvSpPr>
                                <a:spLocks/>
                              </wps:cNvSpPr>
                              <wps:spPr bwMode="auto">
                                <a:xfrm>
                                  <a:off x="5487" y="0"/>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002060"/>
                                </a:solidFill>
                                <a:ln w="12700">
                                  <a:solidFill>
                                    <a:srgbClr val="FFFFFF"/>
                                  </a:solidFill>
                                  <a:miter lim="800000"/>
                                  <a:headEnd/>
                                  <a:tailEnd/>
                                </a:ln>
                              </wps:spPr>
                              <wps:txbx>
                                <w:txbxContent>
                                  <w:p w14:paraId="597EA443" w14:textId="77777777" w:rsidR="006712E0" w:rsidRDefault="006712E0" w:rsidP="00047EF8">
                                    <w:pPr>
                                      <w:pStyle w:val="NormalWeb"/>
                                      <w:spacing w:before="0" w:beforeAutospacing="0" w:after="109" w:afterAutospacing="0" w:line="216" w:lineRule="auto"/>
                                      <w:jc w:val="center"/>
                                      <w:rPr>
                                        <w:rFonts w:ascii="Arial Narrow" w:hAnsi="Arial Narrow" w:cstheme="minorBidi"/>
                                        <w:b/>
                                        <w:bCs/>
                                        <w:color w:val="FFFFFF" w:themeColor="light1"/>
                                        <w:kern w:val="24"/>
                                        <w:sz w:val="26"/>
                                        <w:szCs w:val="26"/>
                                      </w:rPr>
                                    </w:pPr>
                                    <w:r>
                                      <w:rPr>
                                        <w:rFonts w:ascii="Arial Narrow" w:hAnsi="Arial Narrow" w:cstheme="minorBidi"/>
                                        <w:b/>
                                        <w:bCs/>
                                        <w:color w:val="FFFFFF" w:themeColor="light1"/>
                                        <w:kern w:val="24"/>
                                        <w:sz w:val="26"/>
                                        <w:szCs w:val="26"/>
                                      </w:rPr>
                                      <w:t>MoD</w:t>
                                    </w:r>
                                  </w:p>
                                  <w:p w14:paraId="6A7093AD"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(2)</w:t>
                                    </w:r>
                                  </w:p>
                                </w:txbxContent>
                              </wps:txbx>
                              <wps:bodyPr rot="0" vert="horz" wrap="square" lIns="114808" tIns="131964" rIns="114809" bIns="131963" anchor="ctr" anchorCtr="0" upright="1">
                                <a:noAutofit/>
                              </wps:bodyPr>
                            </wps:wsp>
                            <wps:wsp>
                              <wps:cNvPr id="16" name="Freeform 117"/>
                              <wps:cNvSpPr>
                                <a:spLocks/>
                              </wps:cNvSpPr>
                              <wps:spPr bwMode="auto">
                                <a:xfrm>
                                  <a:off x="9545" y="7187"/>
                                  <a:ext cx="7368"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002060"/>
                                </a:solidFill>
                                <a:ln w="12700">
                                  <a:solidFill>
                                    <a:srgbClr val="FFFFFF"/>
                                  </a:solidFill>
                                  <a:miter lim="800000"/>
                                  <a:headEnd/>
                                  <a:tailEnd/>
                                </a:ln>
                              </wps:spPr>
                              <wps:txbx>
                                <w:txbxContent>
                                  <w:p w14:paraId="1820ACDE" w14:textId="77777777" w:rsidR="006712E0" w:rsidRDefault="006712E0" w:rsidP="00047EF8">
                                    <w:pPr>
                                      <w:pStyle w:val="NormalWeb"/>
                                      <w:spacing w:before="0" w:beforeAutospacing="0" w:after="109" w:afterAutospacing="0" w:line="216" w:lineRule="auto"/>
                                      <w:jc w:val="center"/>
                                      <w:rPr>
                                        <w:rFonts w:ascii="Arial Narrow" w:hAnsi="Arial Narrow" w:cstheme="minorBidi"/>
                                        <w:b/>
                                        <w:bCs/>
                                        <w:spacing w:val="-20"/>
                                        <w:kern w:val="24"/>
                                        <w:sz w:val="26"/>
                                        <w:szCs w:val="26"/>
                                        <w:lang w:val="uz-Cyrl-UZ"/>
                                      </w:rPr>
                                    </w:pPr>
                                    <w:r>
                                      <w:rPr>
                                        <w:rStyle w:val="Hyperlink"/>
                                        <w:rFonts w:ascii="Arial Narrow" w:hAnsi="Arial Narrow" w:cstheme="minorBidi"/>
                                        <w:bCs/>
                                        <w:spacing w:val="-20"/>
                                        <w:kern w:val="24"/>
                                        <w:sz w:val="26"/>
                                        <w:szCs w:val="26"/>
                                        <w:lang w:val="uz-Cyrl-UZ"/>
                                      </w:rPr>
                                      <w:t>FSP</w:t>
                                    </w:r>
                                  </w:p>
                                  <w:p w14:paraId="38947EEA" w14:textId="77777777" w:rsidR="006712E0" w:rsidRPr="002E562B" w:rsidRDefault="006712E0" w:rsidP="00047EF8">
                                    <w:pPr>
                                      <w:pStyle w:val="NormalWeb"/>
                                      <w:spacing w:before="0" w:beforeAutospacing="0" w:after="109" w:afterAutospacing="0" w:line="216" w:lineRule="auto"/>
                                      <w:jc w:val="center"/>
                                      <w:rPr>
                                        <w:rFonts w:ascii="Arial Narrow" w:hAnsi="Arial Narrow"/>
                                        <w:b/>
                                        <w:sz w:val="26"/>
                                        <w:szCs w:val="26"/>
                                      </w:rPr>
                                    </w:pPr>
                                    <w:r>
                                      <w:rPr>
                                        <w:rFonts w:ascii="Arial Narrow" w:hAnsi="Arial Narrow" w:cstheme="minorBidi"/>
                                        <w:b/>
                                        <w:bCs/>
                                        <w:spacing w:val="-20"/>
                                        <w:kern w:val="24"/>
                                        <w:sz w:val="26"/>
                                        <w:szCs w:val="26"/>
                                        <w:lang w:val="uz-Cyrl-UZ"/>
                                      </w:rPr>
                                      <w:t>(4</w:t>
                                    </w:r>
                                    <w:r w:rsidRPr="002E562B">
                                      <w:rPr>
                                        <w:rFonts w:ascii="Arial Narrow" w:hAnsi="Arial Narrow" w:cstheme="minorBidi"/>
                                        <w:b/>
                                        <w:bCs/>
                                        <w:spacing w:val="-20"/>
                                        <w:kern w:val="24"/>
                                        <w:sz w:val="26"/>
                                        <w:szCs w:val="26"/>
                                        <w:lang w:val="uz-Cyrl-UZ"/>
                                      </w:rPr>
                                      <w:t>)</w:t>
                                    </w:r>
                                  </w:p>
                                </w:txbxContent>
                              </wps:txbx>
                              <wps:bodyPr rot="0" vert="horz" wrap="square" lIns="164338" tIns="181494" rIns="164339" bIns="181493" anchor="ctr" anchorCtr="0" upright="1">
                                <a:noAutofit/>
                              </wps:bodyPr>
                            </wps:wsp>
                            <wps:wsp>
                              <wps:cNvPr id="17" name="Rectangle 118"/>
                              <wps:cNvSpPr>
                                <a:spLocks noChangeArrowheads="1"/>
                              </wps:cNvSpPr>
                              <wps:spPr bwMode="auto">
                                <a:xfrm>
                                  <a:off x="0" y="8881"/>
                                  <a:ext cx="9145"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19"/>
                              <wps:cNvSpPr>
                                <a:spLocks/>
                              </wps:cNvSpPr>
                              <wps:spPr bwMode="auto">
                                <a:xfrm>
                                  <a:off x="17407"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002060"/>
                                </a:solidFill>
                                <a:ln w="12700">
                                  <a:solidFill>
                                    <a:srgbClr val="FFFFFF"/>
                                  </a:solidFill>
                                  <a:miter lim="800000"/>
                                  <a:headEnd/>
                                  <a:tailEnd/>
                                </a:ln>
                              </wps:spPr>
                              <wps:txbx>
                                <w:txbxContent>
                                  <w:p w14:paraId="279AEA42"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OEI &amp; SG</w:t>
                                    </w:r>
                                  </w:p>
                                  <w:p w14:paraId="7D199D6C"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(1</w:t>
                                    </w:r>
                                    <w:r w:rsidRPr="002E562B">
                                      <w:rPr>
                                        <w:rFonts w:ascii="Arial Narrow" w:hAnsi="Arial Narrow" w:cstheme="minorBidi"/>
                                        <w:b/>
                                        <w:bCs/>
                                        <w:color w:val="FFFFFF" w:themeColor="light1"/>
                                        <w:kern w:val="24"/>
                                        <w:sz w:val="26"/>
                                        <w:szCs w:val="26"/>
                                      </w:rPr>
                                      <w:t>)</w:t>
                                    </w:r>
                                  </w:p>
                                </w:txbxContent>
                              </wps:txbx>
                              <wps:bodyPr rot="0" vert="horz" wrap="square" lIns="114808" tIns="131964" rIns="114809" bIns="131963" anchor="ctr" anchorCtr="0" upright="1">
                                <a:noAutofit/>
                              </wps:bodyPr>
                            </wps:wsp>
                            <wps:wsp>
                              <wps:cNvPr id="19" name="Freeform 120"/>
                              <wps:cNvSpPr>
                                <a:spLocks/>
                              </wps:cNvSpPr>
                              <wps:spPr bwMode="auto">
                                <a:xfrm>
                                  <a:off x="13444"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002060"/>
                                </a:solidFill>
                                <a:ln w="12700">
                                  <a:solidFill>
                                    <a:srgbClr val="FFFFFF"/>
                                  </a:solidFill>
                                  <a:miter lim="800000"/>
                                  <a:headEnd/>
                                  <a:tailEnd/>
                                </a:ln>
                              </wps:spPr>
                              <wps:bodyPr rot="0" vert="horz" wrap="square" lIns="91440" tIns="45720" rIns="91440" bIns="45720" anchor="ctr" anchorCtr="0" upright="1">
                                <a:noAutofit/>
                              </wps:bodyPr>
                            </wps:wsp>
                            <wps:wsp>
                              <wps:cNvPr id="20" name="Rectangle 121"/>
                              <wps:cNvSpPr>
                                <a:spLocks noChangeArrowheads="1"/>
                              </wps:cNvSpPr>
                              <wps:spPr bwMode="auto">
                                <a:xfrm>
                                  <a:off x="21035" y="16069"/>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122"/>
                              <wps:cNvSpPr>
                                <a:spLocks/>
                              </wps:cNvSpPr>
                              <wps:spPr bwMode="auto">
                                <a:xfrm>
                                  <a:off x="5487"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002060"/>
                                </a:solidFill>
                                <a:ln w="12700">
                                  <a:solidFill>
                                    <a:srgbClr val="FFFFFF"/>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C5CC94" id="Group 101" o:spid="_x0000_s1088" style="position:absolute;left:0;text-align:left;margin-left:-46.65pt;margin-top:103.5pt;width:213pt;height:162.75pt;z-index:251666432;mso-width-relative:margin;mso-height-relative:margin" coordsize="30485,2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">
                      <v:shape id="Freeform 114" o:spid="_x0000_s1089" style="position:absolute;left:13444;width:7367;height:8468;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" adj="-11796480,,5400" path="m423411,l846822,160240r,416256l423412,736736,1,576496,1,160240,423411,xe" fillcolor="#002060" strokecolor="white" strokeweight="1pt">
                        <v:stroke joinstyle="miter"/>
                        <v:formulas/>
                        <v:path arrowok="t" o:connecttype="custom" o:connectlocs="0,4867;1394,0;5015,0;6409,4867;5015,9733;1394,9733;0,4867" o:connectangles="0,0,0,0,0,0,0" textboxrect="0,0,846823,736736"/>
                        <v:textbox inset="12.94pt,5.0415mm,4.56497mm,5.04147mm">
                          <w:txbxContent>
                            <w:p w14:paraId="3618F0B3"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sidRPr="002E562B">
                                <w:rPr>
                                  <w:rFonts w:ascii="Arial Narrow" w:hAnsi="Arial Narrow" w:cstheme="minorBidi"/>
                                  <w:b/>
                                  <w:bCs/>
                                  <w:color w:val="FFFFFF" w:themeColor="light1"/>
                                  <w:kern w:val="24"/>
                                  <w:sz w:val="26"/>
                                  <w:szCs w:val="26"/>
                                </w:rPr>
                                <w:t>M</w:t>
                              </w:r>
                              <w:r>
                                <w:rPr>
                                  <w:rFonts w:ascii="Arial Narrow" w:hAnsi="Arial Narrow" w:cstheme="minorBidi"/>
                                  <w:b/>
                                  <w:bCs/>
                                  <w:color w:val="FFFFFF" w:themeColor="light1"/>
                                  <w:kern w:val="24"/>
                                  <w:sz w:val="26"/>
                                  <w:szCs w:val="26"/>
                                </w:rPr>
                                <w:t>FA</w:t>
                              </w:r>
                            </w:p>
                            <w:p w14:paraId="75D6D3F2"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(1</w:t>
                              </w:r>
                              <w:r w:rsidRPr="002E562B">
                                <w:rPr>
                                  <w:rFonts w:ascii="Arial Narrow" w:hAnsi="Arial Narrow" w:cstheme="minorBidi"/>
                                  <w:b/>
                                  <w:bCs/>
                                  <w:color w:val="FFFFFF" w:themeColor="light1"/>
                                  <w:kern w:val="24"/>
                                  <w:sz w:val="26"/>
                                  <w:szCs w:val="26"/>
                                </w:rPr>
                                <w:t>)</w:t>
                              </w:r>
                            </w:p>
                          </w:txbxContent>
                        </v:textbox>
                      </v:shape>
                      <v:rect id="Rectangle 115" o:spid="_x0000_s1090" style="position:absolute;left:21035;top:1693;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shape id="Freeform 116" o:spid="_x0000_s1091" style="position:absolute;left:5487;width:7367;height:8468;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" adj="-11796480,,5400" path="m423411,l846822,160240r,416256l423412,736736,1,576496,1,160240,423411,xe" fillcolor="#002060" strokecolor="white" strokeweight="1pt">
                        <v:stroke joinstyle="miter"/>
                        <v:formulas/>
                        <v:path arrowok="t" o:connecttype="custom" o:connectlocs="0,4867;1394,0;5015,0;6409,4867;5015,9733;1394,9733;0,4867" o:connectangles="0,0,0,0,0,0,0" textboxrect="0,0,846823,736736"/>
                        <v:textbox inset="9.04pt,3.66567mm,3.18914mm,3.66564mm">
                          <w:txbxContent>
                            <w:p w14:paraId="597EA443" w14:textId="77777777" w:rsidR="006712E0" w:rsidRDefault="006712E0" w:rsidP="00047EF8">
                              <w:pPr>
                                <w:pStyle w:val="NormalWeb"/>
                                <w:spacing w:before="0" w:beforeAutospacing="0" w:after="109" w:afterAutospacing="0" w:line="216" w:lineRule="auto"/>
                                <w:jc w:val="center"/>
                                <w:rPr>
                                  <w:rFonts w:ascii="Arial Narrow" w:hAnsi="Arial Narrow" w:cstheme="minorBidi"/>
                                  <w:b/>
                                  <w:bCs/>
                                  <w:color w:val="FFFFFF" w:themeColor="light1"/>
                                  <w:kern w:val="24"/>
                                  <w:sz w:val="26"/>
                                  <w:szCs w:val="26"/>
                                </w:rPr>
                              </w:pPr>
                              <w:r>
                                <w:rPr>
                                  <w:rFonts w:ascii="Arial Narrow" w:hAnsi="Arial Narrow" w:cstheme="minorBidi"/>
                                  <w:b/>
                                  <w:bCs/>
                                  <w:color w:val="FFFFFF" w:themeColor="light1"/>
                                  <w:kern w:val="24"/>
                                  <w:sz w:val="26"/>
                                  <w:szCs w:val="26"/>
                                </w:rPr>
                                <w:t>MoD</w:t>
                              </w:r>
                            </w:p>
                            <w:p w14:paraId="6A7093AD"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(2)</w:t>
                              </w:r>
                            </w:p>
                          </w:txbxContent>
                        </v:textbox>
                      </v:shape>
                      <v:shape id="Freeform 117" o:spid="_x0000_s1092" style="position:absolute;left:9545;top:7187;width:7368;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" adj="-11796480,,5400" path="m423411,l846822,160240r,416256l423412,736736,1,576496,1,160240,423411,xe" fillcolor="#002060" strokecolor="white" strokeweight="1pt">
                        <v:stroke joinstyle="miter"/>
                        <v:formulas/>
                        <v:path arrowok="t" o:connecttype="custom" o:connectlocs="0,4867;1394,0;5016,0;6410,4867;5016,9734;1394,9734;0,4867" o:connectangles="0,0,0,0,0,0,0" textboxrect="0,0,846823,736736"/>
                        <v:textbox inset="12.94pt,5.0415mm,4.56497mm,5.04147mm">
                          <w:txbxContent>
                            <w:p w14:paraId="1820ACDE" w14:textId="77777777" w:rsidR="006712E0" w:rsidRDefault="006712E0" w:rsidP="00047EF8">
                              <w:pPr>
                                <w:pStyle w:val="NormalWeb"/>
                                <w:spacing w:before="0" w:beforeAutospacing="0" w:after="109" w:afterAutospacing="0" w:line="216" w:lineRule="auto"/>
                                <w:jc w:val="center"/>
                                <w:rPr>
                                  <w:rFonts w:ascii="Arial Narrow" w:hAnsi="Arial Narrow" w:cstheme="minorBidi"/>
                                  <w:b/>
                                  <w:bCs/>
                                  <w:spacing w:val="-20"/>
                                  <w:kern w:val="24"/>
                                  <w:sz w:val="26"/>
                                  <w:szCs w:val="26"/>
                                  <w:lang w:val="uz-Cyrl-UZ"/>
                                </w:rPr>
                              </w:pPr>
                              <w:r>
                                <w:rPr>
                                  <w:rStyle w:val="Hyperlink"/>
                                  <w:rFonts w:ascii="Arial Narrow" w:hAnsi="Arial Narrow" w:cstheme="minorBidi"/>
                                  <w:bCs/>
                                  <w:spacing w:val="-20"/>
                                  <w:kern w:val="24"/>
                                  <w:sz w:val="26"/>
                                  <w:szCs w:val="26"/>
                                  <w:lang w:val="uz-Cyrl-UZ"/>
                                </w:rPr>
                                <w:t>FSP</w:t>
                              </w:r>
                            </w:p>
                            <w:p w14:paraId="38947EEA" w14:textId="77777777" w:rsidR="006712E0" w:rsidRPr="002E562B" w:rsidRDefault="006712E0" w:rsidP="00047EF8">
                              <w:pPr>
                                <w:pStyle w:val="NormalWeb"/>
                                <w:spacing w:before="0" w:beforeAutospacing="0" w:after="109" w:afterAutospacing="0" w:line="216" w:lineRule="auto"/>
                                <w:jc w:val="center"/>
                                <w:rPr>
                                  <w:rFonts w:ascii="Arial Narrow" w:hAnsi="Arial Narrow"/>
                                  <w:b/>
                                  <w:sz w:val="26"/>
                                  <w:szCs w:val="26"/>
                                </w:rPr>
                              </w:pPr>
                              <w:r>
                                <w:rPr>
                                  <w:rFonts w:ascii="Arial Narrow" w:hAnsi="Arial Narrow" w:cstheme="minorBidi"/>
                                  <w:b/>
                                  <w:bCs/>
                                  <w:spacing w:val="-20"/>
                                  <w:kern w:val="24"/>
                                  <w:sz w:val="26"/>
                                  <w:szCs w:val="26"/>
                                  <w:lang w:val="uz-Cyrl-UZ"/>
                                </w:rPr>
                                <w:t>(4</w:t>
                              </w:r>
                              <w:r w:rsidRPr="002E562B">
                                <w:rPr>
                                  <w:rFonts w:ascii="Arial Narrow" w:hAnsi="Arial Narrow" w:cstheme="minorBidi"/>
                                  <w:b/>
                                  <w:bCs/>
                                  <w:spacing w:val="-20"/>
                                  <w:kern w:val="24"/>
                                  <w:sz w:val="26"/>
                                  <w:szCs w:val="26"/>
                                  <w:lang w:val="uz-Cyrl-UZ"/>
                                </w:rPr>
                                <w:t>)</w:t>
                              </w:r>
                            </w:p>
                          </w:txbxContent>
                        </v:textbox>
                      </v:shape>
                      <v:rect id="Rectangle 118" o:spid="_x0000_s1093" style="position:absolute;top:8881;width:9145;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shape id="Freeform 119" o:spid="_x0000_s1094" style="position:absolute;left:17407;top:7187;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" adj="-11796480,,5400" path="m423411,l846822,160240r,416256l423412,736736,1,576496,1,160240,423411,xe" fillcolor="#002060" strokecolor="white" strokeweight="1pt">
                        <v:stroke joinstyle="miter"/>
                        <v:formulas/>
                        <v:path arrowok="t" o:connecttype="custom" o:connectlocs="0,4867;1394,0;5015,0;6409,4867;5015,9734;1394,9734;0,4867" o:connectangles="0,0,0,0,0,0,0" textboxrect="0,0,846823,736736"/>
                        <v:textbox inset="9.04pt,3.66567mm,3.18914mm,3.66564mm">
                          <w:txbxContent>
                            <w:p w14:paraId="279AEA42"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OEI &amp; SG</w:t>
                              </w:r>
                            </w:p>
                            <w:p w14:paraId="7D199D6C" w14:textId="77777777" w:rsidR="006712E0" w:rsidRPr="002E562B" w:rsidRDefault="006712E0" w:rsidP="00047EF8">
                              <w:pPr>
                                <w:pStyle w:val="NormalWeb"/>
                                <w:spacing w:before="0" w:beforeAutospacing="0" w:after="109" w:afterAutospacing="0" w:line="216" w:lineRule="auto"/>
                                <w:jc w:val="center"/>
                                <w:rPr>
                                  <w:rFonts w:ascii="Arial Narrow" w:hAnsi="Arial Narrow"/>
                                </w:rPr>
                              </w:pPr>
                              <w:r>
                                <w:rPr>
                                  <w:rFonts w:ascii="Arial Narrow" w:hAnsi="Arial Narrow" w:cstheme="minorBidi"/>
                                  <w:b/>
                                  <w:bCs/>
                                  <w:color w:val="FFFFFF" w:themeColor="light1"/>
                                  <w:kern w:val="24"/>
                                  <w:sz w:val="26"/>
                                  <w:szCs w:val="26"/>
                                </w:rPr>
                                <w:t>(1</w:t>
                              </w:r>
                              <w:r w:rsidRPr="002E562B">
                                <w:rPr>
                                  <w:rFonts w:ascii="Arial Narrow" w:hAnsi="Arial Narrow" w:cstheme="minorBidi"/>
                                  <w:b/>
                                  <w:bCs/>
                                  <w:color w:val="FFFFFF" w:themeColor="light1"/>
                                  <w:kern w:val="24"/>
                                  <w:sz w:val="26"/>
                                  <w:szCs w:val="26"/>
                                </w:rPr>
                                <w:t>)</w:t>
                              </w:r>
                            </w:p>
                          </w:txbxContent>
                        </v:textbox>
                      </v:shape>
                      <v:shape id="Freeform 120" o:spid="_x0000_s1095" style="position:absolute;left:13444;top:14375;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" path="m423411,l846822,160240r,416256l423412,736736,1,576496,1,160240,423411,xe" fillcolor="#002060" strokecolor="white" strokeweight="1pt">
                        <v:stroke joinstyle="miter"/>
                        <v:path arrowok="t" o:connecttype="custom" o:connectlocs="0,4867;1394,0;5015,0;6409,4867;5015,9733;1394,9733;0,4867" o:connectangles="0,0,0,0,0,0,0"/>
                      </v:shape>
                      <v:rect id="Rectangle 121" o:spid="_x0000_s1096" style="position:absolute;left:21035;top:16069;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shape id="Freeform 122" o:spid="_x0000_s1097" style="position:absolute;left:5487;top:14375;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" path="m423411,l846822,160240r,416256l423412,736736,1,576496,1,160240,423411,xe" fillcolor="#002060" strokecolor="white" strokeweight="1pt">
                        <v:stroke joinstyle="miter"/>
                        <v:path arrowok="t" o:connecttype="custom" o:connectlocs="0,4867;1394,0;5015,0;6409,4867;5015,9733;1394,9733;0,4867" o:connectangles="0,0,0,0,0,0,0"/>
                      </v:shape>
                    </v:group>
                  </w:pict>
                </mc:Fallback>
              </mc:AlternateContent>
            </w:r>
          </w:p>
        </w:tc>
        <w:tc>
          <w:tcPr>
            <w:tcW w:w="3786" w:type="dxa"/>
            <w:vAlign w:val="center"/>
          </w:tcPr>
          <w:p w14:paraId="05BD1486" w14:textId="77777777" w:rsidR="00047EF8" w:rsidRPr="00F563CD" w:rsidRDefault="00864F83" w:rsidP="00A239C5">
            <w:pPr>
              <w:rPr>
                <w:rFonts w:asciiTheme="minorHAnsi" w:hAnsiTheme="minorHAnsi"/>
                <w:b/>
                <w:sz w:val="14"/>
                <w:szCs w:val="14"/>
              </w:rPr>
            </w:pPr>
            <w:r w:rsidRPr="00F563CD">
              <w:rPr>
                <w:rFonts w:asciiTheme="minorHAnsi" w:hAnsiTheme="minorHAnsi"/>
                <w:b/>
                <w:sz w:val="14"/>
                <w:szCs w:val="14"/>
              </w:rPr>
              <w:t>MINISTRIES:</w:t>
            </w:r>
          </w:p>
          <w:p w14:paraId="41C908DC" w14:textId="77777777" w:rsidR="00047EF8" w:rsidRPr="00F563CD" w:rsidRDefault="00864F83" w:rsidP="00A239C5">
            <w:pPr>
              <w:pStyle w:val="ListParagraph"/>
              <w:numPr>
                <w:ilvl w:val="0"/>
                <w:numId w:val="76"/>
              </w:numPr>
              <w:rPr>
                <w:rFonts w:asciiTheme="minorHAnsi" w:eastAsia="Calibri" w:hAnsiTheme="minorHAnsi"/>
                <w:color w:val="C00000"/>
                <w:sz w:val="16"/>
                <w:szCs w:val="16"/>
              </w:rPr>
            </w:pPr>
            <w:r w:rsidRPr="00F563CD">
              <w:rPr>
                <w:rFonts w:asciiTheme="minorHAnsi" w:eastAsia="Calibri" w:hAnsiTheme="minorHAnsi"/>
                <w:color w:val="C00000"/>
                <w:sz w:val="16"/>
                <w:szCs w:val="16"/>
              </w:rPr>
              <w:t>Ministarstvo pravde, ljudskih i manjinskih prava - MJHMR</w:t>
            </w:r>
          </w:p>
          <w:p w14:paraId="5865B1E4" w14:textId="77777777" w:rsidR="00047EF8" w:rsidRPr="00F563CD" w:rsidRDefault="00864F83" w:rsidP="00A239C5">
            <w:pPr>
              <w:pStyle w:val="ListParagraph"/>
              <w:numPr>
                <w:ilvl w:val="0"/>
                <w:numId w:val="76"/>
              </w:numPr>
              <w:rPr>
                <w:rFonts w:asciiTheme="minorHAnsi" w:eastAsia="Calibri" w:hAnsiTheme="minorHAnsi"/>
                <w:color w:val="C00000"/>
                <w:sz w:val="16"/>
                <w:szCs w:val="16"/>
              </w:rPr>
            </w:pPr>
            <w:r w:rsidRPr="00F563CD">
              <w:rPr>
                <w:rFonts w:asciiTheme="minorHAnsi" w:eastAsia="Calibri" w:hAnsiTheme="minorHAnsi"/>
                <w:color w:val="C00000"/>
                <w:sz w:val="16"/>
                <w:szCs w:val="16"/>
              </w:rPr>
              <w:t>Ministarstvo javne uprave, digitalnog društva i medija – MPADSM</w:t>
            </w:r>
          </w:p>
          <w:p w14:paraId="50666D17" w14:textId="77777777" w:rsidR="00047EF8" w:rsidRPr="00F563CD" w:rsidRDefault="00864F83" w:rsidP="00A239C5">
            <w:pPr>
              <w:pStyle w:val="ListParagraph"/>
              <w:numPr>
                <w:ilvl w:val="0"/>
                <w:numId w:val="76"/>
              </w:numPr>
              <w:rPr>
                <w:rFonts w:asciiTheme="minorHAnsi" w:eastAsia="Calibri" w:hAnsiTheme="minorHAnsi"/>
                <w:color w:val="C00000"/>
                <w:sz w:val="16"/>
                <w:szCs w:val="16"/>
              </w:rPr>
            </w:pPr>
            <w:r w:rsidRPr="00F563CD">
              <w:rPr>
                <w:rFonts w:asciiTheme="minorHAnsi" w:eastAsia="Calibri" w:hAnsiTheme="minorHAnsi"/>
                <w:color w:val="C00000"/>
                <w:sz w:val="16"/>
                <w:szCs w:val="16"/>
              </w:rPr>
              <w:t>Ministarstvo unutrašnjih poslova – MIA</w:t>
            </w:r>
          </w:p>
          <w:p w14:paraId="0473EF77" w14:textId="77777777" w:rsidR="00047EF8" w:rsidRPr="00F563CD" w:rsidRDefault="00864F83" w:rsidP="00A239C5">
            <w:pPr>
              <w:pStyle w:val="ListParagraph"/>
              <w:numPr>
                <w:ilvl w:val="0"/>
                <w:numId w:val="76"/>
              </w:numPr>
              <w:rPr>
                <w:rFonts w:asciiTheme="minorHAnsi" w:eastAsia="Calibri" w:hAnsiTheme="minorHAnsi"/>
                <w:color w:val="C00000"/>
                <w:sz w:val="16"/>
                <w:szCs w:val="16"/>
              </w:rPr>
            </w:pPr>
            <w:r w:rsidRPr="00F563CD">
              <w:rPr>
                <w:rFonts w:asciiTheme="minorHAnsi" w:eastAsia="Calibri" w:hAnsiTheme="minorHAnsi"/>
                <w:color w:val="00B0F0"/>
                <w:sz w:val="16"/>
                <w:szCs w:val="16"/>
              </w:rPr>
              <w:t xml:space="preserve">Ministarstvo finansija i socijalnog </w:t>
            </w:r>
            <w:proofErr w:type="gramStart"/>
            <w:r w:rsidRPr="00F563CD">
              <w:rPr>
                <w:rFonts w:asciiTheme="minorHAnsi" w:eastAsia="Calibri" w:hAnsiTheme="minorHAnsi"/>
                <w:color w:val="00B0F0"/>
                <w:sz w:val="16"/>
                <w:szCs w:val="16"/>
              </w:rPr>
              <w:t>staranja  –</w:t>
            </w:r>
            <w:proofErr w:type="gramEnd"/>
            <w:r w:rsidRPr="00F563CD">
              <w:rPr>
                <w:rFonts w:asciiTheme="minorHAnsi" w:eastAsia="Calibri" w:hAnsiTheme="minorHAnsi"/>
                <w:color w:val="00B0F0"/>
                <w:sz w:val="16"/>
                <w:szCs w:val="16"/>
              </w:rPr>
              <w:t xml:space="preserve"> MoFSW</w:t>
            </w:r>
          </w:p>
          <w:p w14:paraId="6EB64F1E" w14:textId="77777777" w:rsidR="00047EF8" w:rsidRPr="00F563CD" w:rsidRDefault="00864F83" w:rsidP="00A239C5">
            <w:pPr>
              <w:pStyle w:val="ListParagraph"/>
              <w:numPr>
                <w:ilvl w:val="0"/>
                <w:numId w:val="76"/>
              </w:numPr>
              <w:rPr>
                <w:rFonts w:asciiTheme="minorHAnsi" w:eastAsia="Calibri" w:hAnsiTheme="minorHAnsi"/>
                <w:color w:val="C00000"/>
                <w:sz w:val="16"/>
                <w:szCs w:val="16"/>
              </w:rPr>
            </w:pPr>
            <w:r w:rsidRPr="00F563CD">
              <w:rPr>
                <w:rFonts w:asciiTheme="minorHAnsi" w:eastAsia="Calibri" w:hAnsiTheme="minorHAnsi"/>
                <w:color w:val="70AD47"/>
                <w:sz w:val="16"/>
                <w:szCs w:val="16"/>
              </w:rPr>
              <w:t>Ministarstvo kapitalnih investicija – MCI</w:t>
            </w:r>
          </w:p>
          <w:p w14:paraId="63061627" w14:textId="77777777" w:rsidR="00047EF8" w:rsidRPr="00F563CD" w:rsidRDefault="00864F83" w:rsidP="00A239C5">
            <w:pPr>
              <w:pStyle w:val="ListParagraph"/>
              <w:numPr>
                <w:ilvl w:val="0"/>
                <w:numId w:val="76"/>
              </w:numPr>
              <w:rPr>
                <w:rFonts w:asciiTheme="minorHAnsi" w:eastAsia="Calibri" w:hAnsiTheme="minorHAnsi"/>
                <w:color w:val="C00000"/>
                <w:sz w:val="16"/>
                <w:szCs w:val="16"/>
              </w:rPr>
            </w:pPr>
            <w:r w:rsidRPr="00F563CD">
              <w:rPr>
                <w:rFonts w:asciiTheme="minorHAnsi" w:eastAsia="Calibri" w:hAnsiTheme="minorHAnsi"/>
                <w:color w:val="FFC000"/>
                <w:sz w:val="16"/>
                <w:szCs w:val="16"/>
              </w:rPr>
              <w:t xml:space="preserve">Ministarstvo poljoprivrede, šumarstva </w:t>
            </w:r>
            <w:proofErr w:type="gramStart"/>
            <w:r w:rsidRPr="00F563CD">
              <w:rPr>
                <w:rFonts w:asciiTheme="minorHAnsi" w:eastAsia="Calibri" w:hAnsiTheme="minorHAnsi"/>
                <w:color w:val="FFC000"/>
                <w:sz w:val="16"/>
                <w:szCs w:val="16"/>
              </w:rPr>
              <w:t>i  vodoprivrede</w:t>
            </w:r>
            <w:proofErr w:type="gramEnd"/>
            <w:r w:rsidRPr="00F563CD">
              <w:rPr>
                <w:rFonts w:asciiTheme="minorHAnsi" w:eastAsia="Calibri" w:hAnsiTheme="minorHAnsi"/>
                <w:color w:val="FFC000"/>
                <w:sz w:val="16"/>
                <w:szCs w:val="16"/>
              </w:rPr>
              <w:t xml:space="preserve"> – MAFWM</w:t>
            </w:r>
          </w:p>
          <w:p w14:paraId="7B8CB181" w14:textId="77777777" w:rsidR="00047EF8" w:rsidRPr="00F563CD" w:rsidRDefault="00864F83" w:rsidP="00A239C5">
            <w:pPr>
              <w:pStyle w:val="ListParagraph"/>
              <w:numPr>
                <w:ilvl w:val="0"/>
                <w:numId w:val="76"/>
              </w:numPr>
              <w:rPr>
                <w:rFonts w:asciiTheme="minorHAnsi" w:eastAsia="Calibri" w:hAnsiTheme="minorHAnsi"/>
                <w:color w:val="C00000"/>
                <w:sz w:val="16"/>
                <w:szCs w:val="16"/>
              </w:rPr>
            </w:pPr>
            <w:r w:rsidRPr="00F563CD">
              <w:rPr>
                <w:rFonts w:asciiTheme="minorHAnsi" w:eastAsia="Calibri" w:hAnsiTheme="minorHAnsi"/>
                <w:color w:val="FFC000"/>
                <w:sz w:val="16"/>
                <w:szCs w:val="16"/>
              </w:rPr>
              <w:t xml:space="preserve">Ministasrstvo ekologije, prostornog planiranja </w:t>
            </w:r>
            <w:proofErr w:type="gramStart"/>
            <w:r w:rsidRPr="00F563CD">
              <w:rPr>
                <w:rFonts w:asciiTheme="minorHAnsi" w:eastAsia="Calibri" w:hAnsiTheme="minorHAnsi"/>
                <w:color w:val="FFC000"/>
                <w:sz w:val="16"/>
                <w:szCs w:val="16"/>
              </w:rPr>
              <w:t>i,urbanizma</w:t>
            </w:r>
            <w:proofErr w:type="gramEnd"/>
            <w:r w:rsidRPr="00F563CD">
              <w:rPr>
                <w:rFonts w:asciiTheme="minorHAnsi" w:eastAsia="Calibri" w:hAnsiTheme="minorHAnsi"/>
                <w:color w:val="FFC000"/>
                <w:sz w:val="16"/>
                <w:szCs w:val="16"/>
              </w:rPr>
              <w:t xml:space="preserve"> – MESPU</w:t>
            </w:r>
          </w:p>
          <w:p w14:paraId="5F828BCF" w14:textId="77777777" w:rsidR="00047EF8" w:rsidRPr="00F563CD" w:rsidRDefault="00864F83" w:rsidP="00A239C5">
            <w:pPr>
              <w:pStyle w:val="ListParagraph"/>
              <w:numPr>
                <w:ilvl w:val="0"/>
                <w:numId w:val="76"/>
              </w:numPr>
              <w:spacing w:after="0"/>
              <w:rPr>
                <w:rFonts w:asciiTheme="minorHAnsi" w:eastAsia="Calibri" w:hAnsiTheme="minorHAnsi"/>
                <w:color w:val="C00000"/>
                <w:sz w:val="16"/>
                <w:szCs w:val="16"/>
              </w:rPr>
            </w:pPr>
            <w:r w:rsidRPr="00F563CD">
              <w:rPr>
                <w:rFonts w:asciiTheme="minorHAnsi" w:eastAsia="Calibri" w:hAnsiTheme="minorHAnsi"/>
                <w:color w:val="FFC000"/>
                <w:sz w:val="16"/>
                <w:szCs w:val="16"/>
              </w:rPr>
              <w:t>Ministarstvo za ekonomski razvj – MED</w:t>
            </w:r>
          </w:p>
          <w:p w14:paraId="2E3A7E69" w14:textId="77777777" w:rsidR="00047EF8" w:rsidRPr="00F563CD" w:rsidRDefault="00864F83" w:rsidP="00A239C5">
            <w:pPr>
              <w:numPr>
                <w:ilvl w:val="0"/>
                <w:numId w:val="76"/>
              </w:numPr>
              <w:contextualSpacing/>
              <w:rPr>
                <w:rFonts w:asciiTheme="minorHAnsi" w:eastAsia="Calibri" w:hAnsiTheme="minorHAnsi"/>
                <w:color w:val="FFC000"/>
                <w:sz w:val="16"/>
                <w:szCs w:val="16"/>
              </w:rPr>
            </w:pPr>
            <w:r w:rsidRPr="00F563CD">
              <w:rPr>
                <w:rFonts w:asciiTheme="minorHAnsi" w:eastAsia="Calibri" w:hAnsiTheme="minorHAnsi"/>
                <w:color w:val="FF5050"/>
                <w:sz w:val="16"/>
                <w:szCs w:val="16"/>
              </w:rPr>
              <w:t>Ministarstvo prosvjete, nauke, kulture i sporta – MESCS</w:t>
            </w:r>
          </w:p>
          <w:p w14:paraId="15103F70" w14:textId="77777777" w:rsidR="00047EF8" w:rsidRPr="00F563CD" w:rsidRDefault="00864F83" w:rsidP="00A239C5">
            <w:pPr>
              <w:numPr>
                <w:ilvl w:val="0"/>
                <w:numId w:val="76"/>
              </w:numPr>
              <w:contextualSpacing/>
              <w:rPr>
                <w:rFonts w:asciiTheme="minorHAnsi" w:eastAsia="Calibri" w:hAnsiTheme="minorHAnsi"/>
                <w:color w:val="FFC000"/>
                <w:sz w:val="16"/>
                <w:szCs w:val="16"/>
              </w:rPr>
            </w:pPr>
            <w:r w:rsidRPr="00F563CD">
              <w:rPr>
                <w:rFonts w:asciiTheme="minorHAnsi" w:eastAsia="Calibri" w:hAnsiTheme="minorHAnsi"/>
                <w:color w:val="948A54"/>
                <w:sz w:val="16"/>
                <w:szCs w:val="16"/>
              </w:rPr>
              <w:t>Ministarstvo zdravlja – MoH</w:t>
            </w:r>
          </w:p>
          <w:p w14:paraId="2B5E757E" w14:textId="77777777" w:rsidR="00047EF8" w:rsidRPr="00F563CD" w:rsidRDefault="00864F83" w:rsidP="00A239C5">
            <w:pPr>
              <w:numPr>
                <w:ilvl w:val="0"/>
                <w:numId w:val="76"/>
              </w:numPr>
              <w:contextualSpacing/>
              <w:rPr>
                <w:rFonts w:asciiTheme="minorHAnsi" w:eastAsia="Calibri" w:hAnsiTheme="minorHAnsi"/>
                <w:color w:val="FFC000"/>
                <w:sz w:val="16"/>
                <w:szCs w:val="16"/>
              </w:rPr>
            </w:pPr>
            <w:r w:rsidRPr="00F563CD">
              <w:rPr>
                <w:rFonts w:asciiTheme="minorHAnsi" w:eastAsia="Calibri" w:hAnsiTheme="minorHAnsi"/>
                <w:color w:val="948A54"/>
                <w:sz w:val="16"/>
                <w:szCs w:val="16"/>
              </w:rPr>
              <w:t>Ministarstvo finansija i socijalnog staranja – MFSW</w:t>
            </w:r>
          </w:p>
          <w:p w14:paraId="61CE3964" w14:textId="77777777" w:rsidR="00047EF8" w:rsidRPr="00F563CD" w:rsidRDefault="00864F83" w:rsidP="00A239C5">
            <w:pPr>
              <w:numPr>
                <w:ilvl w:val="0"/>
                <w:numId w:val="76"/>
              </w:numPr>
              <w:contextualSpacing/>
              <w:rPr>
                <w:rFonts w:asciiTheme="minorHAnsi" w:eastAsia="Calibri" w:hAnsiTheme="minorHAnsi"/>
                <w:color w:val="0070C0"/>
                <w:sz w:val="16"/>
                <w:szCs w:val="16"/>
              </w:rPr>
            </w:pPr>
            <w:r w:rsidRPr="00F563CD">
              <w:rPr>
                <w:rFonts w:asciiTheme="minorHAnsi" w:eastAsia="Calibri" w:hAnsiTheme="minorHAnsi"/>
                <w:color w:val="0070C0"/>
                <w:sz w:val="16"/>
                <w:szCs w:val="16"/>
              </w:rPr>
              <w:t>Ministarstvo vanjskih poslova – MFA</w:t>
            </w:r>
          </w:p>
          <w:p w14:paraId="3F7C8A45" w14:textId="77777777" w:rsidR="00047EF8" w:rsidRPr="00F563CD" w:rsidRDefault="00864F83" w:rsidP="00A239C5">
            <w:pPr>
              <w:numPr>
                <w:ilvl w:val="0"/>
                <w:numId w:val="76"/>
              </w:numPr>
              <w:contextualSpacing/>
              <w:rPr>
                <w:rFonts w:asciiTheme="minorHAnsi" w:eastAsia="Calibri" w:hAnsiTheme="minorHAnsi"/>
                <w:color w:val="0070C0"/>
                <w:sz w:val="16"/>
                <w:szCs w:val="16"/>
              </w:rPr>
            </w:pPr>
            <w:r w:rsidRPr="00F563CD">
              <w:rPr>
                <w:rFonts w:asciiTheme="minorHAnsi" w:eastAsia="Calibri" w:hAnsiTheme="minorHAnsi"/>
                <w:color w:val="0070C0"/>
                <w:sz w:val="16"/>
                <w:szCs w:val="16"/>
              </w:rPr>
              <w:t>Ministarstvo odbrane – MoD</w:t>
            </w:r>
          </w:p>
          <w:p w14:paraId="27D143D9" w14:textId="77777777" w:rsidR="00047EF8" w:rsidRPr="00F563CD" w:rsidRDefault="00864F83" w:rsidP="00A239C5">
            <w:pPr>
              <w:numPr>
                <w:ilvl w:val="0"/>
                <w:numId w:val="76"/>
              </w:numPr>
              <w:contextualSpacing/>
              <w:rPr>
                <w:rFonts w:asciiTheme="minorHAnsi" w:eastAsia="Calibri" w:hAnsiTheme="minorHAnsi"/>
                <w:color w:val="0070C0"/>
                <w:sz w:val="16"/>
                <w:szCs w:val="16"/>
              </w:rPr>
            </w:pPr>
            <w:r w:rsidRPr="00F563CD">
              <w:rPr>
                <w:rFonts w:asciiTheme="minorHAnsi" w:eastAsia="Calibri" w:hAnsiTheme="minorHAnsi"/>
                <w:color w:val="0070C0"/>
                <w:sz w:val="16"/>
                <w:szCs w:val="16"/>
              </w:rPr>
              <w:t>Kancelarija za Evropske integracije – EIO</w:t>
            </w:r>
          </w:p>
          <w:p w14:paraId="222499F3" w14:textId="77777777" w:rsidR="00047EF8" w:rsidRPr="00F563CD" w:rsidRDefault="00864F83" w:rsidP="00A239C5">
            <w:pPr>
              <w:numPr>
                <w:ilvl w:val="0"/>
                <w:numId w:val="76"/>
              </w:numPr>
              <w:contextualSpacing/>
              <w:rPr>
                <w:rFonts w:asciiTheme="minorHAnsi" w:eastAsia="Calibri" w:hAnsiTheme="minorHAnsi"/>
                <w:color w:val="0070C0"/>
                <w:sz w:val="16"/>
                <w:szCs w:val="16"/>
              </w:rPr>
            </w:pPr>
            <w:r w:rsidRPr="00F563CD">
              <w:rPr>
                <w:rFonts w:asciiTheme="minorHAnsi" w:eastAsia="Calibri" w:hAnsiTheme="minorHAnsi"/>
                <w:color w:val="0070C0"/>
                <w:sz w:val="16"/>
                <w:szCs w:val="16"/>
              </w:rPr>
              <w:t>Generalni sekretarijat Vlade - SGG</w:t>
            </w:r>
          </w:p>
          <w:p w14:paraId="7132C901" w14:textId="77777777" w:rsidR="00047EF8" w:rsidRPr="00F563CD" w:rsidRDefault="00047EF8" w:rsidP="00A239C5">
            <w:pPr>
              <w:ind w:left="720"/>
              <w:contextualSpacing/>
              <w:rPr>
                <w:rFonts w:asciiTheme="minorHAnsi" w:eastAsia="Calibri" w:hAnsiTheme="minorHAnsi"/>
                <w:color w:val="0070C0"/>
                <w:sz w:val="16"/>
                <w:szCs w:val="16"/>
              </w:rPr>
            </w:pPr>
          </w:p>
          <w:p w14:paraId="44562160" w14:textId="77777777" w:rsidR="00047EF8" w:rsidRPr="00F563CD" w:rsidRDefault="00047EF8" w:rsidP="00A239C5">
            <w:pPr>
              <w:ind w:left="720"/>
              <w:contextualSpacing/>
              <w:rPr>
                <w:rFonts w:asciiTheme="minorHAnsi" w:eastAsia="Calibri" w:hAnsiTheme="minorHAnsi"/>
                <w:color w:val="FFC000"/>
                <w:sz w:val="16"/>
                <w:szCs w:val="16"/>
              </w:rPr>
            </w:pPr>
          </w:p>
          <w:p w14:paraId="374B3D03" w14:textId="77777777" w:rsidR="00047EF8" w:rsidRPr="00F563CD" w:rsidRDefault="00047EF8" w:rsidP="00A239C5">
            <w:pPr>
              <w:ind w:left="720"/>
              <w:contextualSpacing/>
              <w:rPr>
                <w:rFonts w:asciiTheme="minorHAnsi" w:eastAsia="Calibri" w:hAnsiTheme="minorHAnsi"/>
                <w:color w:val="FFC000"/>
                <w:sz w:val="16"/>
                <w:szCs w:val="16"/>
              </w:rPr>
            </w:pPr>
          </w:p>
          <w:p w14:paraId="5C706D76" w14:textId="77777777" w:rsidR="00047EF8" w:rsidRPr="00F563CD" w:rsidRDefault="00047EF8" w:rsidP="00A239C5">
            <w:pPr>
              <w:ind w:left="720"/>
              <w:contextualSpacing/>
              <w:rPr>
                <w:rFonts w:asciiTheme="minorHAnsi" w:eastAsia="Calibri" w:hAnsiTheme="minorHAnsi"/>
                <w:color w:val="FFC000"/>
                <w:sz w:val="16"/>
                <w:szCs w:val="16"/>
              </w:rPr>
            </w:pPr>
          </w:p>
          <w:p w14:paraId="60242BBF" w14:textId="77777777" w:rsidR="00047EF8" w:rsidRPr="00F563CD" w:rsidRDefault="00047EF8" w:rsidP="00A239C5">
            <w:pPr>
              <w:ind w:left="720"/>
              <w:contextualSpacing/>
              <w:rPr>
                <w:rFonts w:asciiTheme="minorHAnsi" w:eastAsia="Calibri" w:hAnsiTheme="minorHAnsi"/>
                <w:color w:val="FFC000"/>
                <w:sz w:val="16"/>
                <w:szCs w:val="16"/>
              </w:rPr>
            </w:pPr>
          </w:p>
          <w:p w14:paraId="66AF1D18" w14:textId="77777777" w:rsidR="00047EF8" w:rsidRPr="00F563CD" w:rsidRDefault="00047EF8" w:rsidP="00A239C5">
            <w:pPr>
              <w:ind w:left="360"/>
              <w:contextualSpacing/>
              <w:rPr>
                <w:rFonts w:asciiTheme="minorHAnsi" w:eastAsia="Calibri" w:hAnsiTheme="minorHAnsi"/>
                <w:color w:val="FFC000"/>
                <w:sz w:val="16"/>
                <w:szCs w:val="16"/>
              </w:rPr>
            </w:pPr>
          </w:p>
          <w:p w14:paraId="66FC1255" w14:textId="77777777" w:rsidR="00047EF8" w:rsidRPr="00F563CD" w:rsidRDefault="00047EF8" w:rsidP="00A239C5">
            <w:pPr>
              <w:ind w:left="360"/>
              <w:contextualSpacing/>
              <w:rPr>
                <w:rFonts w:asciiTheme="minorHAnsi" w:hAnsiTheme="minorHAnsi"/>
                <w:color w:val="FF5050"/>
                <w:sz w:val="16"/>
                <w:szCs w:val="16"/>
              </w:rPr>
            </w:pPr>
          </w:p>
        </w:tc>
      </w:tr>
    </w:tbl>
    <w:p w14:paraId="28B461EA" w14:textId="0FB81E3B"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noProof/>
          <w:color w:val="FFFFFF" w:themeColor="background1"/>
          <w:u w:color="FFFFFF" w:themeColor="background1"/>
          <w:lang w:val="en-US" w:eastAsia="en-US"/>
        </w:rPr>
        <w:lastRenderedPageBreak/>
        <mc:AlternateContent>
          <mc:Choice Requires="wps">
            <w:drawing>
              <wp:anchor distT="0" distB="0" distL="114300" distR="114300" simplePos="0" relativeHeight="251677696" behindDoc="0" locked="0" layoutInCell="1" allowOverlap="1" wp14:anchorId="1C45F9DF" wp14:editId="0763837E">
                <wp:simplePos x="0" y="0"/>
                <wp:positionH relativeFrom="margin">
                  <wp:posOffset>-290195</wp:posOffset>
                </wp:positionH>
                <wp:positionV relativeFrom="paragraph">
                  <wp:posOffset>-1014095</wp:posOffset>
                </wp:positionV>
                <wp:extent cx="4143375" cy="1771650"/>
                <wp:effectExtent l="0" t="0" r="9525" b="0"/>
                <wp:wrapNone/>
                <wp:docPr id="23511" name="Rounded Rectangle 235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3375" cy="1771650"/>
                        </a:xfrm>
                        <a:prstGeom prst="roundRect">
                          <a:avLst/>
                        </a:prstGeom>
                        <a:solidFill>
                          <a:sysClr val="window" lastClr="FFFFFF"/>
                        </a:solidFill>
                        <a:ln w="12700" cap="flat" cmpd="sng" algn="ctr">
                          <a:solidFill>
                            <a:srgbClr val="8A0000"/>
                          </a:solidFill>
                          <a:prstDash val="solid"/>
                          <a:miter lim="800000"/>
                        </a:ln>
                        <a:effectLst/>
                      </wps:spPr>
                      <wps:txbx>
                        <w:txbxContent>
                          <w:p w14:paraId="0B58993C" w14:textId="77777777" w:rsidR="006712E0" w:rsidRPr="006D2649" w:rsidRDefault="006712E0" w:rsidP="00047EF8">
                            <w:pPr>
                              <w:pStyle w:val="ListParagraph"/>
                              <w:spacing w:after="0" w:line="240" w:lineRule="auto"/>
                              <w:jc w:val="center"/>
                              <w:rPr>
                                <w:rFonts w:ascii="Arial Narrow" w:hAnsi="Arial Narrow"/>
                                <w:b/>
                                <w:color w:val="8A0000"/>
                                <w:szCs w:val="24"/>
                              </w:rPr>
                            </w:pPr>
                            <w:r w:rsidRPr="006D2649">
                              <w:rPr>
                                <w:rFonts w:ascii="Arial Narrow" w:hAnsi="Arial Narrow"/>
                                <w:b/>
                                <w:color w:val="8A0000"/>
                                <w:szCs w:val="24"/>
                              </w:rPr>
                              <w:t>SEKTORSKE STRATEGIJE:</w:t>
                            </w:r>
                          </w:p>
                          <w:p w14:paraId="60FB557B" w14:textId="77777777" w:rsidR="006712E0" w:rsidRPr="009F56CA" w:rsidRDefault="006712E0" w:rsidP="00047EF8">
                            <w:pPr>
                              <w:numPr>
                                <w:ilvl w:val="0"/>
                                <w:numId w:val="77"/>
                              </w:numPr>
                              <w:spacing w:after="0" w:line="240" w:lineRule="auto"/>
                              <w:contextualSpacing/>
                              <w:jc w:val="both"/>
                              <w:rPr>
                                <w:rFonts w:ascii="Arial Narrow" w:eastAsia="Calibri" w:hAnsi="Arial Narrow"/>
                                <w:b/>
                                <w:bCs/>
                                <w:color w:val="8A0000"/>
                                <w:sz w:val="18"/>
                                <w:szCs w:val="20"/>
                                <w:lang w:val="fr-FR"/>
                              </w:rPr>
                            </w:pPr>
                            <w:r w:rsidRPr="009F56CA">
                              <w:rPr>
                                <w:rFonts w:ascii="Arial Narrow" w:eastAsia="Calibri" w:hAnsi="Arial Narrow"/>
                                <w:b/>
                                <w:bCs/>
                                <w:color w:val="8A0000"/>
                                <w:sz w:val="18"/>
                                <w:szCs w:val="20"/>
                                <w:lang w:val="fr-FR"/>
                              </w:rPr>
                              <w:t>Strategija za borbu protiv trgovine ljudima 2019-2024</w:t>
                            </w:r>
                          </w:p>
                          <w:p w14:paraId="250B42DA" w14:textId="77777777" w:rsidR="006712E0" w:rsidRPr="006D2649" w:rsidRDefault="006712E0" w:rsidP="00047EF8">
                            <w:pPr>
                              <w:numPr>
                                <w:ilvl w:val="0"/>
                                <w:numId w:val="77"/>
                              </w:numPr>
                              <w:spacing w:after="0" w:line="240" w:lineRule="auto"/>
                              <w:contextualSpacing/>
                              <w:jc w:val="both"/>
                              <w:rPr>
                                <w:rFonts w:ascii="Arial Narrow" w:eastAsia="Calibri" w:hAnsi="Arial Narrow"/>
                                <w:b/>
                                <w:color w:val="8A0000"/>
                                <w:sz w:val="18"/>
                                <w:szCs w:val="20"/>
                              </w:rPr>
                            </w:pPr>
                            <w:r w:rsidRPr="006D2649">
                              <w:rPr>
                                <w:rFonts w:ascii="Arial Narrow" w:eastAsia="Calibri" w:hAnsi="Arial Narrow"/>
                                <w:b/>
                                <w:color w:val="8A0000"/>
                                <w:sz w:val="18"/>
                                <w:szCs w:val="20"/>
                              </w:rPr>
                              <w:t xml:space="preserve">Strategija smanjenja rizika u katastrofama 2018-2023 </w:t>
                            </w:r>
                          </w:p>
                          <w:p w14:paraId="3C105FA4" w14:textId="77777777" w:rsidR="006712E0" w:rsidRPr="006D2649" w:rsidRDefault="006712E0" w:rsidP="00047EF8">
                            <w:pPr>
                              <w:numPr>
                                <w:ilvl w:val="0"/>
                                <w:numId w:val="77"/>
                              </w:numPr>
                              <w:spacing w:after="0" w:line="240" w:lineRule="auto"/>
                              <w:contextualSpacing/>
                              <w:jc w:val="both"/>
                              <w:rPr>
                                <w:rFonts w:ascii="Arial Narrow" w:eastAsia="Calibri" w:hAnsi="Arial Narrow"/>
                                <w:b/>
                                <w:color w:val="8A0000"/>
                                <w:sz w:val="18"/>
                                <w:szCs w:val="20"/>
                              </w:rPr>
                            </w:pPr>
                            <w:r w:rsidRPr="006D2649">
                              <w:rPr>
                                <w:rFonts w:ascii="Arial Narrow" w:eastAsia="Calibri" w:hAnsi="Arial Narrow"/>
                                <w:b/>
                                <w:color w:val="8A0000"/>
                                <w:sz w:val="18"/>
                                <w:szCs w:val="20"/>
                              </w:rPr>
                              <w:t>Strategija upravljanja ljudskim resursima u Direktoratu za politike 2019-2024</w:t>
                            </w:r>
                          </w:p>
                          <w:p w14:paraId="5B31E421" w14:textId="77777777" w:rsidR="006712E0" w:rsidRPr="006D2649" w:rsidRDefault="006712E0" w:rsidP="00047EF8">
                            <w:pPr>
                              <w:numPr>
                                <w:ilvl w:val="0"/>
                                <w:numId w:val="77"/>
                              </w:numPr>
                              <w:spacing w:after="0" w:line="240" w:lineRule="auto"/>
                              <w:contextualSpacing/>
                              <w:jc w:val="both"/>
                              <w:rPr>
                                <w:rFonts w:ascii="Arial Narrow" w:eastAsia="Calibri" w:hAnsi="Arial Narrow"/>
                                <w:b/>
                                <w:color w:val="8A0000"/>
                                <w:sz w:val="18"/>
                                <w:szCs w:val="20"/>
                              </w:rPr>
                            </w:pPr>
                            <w:r w:rsidRPr="006D2649">
                              <w:rPr>
                                <w:rFonts w:ascii="Arial Narrow" w:eastAsia="Calibri" w:hAnsi="Arial Narrow"/>
                                <w:b/>
                                <w:color w:val="8A0000"/>
                                <w:sz w:val="18"/>
                                <w:szCs w:val="20"/>
                              </w:rPr>
                              <w:t>Strategija za sprečavanje ilegalnog posjedovanja, zloupotrebe i trgovine malim oružjem i lakim naoružanjem i municijom 2019-2025</w:t>
                            </w:r>
                          </w:p>
                          <w:p w14:paraId="24099FC1" w14:textId="77777777" w:rsidR="006712E0" w:rsidRPr="006D2649" w:rsidRDefault="001D48BA" w:rsidP="00047EF8">
                            <w:pPr>
                              <w:numPr>
                                <w:ilvl w:val="0"/>
                                <w:numId w:val="77"/>
                              </w:numPr>
                              <w:spacing w:after="0" w:line="240" w:lineRule="auto"/>
                              <w:contextualSpacing/>
                              <w:jc w:val="both"/>
                              <w:rPr>
                                <w:rFonts w:ascii="Arial Narrow" w:eastAsia="Calibri" w:hAnsi="Arial Narrow"/>
                                <w:b/>
                                <w:color w:val="8A0000"/>
                                <w:sz w:val="18"/>
                                <w:szCs w:val="20"/>
                              </w:rPr>
                            </w:pPr>
                            <w:hyperlink r:id="rId41" w:history="1">
                              <w:r w:rsidR="006712E0" w:rsidRPr="006D2649">
                                <w:rPr>
                                  <w:rFonts w:ascii="Arial Narrow" w:eastAsia="Calibri" w:hAnsi="Arial Narrow"/>
                                  <w:b/>
                                  <w:color w:val="8A0000"/>
                                  <w:sz w:val="18"/>
                                  <w:szCs w:val="20"/>
                                </w:rPr>
                                <w:t xml:space="preserve">Šengenski akcioni plan </w:t>
                              </w:r>
                            </w:hyperlink>
                          </w:p>
                          <w:p w14:paraId="204279D2" w14:textId="77777777" w:rsidR="006712E0" w:rsidRPr="006D2649" w:rsidRDefault="006712E0" w:rsidP="00047EF8">
                            <w:pPr>
                              <w:numPr>
                                <w:ilvl w:val="0"/>
                                <w:numId w:val="77"/>
                              </w:numPr>
                              <w:spacing w:after="0" w:line="240" w:lineRule="auto"/>
                              <w:contextualSpacing/>
                              <w:jc w:val="both"/>
                              <w:rPr>
                                <w:rFonts w:ascii="Arial Narrow" w:eastAsia="Calibri" w:hAnsi="Arial Narrow"/>
                                <w:b/>
                                <w:color w:val="8A0000"/>
                                <w:sz w:val="18"/>
                                <w:szCs w:val="20"/>
                              </w:rPr>
                            </w:pPr>
                            <w:r w:rsidRPr="006D2649">
                              <w:rPr>
                                <w:rFonts w:ascii="Arial Narrow" w:eastAsia="Calibri" w:hAnsi="Arial Narrow"/>
                                <w:b/>
                                <w:color w:val="8A0000"/>
                                <w:sz w:val="18"/>
                                <w:szCs w:val="20"/>
                              </w:rPr>
                              <w:t>Strategija integrisanog upravljanja granicama 2020-2024</w:t>
                            </w:r>
                          </w:p>
                          <w:p w14:paraId="31482470" w14:textId="77777777" w:rsidR="006712E0" w:rsidRPr="006D2649" w:rsidRDefault="006712E0" w:rsidP="00047EF8">
                            <w:pPr>
                              <w:numPr>
                                <w:ilvl w:val="0"/>
                                <w:numId w:val="77"/>
                              </w:numPr>
                              <w:spacing w:after="0" w:line="240" w:lineRule="auto"/>
                              <w:contextualSpacing/>
                              <w:jc w:val="both"/>
                              <w:rPr>
                                <w:rFonts w:ascii="Arial Narrow" w:eastAsia="Calibri" w:hAnsi="Arial Narrow"/>
                                <w:b/>
                                <w:color w:val="8A0000"/>
                                <w:sz w:val="18"/>
                                <w:szCs w:val="20"/>
                              </w:rPr>
                            </w:pPr>
                            <w:r w:rsidRPr="006D2649">
                              <w:rPr>
                                <w:rFonts w:ascii="Arial Narrow" w:eastAsia="Calibri" w:hAnsi="Arial Narrow"/>
                                <w:b/>
                                <w:color w:val="8A0000"/>
                                <w:sz w:val="18"/>
                                <w:szCs w:val="20"/>
                              </w:rPr>
                              <w:t xml:space="preserve">Strategija za sprečavanje i obuzdavanje radikalizacije i nasilnog </w:t>
                            </w:r>
                            <w:r>
                              <w:rPr>
                                <w:rFonts w:ascii="Arial Narrow" w:eastAsia="Calibri" w:hAnsi="Arial Narrow"/>
                                <w:b/>
                                <w:color w:val="8A0000"/>
                                <w:sz w:val="18"/>
                                <w:szCs w:val="20"/>
                              </w:rPr>
                              <w:t>ekstremizma</w:t>
                            </w:r>
                            <w:r w:rsidRPr="006D2649">
                              <w:rPr>
                                <w:rFonts w:ascii="Arial Narrow" w:eastAsia="Calibri" w:hAnsi="Arial Narrow"/>
                                <w:b/>
                                <w:color w:val="8A0000"/>
                                <w:sz w:val="18"/>
                                <w:szCs w:val="20"/>
                              </w:rPr>
                              <w:t xml:space="preserve"> 2020-2024</w:t>
                            </w:r>
                          </w:p>
                          <w:p w14:paraId="37AAAA8A" w14:textId="77777777" w:rsidR="006712E0" w:rsidRPr="006D2649" w:rsidRDefault="006712E0" w:rsidP="00047EF8">
                            <w:pPr>
                              <w:spacing w:after="0" w:line="240" w:lineRule="auto"/>
                              <w:jc w:val="both"/>
                              <w:rPr>
                                <w:rStyle w:val="Hyperlink"/>
                                <w:rFonts w:ascii="Arial Narrow" w:hAnsi="Arial Narrow"/>
                                <w:b/>
                                <w:color w:val="8A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5F9DF" id="Rounded Rectangle 23511" o:spid="_x0000_s1098" style="position:absolute;left:0;text-align:left;margin-left:-22.85pt;margin-top:-79.85pt;width:326.25pt;height:13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" fillcolor="window" strokecolor="#8a0000" strokeweight="1pt">
                <v:stroke joinstyle="miter"/>
                <v:path arrowok="t"/>
                <v:textbox>
                  <w:txbxContent>
                    <w:p w14:paraId="0B58993C" w14:textId="77777777" w:rsidR="006712E0" w:rsidRPr="006D2649" w:rsidRDefault="006712E0" w:rsidP="00047EF8">
                      <w:pPr>
                        <w:pStyle w:val="ListParagraph"/>
                        <w:spacing w:after="0" w:line="240" w:lineRule="auto"/>
                        <w:jc w:val="center"/>
                        <w:rPr>
                          <w:rFonts w:ascii="Arial Narrow" w:hAnsi="Arial Narrow"/>
                          <w:b/>
                          <w:color w:val="8A0000"/>
                          <w:szCs w:val="24"/>
                        </w:rPr>
                      </w:pPr>
                      <w:r w:rsidRPr="006D2649">
                        <w:rPr>
                          <w:rFonts w:ascii="Arial Narrow" w:hAnsi="Arial Narrow"/>
                          <w:b/>
                          <w:color w:val="8A0000"/>
                          <w:szCs w:val="24"/>
                        </w:rPr>
                        <w:t>SEKTORSKE STRATEGIJE:</w:t>
                      </w:r>
                    </w:p>
                    <w:p w14:paraId="60FB557B" w14:textId="77777777" w:rsidR="006712E0" w:rsidRPr="009F56CA" w:rsidRDefault="006712E0" w:rsidP="00047EF8">
                      <w:pPr>
                        <w:numPr>
                          <w:ilvl w:val="0"/>
                          <w:numId w:val="77"/>
                        </w:numPr>
                        <w:spacing w:after="0" w:line="240" w:lineRule="auto"/>
                        <w:contextualSpacing/>
                        <w:jc w:val="both"/>
                        <w:rPr>
                          <w:rFonts w:ascii="Arial Narrow" w:eastAsia="Calibri" w:hAnsi="Arial Narrow"/>
                          <w:b/>
                          <w:bCs/>
                          <w:color w:val="8A0000"/>
                          <w:sz w:val="18"/>
                          <w:szCs w:val="20"/>
                          <w:lang w:val="fr-FR"/>
                        </w:rPr>
                      </w:pPr>
                      <w:r w:rsidRPr="009F56CA">
                        <w:rPr>
                          <w:rFonts w:ascii="Arial Narrow" w:eastAsia="Calibri" w:hAnsi="Arial Narrow"/>
                          <w:b/>
                          <w:bCs/>
                          <w:color w:val="8A0000"/>
                          <w:sz w:val="18"/>
                          <w:szCs w:val="20"/>
                          <w:lang w:val="fr-FR"/>
                        </w:rPr>
                        <w:t>Strategija za borbu protiv trgovine ljudima 2019-2024</w:t>
                      </w:r>
                    </w:p>
                    <w:p w14:paraId="250B42DA" w14:textId="77777777" w:rsidR="006712E0" w:rsidRPr="006D2649" w:rsidRDefault="006712E0" w:rsidP="00047EF8">
                      <w:pPr>
                        <w:numPr>
                          <w:ilvl w:val="0"/>
                          <w:numId w:val="77"/>
                        </w:numPr>
                        <w:spacing w:after="0" w:line="240" w:lineRule="auto"/>
                        <w:contextualSpacing/>
                        <w:jc w:val="both"/>
                        <w:rPr>
                          <w:rFonts w:ascii="Arial Narrow" w:eastAsia="Calibri" w:hAnsi="Arial Narrow"/>
                          <w:b/>
                          <w:color w:val="8A0000"/>
                          <w:sz w:val="18"/>
                          <w:szCs w:val="20"/>
                        </w:rPr>
                      </w:pPr>
                      <w:r w:rsidRPr="006D2649">
                        <w:rPr>
                          <w:rFonts w:ascii="Arial Narrow" w:eastAsia="Calibri" w:hAnsi="Arial Narrow"/>
                          <w:b/>
                          <w:color w:val="8A0000"/>
                          <w:sz w:val="18"/>
                          <w:szCs w:val="20"/>
                        </w:rPr>
                        <w:t xml:space="preserve">Strategija smanjenja rizika u katastrofama 2018-2023 </w:t>
                      </w:r>
                    </w:p>
                    <w:p w14:paraId="3C105FA4" w14:textId="77777777" w:rsidR="006712E0" w:rsidRPr="006D2649" w:rsidRDefault="006712E0" w:rsidP="00047EF8">
                      <w:pPr>
                        <w:numPr>
                          <w:ilvl w:val="0"/>
                          <w:numId w:val="77"/>
                        </w:numPr>
                        <w:spacing w:after="0" w:line="240" w:lineRule="auto"/>
                        <w:contextualSpacing/>
                        <w:jc w:val="both"/>
                        <w:rPr>
                          <w:rFonts w:ascii="Arial Narrow" w:eastAsia="Calibri" w:hAnsi="Arial Narrow"/>
                          <w:b/>
                          <w:color w:val="8A0000"/>
                          <w:sz w:val="18"/>
                          <w:szCs w:val="20"/>
                        </w:rPr>
                      </w:pPr>
                      <w:r w:rsidRPr="006D2649">
                        <w:rPr>
                          <w:rFonts w:ascii="Arial Narrow" w:eastAsia="Calibri" w:hAnsi="Arial Narrow"/>
                          <w:b/>
                          <w:color w:val="8A0000"/>
                          <w:sz w:val="18"/>
                          <w:szCs w:val="20"/>
                        </w:rPr>
                        <w:t>Strategija upravljanja ljudskim resursima u Direktoratu za politike 2019-2024</w:t>
                      </w:r>
                    </w:p>
                    <w:p w14:paraId="5B31E421" w14:textId="77777777" w:rsidR="006712E0" w:rsidRPr="006D2649" w:rsidRDefault="006712E0" w:rsidP="00047EF8">
                      <w:pPr>
                        <w:numPr>
                          <w:ilvl w:val="0"/>
                          <w:numId w:val="77"/>
                        </w:numPr>
                        <w:spacing w:after="0" w:line="240" w:lineRule="auto"/>
                        <w:contextualSpacing/>
                        <w:jc w:val="both"/>
                        <w:rPr>
                          <w:rFonts w:ascii="Arial Narrow" w:eastAsia="Calibri" w:hAnsi="Arial Narrow"/>
                          <w:b/>
                          <w:color w:val="8A0000"/>
                          <w:sz w:val="18"/>
                          <w:szCs w:val="20"/>
                        </w:rPr>
                      </w:pPr>
                      <w:r w:rsidRPr="006D2649">
                        <w:rPr>
                          <w:rFonts w:ascii="Arial Narrow" w:eastAsia="Calibri" w:hAnsi="Arial Narrow"/>
                          <w:b/>
                          <w:color w:val="8A0000"/>
                          <w:sz w:val="18"/>
                          <w:szCs w:val="20"/>
                        </w:rPr>
                        <w:t>Strategija za sprečavanje ilegalnog posjedovanja, zloupotrebe i trgovine malim oružjem i lakim naoružanjem i municijom 2019-2025</w:t>
                      </w:r>
                    </w:p>
                    <w:p w14:paraId="24099FC1" w14:textId="77777777" w:rsidR="006712E0" w:rsidRPr="006D2649" w:rsidRDefault="006712E0" w:rsidP="00047EF8">
                      <w:pPr>
                        <w:numPr>
                          <w:ilvl w:val="0"/>
                          <w:numId w:val="77"/>
                        </w:numPr>
                        <w:spacing w:after="0" w:line="240" w:lineRule="auto"/>
                        <w:contextualSpacing/>
                        <w:jc w:val="both"/>
                        <w:rPr>
                          <w:rFonts w:ascii="Arial Narrow" w:eastAsia="Calibri" w:hAnsi="Arial Narrow"/>
                          <w:b/>
                          <w:color w:val="8A0000"/>
                          <w:sz w:val="18"/>
                          <w:szCs w:val="20"/>
                        </w:rPr>
                      </w:pPr>
                      <w:hyperlink r:id="rId42" w:history="1">
                        <w:r w:rsidRPr="006D2649">
                          <w:rPr>
                            <w:rFonts w:ascii="Arial Narrow" w:eastAsia="Calibri" w:hAnsi="Arial Narrow"/>
                            <w:b/>
                            <w:color w:val="8A0000"/>
                            <w:sz w:val="18"/>
                            <w:szCs w:val="20"/>
                          </w:rPr>
                          <w:t xml:space="preserve">Šengenski akcioni plan </w:t>
                        </w:r>
                      </w:hyperlink>
                    </w:p>
                    <w:p w14:paraId="204279D2" w14:textId="77777777" w:rsidR="006712E0" w:rsidRPr="006D2649" w:rsidRDefault="006712E0" w:rsidP="00047EF8">
                      <w:pPr>
                        <w:numPr>
                          <w:ilvl w:val="0"/>
                          <w:numId w:val="77"/>
                        </w:numPr>
                        <w:spacing w:after="0" w:line="240" w:lineRule="auto"/>
                        <w:contextualSpacing/>
                        <w:jc w:val="both"/>
                        <w:rPr>
                          <w:rFonts w:ascii="Arial Narrow" w:eastAsia="Calibri" w:hAnsi="Arial Narrow"/>
                          <w:b/>
                          <w:color w:val="8A0000"/>
                          <w:sz w:val="18"/>
                          <w:szCs w:val="20"/>
                        </w:rPr>
                      </w:pPr>
                      <w:r w:rsidRPr="006D2649">
                        <w:rPr>
                          <w:rFonts w:ascii="Arial Narrow" w:eastAsia="Calibri" w:hAnsi="Arial Narrow"/>
                          <w:b/>
                          <w:color w:val="8A0000"/>
                          <w:sz w:val="18"/>
                          <w:szCs w:val="20"/>
                        </w:rPr>
                        <w:t>Strategija integrisanog upravljanja granicama 2020-2024</w:t>
                      </w:r>
                    </w:p>
                    <w:p w14:paraId="31482470" w14:textId="77777777" w:rsidR="006712E0" w:rsidRPr="006D2649" w:rsidRDefault="006712E0" w:rsidP="00047EF8">
                      <w:pPr>
                        <w:numPr>
                          <w:ilvl w:val="0"/>
                          <w:numId w:val="77"/>
                        </w:numPr>
                        <w:spacing w:after="0" w:line="240" w:lineRule="auto"/>
                        <w:contextualSpacing/>
                        <w:jc w:val="both"/>
                        <w:rPr>
                          <w:rFonts w:ascii="Arial Narrow" w:eastAsia="Calibri" w:hAnsi="Arial Narrow"/>
                          <w:b/>
                          <w:color w:val="8A0000"/>
                          <w:sz w:val="18"/>
                          <w:szCs w:val="20"/>
                        </w:rPr>
                      </w:pPr>
                      <w:r w:rsidRPr="006D2649">
                        <w:rPr>
                          <w:rFonts w:ascii="Arial Narrow" w:eastAsia="Calibri" w:hAnsi="Arial Narrow"/>
                          <w:b/>
                          <w:color w:val="8A0000"/>
                          <w:sz w:val="18"/>
                          <w:szCs w:val="20"/>
                        </w:rPr>
                        <w:t xml:space="preserve">Strategija za sprečavanje i obuzdavanje radikalizacije i nasilnog </w:t>
                      </w:r>
                      <w:r>
                        <w:rPr>
                          <w:rFonts w:ascii="Arial Narrow" w:eastAsia="Calibri" w:hAnsi="Arial Narrow"/>
                          <w:b/>
                          <w:color w:val="8A0000"/>
                          <w:sz w:val="18"/>
                          <w:szCs w:val="20"/>
                        </w:rPr>
                        <w:t>ekstremizma</w:t>
                      </w:r>
                      <w:r w:rsidRPr="006D2649">
                        <w:rPr>
                          <w:rFonts w:ascii="Arial Narrow" w:eastAsia="Calibri" w:hAnsi="Arial Narrow"/>
                          <w:b/>
                          <w:color w:val="8A0000"/>
                          <w:sz w:val="18"/>
                          <w:szCs w:val="20"/>
                        </w:rPr>
                        <w:t xml:space="preserve"> 2020-2024</w:t>
                      </w:r>
                    </w:p>
                    <w:p w14:paraId="37AAAA8A" w14:textId="77777777" w:rsidR="006712E0" w:rsidRPr="006D2649" w:rsidRDefault="006712E0" w:rsidP="00047EF8">
                      <w:pPr>
                        <w:spacing w:after="0" w:line="240" w:lineRule="auto"/>
                        <w:jc w:val="both"/>
                        <w:rPr>
                          <w:rStyle w:val="Hyperlink"/>
                          <w:rFonts w:ascii="Arial Narrow" w:hAnsi="Arial Narrow"/>
                          <w:b/>
                          <w:color w:val="8A0000"/>
                          <w:sz w:val="18"/>
                        </w:rPr>
                      </w:pPr>
                    </w:p>
                  </w:txbxContent>
                </v:textbox>
                <w10:wrap anchorx="margin"/>
              </v:roundrect>
            </w:pict>
          </mc:Fallback>
        </mc:AlternateContent>
      </w:r>
      <w:r w:rsidRPr="00F563CD">
        <w:rPr>
          <w:rFonts w:asciiTheme="minorHAnsi" w:hAnsiTheme="minorHAnsi"/>
          <w:noProof/>
          <w:lang w:val="en-US" w:eastAsia="en-US"/>
        </w:rPr>
        <mc:AlternateContent>
          <mc:Choice Requires="wps">
            <w:drawing>
              <wp:anchor distT="0" distB="0" distL="114300" distR="114300" simplePos="0" relativeHeight="251714560" behindDoc="0" locked="0" layoutInCell="1" allowOverlap="1" wp14:anchorId="438FAB04" wp14:editId="7864B241">
                <wp:simplePos x="0" y="0"/>
                <wp:positionH relativeFrom="page">
                  <wp:posOffset>4504055</wp:posOffset>
                </wp:positionH>
                <wp:positionV relativeFrom="paragraph">
                  <wp:posOffset>-1033145</wp:posOffset>
                </wp:positionV>
                <wp:extent cx="1895475" cy="1714500"/>
                <wp:effectExtent l="0" t="0" r="9525" b="0"/>
                <wp:wrapNone/>
                <wp:docPr id="23510" name="Rounded Rectangle 23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1714500"/>
                        </a:xfrm>
                        <a:prstGeom prst="roundRect">
                          <a:avLst/>
                        </a:prstGeom>
                        <a:solidFill>
                          <a:sysClr val="window" lastClr="FFFFFF"/>
                        </a:solidFill>
                        <a:ln w="12700" cap="flat" cmpd="sng" algn="ctr">
                          <a:solidFill>
                            <a:srgbClr val="860000"/>
                          </a:solidFill>
                          <a:prstDash val="solid"/>
                          <a:miter lim="800000"/>
                        </a:ln>
                        <a:effectLst/>
                      </wps:spPr>
                      <wps:txbx>
                        <w:txbxContent>
                          <w:p w14:paraId="7956595C" w14:textId="77777777" w:rsidR="006712E0" w:rsidRPr="00272655" w:rsidRDefault="006712E0" w:rsidP="00047EF8">
                            <w:pPr>
                              <w:jc w:val="center"/>
                              <w:rPr>
                                <w:rFonts w:ascii="Arial Narrow" w:hAnsi="Arial Narrow"/>
                                <w:b/>
                                <w:color w:val="860000"/>
                                <w:sz w:val="24"/>
                                <w:szCs w:val="24"/>
                              </w:rPr>
                            </w:pPr>
                            <w:r>
                              <w:rPr>
                                <w:rFonts w:ascii="Arial Narrow" w:hAnsi="Arial Narrow"/>
                                <w:b/>
                                <w:color w:val="860000"/>
                                <w:sz w:val="24"/>
                                <w:szCs w:val="24"/>
                              </w:rPr>
                              <w:t>SEKTORSKI PROGRAMI</w:t>
                            </w:r>
                            <w:r w:rsidRPr="00272655">
                              <w:rPr>
                                <w:rFonts w:ascii="Arial Narrow" w:hAnsi="Arial Narrow"/>
                                <w:b/>
                                <w:color w:val="860000"/>
                                <w:sz w:val="24"/>
                                <w:szCs w:val="24"/>
                              </w:rPr>
                              <w:t>:</w:t>
                            </w:r>
                          </w:p>
                          <w:p w14:paraId="00AF23CC" w14:textId="77777777" w:rsidR="006712E0" w:rsidRPr="00CF5EE3" w:rsidRDefault="001D48BA" w:rsidP="00047EF8">
                            <w:pPr>
                              <w:rPr>
                                <w:rFonts w:ascii="Arial Narrow" w:hAnsi="Arial Narrow"/>
                                <w:b/>
                                <w:color w:val="860000"/>
                                <w:sz w:val="20"/>
                                <w:szCs w:val="20"/>
                              </w:rPr>
                            </w:pPr>
                            <w:hyperlink r:id="rId43" w:history="1">
                              <w:r w:rsidR="006712E0">
                                <w:rPr>
                                  <w:rStyle w:val="Hyperlink"/>
                                  <w:rFonts w:ascii="Arial Narrow" w:hAnsi="Arial Narrow"/>
                                  <w:color w:val="860000"/>
                                  <w:sz w:val="20"/>
                                </w:rPr>
                                <w:t>Program</w:t>
                              </w:r>
                              <w:r w:rsidR="006712E0" w:rsidRPr="00CF5EE3">
                                <w:rPr>
                                  <w:rStyle w:val="Hyperlink"/>
                                  <w:rFonts w:ascii="Arial Narrow" w:hAnsi="Arial Narrow"/>
                                  <w:color w:val="860000"/>
                                  <w:sz w:val="20"/>
                                </w:rPr>
                                <w:t xml:space="preserve"> </w:t>
                              </w:r>
                              <w:r w:rsidR="006712E0">
                                <w:rPr>
                                  <w:rStyle w:val="Hyperlink"/>
                                  <w:rFonts w:ascii="Arial Narrow" w:hAnsi="Arial Narrow"/>
                                  <w:color w:val="860000"/>
                                  <w:sz w:val="20"/>
                                </w:rPr>
                                <w:t>za unapređenje bezbjednosti drumskog saobra</w:t>
                              </w:r>
                              <w:r w:rsidR="006712E0">
                                <w:rPr>
                                  <w:rStyle w:val="Hyperlink"/>
                                  <w:rFonts w:ascii="Times New Roman" w:hAnsi="Times New Roman"/>
                                  <w:color w:val="860000"/>
                                  <w:sz w:val="20"/>
                                </w:rPr>
                                <w:t>ć</w:t>
                              </w:r>
                              <w:r w:rsidR="006712E0">
                                <w:rPr>
                                  <w:rStyle w:val="Hyperlink"/>
                                  <w:rFonts w:ascii="Arial Narrow" w:hAnsi="Arial Narrow"/>
                                  <w:color w:val="860000"/>
                                  <w:sz w:val="20"/>
                                </w:rPr>
                                <w:t>aja</w:t>
                              </w:r>
                              <w:r w:rsidR="006712E0" w:rsidRPr="00CF5EE3">
                                <w:rPr>
                                  <w:rStyle w:val="Hyperlink"/>
                                  <w:rFonts w:ascii="Arial Narrow" w:hAnsi="Arial Narrow"/>
                                  <w:color w:val="860000"/>
                                  <w:sz w:val="20"/>
                                </w:rPr>
                                <w:t xml:space="preserve"> 2020-2022</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FAB04" id="Rounded Rectangle 23510" o:spid="_x0000_s1099" style="position:absolute;left:0;text-align:left;margin-left:354.65pt;margin-top:-81.35pt;width:149.25pt;height:13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" fillcolor="window" strokecolor="#860000" strokeweight="1pt">
                <v:stroke joinstyle="miter"/>
                <v:path arrowok="t"/>
                <v:textbox>
                  <w:txbxContent>
                    <w:p w14:paraId="7956595C" w14:textId="77777777" w:rsidR="006712E0" w:rsidRPr="00272655" w:rsidRDefault="006712E0" w:rsidP="00047EF8">
                      <w:pPr>
                        <w:jc w:val="center"/>
                        <w:rPr>
                          <w:rFonts w:ascii="Arial Narrow" w:hAnsi="Arial Narrow"/>
                          <w:b/>
                          <w:color w:val="860000"/>
                          <w:sz w:val="24"/>
                          <w:szCs w:val="24"/>
                        </w:rPr>
                      </w:pPr>
                      <w:r>
                        <w:rPr>
                          <w:rFonts w:ascii="Arial Narrow" w:hAnsi="Arial Narrow"/>
                          <w:b/>
                          <w:color w:val="860000"/>
                          <w:sz w:val="24"/>
                          <w:szCs w:val="24"/>
                        </w:rPr>
                        <w:t>SEKTORSKI PROGRAMI</w:t>
                      </w:r>
                      <w:r w:rsidRPr="00272655">
                        <w:rPr>
                          <w:rFonts w:ascii="Arial Narrow" w:hAnsi="Arial Narrow"/>
                          <w:b/>
                          <w:color w:val="860000"/>
                          <w:sz w:val="24"/>
                          <w:szCs w:val="24"/>
                        </w:rPr>
                        <w:t>:</w:t>
                      </w:r>
                    </w:p>
                    <w:p w14:paraId="00AF23CC" w14:textId="77777777" w:rsidR="006712E0" w:rsidRPr="00CF5EE3" w:rsidRDefault="006712E0" w:rsidP="00047EF8">
                      <w:pPr>
                        <w:rPr>
                          <w:rFonts w:ascii="Arial Narrow" w:hAnsi="Arial Narrow"/>
                          <w:b/>
                          <w:color w:val="860000"/>
                          <w:sz w:val="20"/>
                          <w:szCs w:val="20"/>
                        </w:rPr>
                      </w:pPr>
                      <w:hyperlink r:id="rId44" w:history="1">
                        <w:r>
                          <w:rPr>
                            <w:rStyle w:val="Hyperlink"/>
                            <w:rFonts w:ascii="Arial Narrow" w:hAnsi="Arial Narrow"/>
                            <w:color w:val="860000"/>
                            <w:sz w:val="20"/>
                          </w:rPr>
                          <w:t>Program</w:t>
                        </w:r>
                        <w:r w:rsidRPr="00CF5EE3">
                          <w:rPr>
                            <w:rStyle w:val="Hyperlink"/>
                            <w:rFonts w:ascii="Arial Narrow" w:hAnsi="Arial Narrow"/>
                            <w:color w:val="860000"/>
                            <w:sz w:val="20"/>
                          </w:rPr>
                          <w:t xml:space="preserve"> </w:t>
                        </w:r>
                        <w:r>
                          <w:rPr>
                            <w:rStyle w:val="Hyperlink"/>
                            <w:rFonts w:ascii="Arial Narrow" w:hAnsi="Arial Narrow"/>
                            <w:color w:val="860000"/>
                            <w:sz w:val="20"/>
                          </w:rPr>
                          <w:t>za unapređenje bezbjednosti drumskog saobra</w:t>
                        </w:r>
                        <w:r>
                          <w:rPr>
                            <w:rStyle w:val="Hyperlink"/>
                            <w:rFonts w:ascii="Times New Roman" w:hAnsi="Times New Roman"/>
                            <w:color w:val="860000"/>
                            <w:sz w:val="20"/>
                          </w:rPr>
                          <w:t>ć</w:t>
                        </w:r>
                        <w:r>
                          <w:rPr>
                            <w:rStyle w:val="Hyperlink"/>
                            <w:rFonts w:ascii="Arial Narrow" w:hAnsi="Arial Narrow"/>
                            <w:color w:val="860000"/>
                            <w:sz w:val="20"/>
                          </w:rPr>
                          <w:t>aja</w:t>
                        </w:r>
                        <w:r w:rsidRPr="00CF5EE3">
                          <w:rPr>
                            <w:rStyle w:val="Hyperlink"/>
                            <w:rFonts w:ascii="Arial Narrow" w:hAnsi="Arial Narrow"/>
                            <w:color w:val="860000"/>
                            <w:sz w:val="20"/>
                          </w:rPr>
                          <w:t xml:space="preserve"> 2020-2022</w:t>
                        </w:r>
                      </w:hyperlink>
                    </w:p>
                  </w:txbxContent>
                </v:textbox>
                <w10:wrap anchorx="page"/>
              </v:roundrect>
            </w:pict>
          </mc:Fallback>
        </mc:AlternateContent>
      </w:r>
      <w:r w:rsidRPr="00F563CD">
        <w:rPr>
          <w:rFonts w:asciiTheme="minorHAnsi" w:hAnsiTheme="minorHAnsi"/>
          <w:noProof/>
          <w:color w:val="FFFFFF" w:themeColor="background1"/>
          <w:u w:color="FFFFFF" w:themeColor="background1"/>
          <w:lang w:val="en-US" w:eastAsia="en-US"/>
        </w:rPr>
        <mc:AlternateContent>
          <mc:Choice Requires="wps">
            <w:drawing>
              <wp:anchor distT="0" distB="0" distL="114300" distR="114300" simplePos="0" relativeHeight="251668480" behindDoc="0" locked="0" layoutInCell="1" allowOverlap="1" wp14:anchorId="79A0A279" wp14:editId="68EBD783">
                <wp:simplePos x="0" y="0"/>
                <wp:positionH relativeFrom="column">
                  <wp:posOffset>-400050</wp:posOffset>
                </wp:positionH>
                <wp:positionV relativeFrom="paragraph">
                  <wp:posOffset>-2046605</wp:posOffset>
                </wp:positionV>
                <wp:extent cx="6724650" cy="390525"/>
                <wp:effectExtent l="0" t="0" r="0" b="0"/>
                <wp:wrapNone/>
                <wp:docPr id="23508" name="Text Box 23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0" cy="390525"/>
                        </a:xfrm>
                        <a:prstGeom prst="rect">
                          <a:avLst/>
                        </a:prstGeom>
                        <a:solidFill>
                          <a:sysClr val="window" lastClr="FFFFFF"/>
                        </a:solidFill>
                        <a:ln w="6350">
                          <a:noFill/>
                        </a:ln>
                      </wps:spPr>
                      <wps:txbx>
                        <w:txbxContent>
                          <w:p w14:paraId="5B4A42F4" w14:textId="77777777" w:rsidR="006712E0" w:rsidRPr="00272655" w:rsidRDefault="006712E0" w:rsidP="00047EF8">
                            <w:pPr>
                              <w:pStyle w:val="Header"/>
                              <w:jc w:val="right"/>
                              <w:rPr>
                                <w:b/>
                                <w:color w:val="C00000"/>
                                <w:spacing w:val="-20"/>
                                <w:sz w:val="30"/>
                                <w:szCs w:val="30"/>
                              </w:rPr>
                            </w:pPr>
                            <w:r>
                              <w:rPr>
                                <w:b/>
                                <w:color w:val="C00000"/>
                                <w:spacing w:val="-20"/>
                                <w:sz w:val="30"/>
                                <w:szCs w:val="30"/>
                              </w:rPr>
                              <w:t>DEMOKRATIJA I DOBRO UPRAVLJANJE</w:t>
                            </w:r>
                          </w:p>
                          <w:p w14:paraId="4AF77E2E" w14:textId="77777777" w:rsidR="006712E0" w:rsidRPr="00272655" w:rsidRDefault="006712E0" w:rsidP="00047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0A279" id="Text Box 23508" o:spid="_x0000_s1100" type="#_x0000_t202" style="position:absolute;left:0;text-align:left;margin-left:-31.5pt;margin-top:-161.15pt;width:529.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" fillcolor="window" stroked="f" strokeweight=".5pt">
                <v:path arrowok="t"/>
                <v:textbox>
                  <w:txbxContent>
                    <w:p w14:paraId="5B4A42F4" w14:textId="77777777" w:rsidR="006712E0" w:rsidRPr="00272655" w:rsidRDefault="006712E0" w:rsidP="00047EF8">
                      <w:pPr>
                        <w:pStyle w:val="Header"/>
                        <w:jc w:val="right"/>
                        <w:rPr>
                          <w:b/>
                          <w:color w:val="C00000"/>
                          <w:spacing w:val="-20"/>
                          <w:sz w:val="30"/>
                          <w:szCs w:val="30"/>
                        </w:rPr>
                      </w:pPr>
                      <w:r>
                        <w:rPr>
                          <w:b/>
                          <w:color w:val="C00000"/>
                          <w:spacing w:val="-20"/>
                          <w:sz w:val="30"/>
                          <w:szCs w:val="30"/>
                        </w:rPr>
                        <w:t>DEMOKRATIJA I DOBRO UPRAVLJANJE</w:t>
                      </w:r>
                    </w:p>
                    <w:p w14:paraId="4AF77E2E" w14:textId="77777777" w:rsidR="006712E0" w:rsidRPr="00272655" w:rsidRDefault="006712E0" w:rsidP="00047EF8"/>
                  </w:txbxContent>
                </v:textbox>
              </v:shape>
            </w:pict>
          </mc:Fallback>
        </mc:AlternateContent>
      </w:r>
      <w:r w:rsidRPr="00F563CD">
        <w:rPr>
          <w:rFonts w:asciiTheme="minorHAnsi" w:hAnsiTheme="minorHAnsi"/>
          <w:noProof/>
          <w:color w:val="FFFFFF" w:themeColor="background1"/>
          <w:u w:color="FFFFFF" w:themeColor="background1"/>
          <w:lang w:val="en-US" w:eastAsia="en-US"/>
        </w:rPr>
        <mc:AlternateContent>
          <mc:Choice Requires="wps">
            <w:drawing>
              <wp:anchor distT="0" distB="0" distL="114300" distR="114300" simplePos="0" relativeHeight="251676672" behindDoc="0" locked="0" layoutInCell="1" allowOverlap="1" wp14:anchorId="2285FCFC" wp14:editId="68200291">
                <wp:simplePos x="0" y="0"/>
                <wp:positionH relativeFrom="margin">
                  <wp:posOffset>-438150</wp:posOffset>
                </wp:positionH>
                <wp:positionV relativeFrom="paragraph">
                  <wp:posOffset>-1637030</wp:posOffset>
                </wp:positionV>
                <wp:extent cx="6353175" cy="438150"/>
                <wp:effectExtent l="0" t="0" r="9525" b="0"/>
                <wp:wrapNone/>
                <wp:docPr id="23513" name="Rounded Rectangle 23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438150"/>
                        </a:xfrm>
                        <a:prstGeom prst="roundRect">
                          <a:avLst/>
                        </a:prstGeom>
                        <a:solidFill>
                          <a:srgbClr val="8A0000"/>
                        </a:solidFill>
                        <a:ln w="12700" cap="flat" cmpd="sng" algn="ctr">
                          <a:solidFill>
                            <a:srgbClr val="5B9BD5">
                              <a:shade val="50000"/>
                            </a:srgbClr>
                          </a:solidFill>
                          <a:prstDash val="solid"/>
                          <a:miter lim="800000"/>
                        </a:ln>
                        <a:effectLst/>
                      </wps:spPr>
                      <wps:txbx>
                        <w:txbxContent>
                          <w:p w14:paraId="765E20F1" w14:textId="77777777" w:rsidR="006712E0" w:rsidRPr="00272655" w:rsidRDefault="006712E0" w:rsidP="00047EF8">
                            <w:pPr>
                              <w:jc w:val="center"/>
                              <w:rPr>
                                <w:rFonts w:ascii="Arial" w:hAnsi="Arial" w:cs="Arial"/>
                                <w:b/>
                                <w:sz w:val="28"/>
                                <w:szCs w:val="28"/>
                              </w:rPr>
                            </w:pPr>
                            <w:r>
                              <w:rPr>
                                <w:rFonts w:ascii="Arial" w:hAnsi="Arial" w:cs="Arial"/>
                                <w:b/>
                                <w:sz w:val="28"/>
                                <w:szCs w:val="28"/>
                              </w:rPr>
                              <w:t>MINISTARSTVO UNUTRAŠNJIH POSLOVA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5FCFC" id="Rounded Rectangle 23513" o:spid="_x0000_s1101" style="position:absolute;left:0;text-align:left;margin-left:-34.5pt;margin-top:-128.9pt;width:500.25pt;height:3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" fillcolor="#8a0000" strokecolor="#41719c" strokeweight="1pt">
                <v:stroke joinstyle="miter"/>
                <v:path arrowok="t"/>
                <v:textbox>
                  <w:txbxContent>
                    <w:p w14:paraId="765E20F1" w14:textId="77777777" w:rsidR="006712E0" w:rsidRPr="00272655" w:rsidRDefault="006712E0" w:rsidP="00047EF8">
                      <w:pPr>
                        <w:jc w:val="center"/>
                        <w:rPr>
                          <w:rFonts w:ascii="Arial" w:hAnsi="Arial" w:cs="Arial"/>
                          <w:b/>
                          <w:sz w:val="28"/>
                          <w:szCs w:val="28"/>
                        </w:rPr>
                      </w:pPr>
                      <w:r>
                        <w:rPr>
                          <w:rFonts w:ascii="Arial" w:hAnsi="Arial" w:cs="Arial"/>
                          <w:b/>
                          <w:sz w:val="28"/>
                          <w:szCs w:val="28"/>
                        </w:rPr>
                        <w:t>MINISTARSTVO UNUTRAŠNJIH POSLOVA</w:t>
                      </w:r>
                    </w:p>
                  </w:txbxContent>
                </v:textbox>
                <w10:wrap anchorx="margin"/>
              </v:roundrect>
            </w:pict>
          </mc:Fallback>
        </mc:AlternateContent>
      </w:r>
    </w:p>
    <w:p w14:paraId="2B1D1B1C" w14:textId="6D0EAD59"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noProof/>
          <w:color w:val="FFFFFF" w:themeColor="background1"/>
          <w:u w:color="FFFFFF" w:themeColor="background1"/>
          <w:lang w:val="en-US" w:eastAsia="en-US"/>
        </w:rPr>
        <mc:AlternateContent>
          <mc:Choice Requires="wps">
            <w:drawing>
              <wp:anchor distT="0" distB="0" distL="114300" distR="114300" simplePos="0" relativeHeight="251678720" behindDoc="0" locked="0" layoutInCell="1" allowOverlap="1" wp14:anchorId="0947214C" wp14:editId="338AC0AE">
                <wp:simplePos x="0" y="0"/>
                <wp:positionH relativeFrom="margin">
                  <wp:posOffset>-333375</wp:posOffset>
                </wp:positionH>
                <wp:positionV relativeFrom="paragraph">
                  <wp:posOffset>368300</wp:posOffset>
                </wp:positionV>
                <wp:extent cx="6657975" cy="447675"/>
                <wp:effectExtent l="0" t="0" r="9525" b="9525"/>
                <wp:wrapNone/>
                <wp:docPr id="124" name="Rounded 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447675"/>
                        </a:xfrm>
                        <a:prstGeom prst="roundRect">
                          <a:avLst/>
                        </a:prstGeom>
                        <a:solidFill>
                          <a:srgbClr val="B10F0F"/>
                        </a:solidFill>
                        <a:ln w="12700" cap="flat" cmpd="sng" algn="ctr">
                          <a:solidFill>
                            <a:srgbClr val="5B9BD5">
                              <a:shade val="50000"/>
                            </a:srgbClr>
                          </a:solidFill>
                          <a:prstDash val="solid"/>
                          <a:miter lim="800000"/>
                        </a:ln>
                        <a:effectLst/>
                      </wps:spPr>
                      <wps:txbx>
                        <w:txbxContent>
                          <w:p w14:paraId="141B63C2" w14:textId="77777777" w:rsidR="006712E0" w:rsidRPr="009A5D16" w:rsidRDefault="006712E0" w:rsidP="00047EF8">
                            <w:pPr>
                              <w:jc w:val="center"/>
                              <w:rPr>
                                <w:rFonts w:ascii="Arial" w:hAnsi="Arial" w:cs="Arial"/>
                                <w:b/>
                                <w:color w:val="FFFFFF" w:themeColor="background1"/>
                                <w:sz w:val="28"/>
                                <w:szCs w:val="28"/>
                              </w:rPr>
                            </w:pPr>
                            <w:r>
                              <w:rPr>
                                <w:rFonts w:ascii="Arial" w:hAnsi="Arial" w:cs="Arial"/>
                                <w:b/>
                                <w:color w:val="FFFFFF" w:themeColor="background1"/>
                                <w:sz w:val="28"/>
                                <w:szCs w:val="28"/>
                              </w:rPr>
                              <w:t>MINISTARSTVO</w:t>
                            </w:r>
                            <w:r w:rsidRPr="009A5D16">
                              <w:rPr>
                                <w:rFonts w:ascii="Arial" w:hAnsi="Arial" w:cs="Arial"/>
                                <w:b/>
                                <w:color w:val="FFFFFF" w:themeColor="background1"/>
                                <w:sz w:val="28"/>
                                <w:szCs w:val="28"/>
                              </w:rPr>
                              <w:t xml:space="preserve"> </w:t>
                            </w:r>
                            <w:r>
                              <w:rPr>
                                <w:rFonts w:ascii="Arial" w:hAnsi="Arial" w:cs="Arial"/>
                                <w:b/>
                                <w:color w:val="FFFFFF" w:themeColor="background1"/>
                                <w:sz w:val="28"/>
                                <w:szCs w:val="28"/>
                              </w:rPr>
                              <w:t>JAVNE UPRAVE, DIGITALNOG DRUŠTVA I MEDIJA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7214C" id="Rounded Rectangle 124" o:spid="_x0000_s1102" style="position:absolute;left:0;text-align:left;margin-left:-26.25pt;margin-top:29pt;width:524.25pt;height:3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" fillcolor="#b10f0f" strokecolor="#41719c" strokeweight="1pt">
                <v:stroke joinstyle="miter"/>
                <v:path arrowok="t"/>
                <v:textbox>
                  <w:txbxContent>
                    <w:p w14:paraId="141B63C2" w14:textId="77777777" w:rsidR="006712E0" w:rsidRPr="009A5D16" w:rsidRDefault="006712E0" w:rsidP="00047EF8">
                      <w:pPr>
                        <w:jc w:val="center"/>
                        <w:rPr>
                          <w:rFonts w:ascii="Arial" w:hAnsi="Arial" w:cs="Arial"/>
                          <w:b/>
                          <w:color w:val="FFFFFF" w:themeColor="background1"/>
                          <w:sz w:val="28"/>
                          <w:szCs w:val="28"/>
                        </w:rPr>
                      </w:pPr>
                      <w:r>
                        <w:rPr>
                          <w:rFonts w:ascii="Arial" w:hAnsi="Arial" w:cs="Arial"/>
                          <w:b/>
                          <w:color w:val="FFFFFF" w:themeColor="background1"/>
                          <w:sz w:val="28"/>
                          <w:szCs w:val="28"/>
                        </w:rPr>
                        <w:t>MINISTARSTVO</w:t>
                      </w:r>
                      <w:r w:rsidRPr="009A5D16">
                        <w:rPr>
                          <w:rFonts w:ascii="Arial" w:hAnsi="Arial" w:cs="Arial"/>
                          <w:b/>
                          <w:color w:val="FFFFFF" w:themeColor="background1"/>
                          <w:sz w:val="28"/>
                          <w:szCs w:val="28"/>
                        </w:rPr>
                        <w:t xml:space="preserve"> </w:t>
                      </w:r>
                      <w:r>
                        <w:rPr>
                          <w:rFonts w:ascii="Arial" w:hAnsi="Arial" w:cs="Arial"/>
                          <w:b/>
                          <w:color w:val="FFFFFF" w:themeColor="background1"/>
                          <w:sz w:val="28"/>
                          <w:szCs w:val="28"/>
                        </w:rPr>
                        <w:t>JAVNE UPRAVE, DIGITALNOG DRUŠTVA I MEDIJA</w:t>
                      </w:r>
                    </w:p>
                  </w:txbxContent>
                </v:textbox>
                <w10:wrap anchorx="margin"/>
              </v:roundrect>
            </w:pict>
          </mc:Fallback>
        </mc:AlternateContent>
      </w:r>
    </w:p>
    <w:p w14:paraId="16A5D77E" w14:textId="77777777" w:rsidR="00047EF8" w:rsidRPr="00F563CD" w:rsidRDefault="00047EF8" w:rsidP="00047EF8">
      <w:pPr>
        <w:jc w:val="both"/>
        <w:rPr>
          <w:rFonts w:asciiTheme="minorHAnsi" w:hAnsiTheme="minorHAnsi"/>
          <w:color w:val="FFFFFF" w:themeColor="background1"/>
          <w:sz w:val="24"/>
          <w:szCs w:val="24"/>
          <w:u w:color="FFFFFF" w:themeColor="background1"/>
        </w:rPr>
      </w:pPr>
    </w:p>
    <w:p w14:paraId="7348B9D6" w14:textId="534CF583"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noProof/>
          <w:color w:val="FFFFFF" w:themeColor="background1"/>
          <w:u w:color="FFFFFF" w:themeColor="background1"/>
          <w:lang w:val="en-US" w:eastAsia="en-US"/>
        </w:rPr>
        <mc:AlternateContent>
          <mc:Choice Requires="wps">
            <w:drawing>
              <wp:anchor distT="0" distB="0" distL="114300" distR="114300" simplePos="0" relativeHeight="251679744" behindDoc="0" locked="0" layoutInCell="1" allowOverlap="1" wp14:anchorId="08D51A9C" wp14:editId="78904FA9">
                <wp:simplePos x="0" y="0"/>
                <wp:positionH relativeFrom="margin">
                  <wp:posOffset>-447675</wp:posOffset>
                </wp:positionH>
                <wp:positionV relativeFrom="paragraph">
                  <wp:posOffset>340995</wp:posOffset>
                </wp:positionV>
                <wp:extent cx="7019925" cy="1276350"/>
                <wp:effectExtent l="0" t="0" r="9525" b="0"/>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9925" cy="1276350"/>
                        </a:xfrm>
                        <a:prstGeom prst="roundRect">
                          <a:avLst/>
                        </a:prstGeom>
                        <a:solidFill>
                          <a:sysClr val="window" lastClr="FFFFFF"/>
                        </a:solidFill>
                        <a:ln w="12700" cap="flat" cmpd="sng" algn="ctr">
                          <a:solidFill>
                            <a:srgbClr val="B10F0F"/>
                          </a:solidFill>
                          <a:prstDash val="solid"/>
                          <a:miter lim="800000"/>
                        </a:ln>
                        <a:effectLst/>
                      </wps:spPr>
                      <wps:txbx>
                        <w:txbxContent>
                          <w:p w14:paraId="0E9AA721" w14:textId="77777777" w:rsidR="006712E0" w:rsidRPr="006C0611" w:rsidRDefault="006712E0" w:rsidP="00047EF8">
                            <w:pPr>
                              <w:spacing w:after="120" w:line="240" w:lineRule="auto"/>
                              <w:jc w:val="center"/>
                              <w:rPr>
                                <w:rFonts w:ascii="Arial Narrow" w:hAnsi="Arial Narrow"/>
                                <w:b/>
                                <w:color w:val="B10F0F"/>
                                <w:sz w:val="28"/>
                                <w:szCs w:val="28"/>
                                <w:u w:val="single"/>
                              </w:rPr>
                            </w:pPr>
                            <w:r>
                              <w:rPr>
                                <w:rFonts w:ascii="Arial Narrow" w:hAnsi="Arial Narrow"/>
                                <w:b/>
                                <w:color w:val="B10F0F"/>
                                <w:sz w:val="24"/>
                                <w:szCs w:val="24"/>
                                <w:u w:val="single"/>
                              </w:rPr>
                              <w:t>SEKTORSKE STRATEGIJE</w:t>
                            </w:r>
                            <w:r w:rsidRPr="006C0611">
                              <w:rPr>
                                <w:rFonts w:ascii="Arial Narrow" w:hAnsi="Arial Narrow"/>
                                <w:b/>
                                <w:color w:val="B10F0F"/>
                                <w:sz w:val="24"/>
                                <w:szCs w:val="24"/>
                                <w:u w:val="single"/>
                              </w:rPr>
                              <w:t>:</w:t>
                            </w:r>
                          </w:p>
                          <w:p w14:paraId="5E0A6165" w14:textId="77777777" w:rsidR="006712E0" w:rsidRPr="008D6D35" w:rsidRDefault="006712E0" w:rsidP="00047EF8">
                            <w:pPr>
                              <w:numPr>
                                <w:ilvl w:val="0"/>
                                <w:numId w:val="78"/>
                              </w:numPr>
                              <w:spacing w:after="0" w:line="240" w:lineRule="auto"/>
                              <w:contextualSpacing/>
                              <w:jc w:val="both"/>
                              <w:rPr>
                                <w:rFonts w:ascii="Arial Narrow" w:eastAsia="Calibri" w:hAnsi="Arial Narrow"/>
                                <w:b/>
                                <w:color w:val="B10F0F"/>
                                <w:sz w:val="21"/>
                                <w:szCs w:val="21"/>
                              </w:rPr>
                            </w:pPr>
                            <w:r>
                              <w:rPr>
                                <w:rFonts w:ascii="Arial Narrow" w:eastAsia="Calibri" w:hAnsi="Arial Narrow"/>
                                <w:b/>
                                <w:bCs/>
                                <w:color w:val="B10F0F"/>
                                <w:sz w:val="21"/>
                                <w:szCs w:val="21"/>
                              </w:rPr>
                              <w:t>Strategija bezbjednosti na internetu</w:t>
                            </w:r>
                            <w:r w:rsidRPr="008D6D35">
                              <w:rPr>
                                <w:rFonts w:ascii="Arial Narrow" w:eastAsia="Calibri" w:hAnsi="Arial Narrow"/>
                                <w:b/>
                                <w:color w:val="B10F0F"/>
                                <w:sz w:val="21"/>
                                <w:szCs w:val="21"/>
                              </w:rPr>
                              <w:t xml:space="preserve"> 2018-2021</w:t>
                            </w:r>
                          </w:p>
                          <w:p w14:paraId="4F4759AD" w14:textId="77777777" w:rsidR="006712E0" w:rsidRPr="008D6D35" w:rsidRDefault="001D48BA" w:rsidP="00047EF8">
                            <w:pPr>
                              <w:numPr>
                                <w:ilvl w:val="0"/>
                                <w:numId w:val="78"/>
                              </w:numPr>
                              <w:spacing w:after="0" w:line="240" w:lineRule="auto"/>
                              <w:contextualSpacing/>
                              <w:jc w:val="both"/>
                              <w:rPr>
                                <w:rFonts w:ascii="Arial Narrow" w:eastAsia="Calibri" w:hAnsi="Arial Narrow"/>
                                <w:color w:val="B10F0F"/>
                                <w:sz w:val="21"/>
                                <w:szCs w:val="21"/>
                              </w:rPr>
                            </w:pPr>
                            <w:hyperlink r:id="rId45" w:history="1">
                              <w:r w:rsidR="006712E0" w:rsidRPr="008D6D35">
                                <w:rPr>
                                  <w:rFonts w:ascii="Arial Narrow" w:eastAsia="Calibri" w:hAnsi="Arial Narrow"/>
                                  <w:b/>
                                  <w:bCs/>
                                  <w:color w:val="B10F0F"/>
                                  <w:sz w:val="21"/>
                                  <w:szCs w:val="21"/>
                                </w:rPr>
                                <w:t>Strateg</w:t>
                              </w:r>
                              <w:r w:rsidR="006712E0">
                                <w:rPr>
                                  <w:rFonts w:ascii="Arial Narrow" w:eastAsia="Calibri" w:hAnsi="Arial Narrow"/>
                                  <w:b/>
                                  <w:bCs/>
                                  <w:color w:val="B10F0F"/>
                                  <w:sz w:val="21"/>
                                  <w:szCs w:val="21"/>
                                </w:rPr>
                                <w:t xml:space="preserve">ija za upotrebu tehnologije otvorenih izvora </w:t>
                              </w:r>
                            </w:hyperlink>
                            <w:r w:rsidR="006712E0" w:rsidRPr="008D6D35">
                              <w:rPr>
                                <w:rFonts w:ascii="Arial Narrow" w:eastAsia="Calibri" w:hAnsi="Arial Narrow"/>
                                <w:b/>
                                <w:bCs/>
                                <w:color w:val="B10F0F"/>
                                <w:sz w:val="21"/>
                                <w:szCs w:val="21"/>
                              </w:rPr>
                              <w:t xml:space="preserve"> </w:t>
                            </w:r>
                          </w:p>
                          <w:p w14:paraId="7F481098" w14:textId="77777777" w:rsidR="006712E0" w:rsidRPr="008D6D35" w:rsidRDefault="006712E0" w:rsidP="00047EF8">
                            <w:pPr>
                              <w:numPr>
                                <w:ilvl w:val="0"/>
                                <w:numId w:val="78"/>
                              </w:numPr>
                              <w:spacing w:after="0" w:line="240" w:lineRule="auto"/>
                              <w:contextualSpacing/>
                              <w:jc w:val="both"/>
                              <w:rPr>
                                <w:rFonts w:ascii="Arial Narrow" w:eastAsia="Calibri" w:hAnsi="Arial Narrow"/>
                                <w:b/>
                                <w:bCs/>
                                <w:color w:val="C00000"/>
                                <w:sz w:val="21"/>
                                <w:szCs w:val="21"/>
                              </w:rPr>
                            </w:pPr>
                            <w:r>
                              <w:rPr>
                                <w:rFonts w:ascii="Arial Narrow" w:eastAsia="Calibri" w:hAnsi="Arial Narrow"/>
                                <w:b/>
                                <w:bCs/>
                                <w:color w:val="C00000"/>
                                <w:sz w:val="21"/>
                                <w:szCs w:val="21"/>
                              </w:rPr>
                              <w:t>Strategija oporavka od katastrofe (strategija za pružanje podataka u slučaju katastrofe za potrebe države i administrativna tijela Crne Gore</w:t>
                            </w:r>
                            <w:r w:rsidRPr="008D6D35">
                              <w:rPr>
                                <w:rFonts w:ascii="Arial Narrow" w:eastAsia="Calibri" w:hAnsi="Arial Narrow"/>
                                <w:b/>
                                <w:bCs/>
                                <w:color w:val="C00000"/>
                                <w:sz w:val="21"/>
                                <w:szCs w:val="21"/>
                              </w:rPr>
                              <w:t>)</w:t>
                            </w:r>
                          </w:p>
                          <w:p w14:paraId="0AB193C1" w14:textId="77777777" w:rsidR="006712E0" w:rsidRPr="00774050" w:rsidRDefault="006712E0" w:rsidP="00047EF8">
                            <w:pPr>
                              <w:spacing w:after="0" w:line="240" w:lineRule="auto"/>
                              <w:jc w:val="both"/>
                              <w:rPr>
                                <w:rFonts w:ascii="Arial Narrow" w:hAnsi="Arial Narrow"/>
                                <w:b/>
                                <w:i/>
                                <w:color w:val="C0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51A9C" id="Rounded Rectangle 131" o:spid="_x0000_s1103" style="position:absolute;left:0;text-align:left;margin-left:-35.25pt;margin-top:26.85pt;width:552.75pt;height:10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" fillcolor="window" strokecolor="#b10f0f" strokeweight="1pt">
                <v:stroke joinstyle="miter"/>
                <v:path arrowok="t"/>
                <v:textbox>
                  <w:txbxContent>
                    <w:p w14:paraId="0E9AA721" w14:textId="77777777" w:rsidR="006712E0" w:rsidRPr="006C0611" w:rsidRDefault="006712E0" w:rsidP="00047EF8">
                      <w:pPr>
                        <w:spacing w:after="120" w:line="240" w:lineRule="auto"/>
                        <w:jc w:val="center"/>
                        <w:rPr>
                          <w:rFonts w:ascii="Arial Narrow" w:hAnsi="Arial Narrow"/>
                          <w:b/>
                          <w:color w:val="B10F0F"/>
                          <w:sz w:val="28"/>
                          <w:szCs w:val="28"/>
                          <w:u w:val="single"/>
                        </w:rPr>
                      </w:pPr>
                      <w:r>
                        <w:rPr>
                          <w:rFonts w:ascii="Arial Narrow" w:hAnsi="Arial Narrow"/>
                          <w:b/>
                          <w:color w:val="B10F0F"/>
                          <w:sz w:val="24"/>
                          <w:szCs w:val="24"/>
                          <w:u w:val="single"/>
                        </w:rPr>
                        <w:t>SEKTORSKE STRATEGIJE</w:t>
                      </w:r>
                      <w:r w:rsidRPr="006C0611">
                        <w:rPr>
                          <w:rFonts w:ascii="Arial Narrow" w:hAnsi="Arial Narrow"/>
                          <w:b/>
                          <w:color w:val="B10F0F"/>
                          <w:sz w:val="24"/>
                          <w:szCs w:val="24"/>
                          <w:u w:val="single"/>
                        </w:rPr>
                        <w:t>:</w:t>
                      </w:r>
                    </w:p>
                    <w:p w14:paraId="5E0A6165" w14:textId="77777777" w:rsidR="006712E0" w:rsidRPr="008D6D35" w:rsidRDefault="006712E0" w:rsidP="00047EF8">
                      <w:pPr>
                        <w:numPr>
                          <w:ilvl w:val="0"/>
                          <w:numId w:val="78"/>
                        </w:numPr>
                        <w:spacing w:after="0" w:line="240" w:lineRule="auto"/>
                        <w:contextualSpacing/>
                        <w:jc w:val="both"/>
                        <w:rPr>
                          <w:rFonts w:ascii="Arial Narrow" w:eastAsia="Calibri" w:hAnsi="Arial Narrow"/>
                          <w:b/>
                          <w:color w:val="B10F0F"/>
                          <w:sz w:val="21"/>
                          <w:szCs w:val="21"/>
                        </w:rPr>
                      </w:pPr>
                      <w:r>
                        <w:rPr>
                          <w:rFonts w:ascii="Arial Narrow" w:eastAsia="Calibri" w:hAnsi="Arial Narrow"/>
                          <w:b/>
                          <w:bCs/>
                          <w:color w:val="B10F0F"/>
                          <w:sz w:val="21"/>
                          <w:szCs w:val="21"/>
                        </w:rPr>
                        <w:t>Strategija bezbjednosti na internetu</w:t>
                      </w:r>
                      <w:r w:rsidRPr="008D6D35">
                        <w:rPr>
                          <w:rFonts w:ascii="Arial Narrow" w:eastAsia="Calibri" w:hAnsi="Arial Narrow"/>
                          <w:b/>
                          <w:color w:val="B10F0F"/>
                          <w:sz w:val="21"/>
                          <w:szCs w:val="21"/>
                        </w:rPr>
                        <w:t xml:space="preserve"> 2018-2021</w:t>
                      </w:r>
                    </w:p>
                    <w:p w14:paraId="4F4759AD" w14:textId="77777777" w:rsidR="006712E0" w:rsidRPr="008D6D35" w:rsidRDefault="006712E0" w:rsidP="00047EF8">
                      <w:pPr>
                        <w:numPr>
                          <w:ilvl w:val="0"/>
                          <w:numId w:val="78"/>
                        </w:numPr>
                        <w:spacing w:after="0" w:line="240" w:lineRule="auto"/>
                        <w:contextualSpacing/>
                        <w:jc w:val="both"/>
                        <w:rPr>
                          <w:rFonts w:ascii="Arial Narrow" w:eastAsia="Calibri" w:hAnsi="Arial Narrow"/>
                          <w:color w:val="B10F0F"/>
                          <w:sz w:val="21"/>
                          <w:szCs w:val="21"/>
                        </w:rPr>
                      </w:pPr>
                      <w:hyperlink r:id="rId46" w:history="1">
                        <w:r w:rsidRPr="008D6D35">
                          <w:rPr>
                            <w:rFonts w:ascii="Arial Narrow" w:eastAsia="Calibri" w:hAnsi="Arial Narrow"/>
                            <w:b/>
                            <w:bCs/>
                            <w:color w:val="B10F0F"/>
                            <w:sz w:val="21"/>
                            <w:szCs w:val="21"/>
                          </w:rPr>
                          <w:t>Strateg</w:t>
                        </w:r>
                        <w:r>
                          <w:rPr>
                            <w:rFonts w:ascii="Arial Narrow" w:eastAsia="Calibri" w:hAnsi="Arial Narrow"/>
                            <w:b/>
                            <w:bCs/>
                            <w:color w:val="B10F0F"/>
                            <w:sz w:val="21"/>
                            <w:szCs w:val="21"/>
                          </w:rPr>
                          <w:t xml:space="preserve">ija za upotrebu tehnologije otvorenih izvora </w:t>
                        </w:r>
                      </w:hyperlink>
                      <w:r w:rsidRPr="008D6D35">
                        <w:rPr>
                          <w:rFonts w:ascii="Arial Narrow" w:eastAsia="Calibri" w:hAnsi="Arial Narrow"/>
                          <w:b/>
                          <w:bCs/>
                          <w:color w:val="B10F0F"/>
                          <w:sz w:val="21"/>
                          <w:szCs w:val="21"/>
                        </w:rPr>
                        <w:t xml:space="preserve"> </w:t>
                      </w:r>
                    </w:p>
                    <w:p w14:paraId="7F481098" w14:textId="77777777" w:rsidR="006712E0" w:rsidRPr="008D6D35" w:rsidRDefault="006712E0" w:rsidP="00047EF8">
                      <w:pPr>
                        <w:numPr>
                          <w:ilvl w:val="0"/>
                          <w:numId w:val="78"/>
                        </w:numPr>
                        <w:spacing w:after="0" w:line="240" w:lineRule="auto"/>
                        <w:contextualSpacing/>
                        <w:jc w:val="both"/>
                        <w:rPr>
                          <w:rFonts w:ascii="Arial Narrow" w:eastAsia="Calibri" w:hAnsi="Arial Narrow"/>
                          <w:b/>
                          <w:bCs/>
                          <w:color w:val="C00000"/>
                          <w:sz w:val="21"/>
                          <w:szCs w:val="21"/>
                        </w:rPr>
                      </w:pPr>
                      <w:r>
                        <w:rPr>
                          <w:rFonts w:ascii="Arial Narrow" w:eastAsia="Calibri" w:hAnsi="Arial Narrow"/>
                          <w:b/>
                          <w:bCs/>
                          <w:color w:val="C00000"/>
                          <w:sz w:val="21"/>
                          <w:szCs w:val="21"/>
                        </w:rPr>
                        <w:t>Strategija oporavka od katastrofe (strategija za pružanje podataka u slučaju katastrofe za potrebe države i administrativna tijela Crne Gore</w:t>
                      </w:r>
                      <w:r w:rsidRPr="008D6D35">
                        <w:rPr>
                          <w:rFonts w:ascii="Arial Narrow" w:eastAsia="Calibri" w:hAnsi="Arial Narrow"/>
                          <w:b/>
                          <w:bCs/>
                          <w:color w:val="C00000"/>
                          <w:sz w:val="21"/>
                          <w:szCs w:val="21"/>
                        </w:rPr>
                        <w:t>)</w:t>
                      </w:r>
                    </w:p>
                    <w:p w14:paraId="0AB193C1" w14:textId="77777777" w:rsidR="006712E0" w:rsidRPr="00774050" w:rsidRDefault="006712E0" w:rsidP="00047EF8">
                      <w:pPr>
                        <w:spacing w:after="0" w:line="240" w:lineRule="auto"/>
                        <w:jc w:val="both"/>
                        <w:rPr>
                          <w:rFonts w:ascii="Arial Narrow" w:hAnsi="Arial Narrow"/>
                          <w:b/>
                          <w:i/>
                          <w:color w:val="C00000"/>
                          <w:sz w:val="21"/>
                          <w:szCs w:val="21"/>
                        </w:rPr>
                      </w:pPr>
                    </w:p>
                  </w:txbxContent>
                </v:textbox>
                <w10:wrap anchorx="margin"/>
              </v:roundrect>
            </w:pict>
          </mc:Fallback>
        </mc:AlternateContent>
      </w:r>
    </w:p>
    <w:p w14:paraId="480E485E" w14:textId="33990D4D"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67456" behindDoc="0" locked="0" layoutInCell="1" allowOverlap="1" wp14:anchorId="726A7669" wp14:editId="2D9E791D">
                <wp:simplePos x="0" y="0"/>
                <wp:positionH relativeFrom="column">
                  <wp:posOffset>-34290</wp:posOffset>
                </wp:positionH>
                <wp:positionV relativeFrom="paragraph">
                  <wp:posOffset>-8917940</wp:posOffset>
                </wp:positionV>
                <wp:extent cx="7322820" cy="548640"/>
                <wp:effectExtent l="0" t="0" r="0" b="0"/>
                <wp:wrapNone/>
                <wp:docPr id="23509" name="Text Box 23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22820" cy="548640"/>
                        </a:xfrm>
                        <a:prstGeom prst="rect">
                          <a:avLst/>
                        </a:prstGeom>
                        <a:solidFill>
                          <a:sysClr val="window" lastClr="FFFFFF"/>
                        </a:solidFill>
                        <a:ln w="6350">
                          <a:noFill/>
                        </a:ln>
                      </wps:spPr>
                      <wps:txbx>
                        <w:txbxContent>
                          <w:p w14:paraId="522EA7C5" w14:textId="77777777" w:rsidR="006712E0" w:rsidRDefault="006712E0" w:rsidP="00047EF8">
                            <w:pPr>
                              <w:pStyle w:val="Header"/>
                              <w:jc w:val="center"/>
                              <w:rPr>
                                <w:rFonts w:ascii="Arial Narrow" w:hAnsi="Arial Narrow"/>
                                <w:b/>
                                <w:color w:val="002060"/>
                                <w:sz w:val="30"/>
                                <w:szCs w:val="30"/>
                              </w:rPr>
                            </w:pPr>
                            <w:r>
                              <w:rPr>
                                <w:rFonts w:ascii="Arial Narrow" w:hAnsi="Arial Narrow"/>
                                <w:b/>
                                <w:color w:val="002060"/>
                                <w:sz w:val="30"/>
                                <w:szCs w:val="30"/>
                              </w:rPr>
                              <w:t xml:space="preserve">PODJELA NA SEKTORE I </w:t>
                            </w:r>
                            <w:r w:rsidRPr="00694B5D">
                              <w:rPr>
                                <w:rFonts w:ascii="Arial Narrow" w:hAnsi="Arial Narrow"/>
                                <w:b/>
                                <w:color w:val="002060"/>
                                <w:sz w:val="30"/>
                                <w:szCs w:val="30"/>
                              </w:rPr>
                              <w:t xml:space="preserve">PREGLED </w:t>
                            </w:r>
                            <w:r>
                              <w:rPr>
                                <w:rFonts w:ascii="Arial Narrow" w:hAnsi="Arial Narrow"/>
                                <w:b/>
                                <w:color w:val="002060"/>
                                <w:sz w:val="30"/>
                                <w:szCs w:val="30"/>
                              </w:rPr>
                              <w:t>VAŽEĆIH SEKTORSKIH STRATEGIJA</w:t>
                            </w:r>
                          </w:p>
                          <w:p w14:paraId="62E70A8E" w14:textId="77777777" w:rsidR="006712E0" w:rsidRPr="00694B5D" w:rsidRDefault="006712E0" w:rsidP="00047EF8">
                            <w:pPr>
                              <w:pStyle w:val="Header"/>
                              <w:jc w:val="center"/>
                              <w:rPr>
                                <w:rFonts w:ascii="Arial Narrow" w:hAnsi="Arial Narrow"/>
                                <w:b/>
                                <w:color w:val="002060"/>
                                <w:sz w:val="30"/>
                                <w:szCs w:val="30"/>
                              </w:rPr>
                            </w:pPr>
                            <w:r>
                              <w:rPr>
                                <w:rFonts w:ascii="Arial Narrow" w:hAnsi="Arial Narrow"/>
                                <w:b/>
                                <w:color w:val="002060"/>
                                <w:sz w:val="30"/>
                                <w:szCs w:val="30"/>
                              </w:rPr>
                              <w:t>(februar, 2020)</w:t>
                            </w:r>
                          </w:p>
                          <w:p w14:paraId="548CC932" w14:textId="77777777" w:rsidR="006712E0" w:rsidRPr="00694B5D" w:rsidRDefault="006712E0" w:rsidP="00047EF8">
                            <w:pPr>
                              <w:rPr>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6A7669" id="Text Box 23509" o:spid="_x0000_s1104" type="#_x0000_t202" style="position:absolute;left:0;text-align:left;margin-left:-2.7pt;margin-top:-702.2pt;width:576.6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" fillcolor="window" stroked="f" strokeweight=".5pt">
                <v:path arrowok="t"/>
                <v:textbox>
                  <w:txbxContent>
                    <w:p w14:paraId="522EA7C5" w14:textId="77777777" w:rsidR="006712E0" w:rsidRDefault="006712E0" w:rsidP="00047EF8">
                      <w:pPr>
                        <w:pStyle w:val="Header"/>
                        <w:jc w:val="center"/>
                        <w:rPr>
                          <w:rFonts w:ascii="Arial Narrow" w:hAnsi="Arial Narrow"/>
                          <w:b/>
                          <w:color w:val="002060"/>
                          <w:sz w:val="30"/>
                          <w:szCs w:val="30"/>
                        </w:rPr>
                      </w:pPr>
                      <w:r>
                        <w:rPr>
                          <w:rFonts w:ascii="Arial Narrow" w:hAnsi="Arial Narrow"/>
                          <w:b/>
                          <w:color w:val="002060"/>
                          <w:sz w:val="30"/>
                          <w:szCs w:val="30"/>
                        </w:rPr>
                        <w:t xml:space="preserve">PODJELA NA SEKTORE I </w:t>
                      </w:r>
                      <w:r w:rsidRPr="00694B5D">
                        <w:rPr>
                          <w:rFonts w:ascii="Arial Narrow" w:hAnsi="Arial Narrow"/>
                          <w:b/>
                          <w:color w:val="002060"/>
                          <w:sz w:val="30"/>
                          <w:szCs w:val="30"/>
                        </w:rPr>
                        <w:t xml:space="preserve">PREGLED </w:t>
                      </w:r>
                      <w:r>
                        <w:rPr>
                          <w:rFonts w:ascii="Arial Narrow" w:hAnsi="Arial Narrow"/>
                          <w:b/>
                          <w:color w:val="002060"/>
                          <w:sz w:val="30"/>
                          <w:szCs w:val="30"/>
                        </w:rPr>
                        <w:t>VAŽEĆIH SEKTORSKIH STRATEGIJA</w:t>
                      </w:r>
                    </w:p>
                    <w:p w14:paraId="62E70A8E" w14:textId="77777777" w:rsidR="006712E0" w:rsidRPr="00694B5D" w:rsidRDefault="006712E0" w:rsidP="00047EF8">
                      <w:pPr>
                        <w:pStyle w:val="Header"/>
                        <w:jc w:val="center"/>
                        <w:rPr>
                          <w:rFonts w:ascii="Arial Narrow" w:hAnsi="Arial Narrow"/>
                          <w:b/>
                          <w:color w:val="002060"/>
                          <w:sz w:val="30"/>
                          <w:szCs w:val="30"/>
                        </w:rPr>
                      </w:pPr>
                      <w:r>
                        <w:rPr>
                          <w:rFonts w:ascii="Arial Narrow" w:hAnsi="Arial Narrow"/>
                          <w:b/>
                          <w:color w:val="002060"/>
                          <w:sz w:val="30"/>
                          <w:szCs w:val="30"/>
                        </w:rPr>
                        <w:t>(februar, 2020)</w:t>
                      </w:r>
                    </w:p>
                    <w:p w14:paraId="548CC932" w14:textId="77777777" w:rsidR="006712E0" w:rsidRPr="00694B5D" w:rsidRDefault="006712E0" w:rsidP="00047EF8">
                      <w:pPr>
                        <w:rPr>
                          <w:color w:val="002060"/>
                        </w:rPr>
                      </w:pPr>
                    </w:p>
                  </w:txbxContent>
                </v:textbox>
              </v:shape>
            </w:pict>
          </mc:Fallback>
        </mc:AlternateContent>
      </w:r>
    </w:p>
    <w:p w14:paraId="66FB2147" w14:textId="560919F0" w:rsidR="00047EF8" w:rsidRPr="00F563CD" w:rsidRDefault="007840BE" w:rsidP="00047EF8">
      <w:pPr>
        <w:jc w:val="both"/>
        <w:rPr>
          <w:rFonts w:asciiTheme="minorHAnsi" w:hAnsiTheme="minorHAnsi"/>
          <w:color w:val="C00000"/>
          <w:sz w:val="28"/>
          <w:szCs w:val="28"/>
          <w:u w:color="FFFFFF" w:themeColor="background1"/>
        </w:rPr>
      </w:pPr>
      <w:r w:rsidRPr="00F563CD">
        <w:rPr>
          <w:rFonts w:asciiTheme="minorHAnsi" w:hAnsiTheme="minorHAnsi" w:cs="Arial"/>
          <w:noProof/>
          <w:color w:val="FFFFFF" w:themeColor="background1"/>
          <w:sz w:val="28"/>
          <w:szCs w:val="28"/>
          <w:u w:color="FFFFFF" w:themeColor="background1"/>
          <w:lang w:val="en-US" w:eastAsia="en-US"/>
        </w:rPr>
        <mc:AlternateContent>
          <mc:Choice Requires="wps">
            <w:drawing>
              <wp:anchor distT="0" distB="0" distL="114300" distR="114300" simplePos="0" relativeHeight="251713536" behindDoc="0" locked="0" layoutInCell="1" allowOverlap="1" wp14:anchorId="794D8CA2" wp14:editId="7A3ECB45">
                <wp:simplePos x="0" y="0"/>
                <wp:positionH relativeFrom="column">
                  <wp:posOffset>3695700</wp:posOffset>
                </wp:positionH>
                <wp:positionV relativeFrom="paragraph">
                  <wp:posOffset>1771015</wp:posOffset>
                </wp:positionV>
                <wp:extent cx="2627630" cy="1990725"/>
                <wp:effectExtent l="0" t="0" r="1270" b="9525"/>
                <wp:wrapNone/>
                <wp:docPr id="23512" name="Rounded Rectangle 23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7630" cy="1990725"/>
                        </a:xfrm>
                        <a:prstGeom prst="roundRect">
                          <a:avLst/>
                        </a:prstGeom>
                        <a:solidFill>
                          <a:sysClr val="window" lastClr="FFFFFF"/>
                        </a:solidFill>
                        <a:ln w="12700" cap="flat" cmpd="sng" algn="ctr">
                          <a:solidFill>
                            <a:srgbClr val="FF5050"/>
                          </a:solidFill>
                          <a:prstDash val="solid"/>
                          <a:miter lim="800000"/>
                        </a:ln>
                        <a:effectLst/>
                      </wps:spPr>
                      <wps:txbx>
                        <w:txbxContent>
                          <w:p w14:paraId="3F22500A" w14:textId="77777777" w:rsidR="006712E0" w:rsidRPr="007D7D1B" w:rsidRDefault="006712E0" w:rsidP="00047EF8">
                            <w:pPr>
                              <w:jc w:val="center"/>
                              <w:rPr>
                                <w:rFonts w:ascii="Arial Narrow" w:hAnsi="Arial Narrow"/>
                                <w:b/>
                                <w:color w:val="FF3B3B"/>
                              </w:rPr>
                            </w:pPr>
                            <w:r>
                              <w:rPr>
                                <w:rFonts w:ascii="Arial Narrow" w:hAnsi="Arial Narrow"/>
                                <w:b/>
                                <w:color w:val="FF3B3B"/>
                              </w:rPr>
                              <w:t>SEKTORSKI PROGRAM</w:t>
                            </w:r>
                            <w:r w:rsidRPr="007D7D1B">
                              <w:rPr>
                                <w:rFonts w:ascii="Arial Narrow" w:hAnsi="Arial Narrow"/>
                                <w:b/>
                                <w:color w:val="FF3B3B"/>
                              </w:rPr>
                              <w:t>:</w:t>
                            </w:r>
                          </w:p>
                          <w:p w14:paraId="22655458" w14:textId="77777777" w:rsidR="006712E0" w:rsidRPr="00AE6231" w:rsidRDefault="006712E0" w:rsidP="00047EF8">
                            <w:pPr>
                              <w:rPr>
                                <w:rFonts w:ascii="Arial Narrow" w:hAnsi="Arial Narrow"/>
                                <w:b/>
                                <w:color w:val="FF5050"/>
                              </w:rPr>
                            </w:pPr>
                            <w:r>
                              <w:rPr>
                                <w:rStyle w:val="Hyperlink"/>
                                <w:rFonts w:ascii="Arial Narrow" w:hAnsi="Arial Narrow"/>
                                <w:color w:val="FF5050"/>
                              </w:rPr>
                              <w:t xml:space="preserve">Razvojni program za informacione i komunikacione tehnologije u pravosuđu </w:t>
                            </w:r>
                            <w:r w:rsidRPr="00AE6231">
                              <w:rPr>
                                <w:rStyle w:val="Hyperlink"/>
                                <w:rFonts w:ascii="Arial Narrow" w:hAnsi="Arial Narrow"/>
                                <w:color w:val="FF5050"/>
                              </w:rPr>
                              <w:t>2021 - 2023</w:t>
                            </w:r>
                          </w:p>
                          <w:p w14:paraId="24617D1A" w14:textId="77777777" w:rsidR="006712E0" w:rsidRPr="00AE6231" w:rsidRDefault="001D48BA" w:rsidP="00047EF8">
                            <w:pPr>
                              <w:rPr>
                                <w:rStyle w:val="Hyperlink"/>
                                <w:rFonts w:ascii="Arial Narrow" w:hAnsi="Arial Narrow"/>
                                <w:b/>
                                <w:color w:val="FF5050"/>
                              </w:rPr>
                            </w:pPr>
                            <w:hyperlink r:id="rId47" w:history="1">
                              <w:r w:rsidR="006712E0" w:rsidRPr="00AE6231">
                                <w:rPr>
                                  <w:rStyle w:val="Hyperlink"/>
                                  <w:rFonts w:ascii="Arial Narrow" w:hAnsi="Arial Narrow"/>
                                  <w:color w:val="FF5050"/>
                                </w:rPr>
                                <w:t>Program</w:t>
                              </w:r>
                              <w:r w:rsidR="006712E0">
                                <w:rPr>
                                  <w:rStyle w:val="Hyperlink"/>
                                  <w:rFonts w:ascii="Arial Narrow" w:hAnsi="Arial Narrow"/>
                                  <w:color w:val="FF5050"/>
                                </w:rPr>
                                <w:t xml:space="preserve"> za razvoj alternativnog rješavanja sporova</w:t>
                              </w:r>
                              <w:r w:rsidR="006712E0" w:rsidRPr="00AE6231">
                                <w:rPr>
                                  <w:rStyle w:val="Hyperlink"/>
                                  <w:rFonts w:ascii="Arial Narrow" w:hAnsi="Arial Narrow"/>
                                  <w:color w:val="FF5050"/>
                                </w:rPr>
                                <w:t xml:space="preserve"> 2019-2021</w:t>
                              </w:r>
                            </w:hyperlink>
                          </w:p>
                          <w:p w14:paraId="4B090CB6" w14:textId="77777777" w:rsidR="006712E0" w:rsidRPr="00233484" w:rsidRDefault="006712E0" w:rsidP="00047EF8">
                            <w:pPr>
                              <w:rPr>
                                <w:rFonts w:ascii="Arial Narrow" w:hAnsi="Arial Narrow"/>
                                <w:b/>
                                <w:color w:val="FF5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D8CA2" id="Rounded Rectangle 23512" o:spid="_x0000_s1105" style="position:absolute;left:0;text-align:left;margin-left:291pt;margin-top:139.45pt;width:206.9pt;height:15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" fillcolor="window" strokecolor="#ff5050" strokeweight="1pt">
                <v:stroke joinstyle="miter"/>
                <v:path arrowok="t"/>
                <v:textbox>
                  <w:txbxContent>
                    <w:p w14:paraId="3F22500A" w14:textId="77777777" w:rsidR="006712E0" w:rsidRPr="007D7D1B" w:rsidRDefault="006712E0" w:rsidP="00047EF8">
                      <w:pPr>
                        <w:jc w:val="center"/>
                        <w:rPr>
                          <w:rFonts w:ascii="Arial Narrow" w:hAnsi="Arial Narrow"/>
                          <w:b/>
                          <w:color w:val="FF3B3B"/>
                        </w:rPr>
                      </w:pPr>
                      <w:r>
                        <w:rPr>
                          <w:rFonts w:ascii="Arial Narrow" w:hAnsi="Arial Narrow"/>
                          <w:b/>
                          <w:color w:val="FF3B3B"/>
                        </w:rPr>
                        <w:t>SEKTORSKI PROGRAM</w:t>
                      </w:r>
                      <w:r w:rsidRPr="007D7D1B">
                        <w:rPr>
                          <w:rFonts w:ascii="Arial Narrow" w:hAnsi="Arial Narrow"/>
                          <w:b/>
                          <w:color w:val="FF3B3B"/>
                        </w:rPr>
                        <w:t>:</w:t>
                      </w:r>
                    </w:p>
                    <w:p w14:paraId="22655458" w14:textId="77777777" w:rsidR="006712E0" w:rsidRPr="00AE6231" w:rsidRDefault="006712E0" w:rsidP="00047EF8">
                      <w:pPr>
                        <w:rPr>
                          <w:rFonts w:ascii="Arial Narrow" w:hAnsi="Arial Narrow"/>
                          <w:b/>
                          <w:color w:val="FF5050"/>
                        </w:rPr>
                      </w:pPr>
                      <w:r>
                        <w:rPr>
                          <w:rStyle w:val="Hyperlink"/>
                          <w:rFonts w:ascii="Arial Narrow" w:hAnsi="Arial Narrow"/>
                          <w:color w:val="FF5050"/>
                        </w:rPr>
                        <w:t xml:space="preserve">Razvojni program za informacione i komunikacione tehnologije u pravosuđu </w:t>
                      </w:r>
                      <w:r w:rsidRPr="00AE6231">
                        <w:rPr>
                          <w:rStyle w:val="Hyperlink"/>
                          <w:rFonts w:ascii="Arial Narrow" w:hAnsi="Arial Narrow"/>
                          <w:color w:val="FF5050"/>
                        </w:rPr>
                        <w:t>2021 - 2023</w:t>
                      </w:r>
                    </w:p>
                    <w:p w14:paraId="24617D1A" w14:textId="77777777" w:rsidR="006712E0" w:rsidRPr="00AE6231" w:rsidRDefault="006712E0" w:rsidP="00047EF8">
                      <w:pPr>
                        <w:rPr>
                          <w:rStyle w:val="Hyperlink"/>
                          <w:rFonts w:ascii="Arial Narrow" w:hAnsi="Arial Narrow"/>
                          <w:b/>
                          <w:color w:val="FF5050"/>
                        </w:rPr>
                      </w:pPr>
                      <w:hyperlink r:id="rId48" w:history="1">
                        <w:r w:rsidRPr="00AE6231">
                          <w:rPr>
                            <w:rStyle w:val="Hyperlink"/>
                            <w:rFonts w:ascii="Arial Narrow" w:hAnsi="Arial Narrow"/>
                            <w:color w:val="FF5050"/>
                          </w:rPr>
                          <w:t>Program</w:t>
                        </w:r>
                        <w:r>
                          <w:rPr>
                            <w:rStyle w:val="Hyperlink"/>
                            <w:rFonts w:ascii="Arial Narrow" w:hAnsi="Arial Narrow"/>
                            <w:color w:val="FF5050"/>
                          </w:rPr>
                          <w:t xml:space="preserve"> za razvoj alternativnog rješavanja sporova</w:t>
                        </w:r>
                        <w:r w:rsidRPr="00AE6231">
                          <w:rPr>
                            <w:rStyle w:val="Hyperlink"/>
                            <w:rFonts w:ascii="Arial Narrow" w:hAnsi="Arial Narrow"/>
                            <w:color w:val="FF5050"/>
                          </w:rPr>
                          <w:t xml:space="preserve"> 2019-2021</w:t>
                        </w:r>
                      </w:hyperlink>
                    </w:p>
                    <w:p w14:paraId="4B090CB6" w14:textId="77777777" w:rsidR="006712E0" w:rsidRPr="00233484" w:rsidRDefault="006712E0" w:rsidP="00047EF8">
                      <w:pPr>
                        <w:rPr>
                          <w:rFonts w:ascii="Arial Narrow" w:hAnsi="Arial Narrow"/>
                          <w:b/>
                          <w:color w:val="FF5050"/>
                        </w:rPr>
                      </w:pPr>
                    </w:p>
                  </w:txbxContent>
                </v:textbox>
              </v:roundrect>
            </w:pict>
          </mc:Fallback>
        </mc:AlternateContent>
      </w:r>
      <w:r w:rsidRPr="00F563CD">
        <w:rPr>
          <w:rFonts w:asciiTheme="minorHAnsi" w:hAnsiTheme="minorHAnsi" w:cs="Arial"/>
          <w:noProof/>
          <w:color w:val="FFFFFF" w:themeColor="background1"/>
          <w:sz w:val="28"/>
          <w:szCs w:val="28"/>
          <w:u w:color="FFFFFF" w:themeColor="background1"/>
          <w:lang w:val="en-US" w:eastAsia="en-US"/>
        </w:rPr>
        <mc:AlternateContent>
          <mc:Choice Requires="wps">
            <w:drawing>
              <wp:anchor distT="0" distB="0" distL="114300" distR="114300" simplePos="0" relativeHeight="251681792" behindDoc="0" locked="0" layoutInCell="1" allowOverlap="1" wp14:anchorId="2F1911AC" wp14:editId="7725A5AE">
                <wp:simplePos x="0" y="0"/>
                <wp:positionH relativeFrom="margin">
                  <wp:posOffset>-314325</wp:posOffset>
                </wp:positionH>
                <wp:positionV relativeFrom="paragraph">
                  <wp:posOffset>1685290</wp:posOffset>
                </wp:positionV>
                <wp:extent cx="3962400" cy="2047875"/>
                <wp:effectExtent l="0" t="0" r="0" b="9525"/>
                <wp:wrapNone/>
                <wp:docPr id="135" name="Rounded 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2047875"/>
                        </a:xfrm>
                        <a:prstGeom prst="roundRect">
                          <a:avLst/>
                        </a:prstGeom>
                        <a:solidFill>
                          <a:sysClr val="window" lastClr="FFFFFF"/>
                        </a:solidFill>
                        <a:ln w="12700" cap="flat" cmpd="sng" algn="ctr">
                          <a:solidFill>
                            <a:srgbClr val="FF3737"/>
                          </a:solidFill>
                          <a:prstDash val="solid"/>
                          <a:miter lim="800000"/>
                        </a:ln>
                        <a:effectLst/>
                      </wps:spPr>
                      <wps:txbx>
                        <w:txbxContent>
                          <w:p w14:paraId="7901DB6C" w14:textId="77777777" w:rsidR="006712E0" w:rsidRDefault="006712E0" w:rsidP="00047EF8">
                            <w:pPr>
                              <w:spacing w:after="120"/>
                              <w:jc w:val="center"/>
                              <w:rPr>
                                <w:rFonts w:ascii="Arial Narrow" w:hAnsi="Arial Narrow"/>
                                <w:b/>
                                <w:color w:val="FF3737"/>
                                <w:sz w:val="24"/>
                                <w:szCs w:val="24"/>
                              </w:rPr>
                            </w:pPr>
                            <w:r>
                              <w:rPr>
                                <w:rFonts w:ascii="Arial Narrow" w:hAnsi="Arial Narrow"/>
                                <w:b/>
                                <w:color w:val="FF3737"/>
                                <w:sz w:val="24"/>
                                <w:szCs w:val="24"/>
                              </w:rPr>
                              <w:t>SEKTORSKE STRATEGIJE</w:t>
                            </w:r>
                            <w:r w:rsidRPr="008D6D35">
                              <w:rPr>
                                <w:rFonts w:ascii="Arial Narrow" w:hAnsi="Arial Narrow"/>
                                <w:b/>
                                <w:color w:val="FF3737"/>
                                <w:sz w:val="24"/>
                                <w:szCs w:val="24"/>
                              </w:rPr>
                              <w:t>:</w:t>
                            </w:r>
                          </w:p>
                          <w:p w14:paraId="574BC268" w14:textId="77777777" w:rsidR="006712E0" w:rsidRPr="00AE6231" w:rsidRDefault="006712E0" w:rsidP="00047EF8">
                            <w:pPr>
                              <w:pStyle w:val="ListParagraph"/>
                              <w:numPr>
                                <w:ilvl w:val="0"/>
                                <w:numId w:val="94"/>
                              </w:numPr>
                              <w:spacing w:after="0"/>
                              <w:jc w:val="both"/>
                              <w:rPr>
                                <w:rFonts w:ascii="Arial Narrow" w:hAnsi="Arial Narrow"/>
                                <w:b/>
                                <w:bCs/>
                                <w:color w:val="DA0000"/>
                                <w:sz w:val="21"/>
                                <w:szCs w:val="21"/>
                              </w:rPr>
                            </w:pPr>
                            <w:r w:rsidRPr="00AE6231">
                              <w:rPr>
                                <w:rFonts w:ascii="Arial Narrow" w:hAnsi="Arial Narrow"/>
                                <w:b/>
                                <w:bCs/>
                                <w:color w:val="DA0000"/>
                                <w:sz w:val="21"/>
                                <w:szCs w:val="21"/>
                              </w:rPr>
                              <w:t>Strateg</w:t>
                            </w:r>
                            <w:r>
                              <w:rPr>
                                <w:rFonts w:ascii="Arial Narrow" w:hAnsi="Arial Narrow"/>
                                <w:b/>
                                <w:bCs/>
                                <w:color w:val="DA0000"/>
                                <w:sz w:val="21"/>
                                <w:szCs w:val="21"/>
                              </w:rPr>
                              <w:t>ija za izvršenje krivičnih sankcija</w:t>
                            </w:r>
                            <w:r w:rsidRPr="00AE6231">
                              <w:rPr>
                                <w:rFonts w:ascii="Arial Narrow" w:hAnsi="Arial Narrow"/>
                                <w:b/>
                                <w:bCs/>
                                <w:color w:val="DA0000"/>
                                <w:sz w:val="21"/>
                                <w:szCs w:val="21"/>
                              </w:rPr>
                              <w:t xml:space="preserve"> 2017-2021</w:t>
                            </w:r>
                          </w:p>
                          <w:p w14:paraId="106DF982" w14:textId="77777777" w:rsidR="006712E0" w:rsidRPr="00AE6231" w:rsidRDefault="006712E0" w:rsidP="00047EF8">
                            <w:pPr>
                              <w:pStyle w:val="ListParagraph"/>
                              <w:numPr>
                                <w:ilvl w:val="0"/>
                                <w:numId w:val="94"/>
                              </w:numPr>
                              <w:spacing w:after="0"/>
                              <w:jc w:val="both"/>
                              <w:rPr>
                                <w:rFonts w:ascii="Arial Narrow" w:hAnsi="Arial Narrow"/>
                                <w:b/>
                                <w:bCs/>
                                <w:color w:val="DA0000"/>
                                <w:sz w:val="21"/>
                                <w:szCs w:val="21"/>
                              </w:rPr>
                            </w:pPr>
                            <w:r>
                              <w:rPr>
                                <w:rFonts w:ascii="Arial Narrow" w:hAnsi="Arial Narrow"/>
                                <w:b/>
                                <w:bCs/>
                                <w:color w:val="DA0000"/>
                                <w:sz w:val="21"/>
                                <w:szCs w:val="21"/>
                              </w:rPr>
                              <w:t>Strategija za reformu pravosuđa</w:t>
                            </w:r>
                            <w:r w:rsidRPr="00AE6231">
                              <w:rPr>
                                <w:rFonts w:ascii="Arial Narrow" w:hAnsi="Arial Narrow"/>
                                <w:b/>
                                <w:bCs/>
                                <w:color w:val="DA0000"/>
                                <w:sz w:val="21"/>
                                <w:szCs w:val="21"/>
                              </w:rPr>
                              <w:t xml:space="preserve"> 2019-2022</w:t>
                            </w:r>
                          </w:p>
                          <w:p w14:paraId="6609AF04" w14:textId="77777777" w:rsidR="006712E0" w:rsidRPr="00AE6231" w:rsidRDefault="006712E0" w:rsidP="00047EF8">
                            <w:pPr>
                              <w:pStyle w:val="ListParagraph"/>
                              <w:numPr>
                                <w:ilvl w:val="0"/>
                                <w:numId w:val="94"/>
                              </w:numPr>
                              <w:spacing w:after="0"/>
                              <w:jc w:val="both"/>
                              <w:rPr>
                                <w:rFonts w:ascii="Arial Narrow" w:hAnsi="Arial Narrow"/>
                                <w:b/>
                                <w:bCs/>
                                <w:color w:val="DA0000"/>
                                <w:sz w:val="21"/>
                                <w:szCs w:val="21"/>
                              </w:rPr>
                            </w:pPr>
                            <w:r w:rsidRPr="00AE6231">
                              <w:rPr>
                                <w:rStyle w:val="Hyperlink"/>
                                <w:rFonts w:ascii="Arial Narrow" w:hAnsi="Arial Narrow"/>
                                <w:bCs/>
                                <w:color w:val="DA0000"/>
                                <w:sz w:val="21"/>
                                <w:szCs w:val="21"/>
                              </w:rPr>
                              <w:t>Strateg</w:t>
                            </w:r>
                            <w:r>
                              <w:rPr>
                                <w:rStyle w:val="Hyperlink"/>
                                <w:rFonts w:ascii="Arial Narrow" w:hAnsi="Arial Narrow"/>
                                <w:bCs/>
                                <w:color w:val="DA0000"/>
                                <w:sz w:val="21"/>
                                <w:szCs w:val="21"/>
                              </w:rPr>
                              <w:t>ija za unapre</w:t>
                            </w:r>
                            <w:r>
                              <w:rPr>
                                <w:rStyle w:val="Hyperlink"/>
                                <w:rFonts w:ascii="Times New Roman" w:hAnsi="Times New Roman"/>
                                <w:bCs/>
                                <w:color w:val="DA0000"/>
                                <w:sz w:val="21"/>
                                <w:szCs w:val="21"/>
                              </w:rPr>
                              <w:t>đ</w:t>
                            </w:r>
                            <w:r>
                              <w:rPr>
                                <w:rStyle w:val="Hyperlink"/>
                                <w:rFonts w:ascii="Arial Narrow" w:hAnsi="Arial Narrow"/>
                                <w:bCs/>
                                <w:color w:val="DA0000"/>
                                <w:sz w:val="21"/>
                                <w:szCs w:val="21"/>
                              </w:rPr>
                              <w:t xml:space="preserve">enje kvaliteta </w:t>
                            </w:r>
                            <w:r>
                              <w:rPr>
                                <w:rStyle w:val="Hyperlink"/>
                                <w:rFonts w:ascii="Times New Roman" w:hAnsi="Times New Roman"/>
                                <w:bCs/>
                                <w:color w:val="DA0000"/>
                                <w:sz w:val="21"/>
                                <w:szCs w:val="21"/>
                              </w:rPr>
                              <w:t>ž</w:t>
                            </w:r>
                            <w:r>
                              <w:rPr>
                                <w:rStyle w:val="Hyperlink"/>
                                <w:rFonts w:ascii="Arial Narrow" w:hAnsi="Arial Narrow"/>
                                <w:bCs/>
                                <w:color w:val="DA0000"/>
                                <w:sz w:val="21"/>
                                <w:szCs w:val="21"/>
                              </w:rPr>
                              <w:t>ivota LGBTI lica</w:t>
                            </w:r>
                            <w:r w:rsidRPr="00AE6231">
                              <w:rPr>
                                <w:rStyle w:val="Hyperlink"/>
                                <w:rFonts w:ascii="Arial Narrow" w:hAnsi="Arial Narrow"/>
                                <w:bCs/>
                                <w:color w:val="DA0000"/>
                                <w:sz w:val="21"/>
                                <w:szCs w:val="21"/>
                              </w:rPr>
                              <w:t xml:space="preserve"> 2019-2023</w:t>
                            </w:r>
                          </w:p>
                          <w:p w14:paraId="1C8C0E89" w14:textId="77777777" w:rsidR="006712E0" w:rsidRPr="00AE6231" w:rsidRDefault="001D48BA" w:rsidP="00047EF8">
                            <w:pPr>
                              <w:pStyle w:val="ListParagraph"/>
                              <w:numPr>
                                <w:ilvl w:val="0"/>
                                <w:numId w:val="94"/>
                              </w:numPr>
                              <w:spacing w:after="0"/>
                              <w:jc w:val="both"/>
                              <w:rPr>
                                <w:rFonts w:ascii="Arial Narrow" w:hAnsi="Arial Narrow"/>
                                <w:b/>
                                <w:bCs/>
                                <w:color w:val="DA0000"/>
                                <w:sz w:val="21"/>
                                <w:szCs w:val="21"/>
                              </w:rPr>
                            </w:pPr>
                            <w:hyperlink r:id="rId49" w:history="1">
                              <w:r w:rsidR="006712E0" w:rsidRPr="00AE6231">
                                <w:rPr>
                                  <w:rStyle w:val="Hyperlink"/>
                                  <w:rFonts w:ascii="Arial Narrow" w:hAnsi="Arial Narrow"/>
                                  <w:bCs/>
                                  <w:color w:val="DA0000"/>
                                  <w:sz w:val="21"/>
                                  <w:szCs w:val="21"/>
                                </w:rPr>
                                <w:t>Strateg</w:t>
                              </w:r>
                              <w:r w:rsidR="006712E0">
                                <w:rPr>
                                  <w:rStyle w:val="Hyperlink"/>
                                  <w:rFonts w:ascii="Arial Narrow" w:hAnsi="Arial Narrow"/>
                                  <w:bCs/>
                                  <w:color w:val="DA0000"/>
                                  <w:sz w:val="21"/>
                                  <w:szCs w:val="21"/>
                                </w:rPr>
                                <w:t>ija za zaštitu lica sa invaliditetom protiv diskriminacije i promociju jednakosti</w:t>
                              </w:r>
                              <w:r w:rsidR="006712E0" w:rsidRPr="00AE6231">
                                <w:rPr>
                                  <w:rStyle w:val="Hyperlink"/>
                                  <w:rFonts w:ascii="Arial Narrow" w:hAnsi="Arial Narrow"/>
                                  <w:bCs/>
                                  <w:color w:val="DA0000"/>
                                  <w:sz w:val="21"/>
                                  <w:szCs w:val="21"/>
                                </w:rPr>
                                <w:t xml:space="preserve"> 2017-2021</w:t>
                              </w:r>
                            </w:hyperlink>
                            <w:r w:rsidR="006712E0" w:rsidRPr="00AE6231">
                              <w:rPr>
                                <w:rFonts w:ascii="Arial Narrow" w:hAnsi="Arial Narrow"/>
                                <w:b/>
                                <w:bCs/>
                                <w:color w:val="DA0000"/>
                                <w:sz w:val="21"/>
                                <w:szCs w:val="21"/>
                              </w:rPr>
                              <w:t xml:space="preserve"> </w:t>
                            </w:r>
                          </w:p>
                          <w:p w14:paraId="44166EB1" w14:textId="77777777" w:rsidR="006712E0" w:rsidRPr="00AE6231" w:rsidRDefault="006712E0" w:rsidP="00047EF8">
                            <w:pPr>
                              <w:pStyle w:val="ListParagraph"/>
                              <w:numPr>
                                <w:ilvl w:val="0"/>
                                <w:numId w:val="94"/>
                              </w:numPr>
                              <w:spacing w:after="0"/>
                              <w:jc w:val="both"/>
                              <w:rPr>
                                <w:rStyle w:val="Hyperlink"/>
                                <w:rFonts w:ascii="Arial Narrow" w:hAnsi="Arial Narrow"/>
                                <w:b/>
                                <w:color w:val="DA0000"/>
                                <w:sz w:val="21"/>
                                <w:szCs w:val="21"/>
                              </w:rPr>
                            </w:pPr>
                            <w:r w:rsidRPr="00AE6231">
                              <w:rPr>
                                <w:rStyle w:val="Hyperlink"/>
                                <w:rFonts w:ascii="Arial Narrow" w:hAnsi="Arial Narrow"/>
                                <w:color w:val="DA0000"/>
                                <w:sz w:val="21"/>
                                <w:szCs w:val="21"/>
                              </w:rPr>
                              <w:t xml:space="preserve">Plan </w:t>
                            </w:r>
                            <w:r>
                              <w:rPr>
                                <w:rStyle w:val="Hyperlink"/>
                                <w:rFonts w:ascii="Arial Narrow" w:hAnsi="Arial Narrow"/>
                                <w:color w:val="DA0000"/>
                                <w:sz w:val="21"/>
                                <w:szCs w:val="21"/>
                              </w:rPr>
                              <w:t>akcije za rodnu ravnopravnost</w:t>
                            </w:r>
                            <w:r w:rsidRPr="00AE6231">
                              <w:rPr>
                                <w:rStyle w:val="Hyperlink"/>
                                <w:rFonts w:ascii="Arial Narrow" w:hAnsi="Arial Narrow"/>
                                <w:color w:val="DA0000"/>
                                <w:sz w:val="21"/>
                                <w:szCs w:val="21"/>
                              </w:rPr>
                              <w:t xml:space="preserve"> 2017-2021.</w:t>
                            </w:r>
                          </w:p>
                          <w:p w14:paraId="2BA15CBC" w14:textId="77777777" w:rsidR="006712E0" w:rsidRPr="00AE6231" w:rsidRDefault="006712E0" w:rsidP="00047EF8">
                            <w:pPr>
                              <w:pStyle w:val="ListParagraph"/>
                              <w:numPr>
                                <w:ilvl w:val="0"/>
                                <w:numId w:val="94"/>
                              </w:numPr>
                              <w:spacing w:after="0"/>
                              <w:jc w:val="both"/>
                              <w:rPr>
                                <w:rFonts w:ascii="Arial Narrow" w:hAnsi="Arial Narrow"/>
                                <w:b/>
                                <w:bCs/>
                                <w:color w:val="FF0000"/>
                                <w:sz w:val="21"/>
                                <w:szCs w:val="21"/>
                              </w:rPr>
                            </w:pPr>
                            <w:r>
                              <w:rPr>
                                <w:rStyle w:val="Hyperlink"/>
                                <w:rFonts w:ascii="Arial Narrow" w:hAnsi="Arial Narrow"/>
                                <w:bCs/>
                                <w:color w:val="FF0000"/>
                                <w:sz w:val="21"/>
                                <w:szCs w:val="21"/>
                              </w:rPr>
                              <w:t>Strategija politike za manjine</w:t>
                            </w:r>
                            <w:r w:rsidRPr="00AE6231">
                              <w:rPr>
                                <w:rStyle w:val="Hyperlink"/>
                                <w:rFonts w:ascii="Arial Narrow" w:hAnsi="Arial Narrow"/>
                                <w:bCs/>
                                <w:color w:val="FF0000"/>
                                <w:sz w:val="21"/>
                                <w:szCs w:val="21"/>
                              </w:rPr>
                              <w:t xml:space="preserve"> 2019-2023</w:t>
                            </w:r>
                          </w:p>
                          <w:p w14:paraId="686F695E" w14:textId="77777777" w:rsidR="006712E0" w:rsidRDefault="006712E0" w:rsidP="00047EF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911AC" id="Rounded Rectangle 135" o:spid="_x0000_s1106" style="position:absolute;left:0;text-align:left;margin-left:-24.75pt;margin-top:132.7pt;width:312pt;height:16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" fillcolor="window" strokecolor="#ff3737" strokeweight="1pt">
                <v:stroke joinstyle="miter"/>
                <v:path arrowok="t"/>
                <v:textbox>
                  <w:txbxContent>
                    <w:p w14:paraId="7901DB6C" w14:textId="77777777" w:rsidR="006712E0" w:rsidRDefault="006712E0" w:rsidP="00047EF8">
                      <w:pPr>
                        <w:spacing w:after="120"/>
                        <w:jc w:val="center"/>
                        <w:rPr>
                          <w:rFonts w:ascii="Arial Narrow" w:hAnsi="Arial Narrow"/>
                          <w:b/>
                          <w:color w:val="FF3737"/>
                          <w:sz w:val="24"/>
                          <w:szCs w:val="24"/>
                        </w:rPr>
                      </w:pPr>
                      <w:r>
                        <w:rPr>
                          <w:rFonts w:ascii="Arial Narrow" w:hAnsi="Arial Narrow"/>
                          <w:b/>
                          <w:color w:val="FF3737"/>
                          <w:sz w:val="24"/>
                          <w:szCs w:val="24"/>
                        </w:rPr>
                        <w:t>SEKTORSKE STRATEGIJE</w:t>
                      </w:r>
                      <w:r w:rsidRPr="008D6D35">
                        <w:rPr>
                          <w:rFonts w:ascii="Arial Narrow" w:hAnsi="Arial Narrow"/>
                          <w:b/>
                          <w:color w:val="FF3737"/>
                          <w:sz w:val="24"/>
                          <w:szCs w:val="24"/>
                        </w:rPr>
                        <w:t>:</w:t>
                      </w:r>
                    </w:p>
                    <w:p w14:paraId="574BC268" w14:textId="77777777" w:rsidR="006712E0" w:rsidRPr="00AE6231" w:rsidRDefault="006712E0" w:rsidP="00047EF8">
                      <w:pPr>
                        <w:pStyle w:val="ListParagraph"/>
                        <w:numPr>
                          <w:ilvl w:val="0"/>
                          <w:numId w:val="94"/>
                        </w:numPr>
                        <w:spacing w:after="0"/>
                        <w:jc w:val="both"/>
                        <w:rPr>
                          <w:rFonts w:ascii="Arial Narrow" w:hAnsi="Arial Narrow"/>
                          <w:b/>
                          <w:bCs/>
                          <w:color w:val="DA0000"/>
                          <w:sz w:val="21"/>
                          <w:szCs w:val="21"/>
                        </w:rPr>
                      </w:pPr>
                      <w:r w:rsidRPr="00AE6231">
                        <w:rPr>
                          <w:rFonts w:ascii="Arial Narrow" w:hAnsi="Arial Narrow"/>
                          <w:b/>
                          <w:bCs/>
                          <w:color w:val="DA0000"/>
                          <w:sz w:val="21"/>
                          <w:szCs w:val="21"/>
                        </w:rPr>
                        <w:t>Strateg</w:t>
                      </w:r>
                      <w:r>
                        <w:rPr>
                          <w:rFonts w:ascii="Arial Narrow" w:hAnsi="Arial Narrow"/>
                          <w:b/>
                          <w:bCs/>
                          <w:color w:val="DA0000"/>
                          <w:sz w:val="21"/>
                          <w:szCs w:val="21"/>
                        </w:rPr>
                        <w:t>ija za izvršenje krivičnih sankcija</w:t>
                      </w:r>
                      <w:r w:rsidRPr="00AE6231">
                        <w:rPr>
                          <w:rFonts w:ascii="Arial Narrow" w:hAnsi="Arial Narrow"/>
                          <w:b/>
                          <w:bCs/>
                          <w:color w:val="DA0000"/>
                          <w:sz w:val="21"/>
                          <w:szCs w:val="21"/>
                        </w:rPr>
                        <w:t xml:space="preserve"> 2017-2021</w:t>
                      </w:r>
                    </w:p>
                    <w:p w14:paraId="106DF982" w14:textId="77777777" w:rsidR="006712E0" w:rsidRPr="00AE6231" w:rsidRDefault="006712E0" w:rsidP="00047EF8">
                      <w:pPr>
                        <w:pStyle w:val="ListParagraph"/>
                        <w:numPr>
                          <w:ilvl w:val="0"/>
                          <w:numId w:val="94"/>
                        </w:numPr>
                        <w:spacing w:after="0"/>
                        <w:jc w:val="both"/>
                        <w:rPr>
                          <w:rFonts w:ascii="Arial Narrow" w:hAnsi="Arial Narrow"/>
                          <w:b/>
                          <w:bCs/>
                          <w:color w:val="DA0000"/>
                          <w:sz w:val="21"/>
                          <w:szCs w:val="21"/>
                        </w:rPr>
                      </w:pPr>
                      <w:r>
                        <w:rPr>
                          <w:rFonts w:ascii="Arial Narrow" w:hAnsi="Arial Narrow"/>
                          <w:b/>
                          <w:bCs/>
                          <w:color w:val="DA0000"/>
                          <w:sz w:val="21"/>
                          <w:szCs w:val="21"/>
                        </w:rPr>
                        <w:t>Strategija za reformu pravosuđa</w:t>
                      </w:r>
                      <w:r w:rsidRPr="00AE6231">
                        <w:rPr>
                          <w:rFonts w:ascii="Arial Narrow" w:hAnsi="Arial Narrow"/>
                          <w:b/>
                          <w:bCs/>
                          <w:color w:val="DA0000"/>
                          <w:sz w:val="21"/>
                          <w:szCs w:val="21"/>
                        </w:rPr>
                        <w:t xml:space="preserve"> 2019-2022</w:t>
                      </w:r>
                    </w:p>
                    <w:p w14:paraId="6609AF04" w14:textId="77777777" w:rsidR="006712E0" w:rsidRPr="00AE6231" w:rsidRDefault="006712E0" w:rsidP="00047EF8">
                      <w:pPr>
                        <w:pStyle w:val="ListParagraph"/>
                        <w:numPr>
                          <w:ilvl w:val="0"/>
                          <w:numId w:val="94"/>
                        </w:numPr>
                        <w:spacing w:after="0"/>
                        <w:jc w:val="both"/>
                        <w:rPr>
                          <w:rFonts w:ascii="Arial Narrow" w:hAnsi="Arial Narrow"/>
                          <w:b/>
                          <w:bCs/>
                          <w:color w:val="DA0000"/>
                          <w:sz w:val="21"/>
                          <w:szCs w:val="21"/>
                        </w:rPr>
                      </w:pPr>
                      <w:r w:rsidRPr="00AE6231">
                        <w:rPr>
                          <w:rStyle w:val="Hyperlink"/>
                          <w:rFonts w:ascii="Arial Narrow" w:hAnsi="Arial Narrow"/>
                          <w:bCs/>
                          <w:color w:val="DA0000"/>
                          <w:sz w:val="21"/>
                          <w:szCs w:val="21"/>
                        </w:rPr>
                        <w:t>Strateg</w:t>
                      </w:r>
                      <w:r>
                        <w:rPr>
                          <w:rStyle w:val="Hyperlink"/>
                          <w:rFonts w:ascii="Arial Narrow" w:hAnsi="Arial Narrow"/>
                          <w:bCs/>
                          <w:color w:val="DA0000"/>
                          <w:sz w:val="21"/>
                          <w:szCs w:val="21"/>
                        </w:rPr>
                        <w:t>ija za unapre</w:t>
                      </w:r>
                      <w:r>
                        <w:rPr>
                          <w:rStyle w:val="Hyperlink"/>
                          <w:rFonts w:ascii="Times New Roman" w:hAnsi="Times New Roman"/>
                          <w:bCs/>
                          <w:color w:val="DA0000"/>
                          <w:sz w:val="21"/>
                          <w:szCs w:val="21"/>
                        </w:rPr>
                        <w:t>đ</w:t>
                      </w:r>
                      <w:r>
                        <w:rPr>
                          <w:rStyle w:val="Hyperlink"/>
                          <w:rFonts w:ascii="Arial Narrow" w:hAnsi="Arial Narrow"/>
                          <w:bCs/>
                          <w:color w:val="DA0000"/>
                          <w:sz w:val="21"/>
                          <w:szCs w:val="21"/>
                        </w:rPr>
                        <w:t xml:space="preserve">enje kvaliteta </w:t>
                      </w:r>
                      <w:r>
                        <w:rPr>
                          <w:rStyle w:val="Hyperlink"/>
                          <w:rFonts w:ascii="Times New Roman" w:hAnsi="Times New Roman"/>
                          <w:bCs/>
                          <w:color w:val="DA0000"/>
                          <w:sz w:val="21"/>
                          <w:szCs w:val="21"/>
                        </w:rPr>
                        <w:t>ž</w:t>
                      </w:r>
                      <w:r>
                        <w:rPr>
                          <w:rStyle w:val="Hyperlink"/>
                          <w:rFonts w:ascii="Arial Narrow" w:hAnsi="Arial Narrow"/>
                          <w:bCs/>
                          <w:color w:val="DA0000"/>
                          <w:sz w:val="21"/>
                          <w:szCs w:val="21"/>
                        </w:rPr>
                        <w:t>ivota LGBTI lica</w:t>
                      </w:r>
                      <w:r w:rsidRPr="00AE6231">
                        <w:rPr>
                          <w:rStyle w:val="Hyperlink"/>
                          <w:rFonts w:ascii="Arial Narrow" w:hAnsi="Arial Narrow"/>
                          <w:bCs/>
                          <w:color w:val="DA0000"/>
                          <w:sz w:val="21"/>
                          <w:szCs w:val="21"/>
                        </w:rPr>
                        <w:t xml:space="preserve"> 2019-2023</w:t>
                      </w:r>
                    </w:p>
                    <w:p w14:paraId="1C8C0E89" w14:textId="77777777" w:rsidR="006712E0" w:rsidRPr="00AE6231" w:rsidRDefault="006712E0" w:rsidP="00047EF8">
                      <w:pPr>
                        <w:pStyle w:val="ListParagraph"/>
                        <w:numPr>
                          <w:ilvl w:val="0"/>
                          <w:numId w:val="94"/>
                        </w:numPr>
                        <w:spacing w:after="0"/>
                        <w:jc w:val="both"/>
                        <w:rPr>
                          <w:rFonts w:ascii="Arial Narrow" w:hAnsi="Arial Narrow"/>
                          <w:b/>
                          <w:bCs/>
                          <w:color w:val="DA0000"/>
                          <w:sz w:val="21"/>
                          <w:szCs w:val="21"/>
                        </w:rPr>
                      </w:pPr>
                      <w:hyperlink r:id="rId50" w:history="1">
                        <w:r w:rsidRPr="00AE6231">
                          <w:rPr>
                            <w:rStyle w:val="Hyperlink"/>
                            <w:rFonts w:ascii="Arial Narrow" w:hAnsi="Arial Narrow"/>
                            <w:bCs/>
                            <w:color w:val="DA0000"/>
                            <w:sz w:val="21"/>
                            <w:szCs w:val="21"/>
                          </w:rPr>
                          <w:t>Strateg</w:t>
                        </w:r>
                        <w:r>
                          <w:rPr>
                            <w:rStyle w:val="Hyperlink"/>
                            <w:rFonts w:ascii="Arial Narrow" w:hAnsi="Arial Narrow"/>
                            <w:bCs/>
                            <w:color w:val="DA0000"/>
                            <w:sz w:val="21"/>
                            <w:szCs w:val="21"/>
                          </w:rPr>
                          <w:t>ija za zaštitu lica sa invaliditetom protiv diskriminacije i promociju jednakosti</w:t>
                        </w:r>
                        <w:r w:rsidRPr="00AE6231">
                          <w:rPr>
                            <w:rStyle w:val="Hyperlink"/>
                            <w:rFonts w:ascii="Arial Narrow" w:hAnsi="Arial Narrow"/>
                            <w:bCs/>
                            <w:color w:val="DA0000"/>
                            <w:sz w:val="21"/>
                            <w:szCs w:val="21"/>
                          </w:rPr>
                          <w:t xml:space="preserve"> 2017-2021</w:t>
                        </w:r>
                      </w:hyperlink>
                      <w:r w:rsidRPr="00AE6231">
                        <w:rPr>
                          <w:rFonts w:ascii="Arial Narrow" w:hAnsi="Arial Narrow"/>
                          <w:b/>
                          <w:bCs/>
                          <w:color w:val="DA0000"/>
                          <w:sz w:val="21"/>
                          <w:szCs w:val="21"/>
                        </w:rPr>
                        <w:t xml:space="preserve"> </w:t>
                      </w:r>
                    </w:p>
                    <w:p w14:paraId="44166EB1" w14:textId="77777777" w:rsidR="006712E0" w:rsidRPr="00AE6231" w:rsidRDefault="006712E0" w:rsidP="00047EF8">
                      <w:pPr>
                        <w:pStyle w:val="ListParagraph"/>
                        <w:numPr>
                          <w:ilvl w:val="0"/>
                          <w:numId w:val="94"/>
                        </w:numPr>
                        <w:spacing w:after="0"/>
                        <w:jc w:val="both"/>
                        <w:rPr>
                          <w:rStyle w:val="Hyperlink"/>
                          <w:rFonts w:ascii="Arial Narrow" w:hAnsi="Arial Narrow"/>
                          <w:b/>
                          <w:color w:val="DA0000"/>
                          <w:sz w:val="21"/>
                          <w:szCs w:val="21"/>
                        </w:rPr>
                      </w:pPr>
                      <w:r w:rsidRPr="00AE6231">
                        <w:rPr>
                          <w:rStyle w:val="Hyperlink"/>
                          <w:rFonts w:ascii="Arial Narrow" w:hAnsi="Arial Narrow"/>
                          <w:color w:val="DA0000"/>
                          <w:sz w:val="21"/>
                          <w:szCs w:val="21"/>
                        </w:rPr>
                        <w:t xml:space="preserve">Plan </w:t>
                      </w:r>
                      <w:r>
                        <w:rPr>
                          <w:rStyle w:val="Hyperlink"/>
                          <w:rFonts w:ascii="Arial Narrow" w:hAnsi="Arial Narrow"/>
                          <w:color w:val="DA0000"/>
                          <w:sz w:val="21"/>
                          <w:szCs w:val="21"/>
                        </w:rPr>
                        <w:t>akcije za rodnu ravnopravnost</w:t>
                      </w:r>
                      <w:r w:rsidRPr="00AE6231">
                        <w:rPr>
                          <w:rStyle w:val="Hyperlink"/>
                          <w:rFonts w:ascii="Arial Narrow" w:hAnsi="Arial Narrow"/>
                          <w:color w:val="DA0000"/>
                          <w:sz w:val="21"/>
                          <w:szCs w:val="21"/>
                        </w:rPr>
                        <w:t xml:space="preserve"> 2017-2021.</w:t>
                      </w:r>
                    </w:p>
                    <w:p w14:paraId="2BA15CBC" w14:textId="77777777" w:rsidR="006712E0" w:rsidRPr="00AE6231" w:rsidRDefault="006712E0" w:rsidP="00047EF8">
                      <w:pPr>
                        <w:pStyle w:val="ListParagraph"/>
                        <w:numPr>
                          <w:ilvl w:val="0"/>
                          <w:numId w:val="94"/>
                        </w:numPr>
                        <w:spacing w:after="0"/>
                        <w:jc w:val="both"/>
                        <w:rPr>
                          <w:rFonts w:ascii="Arial Narrow" w:hAnsi="Arial Narrow"/>
                          <w:b/>
                          <w:bCs/>
                          <w:color w:val="FF0000"/>
                          <w:sz w:val="21"/>
                          <w:szCs w:val="21"/>
                        </w:rPr>
                      </w:pPr>
                      <w:r>
                        <w:rPr>
                          <w:rStyle w:val="Hyperlink"/>
                          <w:rFonts w:ascii="Arial Narrow" w:hAnsi="Arial Narrow"/>
                          <w:bCs/>
                          <w:color w:val="FF0000"/>
                          <w:sz w:val="21"/>
                          <w:szCs w:val="21"/>
                        </w:rPr>
                        <w:t>Strategija politike za manjine</w:t>
                      </w:r>
                      <w:r w:rsidRPr="00AE6231">
                        <w:rPr>
                          <w:rStyle w:val="Hyperlink"/>
                          <w:rFonts w:ascii="Arial Narrow" w:hAnsi="Arial Narrow"/>
                          <w:bCs/>
                          <w:color w:val="FF0000"/>
                          <w:sz w:val="21"/>
                          <w:szCs w:val="21"/>
                        </w:rPr>
                        <w:t xml:space="preserve"> 2019-2023</w:t>
                      </w:r>
                    </w:p>
                    <w:p w14:paraId="686F695E" w14:textId="77777777" w:rsidR="006712E0" w:rsidRDefault="006712E0" w:rsidP="00047EF8"/>
                  </w:txbxContent>
                </v:textbox>
                <w10:wrap anchorx="margin"/>
              </v:roundrect>
            </w:pict>
          </mc:Fallback>
        </mc:AlternateContent>
      </w:r>
      <w:r w:rsidRPr="00F563CD">
        <w:rPr>
          <w:rFonts w:asciiTheme="minorHAnsi" w:hAnsiTheme="minorHAnsi"/>
          <w:noProof/>
          <w:color w:val="FFFFFF" w:themeColor="background1"/>
          <w:u w:color="FFFFFF" w:themeColor="background1"/>
          <w:lang w:val="en-US" w:eastAsia="en-US"/>
        </w:rPr>
        <mc:AlternateContent>
          <mc:Choice Requires="wps">
            <w:drawing>
              <wp:anchor distT="0" distB="0" distL="114300" distR="114300" simplePos="0" relativeHeight="251680768" behindDoc="0" locked="0" layoutInCell="1" allowOverlap="1" wp14:anchorId="6FC7BFD5" wp14:editId="799403DF">
                <wp:simplePos x="0" y="0"/>
                <wp:positionH relativeFrom="margin">
                  <wp:posOffset>-361950</wp:posOffset>
                </wp:positionH>
                <wp:positionV relativeFrom="paragraph">
                  <wp:posOffset>1132840</wp:posOffset>
                </wp:positionV>
                <wp:extent cx="6829425" cy="400050"/>
                <wp:effectExtent l="0" t="0" r="9525" b="0"/>
                <wp:wrapNone/>
                <wp:docPr id="132" name="Rounded 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400050"/>
                        </a:xfrm>
                        <a:prstGeom prst="roundRect">
                          <a:avLst/>
                        </a:prstGeom>
                        <a:solidFill>
                          <a:srgbClr val="DA0000"/>
                        </a:solidFill>
                        <a:ln w="12700" cap="flat" cmpd="sng" algn="ctr">
                          <a:solidFill>
                            <a:srgbClr val="5B9BD5">
                              <a:shade val="50000"/>
                            </a:srgbClr>
                          </a:solidFill>
                          <a:prstDash val="solid"/>
                          <a:miter lim="800000"/>
                        </a:ln>
                        <a:effectLst/>
                      </wps:spPr>
                      <wps:txbx>
                        <w:txbxContent>
                          <w:p w14:paraId="0D879C26" w14:textId="77777777" w:rsidR="006712E0" w:rsidRPr="009A5D16" w:rsidRDefault="006712E0" w:rsidP="00047EF8">
                            <w:pPr>
                              <w:jc w:val="center"/>
                              <w:rPr>
                                <w:rFonts w:ascii="Arial" w:hAnsi="Arial" w:cs="Arial"/>
                                <w:b/>
                                <w:color w:val="FFFFFF" w:themeColor="background1"/>
                                <w:sz w:val="28"/>
                                <w:szCs w:val="28"/>
                              </w:rPr>
                            </w:pPr>
                            <w:r>
                              <w:rPr>
                                <w:rFonts w:ascii="Arial" w:hAnsi="Arial" w:cs="Arial"/>
                                <w:b/>
                                <w:color w:val="FFFFFF" w:themeColor="background1"/>
                                <w:sz w:val="28"/>
                                <w:szCs w:val="28"/>
                              </w:rPr>
                              <w:t>MINISTARSTVO PRAVDE, LJUDSKIH I MANJINSKIH PRAVA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7BFD5" id="Rounded Rectangle 132" o:spid="_x0000_s1107" style="position:absolute;left:0;text-align:left;margin-left:-28.5pt;margin-top:89.2pt;width:537.75pt;height:3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" fillcolor="#da0000" strokecolor="#41719c" strokeweight="1pt">
                <v:stroke joinstyle="miter"/>
                <v:path arrowok="t"/>
                <v:textbox>
                  <w:txbxContent>
                    <w:p w14:paraId="0D879C26" w14:textId="77777777" w:rsidR="006712E0" w:rsidRPr="009A5D16" w:rsidRDefault="006712E0" w:rsidP="00047EF8">
                      <w:pPr>
                        <w:jc w:val="center"/>
                        <w:rPr>
                          <w:rFonts w:ascii="Arial" w:hAnsi="Arial" w:cs="Arial"/>
                          <w:b/>
                          <w:color w:val="FFFFFF" w:themeColor="background1"/>
                          <w:sz w:val="28"/>
                          <w:szCs w:val="28"/>
                        </w:rPr>
                      </w:pPr>
                      <w:r>
                        <w:rPr>
                          <w:rFonts w:ascii="Arial" w:hAnsi="Arial" w:cs="Arial"/>
                          <w:b/>
                          <w:color w:val="FFFFFF" w:themeColor="background1"/>
                          <w:sz w:val="28"/>
                          <w:szCs w:val="28"/>
                        </w:rPr>
                        <w:t>MINISTARSTVO PRAVDE, LJUDSKIH I MANJINSKIH PRAVA</w:t>
                      </w:r>
                    </w:p>
                  </w:txbxContent>
                </v:textbox>
                <w10:wrap anchorx="margin"/>
              </v:roundrect>
            </w:pict>
          </mc:Fallback>
        </mc:AlternateContent>
      </w:r>
      <w:r w:rsidR="00864F83" w:rsidRPr="00F563CD">
        <w:rPr>
          <w:rFonts w:asciiTheme="minorHAnsi" w:hAnsiTheme="minorHAnsi"/>
          <w:color w:val="FFFFFF" w:themeColor="background1"/>
          <w:sz w:val="24"/>
          <w:szCs w:val="24"/>
          <w:u w:color="FFFFFF" w:themeColor="background1"/>
        </w:rPr>
        <w:br w:type="page"/>
      </w:r>
    </w:p>
    <w:p w14:paraId="4B38868C" w14:textId="04C0D063"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cs="Arial"/>
          <w:noProof/>
          <w:color w:val="FFFFFF" w:themeColor="background1"/>
          <w:sz w:val="28"/>
          <w:szCs w:val="28"/>
          <w:u w:color="FFFFFF" w:themeColor="background1"/>
          <w:lang w:val="en-US" w:eastAsia="en-US"/>
        </w:rPr>
        <w:lastRenderedPageBreak/>
        <mc:AlternateContent>
          <mc:Choice Requires="wps">
            <w:drawing>
              <wp:anchor distT="0" distB="0" distL="114300" distR="114300" simplePos="0" relativeHeight="251682816" behindDoc="0" locked="0" layoutInCell="1" allowOverlap="1" wp14:anchorId="5D17521A" wp14:editId="3821D3A2">
                <wp:simplePos x="0" y="0"/>
                <wp:positionH relativeFrom="margin">
                  <wp:align>left</wp:align>
                </wp:positionH>
                <wp:positionV relativeFrom="paragraph">
                  <wp:posOffset>-57785</wp:posOffset>
                </wp:positionV>
                <wp:extent cx="6543675" cy="361950"/>
                <wp:effectExtent l="0" t="0" r="9525" b="0"/>
                <wp:wrapNone/>
                <wp:docPr id="137" name="Rounded 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675" cy="36195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09A2419" w14:textId="77777777" w:rsidR="006712E0" w:rsidRPr="007D7D1B" w:rsidRDefault="006712E0" w:rsidP="00047EF8">
                            <w:pPr>
                              <w:jc w:val="center"/>
                              <w:rPr>
                                <w:rFonts w:ascii="Arial" w:hAnsi="Arial" w:cs="Arial"/>
                                <w:b/>
                                <w:sz w:val="28"/>
                                <w:szCs w:val="28"/>
                              </w:rPr>
                            </w:pPr>
                            <w:r>
                              <w:rPr>
                                <w:rFonts w:ascii="Arial" w:hAnsi="Arial" w:cs="Arial"/>
                                <w:b/>
                                <w:sz w:val="28"/>
                                <w:szCs w:val="28"/>
                              </w:rPr>
                              <w:t xml:space="preserve">MINISTARSTVO FINANSIJA I SOCIJALNOG STARANJA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7521A" id="Rounded Rectangle 137" o:spid="_x0000_s1108" style="position:absolute;left:0;text-align:left;margin-left:0;margin-top:-4.55pt;width:515.25pt;height:28.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" fillcolor="#5b9bd5" strokecolor="#41719c" strokeweight="1pt">
                <v:stroke joinstyle="miter"/>
                <v:path arrowok="t"/>
                <v:textbox>
                  <w:txbxContent>
                    <w:p w14:paraId="509A2419" w14:textId="77777777" w:rsidR="006712E0" w:rsidRPr="007D7D1B" w:rsidRDefault="006712E0" w:rsidP="00047EF8">
                      <w:pPr>
                        <w:jc w:val="center"/>
                        <w:rPr>
                          <w:rFonts w:ascii="Arial" w:hAnsi="Arial" w:cs="Arial"/>
                          <w:b/>
                          <w:sz w:val="28"/>
                          <w:szCs w:val="28"/>
                        </w:rPr>
                      </w:pPr>
                      <w:r>
                        <w:rPr>
                          <w:rFonts w:ascii="Arial" w:hAnsi="Arial" w:cs="Arial"/>
                          <w:b/>
                          <w:sz w:val="28"/>
                          <w:szCs w:val="28"/>
                        </w:rPr>
                        <w:t xml:space="preserve">MINISTARSTVO FINANSIJA I SOCIJALNOG STARANJA </w:t>
                      </w: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69504" behindDoc="0" locked="0" layoutInCell="1" allowOverlap="1" wp14:anchorId="62B595DF" wp14:editId="1D40780E">
                <wp:simplePos x="0" y="0"/>
                <wp:positionH relativeFrom="column">
                  <wp:posOffset>-142875</wp:posOffset>
                </wp:positionH>
                <wp:positionV relativeFrom="paragraph">
                  <wp:posOffset>-781050</wp:posOffset>
                </wp:positionV>
                <wp:extent cx="6372225" cy="472440"/>
                <wp:effectExtent l="0" t="0" r="0" b="0"/>
                <wp:wrapNone/>
                <wp:docPr id="23514" name="Text Box 23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472440"/>
                        </a:xfrm>
                        <a:prstGeom prst="rect">
                          <a:avLst/>
                        </a:prstGeom>
                        <a:solidFill>
                          <a:sysClr val="window" lastClr="FFFFFF"/>
                        </a:solidFill>
                        <a:ln w="6350">
                          <a:noFill/>
                        </a:ln>
                      </wps:spPr>
                      <wps:txbx>
                        <w:txbxContent>
                          <w:p w14:paraId="5B24CB97" w14:textId="77777777" w:rsidR="006712E0" w:rsidRPr="004D3A94" w:rsidRDefault="006712E0" w:rsidP="00047EF8">
                            <w:pPr>
                              <w:pStyle w:val="Header"/>
                              <w:jc w:val="right"/>
                              <w:rPr>
                                <w:b/>
                                <w:color w:val="4F81BD" w:themeColor="accent1"/>
                                <w:spacing w:val="-20"/>
                                <w:sz w:val="30"/>
                                <w:szCs w:val="30"/>
                              </w:rPr>
                            </w:pPr>
                            <w:r>
                              <w:rPr>
                                <w:b/>
                                <w:color w:val="4F81BD" w:themeColor="accent1"/>
                                <w:spacing w:val="-20"/>
                                <w:sz w:val="30"/>
                                <w:szCs w:val="30"/>
                              </w:rPr>
                              <w:t>FINANSIJE I FISKALNA POLITIKA</w:t>
                            </w:r>
                          </w:p>
                          <w:p w14:paraId="2DA34F46" w14:textId="77777777" w:rsidR="006712E0" w:rsidRDefault="006712E0" w:rsidP="00047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95DF" id="Text Box 23514" o:spid="_x0000_s1109" type="#_x0000_t202" style="position:absolute;left:0;text-align:left;margin-left:-11.25pt;margin-top:-61.5pt;width:501.75pt;height:3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" fillcolor="window" stroked="f" strokeweight=".5pt">
                <v:path arrowok="t"/>
                <v:textbox>
                  <w:txbxContent>
                    <w:p w14:paraId="5B24CB97" w14:textId="77777777" w:rsidR="006712E0" w:rsidRPr="004D3A94" w:rsidRDefault="006712E0" w:rsidP="00047EF8">
                      <w:pPr>
                        <w:pStyle w:val="Header"/>
                        <w:jc w:val="right"/>
                        <w:rPr>
                          <w:b/>
                          <w:color w:val="4F81BD" w:themeColor="accent1"/>
                          <w:spacing w:val="-20"/>
                          <w:sz w:val="30"/>
                          <w:szCs w:val="30"/>
                        </w:rPr>
                      </w:pPr>
                      <w:r>
                        <w:rPr>
                          <w:b/>
                          <w:color w:val="4F81BD" w:themeColor="accent1"/>
                          <w:spacing w:val="-20"/>
                          <w:sz w:val="30"/>
                          <w:szCs w:val="30"/>
                        </w:rPr>
                        <w:t>FINANSIJE I FISKALNA POLITIKA</w:t>
                      </w:r>
                    </w:p>
                    <w:p w14:paraId="2DA34F46" w14:textId="77777777" w:rsidR="006712E0" w:rsidRDefault="006712E0" w:rsidP="00047EF8"/>
                  </w:txbxContent>
                </v:textbox>
              </v:shape>
            </w:pict>
          </mc:Fallback>
        </mc:AlternateContent>
      </w:r>
    </w:p>
    <w:p w14:paraId="528E75F6" w14:textId="5384E425"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cs="Arial"/>
          <w:noProof/>
          <w:color w:val="FFFFFF" w:themeColor="background1"/>
          <w:sz w:val="28"/>
          <w:szCs w:val="28"/>
          <w:u w:color="FFFFFF" w:themeColor="background1"/>
          <w:lang w:val="en-US" w:eastAsia="en-US"/>
        </w:rPr>
        <mc:AlternateContent>
          <mc:Choice Requires="wps">
            <w:drawing>
              <wp:anchor distT="0" distB="0" distL="114300" distR="114300" simplePos="0" relativeHeight="251683840" behindDoc="0" locked="0" layoutInCell="1" allowOverlap="1" wp14:anchorId="6B437176" wp14:editId="7A636E21">
                <wp:simplePos x="0" y="0"/>
                <wp:positionH relativeFrom="margin">
                  <wp:posOffset>-114300</wp:posOffset>
                </wp:positionH>
                <wp:positionV relativeFrom="paragraph">
                  <wp:posOffset>120015</wp:posOffset>
                </wp:positionV>
                <wp:extent cx="7105650" cy="1228725"/>
                <wp:effectExtent l="0" t="0" r="0" b="9525"/>
                <wp:wrapNone/>
                <wp:docPr id="138" name="Rounded 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05650" cy="1228725"/>
                        </a:xfrm>
                        <a:prstGeom prst="roundRect">
                          <a:avLst/>
                        </a:prstGeom>
                        <a:solidFill>
                          <a:sysClr val="window" lastClr="FFFFFF"/>
                        </a:solidFill>
                        <a:ln w="12700" cap="flat" cmpd="sng" algn="ctr">
                          <a:solidFill>
                            <a:srgbClr val="5B9BD5">
                              <a:lumMod val="75000"/>
                            </a:srgbClr>
                          </a:solidFill>
                          <a:prstDash val="solid"/>
                          <a:miter lim="800000"/>
                        </a:ln>
                        <a:effectLst/>
                      </wps:spPr>
                      <wps:txbx>
                        <w:txbxContent>
                          <w:p w14:paraId="419A6425" w14:textId="77777777" w:rsidR="006712E0" w:rsidRPr="009F1CF2" w:rsidRDefault="006712E0" w:rsidP="00047EF8">
                            <w:pPr>
                              <w:spacing w:after="0"/>
                              <w:jc w:val="center"/>
                              <w:rPr>
                                <w:rFonts w:ascii="Arial Narrow" w:hAnsi="Arial Narrow"/>
                                <w:color w:val="365F91" w:themeColor="accent1" w:themeShade="BF"/>
                                <w:sz w:val="24"/>
                                <w:szCs w:val="24"/>
                              </w:rPr>
                            </w:pPr>
                            <w:r>
                              <w:rPr>
                                <w:rFonts w:ascii="Arial Narrow" w:hAnsi="Arial Narrow"/>
                                <w:b/>
                                <w:color w:val="365F91" w:themeColor="accent1" w:themeShade="BF"/>
                                <w:sz w:val="24"/>
                                <w:szCs w:val="24"/>
                              </w:rPr>
                              <w:t>KROVNI DOKUMENTI</w:t>
                            </w:r>
                            <w:r w:rsidRPr="009F1CF2">
                              <w:rPr>
                                <w:rFonts w:ascii="Arial Narrow" w:hAnsi="Arial Narrow"/>
                                <w:color w:val="365F91" w:themeColor="accent1" w:themeShade="BF"/>
                                <w:sz w:val="24"/>
                                <w:szCs w:val="24"/>
                              </w:rPr>
                              <w:t>:</w:t>
                            </w:r>
                          </w:p>
                          <w:p w14:paraId="5B00A68C" w14:textId="77777777" w:rsidR="006712E0" w:rsidRPr="009F1CF2" w:rsidRDefault="006712E0" w:rsidP="00047EF8">
                            <w:pPr>
                              <w:spacing w:after="0"/>
                              <w:jc w:val="both"/>
                              <w:rPr>
                                <w:color w:val="365F91" w:themeColor="accent1" w:themeShade="BF"/>
                                <w:sz w:val="12"/>
                              </w:rPr>
                            </w:pPr>
                          </w:p>
                          <w:p w14:paraId="43023129" w14:textId="77777777" w:rsidR="006712E0" w:rsidRPr="009F1CF2" w:rsidRDefault="001D48BA" w:rsidP="00047EF8">
                            <w:pPr>
                              <w:pStyle w:val="ListParagraph"/>
                              <w:numPr>
                                <w:ilvl w:val="0"/>
                                <w:numId w:val="79"/>
                              </w:numPr>
                              <w:spacing w:after="0"/>
                              <w:jc w:val="both"/>
                              <w:rPr>
                                <w:rFonts w:ascii="Arial Narrow" w:hAnsi="Arial Narrow"/>
                                <w:b/>
                                <w:color w:val="365F91" w:themeColor="accent1" w:themeShade="BF"/>
                              </w:rPr>
                            </w:pPr>
                            <w:hyperlink r:id="rId51" w:history="1">
                              <w:r w:rsidR="006712E0">
                                <w:rPr>
                                  <w:rStyle w:val="Hyperlink"/>
                                  <w:rFonts w:ascii="Arial Narrow" w:hAnsi="Arial Narrow"/>
                                  <w:color w:val="365F91" w:themeColor="accent1" w:themeShade="BF"/>
                                </w:rPr>
                                <w:t xml:space="preserve">Smjernice za razvoj Crne Gore </w:t>
                              </w:r>
                              <w:r w:rsidR="006712E0" w:rsidRPr="009F1CF2">
                                <w:rPr>
                                  <w:rStyle w:val="Hyperlink"/>
                                  <w:rFonts w:ascii="Arial Narrow" w:hAnsi="Arial Narrow"/>
                                  <w:color w:val="365F91" w:themeColor="accent1" w:themeShade="BF"/>
                                </w:rPr>
                                <w:t>2018-2021 *</w:t>
                              </w:r>
                            </w:hyperlink>
                          </w:p>
                          <w:p w14:paraId="4624C5BD" w14:textId="77777777" w:rsidR="006712E0" w:rsidRPr="009F1CF2" w:rsidRDefault="001D48BA" w:rsidP="00047EF8">
                            <w:pPr>
                              <w:pStyle w:val="ListParagraph"/>
                              <w:numPr>
                                <w:ilvl w:val="0"/>
                                <w:numId w:val="79"/>
                              </w:numPr>
                              <w:spacing w:after="0"/>
                              <w:jc w:val="both"/>
                              <w:rPr>
                                <w:rFonts w:ascii="Arial Narrow" w:hAnsi="Arial Narrow"/>
                                <w:b/>
                                <w:color w:val="365F91" w:themeColor="accent1" w:themeShade="BF"/>
                              </w:rPr>
                            </w:pPr>
                            <w:hyperlink r:id="rId52" w:history="1">
                              <w:r w:rsidR="006712E0">
                                <w:rPr>
                                  <w:rStyle w:val="Hyperlink"/>
                                  <w:rFonts w:ascii="Arial Narrow" w:hAnsi="Arial Narrow"/>
                                  <w:color w:val="365F91" w:themeColor="accent1" w:themeShade="BF"/>
                                </w:rPr>
                                <w:t xml:space="preserve">Program ekonomskih reformi </w:t>
                              </w:r>
                              <w:r w:rsidR="006712E0" w:rsidRPr="009F1CF2">
                                <w:rPr>
                                  <w:rStyle w:val="Hyperlink"/>
                                  <w:rFonts w:ascii="Arial Narrow" w:hAnsi="Arial Narrow"/>
                                  <w:color w:val="365F91" w:themeColor="accent1" w:themeShade="BF"/>
                                </w:rPr>
                                <w:t>2019-2021 *</w:t>
                              </w:r>
                            </w:hyperlink>
                          </w:p>
                          <w:p w14:paraId="0BC2C751" w14:textId="77777777" w:rsidR="006712E0" w:rsidRPr="009F1CF2" w:rsidRDefault="001D48BA" w:rsidP="00047EF8">
                            <w:pPr>
                              <w:pStyle w:val="ListParagraph"/>
                              <w:numPr>
                                <w:ilvl w:val="0"/>
                                <w:numId w:val="79"/>
                              </w:numPr>
                              <w:spacing w:after="0"/>
                              <w:jc w:val="both"/>
                              <w:rPr>
                                <w:rFonts w:ascii="Arial Narrow" w:hAnsi="Arial Narrow"/>
                                <w:b/>
                                <w:color w:val="365F91" w:themeColor="accent1" w:themeShade="BF"/>
                              </w:rPr>
                            </w:pPr>
                            <w:hyperlink r:id="rId53" w:history="1">
                              <w:r w:rsidR="006712E0">
                                <w:rPr>
                                  <w:rStyle w:val="Hyperlink"/>
                                  <w:rFonts w:ascii="Arial Narrow" w:hAnsi="Arial Narrow"/>
                                  <w:color w:val="365F91" w:themeColor="accent1" w:themeShade="BF"/>
                                </w:rPr>
                                <w:t xml:space="preserve">Smjernice makroekonomske i fiskalne politike </w:t>
                              </w:r>
                              <w:r w:rsidR="006712E0" w:rsidRPr="009F1CF2">
                                <w:rPr>
                                  <w:rStyle w:val="Hyperlink"/>
                                  <w:rFonts w:ascii="Arial Narrow" w:hAnsi="Arial Narrow"/>
                                  <w:color w:val="365F91" w:themeColor="accent1" w:themeShade="BF"/>
                                </w:rPr>
                                <w:t>2018-2021 *</w:t>
                              </w:r>
                            </w:hyperlink>
                          </w:p>
                          <w:p w14:paraId="4A65383B" w14:textId="77777777" w:rsidR="006712E0" w:rsidRDefault="006712E0" w:rsidP="00047E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37176" id="Rounded Rectangle 138" o:spid="_x0000_s1110" style="position:absolute;left:0;text-align:left;margin-left:-9pt;margin-top:9.45pt;width:559.5pt;height:9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" fillcolor="window" strokecolor="#2e75b6" strokeweight="1pt">
                <v:stroke joinstyle="miter"/>
                <v:path arrowok="t"/>
                <v:textbox>
                  <w:txbxContent>
                    <w:p w14:paraId="419A6425" w14:textId="77777777" w:rsidR="006712E0" w:rsidRPr="009F1CF2" w:rsidRDefault="006712E0" w:rsidP="00047EF8">
                      <w:pPr>
                        <w:spacing w:after="0"/>
                        <w:jc w:val="center"/>
                        <w:rPr>
                          <w:rFonts w:ascii="Arial Narrow" w:hAnsi="Arial Narrow"/>
                          <w:color w:val="365F91" w:themeColor="accent1" w:themeShade="BF"/>
                          <w:sz w:val="24"/>
                          <w:szCs w:val="24"/>
                        </w:rPr>
                      </w:pPr>
                      <w:r>
                        <w:rPr>
                          <w:rFonts w:ascii="Arial Narrow" w:hAnsi="Arial Narrow"/>
                          <w:b/>
                          <w:color w:val="365F91" w:themeColor="accent1" w:themeShade="BF"/>
                          <w:sz w:val="24"/>
                          <w:szCs w:val="24"/>
                        </w:rPr>
                        <w:t>KROVNI DOKUMENTI</w:t>
                      </w:r>
                      <w:r w:rsidRPr="009F1CF2">
                        <w:rPr>
                          <w:rFonts w:ascii="Arial Narrow" w:hAnsi="Arial Narrow"/>
                          <w:color w:val="365F91" w:themeColor="accent1" w:themeShade="BF"/>
                          <w:sz w:val="24"/>
                          <w:szCs w:val="24"/>
                        </w:rPr>
                        <w:t>:</w:t>
                      </w:r>
                    </w:p>
                    <w:p w14:paraId="5B00A68C" w14:textId="77777777" w:rsidR="006712E0" w:rsidRPr="009F1CF2" w:rsidRDefault="006712E0" w:rsidP="00047EF8">
                      <w:pPr>
                        <w:spacing w:after="0"/>
                        <w:jc w:val="both"/>
                        <w:rPr>
                          <w:color w:val="365F91" w:themeColor="accent1" w:themeShade="BF"/>
                          <w:sz w:val="12"/>
                        </w:rPr>
                      </w:pPr>
                    </w:p>
                    <w:p w14:paraId="43023129" w14:textId="77777777" w:rsidR="006712E0" w:rsidRPr="009F1CF2" w:rsidRDefault="006712E0" w:rsidP="00047EF8">
                      <w:pPr>
                        <w:pStyle w:val="ListParagraph"/>
                        <w:numPr>
                          <w:ilvl w:val="0"/>
                          <w:numId w:val="79"/>
                        </w:numPr>
                        <w:spacing w:after="0"/>
                        <w:jc w:val="both"/>
                        <w:rPr>
                          <w:rFonts w:ascii="Arial Narrow" w:hAnsi="Arial Narrow"/>
                          <w:b/>
                          <w:color w:val="365F91" w:themeColor="accent1" w:themeShade="BF"/>
                        </w:rPr>
                      </w:pPr>
                      <w:hyperlink r:id="rId54" w:history="1">
                        <w:r>
                          <w:rPr>
                            <w:rStyle w:val="Hyperlink"/>
                            <w:rFonts w:ascii="Arial Narrow" w:hAnsi="Arial Narrow"/>
                            <w:color w:val="365F91" w:themeColor="accent1" w:themeShade="BF"/>
                          </w:rPr>
                          <w:t xml:space="preserve">Smjernice za razvoj Crne Gore </w:t>
                        </w:r>
                        <w:r w:rsidRPr="009F1CF2">
                          <w:rPr>
                            <w:rStyle w:val="Hyperlink"/>
                            <w:rFonts w:ascii="Arial Narrow" w:hAnsi="Arial Narrow"/>
                            <w:color w:val="365F91" w:themeColor="accent1" w:themeShade="BF"/>
                          </w:rPr>
                          <w:t>2018-2021 *</w:t>
                        </w:r>
                      </w:hyperlink>
                    </w:p>
                    <w:p w14:paraId="4624C5BD" w14:textId="77777777" w:rsidR="006712E0" w:rsidRPr="009F1CF2" w:rsidRDefault="006712E0" w:rsidP="00047EF8">
                      <w:pPr>
                        <w:pStyle w:val="ListParagraph"/>
                        <w:numPr>
                          <w:ilvl w:val="0"/>
                          <w:numId w:val="79"/>
                        </w:numPr>
                        <w:spacing w:after="0"/>
                        <w:jc w:val="both"/>
                        <w:rPr>
                          <w:rFonts w:ascii="Arial Narrow" w:hAnsi="Arial Narrow"/>
                          <w:b/>
                          <w:color w:val="365F91" w:themeColor="accent1" w:themeShade="BF"/>
                        </w:rPr>
                      </w:pPr>
                      <w:hyperlink r:id="rId55" w:history="1">
                        <w:r>
                          <w:rPr>
                            <w:rStyle w:val="Hyperlink"/>
                            <w:rFonts w:ascii="Arial Narrow" w:hAnsi="Arial Narrow"/>
                            <w:color w:val="365F91" w:themeColor="accent1" w:themeShade="BF"/>
                          </w:rPr>
                          <w:t xml:space="preserve">Program ekonomskih reformi </w:t>
                        </w:r>
                        <w:r w:rsidRPr="009F1CF2">
                          <w:rPr>
                            <w:rStyle w:val="Hyperlink"/>
                            <w:rFonts w:ascii="Arial Narrow" w:hAnsi="Arial Narrow"/>
                            <w:color w:val="365F91" w:themeColor="accent1" w:themeShade="BF"/>
                          </w:rPr>
                          <w:t>2019-2021 *</w:t>
                        </w:r>
                      </w:hyperlink>
                    </w:p>
                    <w:p w14:paraId="0BC2C751" w14:textId="77777777" w:rsidR="006712E0" w:rsidRPr="009F1CF2" w:rsidRDefault="006712E0" w:rsidP="00047EF8">
                      <w:pPr>
                        <w:pStyle w:val="ListParagraph"/>
                        <w:numPr>
                          <w:ilvl w:val="0"/>
                          <w:numId w:val="79"/>
                        </w:numPr>
                        <w:spacing w:after="0"/>
                        <w:jc w:val="both"/>
                        <w:rPr>
                          <w:rFonts w:ascii="Arial Narrow" w:hAnsi="Arial Narrow"/>
                          <w:b/>
                          <w:color w:val="365F91" w:themeColor="accent1" w:themeShade="BF"/>
                        </w:rPr>
                      </w:pPr>
                      <w:hyperlink r:id="rId56" w:history="1">
                        <w:r>
                          <w:rPr>
                            <w:rStyle w:val="Hyperlink"/>
                            <w:rFonts w:ascii="Arial Narrow" w:hAnsi="Arial Narrow"/>
                            <w:color w:val="365F91" w:themeColor="accent1" w:themeShade="BF"/>
                          </w:rPr>
                          <w:t xml:space="preserve">Smjernice makroekonomske i fiskalne politike </w:t>
                        </w:r>
                        <w:r w:rsidRPr="009F1CF2">
                          <w:rPr>
                            <w:rStyle w:val="Hyperlink"/>
                            <w:rFonts w:ascii="Arial Narrow" w:hAnsi="Arial Narrow"/>
                            <w:color w:val="365F91" w:themeColor="accent1" w:themeShade="BF"/>
                          </w:rPr>
                          <w:t>2018-2021 *</w:t>
                        </w:r>
                      </w:hyperlink>
                    </w:p>
                    <w:p w14:paraId="4A65383B" w14:textId="77777777" w:rsidR="006712E0" w:rsidRDefault="006712E0" w:rsidP="00047EF8">
                      <w:pPr>
                        <w:jc w:val="center"/>
                      </w:pPr>
                    </w:p>
                  </w:txbxContent>
                </v:textbox>
                <w10:wrap anchorx="margin"/>
              </v:roundrect>
            </w:pict>
          </mc:Fallback>
        </mc:AlternateContent>
      </w:r>
    </w:p>
    <w:p w14:paraId="3E5034AF" w14:textId="77777777" w:rsidR="00047EF8" w:rsidRPr="00F563CD" w:rsidRDefault="00047EF8" w:rsidP="00047EF8">
      <w:pPr>
        <w:jc w:val="both"/>
        <w:rPr>
          <w:rFonts w:asciiTheme="minorHAnsi" w:hAnsiTheme="minorHAnsi"/>
          <w:color w:val="FFFFFF" w:themeColor="background1"/>
          <w:sz w:val="24"/>
          <w:szCs w:val="24"/>
          <w:u w:color="FFFFFF" w:themeColor="background1"/>
        </w:rPr>
      </w:pPr>
    </w:p>
    <w:p w14:paraId="26020102" w14:textId="77777777" w:rsidR="00047EF8" w:rsidRPr="00F563CD" w:rsidRDefault="00047EF8" w:rsidP="00047EF8">
      <w:pPr>
        <w:jc w:val="both"/>
        <w:rPr>
          <w:rFonts w:asciiTheme="minorHAnsi" w:hAnsiTheme="minorHAnsi"/>
          <w:color w:val="FFFFFF" w:themeColor="background1"/>
          <w:sz w:val="24"/>
          <w:szCs w:val="24"/>
          <w:u w:color="FFFFFF" w:themeColor="background1"/>
        </w:rPr>
      </w:pPr>
    </w:p>
    <w:p w14:paraId="35ED5EA0" w14:textId="77777777" w:rsidR="00047EF8" w:rsidRPr="00F563CD" w:rsidRDefault="00047EF8" w:rsidP="00047EF8">
      <w:pPr>
        <w:ind w:left="360"/>
        <w:jc w:val="both"/>
        <w:rPr>
          <w:rFonts w:asciiTheme="minorHAnsi" w:hAnsiTheme="minorHAnsi"/>
          <w:color w:val="FFFFFF" w:themeColor="background1"/>
          <w:sz w:val="24"/>
          <w:szCs w:val="24"/>
          <w:u w:color="FFFFFF" w:themeColor="background1"/>
          <w:lang w:eastAsia="bs-Latn-BA"/>
        </w:rPr>
      </w:pPr>
    </w:p>
    <w:p w14:paraId="6E54031A" w14:textId="4082EF0F" w:rsidR="00047EF8" w:rsidRPr="00F563CD" w:rsidRDefault="007840BE" w:rsidP="00047EF8">
      <w:pPr>
        <w:ind w:left="360"/>
        <w:jc w:val="both"/>
        <w:rPr>
          <w:rFonts w:asciiTheme="minorHAnsi" w:hAnsiTheme="minorHAnsi"/>
          <w:b/>
          <w:color w:val="4F81BD" w:themeColor="accent1"/>
          <w:u w:color="FFFFFF" w:themeColor="background1"/>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84864" behindDoc="0" locked="0" layoutInCell="1" allowOverlap="1" wp14:anchorId="1564B9D3" wp14:editId="15D5A761">
                <wp:simplePos x="0" y="0"/>
                <wp:positionH relativeFrom="margin">
                  <wp:align>center</wp:align>
                </wp:positionH>
                <wp:positionV relativeFrom="paragraph">
                  <wp:posOffset>256540</wp:posOffset>
                </wp:positionV>
                <wp:extent cx="7124700" cy="1476375"/>
                <wp:effectExtent l="0" t="0" r="0" b="9525"/>
                <wp:wrapNone/>
                <wp:docPr id="139" name="Rounded 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0" cy="1476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1593F9AA" w14:textId="77777777" w:rsidR="006712E0" w:rsidRPr="009F1CF2" w:rsidRDefault="006712E0" w:rsidP="00047EF8">
                            <w:pPr>
                              <w:spacing w:after="0"/>
                              <w:jc w:val="center"/>
                              <w:rPr>
                                <w:rFonts w:ascii="Arial Narrow" w:hAnsi="Arial Narrow"/>
                                <w:b/>
                                <w:color w:val="365F91" w:themeColor="accent1" w:themeShade="BF"/>
                                <w:sz w:val="24"/>
                                <w:szCs w:val="24"/>
                              </w:rPr>
                            </w:pPr>
                            <w:r>
                              <w:rPr>
                                <w:rFonts w:ascii="Arial Narrow" w:hAnsi="Arial Narrow"/>
                                <w:b/>
                                <w:color w:val="365F91" w:themeColor="accent1" w:themeShade="BF"/>
                                <w:sz w:val="24"/>
                                <w:szCs w:val="24"/>
                              </w:rPr>
                              <w:t>SEKTORSKE STRATEGIJE</w:t>
                            </w:r>
                          </w:p>
                          <w:p w14:paraId="68DDB989" w14:textId="77777777" w:rsidR="006712E0" w:rsidRPr="009F1CF2" w:rsidRDefault="006712E0" w:rsidP="00047EF8">
                            <w:pPr>
                              <w:spacing w:after="0"/>
                              <w:jc w:val="both"/>
                              <w:rPr>
                                <w:rFonts w:ascii="Arial Narrow" w:hAnsi="Arial Narrow"/>
                                <w:b/>
                                <w:color w:val="365F91" w:themeColor="accent1" w:themeShade="BF"/>
                                <w:sz w:val="10"/>
                                <w:szCs w:val="24"/>
                              </w:rPr>
                            </w:pPr>
                          </w:p>
                          <w:p w14:paraId="1D23A140" w14:textId="77777777" w:rsidR="006712E0" w:rsidRPr="009F1CF2" w:rsidRDefault="001D48BA" w:rsidP="00047EF8">
                            <w:pPr>
                              <w:pStyle w:val="ListParagraph"/>
                              <w:numPr>
                                <w:ilvl w:val="0"/>
                                <w:numId w:val="80"/>
                              </w:numPr>
                              <w:spacing w:after="0"/>
                              <w:jc w:val="both"/>
                              <w:rPr>
                                <w:rStyle w:val="Hyperlink"/>
                                <w:rFonts w:ascii="Arial Narrow" w:hAnsi="Arial Narrow"/>
                                <w:b/>
                                <w:color w:val="365F91" w:themeColor="accent1" w:themeShade="BF"/>
                              </w:rPr>
                            </w:pPr>
                            <w:hyperlink r:id="rId57" w:history="1">
                              <w:r w:rsidR="006712E0">
                                <w:rPr>
                                  <w:rStyle w:val="Hyperlink"/>
                                  <w:rFonts w:ascii="Arial Narrow" w:hAnsi="Arial Narrow"/>
                                  <w:color w:val="365F91" w:themeColor="accent1" w:themeShade="BF"/>
                                </w:rPr>
                                <w:t>Strategija trgovinskih olakšica</w:t>
                              </w:r>
                              <w:r w:rsidR="006712E0" w:rsidRPr="009F1CF2">
                                <w:rPr>
                                  <w:rStyle w:val="Hyperlink"/>
                                  <w:rFonts w:ascii="Arial Narrow" w:hAnsi="Arial Narrow"/>
                                  <w:color w:val="365F91" w:themeColor="accent1" w:themeShade="BF"/>
                                </w:rPr>
                                <w:t xml:space="preserve"> 2018 - 2022</w:t>
                              </w:r>
                            </w:hyperlink>
                          </w:p>
                          <w:p w14:paraId="7AEDDDFA" w14:textId="77777777" w:rsidR="006712E0" w:rsidRPr="009F1CF2" w:rsidRDefault="001D48BA" w:rsidP="00047EF8">
                            <w:pPr>
                              <w:pStyle w:val="ListParagraph"/>
                              <w:numPr>
                                <w:ilvl w:val="0"/>
                                <w:numId w:val="80"/>
                              </w:numPr>
                              <w:spacing w:after="0"/>
                              <w:jc w:val="both"/>
                              <w:rPr>
                                <w:rFonts w:ascii="Arial Narrow" w:hAnsi="Arial Narrow"/>
                                <w:b/>
                                <w:color w:val="365F91" w:themeColor="accent1" w:themeShade="BF"/>
                              </w:rPr>
                            </w:pPr>
                            <w:hyperlink r:id="rId58" w:history="1"/>
                            <w:hyperlink r:id="rId59" w:history="1">
                              <w:r w:rsidR="006712E0">
                                <w:rPr>
                                  <w:rStyle w:val="Hyperlink"/>
                                  <w:rFonts w:ascii="Arial Narrow" w:hAnsi="Arial Narrow"/>
                                  <w:color w:val="365F91" w:themeColor="accent1" w:themeShade="BF"/>
                                </w:rPr>
                                <w:t>Strategija za prelazak na obra</w:t>
                              </w:r>
                              <w:r w:rsidR="006712E0">
                                <w:rPr>
                                  <w:rStyle w:val="Hyperlink"/>
                                  <w:rFonts w:ascii="Times New Roman" w:hAnsi="Times New Roman"/>
                                  <w:color w:val="365F91" w:themeColor="accent1" w:themeShade="BF"/>
                                </w:rPr>
                                <w:t>č</w:t>
                              </w:r>
                              <w:r w:rsidR="006712E0">
                                <w:rPr>
                                  <w:rStyle w:val="Hyperlink"/>
                                  <w:rFonts w:ascii="Arial Narrow" w:hAnsi="Arial Narrow"/>
                                  <w:color w:val="365F91" w:themeColor="accent1" w:themeShade="BF"/>
                                </w:rPr>
                                <w:t>unsko ra</w:t>
                              </w:r>
                              <w:r w:rsidR="006712E0">
                                <w:rPr>
                                  <w:rStyle w:val="Hyperlink"/>
                                  <w:rFonts w:ascii="Times New Roman" w:hAnsi="Times New Roman"/>
                                  <w:color w:val="365F91" w:themeColor="accent1" w:themeShade="BF"/>
                                </w:rPr>
                                <w:t>č</w:t>
                              </w:r>
                              <w:r w:rsidR="006712E0">
                                <w:rPr>
                                  <w:rStyle w:val="Hyperlink"/>
                                  <w:rFonts w:ascii="Arial Narrow" w:hAnsi="Arial Narrow"/>
                                  <w:color w:val="365F91" w:themeColor="accent1" w:themeShade="BF"/>
                                </w:rPr>
                                <w:t xml:space="preserve">unovodstvo u javnom sektoru </w:t>
                              </w:r>
                            </w:hyperlink>
                            <w:r w:rsidR="006712E0" w:rsidRPr="009F1CF2">
                              <w:rPr>
                                <w:rStyle w:val="Hyperlink"/>
                                <w:rFonts w:ascii="Arial Narrow" w:hAnsi="Arial Narrow"/>
                                <w:color w:val="365F91" w:themeColor="accent1" w:themeShade="BF"/>
                              </w:rPr>
                              <w:t xml:space="preserve"> </w:t>
                            </w:r>
                          </w:p>
                          <w:p w14:paraId="1269B5D6" w14:textId="77777777" w:rsidR="006712E0" w:rsidRPr="009F1CF2" w:rsidRDefault="001D48BA" w:rsidP="00047EF8">
                            <w:pPr>
                              <w:pStyle w:val="ListParagraph"/>
                              <w:numPr>
                                <w:ilvl w:val="0"/>
                                <w:numId w:val="80"/>
                              </w:numPr>
                              <w:spacing w:after="0"/>
                              <w:jc w:val="both"/>
                              <w:rPr>
                                <w:rFonts w:ascii="Arial Narrow" w:hAnsi="Arial Narrow"/>
                                <w:b/>
                                <w:color w:val="365F91" w:themeColor="accent1" w:themeShade="BF"/>
                              </w:rPr>
                            </w:pPr>
                            <w:hyperlink r:id="rId60" w:history="1">
                              <w:r w:rsidR="006712E0" w:rsidRPr="009F1CF2">
                                <w:rPr>
                                  <w:rStyle w:val="Hyperlink"/>
                                  <w:rFonts w:ascii="Arial Narrow" w:hAnsi="Arial Narrow"/>
                                  <w:color w:val="365F91" w:themeColor="accent1" w:themeShade="BF"/>
                                </w:rPr>
                                <w:t>Na</w:t>
                              </w:r>
                              <w:r w:rsidR="006712E0">
                                <w:rPr>
                                  <w:rStyle w:val="Hyperlink"/>
                                  <w:rFonts w:ascii="Arial Narrow" w:hAnsi="Arial Narrow"/>
                                  <w:color w:val="365F91" w:themeColor="accent1" w:themeShade="BF"/>
                                </w:rPr>
                                <w:t>c</w:t>
                              </w:r>
                              <w:r w:rsidR="006712E0" w:rsidRPr="009F1CF2">
                                <w:rPr>
                                  <w:rStyle w:val="Hyperlink"/>
                                  <w:rFonts w:ascii="Arial Narrow" w:hAnsi="Arial Narrow"/>
                                  <w:color w:val="365F91" w:themeColor="accent1" w:themeShade="BF"/>
                                </w:rPr>
                                <w:t>ional</w:t>
                              </w:r>
                              <w:r w:rsidR="006712E0">
                                <w:rPr>
                                  <w:rStyle w:val="Hyperlink"/>
                                  <w:rFonts w:ascii="Arial Narrow" w:hAnsi="Arial Narrow"/>
                                  <w:color w:val="365F91" w:themeColor="accent1" w:themeShade="BF"/>
                                </w:rPr>
                                <w:t>na s</w:t>
                              </w:r>
                              <w:r w:rsidR="006712E0" w:rsidRPr="009F1CF2">
                                <w:rPr>
                                  <w:rStyle w:val="Hyperlink"/>
                                  <w:rFonts w:ascii="Arial Narrow" w:hAnsi="Arial Narrow"/>
                                  <w:color w:val="365F91" w:themeColor="accent1" w:themeShade="BF"/>
                                </w:rPr>
                                <w:t>trateg</w:t>
                              </w:r>
                              <w:r w:rsidR="006712E0">
                                <w:rPr>
                                  <w:rStyle w:val="Hyperlink"/>
                                  <w:rFonts w:ascii="Arial Narrow" w:hAnsi="Arial Narrow"/>
                                  <w:color w:val="365F91" w:themeColor="accent1" w:themeShade="BF"/>
                                </w:rPr>
                                <w:t>ija za spre</w:t>
                              </w:r>
                              <w:r w:rsidR="006712E0">
                                <w:rPr>
                                  <w:rStyle w:val="Hyperlink"/>
                                  <w:rFonts w:ascii="Times New Roman" w:hAnsi="Times New Roman"/>
                                  <w:color w:val="365F91" w:themeColor="accent1" w:themeShade="BF"/>
                                </w:rPr>
                                <w:t>č</w:t>
                              </w:r>
                              <w:r w:rsidR="006712E0">
                                <w:rPr>
                                  <w:rStyle w:val="Hyperlink"/>
                                  <w:rFonts w:ascii="Arial Narrow" w:hAnsi="Arial Narrow"/>
                                  <w:color w:val="365F91" w:themeColor="accent1" w:themeShade="BF"/>
                                </w:rPr>
                                <w:t>avanje ilegalne trgovine duvanskim proizvodima</w:t>
                              </w:r>
                              <w:r w:rsidR="006712E0" w:rsidRPr="009F1CF2">
                                <w:rPr>
                                  <w:rStyle w:val="Hyperlink"/>
                                  <w:rFonts w:ascii="Arial Narrow" w:hAnsi="Arial Narrow"/>
                                  <w:color w:val="365F91" w:themeColor="accent1" w:themeShade="BF"/>
                                </w:rPr>
                                <w:t xml:space="preserve"> </w:t>
                              </w:r>
                            </w:hyperlink>
                          </w:p>
                          <w:p w14:paraId="7C718983" w14:textId="77777777" w:rsidR="006712E0" w:rsidRPr="009F1CF2" w:rsidRDefault="001D48BA" w:rsidP="00047EF8">
                            <w:pPr>
                              <w:pStyle w:val="ListParagraph"/>
                              <w:numPr>
                                <w:ilvl w:val="0"/>
                                <w:numId w:val="80"/>
                              </w:numPr>
                              <w:spacing w:after="0"/>
                              <w:jc w:val="both"/>
                              <w:rPr>
                                <w:rFonts w:ascii="Arial Narrow" w:hAnsi="Arial Narrow"/>
                                <w:b/>
                                <w:color w:val="365F91" w:themeColor="accent1" w:themeShade="BF"/>
                              </w:rPr>
                            </w:pPr>
                            <w:hyperlink r:id="rId61" w:history="1">
                              <w:r w:rsidR="006712E0">
                                <w:rPr>
                                  <w:rStyle w:val="Hyperlink"/>
                                  <w:rFonts w:ascii="Arial Narrow" w:hAnsi="Arial Narrow"/>
                                  <w:color w:val="365F91" w:themeColor="accent1" w:themeShade="BF"/>
                                </w:rPr>
                                <w:t>Strategija razvoja zvani</w:t>
                              </w:r>
                              <w:r w:rsidR="006712E0">
                                <w:rPr>
                                  <w:rStyle w:val="Hyperlink"/>
                                  <w:rFonts w:ascii="Times New Roman" w:hAnsi="Times New Roman"/>
                                  <w:color w:val="365F91" w:themeColor="accent1" w:themeShade="BF"/>
                                </w:rPr>
                                <w:t>č</w:t>
                              </w:r>
                              <w:r w:rsidR="006712E0">
                                <w:rPr>
                                  <w:rStyle w:val="Hyperlink"/>
                                  <w:rFonts w:ascii="Arial Narrow" w:hAnsi="Arial Narrow"/>
                                  <w:color w:val="365F91" w:themeColor="accent1" w:themeShade="BF"/>
                                </w:rPr>
                                <w:t xml:space="preserve">ne statistike </w:t>
                              </w:r>
                              <w:r w:rsidR="006712E0" w:rsidRPr="009F1CF2">
                                <w:rPr>
                                  <w:rStyle w:val="Hyperlink"/>
                                  <w:rFonts w:ascii="Arial Narrow" w:hAnsi="Arial Narrow"/>
                                  <w:color w:val="365F91" w:themeColor="accent1" w:themeShade="BF"/>
                                </w:rPr>
                                <w:t>2019-2023</w:t>
                              </w:r>
                            </w:hyperlink>
                          </w:p>
                          <w:p w14:paraId="2AB55E54" w14:textId="77777777" w:rsidR="006712E0" w:rsidRPr="009F1CF2" w:rsidRDefault="006712E0" w:rsidP="00047EF8">
                            <w:pPr>
                              <w:pStyle w:val="ListParagraph"/>
                              <w:numPr>
                                <w:ilvl w:val="0"/>
                                <w:numId w:val="80"/>
                              </w:numPr>
                              <w:spacing w:after="0"/>
                              <w:jc w:val="both"/>
                              <w:rPr>
                                <w:rFonts w:ascii="Arial Narrow" w:hAnsi="Arial Narrow"/>
                                <w:b/>
                                <w:color w:val="365F91" w:themeColor="accent1" w:themeShade="BF"/>
                              </w:rPr>
                            </w:pPr>
                            <w:r w:rsidRPr="009F1CF2">
                              <w:rPr>
                                <w:rStyle w:val="Hyperlink"/>
                                <w:rFonts w:ascii="Arial Narrow" w:hAnsi="Arial Narrow"/>
                                <w:color w:val="365F91" w:themeColor="accent1" w:themeShade="BF"/>
                              </w:rPr>
                              <w:t>Stra</w:t>
                            </w:r>
                            <w:r>
                              <w:rPr>
                                <w:rStyle w:val="Hyperlink"/>
                                <w:rFonts w:ascii="Arial Narrow" w:hAnsi="Arial Narrow"/>
                                <w:color w:val="365F91" w:themeColor="accent1" w:themeShade="BF"/>
                              </w:rPr>
                              <w:t>tegija za suzbijanje prevare i upravljanje neregularnostima</w:t>
                            </w:r>
                            <w:r w:rsidRPr="009F1CF2">
                              <w:rPr>
                                <w:rStyle w:val="Hyperlink"/>
                                <w:rFonts w:ascii="Arial Narrow" w:hAnsi="Arial Narrow"/>
                                <w:color w:val="365F91" w:themeColor="accent1" w:themeShade="BF"/>
                              </w:rPr>
                              <w:t xml:space="preserve"> </w:t>
                            </w:r>
                            <w:r>
                              <w:rPr>
                                <w:rStyle w:val="Hyperlink"/>
                                <w:rFonts w:ascii="Arial Narrow" w:hAnsi="Arial Narrow"/>
                                <w:color w:val="365F91" w:themeColor="accent1" w:themeShade="BF"/>
                              </w:rPr>
                              <w:t>u cilju zaštite</w:t>
                            </w:r>
                            <w:r w:rsidRPr="009F1CF2">
                              <w:rPr>
                                <w:rStyle w:val="Hyperlink"/>
                                <w:rFonts w:ascii="Arial Narrow" w:hAnsi="Arial Narrow"/>
                                <w:color w:val="365F91" w:themeColor="accent1" w:themeShade="BF"/>
                              </w:rPr>
                              <w:t xml:space="preserve"> </w:t>
                            </w:r>
                            <w:r>
                              <w:rPr>
                                <w:rStyle w:val="Hyperlink"/>
                                <w:rFonts w:ascii="Arial Narrow" w:hAnsi="Arial Narrow"/>
                                <w:color w:val="365F91" w:themeColor="accent1" w:themeShade="BF"/>
                              </w:rPr>
                              <w:t>finansijskih</w:t>
                            </w:r>
                            <w:r w:rsidRPr="009F1CF2">
                              <w:rPr>
                                <w:rStyle w:val="Hyperlink"/>
                                <w:rFonts w:ascii="Arial Narrow" w:hAnsi="Arial Narrow"/>
                                <w:color w:val="365F91" w:themeColor="accent1" w:themeShade="BF"/>
                              </w:rPr>
                              <w:t xml:space="preserve"> </w:t>
                            </w:r>
                            <w:r>
                              <w:rPr>
                                <w:rStyle w:val="Hyperlink"/>
                                <w:rFonts w:ascii="Arial Narrow" w:hAnsi="Arial Narrow"/>
                                <w:color w:val="365F91" w:themeColor="accent1" w:themeShade="BF"/>
                              </w:rPr>
                              <w:t>i</w:t>
                            </w:r>
                            <w:r w:rsidRPr="009F1CF2">
                              <w:rPr>
                                <w:rStyle w:val="Hyperlink"/>
                                <w:rFonts w:ascii="Arial Narrow" w:hAnsi="Arial Narrow"/>
                                <w:color w:val="365F91" w:themeColor="accent1" w:themeShade="BF"/>
                              </w:rPr>
                              <w:t>ntere</w:t>
                            </w:r>
                            <w:r>
                              <w:rPr>
                                <w:rStyle w:val="Hyperlink"/>
                                <w:rFonts w:ascii="Arial Narrow" w:hAnsi="Arial Narrow"/>
                                <w:color w:val="365F91" w:themeColor="accent1" w:themeShade="BF"/>
                              </w:rPr>
                              <w:t>sa</w:t>
                            </w:r>
                            <w:r w:rsidRPr="009F1CF2">
                              <w:rPr>
                                <w:rStyle w:val="Hyperlink"/>
                                <w:rFonts w:ascii="Arial Narrow" w:hAnsi="Arial Narrow"/>
                                <w:color w:val="365F91" w:themeColor="accent1" w:themeShade="BF"/>
                              </w:rPr>
                              <w:t xml:space="preserve"> EU 2019-2022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4B9D3" id="Rounded Rectangle 139" o:spid="_x0000_s1111" style="position:absolute;left:0;text-align:left;margin-left:0;margin-top:20.2pt;width:561pt;height:116.2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" fillcolor="window" strokecolor="#41719c" strokeweight="1pt">
                <v:stroke joinstyle="miter"/>
                <v:path arrowok="t"/>
                <v:textbox>
                  <w:txbxContent>
                    <w:p w14:paraId="1593F9AA" w14:textId="77777777" w:rsidR="006712E0" w:rsidRPr="009F1CF2" w:rsidRDefault="006712E0" w:rsidP="00047EF8">
                      <w:pPr>
                        <w:spacing w:after="0"/>
                        <w:jc w:val="center"/>
                        <w:rPr>
                          <w:rFonts w:ascii="Arial Narrow" w:hAnsi="Arial Narrow"/>
                          <w:b/>
                          <w:color w:val="365F91" w:themeColor="accent1" w:themeShade="BF"/>
                          <w:sz w:val="24"/>
                          <w:szCs w:val="24"/>
                        </w:rPr>
                      </w:pPr>
                      <w:r>
                        <w:rPr>
                          <w:rFonts w:ascii="Arial Narrow" w:hAnsi="Arial Narrow"/>
                          <w:b/>
                          <w:color w:val="365F91" w:themeColor="accent1" w:themeShade="BF"/>
                          <w:sz w:val="24"/>
                          <w:szCs w:val="24"/>
                        </w:rPr>
                        <w:t>SEKTORSKE STRATEGIJE</w:t>
                      </w:r>
                    </w:p>
                    <w:p w14:paraId="68DDB989" w14:textId="77777777" w:rsidR="006712E0" w:rsidRPr="009F1CF2" w:rsidRDefault="006712E0" w:rsidP="00047EF8">
                      <w:pPr>
                        <w:spacing w:after="0"/>
                        <w:jc w:val="both"/>
                        <w:rPr>
                          <w:rFonts w:ascii="Arial Narrow" w:hAnsi="Arial Narrow"/>
                          <w:b/>
                          <w:color w:val="365F91" w:themeColor="accent1" w:themeShade="BF"/>
                          <w:sz w:val="10"/>
                          <w:szCs w:val="24"/>
                        </w:rPr>
                      </w:pPr>
                    </w:p>
                    <w:p w14:paraId="1D23A140" w14:textId="77777777" w:rsidR="006712E0" w:rsidRPr="009F1CF2" w:rsidRDefault="006712E0" w:rsidP="00047EF8">
                      <w:pPr>
                        <w:pStyle w:val="ListParagraph"/>
                        <w:numPr>
                          <w:ilvl w:val="0"/>
                          <w:numId w:val="80"/>
                        </w:numPr>
                        <w:spacing w:after="0"/>
                        <w:jc w:val="both"/>
                        <w:rPr>
                          <w:rStyle w:val="Hyperlink"/>
                          <w:rFonts w:ascii="Arial Narrow" w:hAnsi="Arial Narrow"/>
                          <w:b/>
                          <w:color w:val="365F91" w:themeColor="accent1" w:themeShade="BF"/>
                        </w:rPr>
                      </w:pPr>
                      <w:hyperlink r:id="rId62" w:history="1">
                        <w:r>
                          <w:rPr>
                            <w:rStyle w:val="Hyperlink"/>
                            <w:rFonts w:ascii="Arial Narrow" w:hAnsi="Arial Narrow"/>
                            <w:color w:val="365F91" w:themeColor="accent1" w:themeShade="BF"/>
                          </w:rPr>
                          <w:t>Strategija trgovinskih olakšica</w:t>
                        </w:r>
                        <w:r w:rsidRPr="009F1CF2">
                          <w:rPr>
                            <w:rStyle w:val="Hyperlink"/>
                            <w:rFonts w:ascii="Arial Narrow" w:hAnsi="Arial Narrow"/>
                            <w:color w:val="365F91" w:themeColor="accent1" w:themeShade="BF"/>
                          </w:rPr>
                          <w:t xml:space="preserve"> 2018 - 2022</w:t>
                        </w:r>
                      </w:hyperlink>
                    </w:p>
                    <w:p w14:paraId="7AEDDDFA" w14:textId="77777777" w:rsidR="006712E0" w:rsidRPr="009F1CF2" w:rsidRDefault="006712E0" w:rsidP="00047EF8">
                      <w:pPr>
                        <w:pStyle w:val="ListParagraph"/>
                        <w:numPr>
                          <w:ilvl w:val="0"/>
                          <w:numId w:val="80"/>
                        </w:numPr>
                        <w:spacing w:after="0"/>
                        <w:jc w:val="both"/>
                        <w:rPr>
                          <w:rFonts w:ascii="Arial Narrow" w:hAnsi="Arial Narrow"/>
                          <w:b/>
                          <w:color w:val="365F91" w:themeColor="accent1" w:themeShade="BF"/>
                        </w:rPr>
                      </w:pPr>
                      <w:hyperlink r:id="rId63" w:history="1"/>
                      <w:hyperlink r:id="rId64" w:history="1">
                        <w:r>
                          <w:rPr>
                            <w:rStyle w:val="Hyperlink"/>
                            <w:rFonts w:ascii="Arial Narrow" w:hAnsi="Arial Narrow"/>
                            <w:color w:val="365F91" w:themeColor="accent1" w:themeShade="BF"/>
                          </w:rPr>
                          <w:t>Strategija za prelazak na obra</w:t>
                        </w:r>
                        <w:r>
                          <w:rPr>
                            <w:rStyle w:val="Hyperlink"/>
                            <w:rFonts w:ascii="Times New Roman" w:hAnsi="Times New Roman"/>
                            <w:color w:val="365F91" w:themeColor="accent1" w:themeShade="BF"/>
                          </w:rPr>
                          <w:t>č</w:t>
                        </w:r>
                        <w:r>
                          <w:rPr>
                            <w:rStyle w:val="Hyperlink"/>
                            <w:rFonts w:ascii="Arial Narrow" w:hAnsi="Arial Narrow"/>
                            <w:color w:val="365F91" w:themeColor="accent1" w:themeShade="BF"/>
                          </w:rPr>
                          <w:t>unsko ra</w:t>
                        </w:r>
                        <w:r>
                          <w:rPr>
                            <w:rStyle w:val="Hyperlink"/>
                            <w:rFonts w:ascii="Times New Roman" w:hAnsi="Times New Roman"/>
                            <w:color w:val="365F91" w:themeColor="accent1" w:themeShade="BF"/>
                          </w:rPr>
                          <w:t>č</w:t>
                        </w:r>
                        <w:r>
                          <w:rPr>
                            <w:rStyle w:val="Hyperlink"/>
                            <w:rFonts w:ascii="Arial Narrow" w:hAnsi="Arial Narrow"/>
                            <w:color w:val="365F91" w:themeColor="accent1" w:themeShade="BF"/>
                          </w:rPr>
                          <w:t xml:space="preserve">unovodstvo u javnom sektoru </w:t>
                        </w:r>
                      </w:hyperlink>
                      <w:r w:rsidRPr="009F1CF2">
                        <w:rPr>
                          <w:rStyle w:val="Hyperlink"/>
                          <w:rFonts w:ascii="Arial Narrow" w:hAnsi="Arial Narrow"/>
                          <w:color w:val="365F91" w:themeColor="accent1" w:themeShade="BF"/>
                        </w:rPr>
                        <w:t xml:space="preserve"> </w:t>
                      </w:r>
                    </w:p>
                    <w:p w14:paraId="1269B5D6" w14:textId="77777777" w:rsidR="006712E0" w:rsidRPr="009F1CF2" w:rsidRDefault="006712E0" w:rsidP="00047EF8">
                      <w:pPr>
                        <w:pStyle w:val="ListParagraph"/>
                        <w:numPr>
                          <w:ilvl w:val="0"/>
                          <w:numId w:val="80"/>
                        </w:numPr>
                        <w:spacing w:after="0"/>
                        <w:jc w:val="both"/>
                        <w:rPr>
                          <w:rFonts w:ascii="Arial Narrow" w:hAnsi="Arial Narrow"/>
                          <w:b/>
                          <w:color w:val="365F91" w:themeColor="accent1" w:themeShade="BF"/>
                        </w:rPr>
                      </w:pPr>
                      <w:hyperlink r:id="rId65" w:history="1">
                        <w:r w:rsidRPr="009F1CF2">
                          <w:rPr>
                            <w:rStyle w:val="Hyperlink"/>
                            <w:rFonts w:ascii="Arial Narrow" w:hAnsi="Arial Narrow"/>
                            <w:color w:val="365F91" w:themeColor="accent1" w:themeShade="BF"/>
                          </w:rPr>
                          <w:t>Na</w:t>
                        </w:r>
                        <w:r>
                          <w:rPr>
                            <w:rStyle w:val="Hyperlink"/>
                            <w:rFonts w:ascii="Arial Narrow" w:hAnsi="Arial Narrow"/>
                            <w:color w:val="365F91" w:themeColor="accent1" w:themeShade="BF"/>
                          </w:rPr>
                          <w:t>c</w:t>
                        </w:r>
                        <w:r w:rsidRPr="009F1CF2">
                          <w:rPr>
                            <w:rStyle w:val="Hyperlink"/>
                            <w:rFonts w:ascii="Arial Narrow" w:hAnsi="Arial Narrow"/>
                            <w:color w:val="365F91" w:themeColor="accent1" w:themeShade="BF"/>
                          </w:rPr>
                          <w:t>ional</w:t>
                        </w:r>
                        <w:r>
                          <w:rPr>
                            <w:rStyle w:val="Hyperlink"/>
                            <w:rFonts w:ascii="Arial Narrow" w:hAnsi="Arial Narrow"/>
                            <w:color w:val="365F91" w:themeColor="accent1" w:themeShade="BF"/>
                          </w:rPr>
                          <w:t>na s</w:t>
                        </w:r>
                        <w:r w:rsidRPr="009F1CF2">
                          <w:rPr>
                            <w:rStyle w:val="Hyperlink"/>
                            <w:rFonts w:ascii="Arial Narrow" w:hAnsi="Arial Narrow"/>
                            <w:color w:val="365F91" w:themeColor="accent1" w:themeShade="BF"/>
                          </w:rPr>
                          <w:t>trateg</w:t>
                        </w:r>
                        <w:r>
                          <w:rPr>
                            <w:rStyle w:val="Hyperlink"/>
                            <w:rFonts w:ascii="Arial Narrow" w:hAnsi="Arial Narrow"/>
                            <w:color w:val="365F91" w:themeColor="accent1" w:themeShade="BF"/>
                          </w:rPr>
                          <w:t>ija za spre</w:t>
                        </w:r>
                        <w:r>
                          <w:rPr>
                            <w:rStyle w:val="Hyperlink"/>
                            <w:rFonts w:ascii="Times New Roman" w:hAnsi="Times New Roman"/>
                            <w:color w:val="365F91" w:themeColor="accent1" w:themeShade="BF"/>
                          </w:rPr>
                          <w:t>č</w:t>
                        </w:r>
                        <w:r>
                          <w:rPr>
                            <w:rStyle w:val="Hyperlink"/>
                            <w:rFonts w:ascii="Arial Narrow" w:hAnsi="Arial Narrow"/>
                            <w:color w:val="365F91" w:themeColor="accent1" w:themeShade="BF"/>
                          </w:rPr>
                          <w:t>avanje ilegalne trgovine duvanskim proizvodima</w:t>
                        </w:r>
                        <w:r w:rsidRPr="009F1CF2">
                          <w:rPr>
                            <w:rStyle w:val="Hyperlink"/>
                            <w:rFonts w:ascii="Arial Narrow" w:hAnsi="Arial Narrow"/>
                            <w:color w:val="365F91" w:themeColor="accent1" w:themeShade="BF"/>
                          </w:rPr>
                          <w:t xml:space="preserve"> </w:t>
                        </w:r>
                      </w:hyperlink>
                    </w:p>
                    <w:p w14:paraId="7C718983" w14:textId="77777777" w:rsidR="006712E0" w:rsidRPr="009F1CF2" w:rsidRDefault="006712E0" w:rsidP="00047EF8">
                      <w:pPr>
                        <w:pStyle w:val="ListParagraph"/>
                        <w:numPr>
                          <w:ilvl w:val="0"/>
                          <w:numId w:val="80"/>
                        </w:numPr>
                        <w:spacing w:after="0"/>
                        <w:jc w:val="both"/>
                        <w:rPr>
                          <w:rFonts w:ascii="Arial Narrow" w:hAnsi="Arial Narrow"/>
                          <w:b/>
                          <w:color w:val="365F91" w:themeColor="accent1" w:themeShade="BF"/>
                        </w:rPr>
                      </w:pPr>
                      <w:hyperlink r:id="rId66" w:history="1">
                        <w:r>
                          <w:rPr>
                            <w:rStyle w:val="Hyperlink"/>
                            <w:rFonts w:ascii="Arial Narrow" w:hAnsi="Arial Narrow"/>
                            <w:color w:val="365F91" w:themeColor="accent1" w:themeShade="BF"/>
                          </w:rPr>
                          <w:t>Strategija razvoja zvani</w:t>
                        </w:r>
                        <w:r>
                          <w:rPr>
                            <w:rStyle w:val="Hyperlink"/>
                            <w:rFonts w:ascii="Times New Roman" w:hAnsi="Times New Roman"/>
                            <w:color w:val="365F91" w:themeColor="accent1" w:themeShade="BF"/>
                          </w:rPr>
                          <w:t>č</w:t>
                        </w:r>
                        <w:r>
                          <w:rPr>
                            <w:rStyle w:val="Hyperlink"/>
                            <w:rFonts w:ascii="Arial Narrow" w:hAnsi="Arial Narrow"/>
                            <w:color w:val="365F91" w:themeColor="accent1" w:themeShade="BF"/>
                          </w:rPr>
                          <w:t xml:space="preserve">ne statistike </w:t>
                        </w:r>
                        <w:r w:rsidRPr="009F1CF2">
                          <w:rPr>
                            <w:rStyle w:val="Hyperlink"/>
                            <w:rFonts w:ascii="Arial Narrow" w:hAnsi="Arial Narrow"/>
                            <w:color w:val="365F91" w:themeColor="accent1" w:themeShade="BF"/>
                          </w:rPr>
                          <w:t>2019-2023</w:t>
                        </w:r>
                      </w:hyperlink>
                    </w:p>
                    <w:p w14:paraId="2AB55E54" w14:textId="77777777" w:rsidR="006712E0" w:rsidRPr="009F1CF2" w:rsidRDefault="006712E0" w:rsidP="00047EF8">
                      <w:pPr>
                        <w:pStyle w:val="ListParagraph"/>
                        <w:numPr>
                          <w:ilvl w:val="0"/>
                          <w:numId w:val="80"/>
                        </w:numPr>
                        <w:spacing w:after="0"/>
                        <w:jc w:val="both"/>
                        <w:rPr>
                          <w:rFonts w:ascii="Arial Narrow" w:hAnsi="Arial Narrow"/>
                          <w:b/>
                          <w:color w:val="365F91" w:themeColor="accent1" w:themeShade="BF"/>
                        </w:rPr>
                      </w:pPr>
                      <w:r w:rsidRPr="009F1CF2">
                        <w:rPr>
                          <w:rStyle w:val="Hyperlink"/>
                          <w:rFonts w:ascii="Arial Narrow" w:hAnsi="Arial Narrow"/>
                          <w:color w:val="365F91" w:themeColor="accent1" w:themeShade="BF"/>
                        </w:rPr>
                        <w:t>Stra</w:t>
                      </w:r>
                      <w:r>
                        <w:rPr>
                          <w:rStyle w:val="Hyperlink"/>
                          <w:rFonts w:ascii="Arial Narrow" w:hAnsi="Arial Narrow"/>
                          <w:color w:val="365F91" w:themeColor="accent1" w:themeShade="BF"/>
                        </w:rPr>
                        <w:t>tegija za suzbijanje prevare i upravljanje neregularnostima</w:t>
                      </w:r>
                      <w:r w:rsidRPr="009F1CF2">
                        <w:rPr>
                          <w:rStyle w:val="Hyperlink"/>
                          <w:rFonts w:ascii="Arial Narrow" w:hAnsi="Arial Narrow"/>
                          <w:color w:val="365F91" w:themeColor="accent1" w:themeShade="BF"/>
                        </w:rPr>
                        <w:t xml:space="preserve"> </w:t>
                      </w:r>
                      <w:r>
                        <w:rPr>
                          <w:rStyle w:val="Hyperlink"/>
                          <w:rFonts w:ascii="Arial Narrow" w:hAnsi="Arial Narrow"/>
                          <w:color w:val="365F91" w:themeColor="accent1" w:themeShade="BF"/>
                        </w:rPr>
                        <w:t>u cilju zaštite</w:t>
                      </w:r>
                      <w:r w:rsidRPr="009F1CF2">
                        <w:rPr>
                          <w:rStyle w:val="Hyperlink"/>
                          <w:rFonts w:ascii="Arial Narrow" w:hAnsi="Arial Narrow"/>
                          <w:color w:val="365F91" w:themeColor="accent1" w:themeShade="BF"/>
                        </w:rPr>
                        <w:t xml:space="preserve"> </w:t>
                      </w:r>
                      <w:r>
                        <w:rPr>
                          <w:rStyle w:val="Hyperlink"/>
                          <w:rFonts w:ascii="Arial Narrow" w:hAnsi="Arial Narrow"/>
                          <w:color w:val="365F91" w:themeColor="accent1" w:themeShade="BF"/>
                        </w:rPr>
                        <w:t>finansijskih</w:t>
                      </w:r>
                      <w:r w:rsidRPr="009F1CF2">
                        <w:rPr>
                          <w:rStyle w:val="Hyperlink"/>
                          <w:rFonts w:ascii="Arial Narrow" w:hAnsi="Arial Narrow"/>
                          <w:color w:val="365F91" w:themeColor="accent1" w:themeShade="BF"/>
                        </w:rPr>
                        <w:t xml:space="preserve"> </w:t>
                      </w:r>
                      <w:r>
                        <w:rPr>
                          <w:rStyle w:val="Hyperlink"/>
                          <w:rFonts w:ascii="Arial Narrow" w:hAnsi="Arial Narrow"/>
                          <w:color w:val="365F91" w:themeColor="accent1" w:themeShade="BF"/>
                        </w:rPr>
                        <w:t>i</w:t>
                      </w:r>
                      <w:r w:rsidRPr="009F1CF2">
                        <w:rPr>
                          <w:rStyle w:val="Hyperlink"/>
                          <w:rFonts w:ascii="Arial Narrow" w:hAnsi="Arial Narrow"/>
                          <w:color w:val="365F91" w:themeColor="accent1" w:themeShade="BF"/>
                        </w:rPr>
                        <w:t>ntere</w:t>
                      </w:r>
                      <w:r>
                        <w:rPr>
                          <w:rStyle w:val="Hyperlink"/>
                          <w:rFonts w:ascii="Arial Narrow" w:hAnsi="Arial Narrow"/>
                          <w:color w:val="365F91" w:themeColor="accent1" w:themeShade="BF"/>
                        </w:rPr>
                        <w:t>sa</w:t>
                      </w:r>
                      <w:r w:rsidRPr="009F1CF2">
                        <w:rPr>
                          <w:rStyle w:val="Hyperlink"/>
                          <w:rFonts w:ascii="Arial Narrow" w:hAnsi="Arial Narrow"/>
                          <w:color w:val="365F91" w:themeColor="accent1" w:themeShade="BF"/>
                        </w:rPr>
                        <w:t xml:space="preserve"> EU 2019-2022</w:t>
                      </w:r>
                    </w:p>
                  </w:txbxContent>
                </v:textbox>
                <w10:wrap anchorx="margin"/>
              </v:roundrect>
            </w:pict>
          </mc:Fallback>
        </mc:AlternateContent>
      </w:r>
    </w:p>
    <w:p w14:paraId="2807FAA0" w14:textId="7B837E06"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16608" behindDoc="0" locked="0" layoutInCell="1" allowOverlap="1" wp14:anchorId="5439942A" wp14:editId="0EA2181B">
                <wp:simplePos x="0" y="0"/>
                <wp:positionH relativeFrom="margin">
                  <wp:align>center</wp:align>
                </wp:positionH>
                <wp:positionV relativeFrom="paragraph">
                  <wp:posOffset>4852670</wp:posOffset>
                </wp:positionV>
                <wp:extent cx="6981825" cy="1581150"/>
                <wp:effectExtent l="0" t="0" r="9525" b="0"/>
                <wp:wrapNone/>
                <wp:docPr id="23517" name="Rounded Rectangle 23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1825" cy="1581150"/>
                        </a:xfrm>
                        <a:prstGeom prst="roundRect">
                          <a:avLst/>
                        </a:prstGeom>
                        <a:solidFill>
                          <a:sysClr val="window" lastClr="FFFFFF"/>
                        </a:solidFill>
                        <a:ln w="12700" cap="flat" cmpd="sng" algn="ctr">
                          <a:solidFill>
                            <a:srgbClr val="92D050"/>
                          </a:solidFill>
                          <a:prstDash val="solid"/>
                          <a:miter lim="800000"/>
                        </a:ln>
                        <a:effectLst/>
                      </wps:spPr>
                      <wps:txbx>
                        <w:txbxContent>
                          <w:p w14:paraId="468C235B" w14:textId="77777777" w:rsidR="006712E0" w:rsidRPr="001C6D17" w:rsidRDefault="006712E0" w:rsidP="00047EF8">
                            <w:pPr>
                              <w:spacing w:line="240" w:lineRule="auto"/>
                              <w:jc w:val="center"/>
                              <w:rPr>
                                <w:rFonts w:ascii="Arial Narrow" w:hAnsi="Arial Narrow"/>
                                <w:b/>
                                <w:color w:val="92D050"/>
                                <w:sz w:val="24"/>
                                <w:szCs w:val="24"/>
                              </w:rPr>
                            </w:pPr>
                            <w:r>
                              <w:rPr>
                                <w:rFonts w:ascii="Arial Narrow" w:hAnsi="Arial Narrow"/>
                                <w:b/>
                                <w:color w:val="92D050"/>
                                <w:sz w:val="24"/>
                                <w:szCs w:val="24"/>
                              </w:rPr>
                              <w:t>SMJERNICE I OSTALA PLANSKA DOKUMENTA RELEVANTNA ZA IMPLEMENTACIJU POLITIKE</w:t>
                            </w:r>
                            <w:r w:rsidRPr="001C6D17">
                              <w:rPr>
                                <w:rFonts w:ascii="Arial Narrow" w:hAnsi="Arial Narrow"/>
                                <w:b/>
                                <w:color w:val="92D050"/>
                                <w:sz w:val="24"/>
                                <w:szCs w:val="24"/>
                              </w:rPr>
                              <w:t>:</w:t>
                            </w:r>
                          </w:p>
                          <w:p w14:paraId="09354270" w14:textId="77777777" w:rsidR="006712E0" w:rsidRPr="00AE6231" w:rsidRDefault="001D48BA" w:rsidP="00047EF8">
                            <w:pPr>
                              <w:pStyle w:val="ListParagraph"/>
                              <w:numPr>
                                <w:ilvl w:val="0"/>
                                <w:numId w:val="82"/>
                              </w:numPr>
                              <w:spacing w:after="0" w:line="240" w:lineRule="auto"/>
                              <w:jc w:val="both"/>
                              <w:rPr>
                                <w:rStyle w:val="Hyperlink"/>
                                <w:rFonts w:ascii="Arial Narrow" w:hAnsi="Arial Narrow"/>
                                <w:b/>
                                <w:color w:val="92D050"/>
                              </w:rPr>
                            </w:pPr>
                            <w:hyperlink r:id="rId67" w:history="1">
                              <w:r w:rsidR="006712E0" w:rsidRPr="00AE6231">
                                <w:rPr>
                                  <w:rStyle w:val="Hyperlink"/>
                                  <w:rFonts w:ascii="Arial Narrow" w:hAnsi="Arial Narrow"/>
                                  <w:color w:val="92D050"/>
                                  <w:sz w:val="24"/>
                                  <w:szCs w:val="24"/>
                                </w:rPr>
                                <w:t>St</w:t>
                              </w:r>
                              <w:r w:rsidR="006712E0">
                                <w:rPr>
                                  <w:rStyle w:val="Hyperlink"/>
                                  <w:rFonts w:ascii="Arial Narrow" w:hAnsi="Arial Narrow"/>
                                  <w:color w:val="92D050"/>
                                  <w:sz w:val="24"/>
                                  <w:szCs w:val="24"/>
                                </w:rPr>
                                <w:t>rategija razvoja i odr</w:t>
                              </w:r>
                              <w:r w:rsidR="006712E0">
                                <w:rPr>
                                  <w:rStyle w:val="Hyperlink"/>
                                  <w:rFonts w:ascii="Times New Roman" w:hAnsi="Times New Roman"/>
                                  <w:color w:val="92D050"/>
                                  <w:sz w:val="24"/>
                                  <w:szCs w:val="24"/>
                                </w:rPr>
                                <w:t>ž</w:t>
                              </w:r>
                              <w:r w:rsidR="006712E0">
                                <w:rPr>
                                  <w:rStyle w:val="Hyperlink"/>
                                  <w:rFonts w:ascii="Arial Narrow" w:hAnsi="Arial Narrow"/>
                                  <w:color w:val="92D050"/>
                                  <w:sz w:val="24"/>
                                  <w:szCs w:val="24"/>
                                </w:rPr>
                                <w:t>avanja dra</w:t>
                              </w:r>
                              <w:r w:rsidR="006712E0">
                                <w:rPr>
                                  <w:rStyle w:val="Hyperlink"/>
                                  <w:rFonts w:ascii="Times New Roman" w:hAnsi="Times New Roman"/>
                                  <w:color w:val="92D050"/>
                                  <w:sz w:val="24"/>
                                  <w:szCs w:val="24"/>
                                </w:rPr>
                                <w:t>ž</w:t>
                              </w:r>
                              <w:r w:rsidR="006712E0">
                                <w:rPr>
                                  <w:rStyle w:val="Hyperlink"/>
                                  <w:rFonts w:ascii="Arial Narrow" w:hAnsi="Arial Narrow"/>
                                  <w:color w:val="92D050"/>
                                  <w:sz w:val="24"/>
                                  <w:szCs w:val="24"/>
                                </w:rPr>
                                <w:t>vnih puteva</w:t>
                              </w:r>
                              <w:r w:rsidR="006712E0" w:rsidRPr="00AE6231">
                                <w:rPr>
                                  <w:rStyle w:val="Hyperlink"/>
                                  <w:rFonts w:ascii="Arial Narrow" w:hAnsi="Arial Narrow"/>
                                  <w:color w:val="92D050"/>
                                </w:rPr>
                                <w:t xml:space="preserve"> </w:t>
                              </w:r>
                            </w:hyperlink>
                          </w:p>
                          <w:p w14:paraId="5B427723" w14:textId="77777777" w:rsidR="006712E0" w:rsidRPr="00AE6231" w:rsidRDefault="006712E0" w:rsidP="00047EF8">
                            <w:pPr>
                              <w:pStyle w:val="ListParagraph"/>
                              <w:numPr>
                                <w:ilvl w:val="0"/>
                                <w:numId w:val="82"/>
                              </w:numPr>
                              <w:spacing w:after="0" w:line="240" w:lineRule="auto"/>
                              <w:jc w:val="both"/>
                              <w:rPr>
                                <w:rFonts w:ascii="Arial Narrow" w:hAnsi="Arial Narrow"/>
                                <w:b/>
                                <w:color w:val="92D050"/>
                              </w:rPr>
                            </w:pPr>
                            <w:r>
                              <w:rPr>
                                <w:rFonts w:ascii="Arial Narrow" w:hAnsi="Arial Narrow"/>
                                <w:b/>
                                <w:color w:val="92D050"/>
                              </w:rPr>
                              <w:t>Nac</w:t>
                            </w:r>
                            <w:r w:rsidRPr="00AE6231">
                              <w:rPr>
                                <w:rFonts w:ascii="Arial Narrow" w:hAnsi="Arial Narrow"/>
                                <w:b/>
                                <w:color w:val="92D050"/>
                              </w:rPr>
                              <w:t>ional</w:t>
                            </w:r>
                            <w:r>
                              <w:rPr>
                                <w:rFonts w:ascii="Arial Narrow" w:hAnsi="Arial Narrow"/>
                                <w:b/>
                                <w:color w:val="92D050"/>
                              </w:rPr>
                              <w:t>ni program bezbjednosti u vazdušnom saobraćaju</w:t>
                            </w:r>
                            <w:r w:rsidRPr="00AE6231">
                              <w:rPr>
                                <w:rFonts w:ascii="Arial Narrow" w:hAnsi="Arial Narrow"/>
                                <w:b/>
                                <w:color w:val="92D050"/>
                              </w:rPr>
                              <w:t xml:space="preserve"> </w:t>
                            </w:r>
                          </w:p>
                          <w:p w14:paraId="1FE15940" w14:textId="77777777" w:rsidR="006712E0" w:rsidRPr="00AE6231" w:rsidRDefault="006712E0" w:rsidP="00047EF8">
                            <w:pPr>
                              <w:pStyle w:val="ListParagraph"/>
                              <w:numPr>
                                <w:ilvl w:val="0"/>
                                <w:numId w:val="82"/>
                              </w:numPr>
                              <w:spacing w:after="0" w:line="240" w:lineRule="auto"/>
                              <w:jc w:val="both"/>
                              <w:rPr>
                                <w:rFonts w:ascii="Arial Narrow" w:hAnsi="Arial Narrow"/>
                                <w:b/>
                                <w:color w:val="92D050"/>
                              </w:rPr>
                            </w:pPr>
                            <w:r>
                              <w:rPr>
                                <w:rFonts w:ascii="Arial Narrow" w:hAnsi="Arial Narrow"/>
                                <w:b/>
                                <w:color w:val="92D050"/>
                              </w:rPr>
                              <w:t>Energetska politika Crne Gore</w:t>
                            </w:r>
                            <w:r w:rsidRPr="00AE6231">
                              <w:rPr>
                                <w:rFonts w:ascii="Arial Narrow" w:hAnsi="Arial Narrow"/>
                                <w:b/>
                                <w:color w:val="92D050"/>
                              </w:rPr>
                              <w:t xml:space="preserve"> 2011-2030</w:t>
                            </w:r>
                            <w:r>
                              <w:rPr>
                                <w:rFonts w:ascii="Arial Narrow" w:hAnsi="Arial Narrow"/>
                                <w:b/>
                                <w:color w:val="92D050"/>
                              </w:rPr>
                              <w:t>.</w:t>
                            </w:r>
                          </w:p>
                          <w:p w14:paraId="2329B66E" w14:textId="77777777" w:rsidR="006712E0" w:rsidRPr="00AE6231" w:rsidRDefault="006712E0" w:rsidP="00047EF8">
                            <w:pPr>
                              <w:pStyle w:val="ListParagraph"/>
                              <w:numPr>
                                <w:ilvl w:val="0"/>
                                <w:numId w:val="82"/>
                              </w:numPr>
                              <w:spacing w:after="0" w:line="240" w:lineRule="auto"/>
                              <w:jc w:val="both"/>
                              <w:rPr>
                                <w:rFonts w:ascii="Arial Narrow" w:hAnsi="Arial Narrow"/>
                                <w:b/>
                                <w:color w:val="92D050"/>
                              </w:rPr>
                            </w:pPr>
                            <w:r>
                              <w:rPr>
                                <w:rFonts w:ascii="Arial Narrow" w:hAnsi="Arial Narrow"/>
                                <w:b/>
                                <w:color w:val="92D050"/>
                              </w:rPr>
                              <w:t>Akcioni plan energetske efikasnosti za period</w:t>
                            </w:r>
                            <w:r w:rsidRPr="00AE6231">
                              <w:rPr>
                                <w:rFonts w:ascii="Arial Narrow" w:hAnsi="Arial Narrow"/>
                                <w:b/>
                                <w:color w:val="92D050"/>
                              </w:rPr>
                              <w:t xml:space="preserve"> 2019-2021</w:t>
                            </w:r>
                            <w:r>
                              <w:rPr>
                                <w:rFonts w:ascii="Arial Narrow" w:hAnsi="Arial Narrow"/>
                                <w:b/>
                                <w:color w:val="92D050"/>
                              </w:rPr>
                              <w:t>.</w:t>
                            </w:r>
                          </w:p>
                          <w:p w14:paraId="12486D0F" w14:textId="77777777" w:rsidR="006712E0" w:rsidRPr="009F56CA" w:rsidRDefault="006712E0" w:rsidP="00047EF8">
                            <w:pPr>
                              <w:pStyle w:val="ListParagraph"/>
                              <w:numPr>
                                <w:ilvl w:val="0"/>
                                <w:numId w:val="82"/>
                              </w:numPr>
                              <w:spacing w:after="0" w:line="240" w:lineRule="auto"/>
                              <w:jc w:val="both"/>
                              <w:rPr>
                                <w:rFonts w:ascii="Arial Narrow" w:hAnsi="Arial Narrow"/>
                                <w:b/>
                                <w:color w:val="92D050"/>
                                <w:lang w:val="fr-FR"/>
                              </w:rPr>
                            </w:pPr>
                            <w:r w:rsidRPr="009F56CA">
                              <w:rPr>
                                <w:rFonts w:ascii="Arial Narrow" w:hAnsi="Arial Narrow"/>
                                <w:b/>
                                <w:color w:val="92D050"/>
                                <w:lang w:val="fr-FR"/>
                              </w:rPr>
                              <w:t>Nacionalni plan za eksploataciju mineralnih resursa 2019-2035.</w:t>
                            </w:r>
                          </w:p>
                          <w:p w14:paraId="7F8C9CC8" w14:textId="77777777" w:rsidR="006712E0" w:rsidRPr="009F56CA" w:rsidRDefault="006712E0" w:rsidP="00047EF8">
                            <w:pPr>
                              <w:spacing w:after="0" w:line="240" w:lineRule="auto"/>
                              <w:jc w:val="both"/>
                              <w:rPr>
                                <w:rFonts w:ascii="Arial Narrow" w:hAnsi="Arial Narrow"/>
                                <w:b/>
                                <w:color w:val="92D050"/>
                                <w:u w:val="single"/>
                                <w:lang w:val="fr-FR"/>
                              </w:rPr>
                            </w:pPr>
                          </w:p>
                          <w:p w14:paraId="506797AC" w14:textId="77777777" w:rsidR="006712E0" w:rsidRPr="009F56CA" w:rsidRDefault="006712E0" w:rsidP="00047EF8">
                            <w:pPr>
                              <w:spacing w:after="0" w:line="240" w:lineRule="auto"/>
                              <w:jc w:val="both"/>
                              <w:rPr>
                                <w:rFonts w:ascii="Arial Narrow" w:hAnsi="Arial Narrow"/>
                                <w:b/>
                                <w:color w:val="92D050"/>
                                <w:u w:val="single"/>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9942A" id="Rounded Rectangle 23517" o:spid="_x0000_s1112" style="position:absolute;left:0;text-align:left;margin-left:0;margin-top:382.1pt;width:549.75pt;height:124.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" fillcolor="window" strokecolor="#92d050" strokeweight="1pt">
                <v:stroke joinstyle="miter"/>
                <v:path arrowok="t"/>
                <v:textbox>
                  <w:txbxContent>
                    <w:p w14:paraId="468C235B" w14:textId="77777777" w:rsidR="006712E0" w:rsidRPr="001C6D17" w:rsidRDefault="006712E0" w:rsidP="00047EF8">
                      <w:pPr>
                        <w:spacing w:line="240" w:lineRule="auto"/>
                        <w:jc w:val="center"/>
                        <w:rPr>
                          <w:rFonts w:ascii="Arial Narrow" w:hAnsi="Arial Narrow"/>
                          <w:b/>
                          <w:color w:val="92D050"/>
                          <w:sz w:val="24"/>
                          <w:szCs w:val="24"/>
                        </w:rPr>
                      </w:pPr>
                      <w:r>
                        <w:rPr>
                          <w:rFonts w:ascii="Arial Narrow" w:hAnsi="Arial Narrow"/>
                          <w:b/>
                          <w:color w:val="92D050"/>
                          <w:sz w:val="24"/>
                          <w:szCs w:val="24"/>
                        </w:rPr>
                        <w:t>SMJERNICE I OSTALA PLANSKA DOKUMENTA RELEVANTNA ZA IMPLEMENTACIJU POLITIKE</w:t>
                      </w:r>
                      <w:r w:rsidRPr="001C6D17">
                        <w:rPr>
                          <w:rFonts w:ascii="Arial Narrow" w:hAnsi="Arial Narrow"/>
                          <w:b/>
                          <w:color w:val="92D050"/>
                          <w:sz w:val="24"/>
                          <w:szCs w:val="24"/>
                        </w:rPr>
                        <w:t>:</w:t>
                      </w:r>
                    </w:p>
                    <w:p w14:paraId="09354270" w14:textId="77777777" w:rsidR="006712E0" w:rsidRPr="00AE6231" w:rsidRDefault="006712E0" w:rsidP="00047EF8">
                      <w:pPr>
                        <w:pStyle w:val="ListParagraph"/>
                        <w:numPr>
                          <w:ilvl w:val="0"/>
                          <w:numId w:val="82"/>
                        </w:numPr>
                        <w:spacing w:after="0" w:line="240" w:lineRule="auto"/>
                        <w:jc w:val="both"/>
                        <w:rPr>
                          <w:rStyle w:val="Hyperlink"/>
                          <w:rFonts w:ascii="Arial Narrow" w:hAnsi="Arial Narrow"/>
                          <w:b/>
                          <w:color w:val="92D050"/>
                        </w:rPr>
                      </w:pPr>
                      <w:hyperlink r:id="rId68" w:history="1">
                        <w:r w:rsidRPr="00AE6231">
                          <w:rPr>
                            <w:rStyle w:val="Hyperlink"/>
                            <w:rFonts w:ascii="Arial Narrow" w:hAnsi="Arial Narrow"/>
                            <w:color w:val="92D050"/>
                            <w:sz w:val="24"/>
                            <w:szCs w:val="24"/>
                          </w:rPr>
                          <w:t>St</w:t>
                        </w:r>
                        <w:r>
                          <w:rPr>
                            <w:rStyle w:val="Hyperlink"/>
                            <w:rFonts w:ascii="Arial Narrow" w:hAnsi="Arial Narrow"/>
                            <w:color w:val="92D050"/>
                            <w:sz w:val="24"/>
                            <w:szCs w:val="24"/>
                          </w:rPr>
                          <w:t>rategija razvoja i odr</w:t>
                        </w:r>
                        <w:r>
                          <w:rPr>
                            <w:rStyle w:val="Hyperlink"/>
                            <w:rFonts w:ascii="Times New Roman" w:hAnsi="Times New Roman"/>
                            <w:color w:val="92D050"/>
                            <w:sz w:val="24"/>
                            <w:szCs w:val="24"/>
                          </w:rPr>
                          <w:t>ž</w:t>
                        </w:r>
                        <w:r>
                          <w:rPr>
                            <w:rStyle w:val="Hyperlink"/>
                            <w:rFonts w:ascii="Arial Narrow" w:hAnsi="Arial Narrow"/>
                            <w:color w:val="92D050"/>
                            <w:sz w:val="24"/>
                            <w:szCs w:val="24"/>
                          </w:rPr>
                          <w:t>avanja dra</w:t>
                        </w:r>
                        <w:r>
                          <w:rPr>
                            <w:rStyle w:val="Hyperlink"/>
                            <w:rFonts w:ascii="Times New Roman" w:hAnsi="Times New Roman"/>
                            <w:color w:val="92D050"/>
                            <w:sz w:val="24"/>
                            <w:szCs w:val="24"/>
                          </w:rPr>
                          <w:t>ž</w:t>
                        </w:r>
                        <w:r>
                          <w:rPr>
                            <w:rStyle w:val="Hyperlink"/>
                            <w:rFonts w:ascii="Arial Narrow" w:hAnsi="Arial Narrow"/>
                            <w:color w:val="92D050"/>
                            <w:sz w:val="24"/>
                            <w:szCs w:val="24"/>
                          </w:rPr>
                          <w:t>vnih puteva</w:t>
                        </w:r>
                        <w:r w:rsidRPr="00AE6231">
                          <w:rPr>
                            <w:rStyle w:val="Hyperlink"/>
                            <w:rFonts w:ascii="Arial Narrow" w:hAnsi="Arial Narrow"/>
                            <w:color w:val="92D050"/>
                          </w:rPr>
                          <w:t xml:space="preserve"> </w:t>
                        </w:r>
                      </w:hyperlink>
                    </w:p>
                    <w:p w14:paraId="5B427723" w14:textId="77777777" w:rsidR="006712E0" w:rsidRPr="00AE6231" w:rsidRDefault="006712E0" w:rsidP="00047EF8">
                      <w:pPr>
                        <w:pStyle w:val="ListParagraph"/>
                        <w:numPr>
                          <w:ilvl w:val="0"/>
                          <w:numId w:val="82"/>
                        </w:numPr>
                        <w:spacing w:after="0" w:line="240" w:lineRule="auto"/>
                        <w:jc w:val="both"/>
                        <w:rPr>
                          <w:rFonts w:ascii="Arial Narrow" w:hAnsi="Arial Narrow"/>
                          <w:b/>
                          <w:color w:val="92D050"/>
                        </w:rPr>
                      </w:pPr>
                      <w:r>
                        <w:rPr>
                          <w:rFonts w:ascii="Arial Narrow" w:hAnsi="Arial Narrow"/>
                          <w:b/>
                          <w:color w:val="92D050"/>
                        </w:rPr>
                        <w:t>Nac</w:t>
                      </w:r>
                      <w:r w:rsidRPr="00AE6231">
                        <w:rPr>
                          <w:rFonts w:ascii="Arial Narrow" w:hAnsi="Arial Narrow"/>
                          <w:b/>
                          <w:color w:val="92D050"/>
                        </w:rPr>
                        <w:t>ional</w:t>
                      </w:r>
                      <w:r>
                        <w:rPr>
                          <w:rFonts w:ascii="Arial Narrow" w:hAnsi="Arial Narrow"/>
                          <w:b/>
                          <w:color w:val="92D050"/>
                        </w:rPr>
                        <w:t>ni program bezbjednosti u vazdušnom saobraćaju</w:t>
                      </w:r>
                      <w:r w:rsidRPr="00AE6231">
                        <w:rPr>
                          <w:rFonts w:ascii="Arial Narrow" w:hAnsi="Arial Narrow"/>
                          <w:b/>
                          <w:color w:val="92D050"/>
                        </w:rPr>
                        <w:t xml:space="preserve"> </w:t>
                      </w:r>
                    </w:p>
                    <w:p w14:paraId="1FE15940" w14:textId="77777777" w:rsidR="006712E0" w:rsidRPr="00AE6231" w:rsidRDefault="006712E0" w:rsidP="00047EF8">
                      <w:pPr>
                        <w:pStyle w:val="ListParagraph"/>
                        <w:numPr>
                          <w:ilvl w:val="0"/>
                          <w:numId w:val="82"/>
                        </w:numPr>
                        <w:spacing w:after="0" w:line="240" w:lineRule="auto"/>
                        <w:jc w:val="both"/>
                        <w:rPr>
                          <w:rFonts w:ascii="Arial Narrow" w:hAnsi="Arial Narrow"/>
                          <w:b/>
                          <w:color w:val="92D050"/>
                        </w:rPr>
                      </w:pPr>
                      <w:r>
                        <w:rPr>
                          <w:rFonts w:ascii="Arial Narrow" w:hAnsi="Arial Narrow"/>
                          <w:b/>
                          <w:color w:val="92D050"/>
                        </w:rPr>
                        <w:t>Energetska politika Crne Gore</w:t>
                      </w:r>
                      <w:r w:rsidRPr="00AE6231">
                        <w:rPr>
                          <w:rFonts w:ascii="Arial Narrow" w:hAnsi="Arial Narrow"/>
                          <w:b/>
                          <w:color w:val="92D050"/>
                        </w:rPr>
                        <w:t xml:space="preserve"> 2011-2030</w:t>
                      </w:r>
                      <w:r>
                        <w:rPr>
                          <w:rFonts w:ascii="Arial Narrow" w:hAnsi="Arial Narrow"/>
                          <w:b/>
                          <w:color w:val="92D050"/>
                        </w:rPr>
                        <w:t>.</w:t>
                      </w:r>
                    </w:p>
                    <w:p w14:paraId="2329B66E" w14:textId="77777777" w:rsidR="006712E0" w:rsidRPr="00AE6231" w:rsidRDefault="006712E0" w:rsidP="00047EF8">
                      <w:pPr>
                        <w:pStyle w:val="ListParagraph"/>
                        <w:numPr>
                          <w:ilvl w:val="0"/>
                          <w:numId w:val="82"/>
                        </w:numPr>
                        <w:spacing w:after="0" w:line="240" w:lineRule="auto"/>
                        <w:jc w:val="both"/>
                        <w:rPr>
                          <w:rFonts w:ascii="Arial Narrow" w:hAnsi="Arial Narrow"/>
                          <w:b/>
                          <w:color w:val="92D050"/>
                        </w:rPr>
                      </w:pPr>
                      <w:r>
                        <w:rPr>
                          <w:rFonts w:ascii="Arial Narrow" w:hAnsi="Arial Narrow"/>
                          <w:b/>
                          <w:color w:val="92D050"/>
                        </w:rPr>
                        <w:t>Akcioni plan energetske efikasnosti za period</w:t>
                      </w:r>
                      <w:r w:rsidRPr="00AE6231">
                        <w:rPr>
                          <w:rFonts w:ascii="Arial Narrow" w:hAnsi="Arial Narrow"/>
                          <w:b/>
                          <w:color w:val="92D050"/>
                        </w:rPr>
                        <w:t xml:space="preserve"> 2019-2021</w:t>
                      </w:r>
                      <w:r>
                        <w:rPr>
                          <w:rFonts w:ascii="Arial Narrow" w:hAnsi="Arial Narrow"/>
                          <w:b/>
                          <w:color w:val="92D050"/>
                        </w:rPr>
                        <w:t>.</w:t>
                      </w:r>
                    </w:p>
                    <w:p w14:paraId="12486D0F" w14:textId="77777777" w:rsidR="006712E0" w:rsidRPr="009F56CA" w:rsidRDefault="006712E0" w:rsidP="00047EF8">
                      <w:pPr>
                        <w:pStyle w:val="ListParagraph"/>
                        <w:numPr>
                          <w:ilvl w:val="0"/>
                          <w:numId w:val="82"/>
                        </w:numPr>
                        <w:spacing w:after="0" w:line="240" w:lineRule="auto"/>
                        <w:jc w:val="both"/>
                        <w:rPr>
                          <w:rFonts w:ascii="Arial Narrow" w:hAnsi="Arial Narrow"/>
                          <w:b/>
                          <w:color w:val="92D050"/>
                          <w:lang w:val="fr-FR"/>
                        </w:rPr>
                      </w:pPr>
                      <w:r w:rsidRPr="009F56CA">
                        <w:rPr>
                          <w:rFonts w:ascii="Arial Narrow" w:hAnsi="Arial Narrow"/>
                          <w:b/>
                          <w:color w:val="92D050"/>
                          <w:lang w:val="fr-FR"/>
                        </w:rPr>
                        <w:t>Nacionalni plan za eksploataciju mineralnih resursa 2019-2035.</w:t>
                      </w:r>
                    </w:p>
                    <w:p w14:paraId="7F8C9CC8" w14:textId="77777777" w:rsidR="006712E0" w:rsidRPr="009F56CA" w:rsidRDefault="006712E0" w:rsidP="00047EF8">
                      <w:pPr>
                        <w:spacing w:after="0" w:line="240" w:lineRule="auto"/>
                        <w:jc w:val="both"/>
                        <w:rPr>
                          <w:rFonts w:ascii="Arial Narrow" w:hAnsi="Arial Narrow"/>
                          <w:b/>
                          <w:color w:val="92D050"/>
                          <w:u w:val="single"/>
                          <w:lang w:val="fr-FR"/>
                        </w:rPr>
                      </w:pPr>
                    </w:p>
                    <w:p w14:paraId="506797AC" w14:textId="77777777" w:rsidR="006712E0" w:rsidRPr="009F56CA" w:rsidRDefault="006712E0" w:rsidP="00047EF8">
                      <w:pPr>
                        <w:spacing w:after="0" w:line="240" w:lineRule="auto"/>
                        <w:jc w:val="both"/>
                        <w:rPr>
                          <w:rFonts w:ascii="Arial Narrow" w:hAnsi="Arial Narrow"/>
                          <w:b/>
                          <w:color w:val="92D050"/>
                          <w:u w:val="single"/>
                          <w:lang w:val="fr-FR"/>
                        </w:rPr>
                      </w:pP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86912" behindDoc="0" locked="0" layoutInCell="1" allowOverlap="1" wp14:anchorId="3FF5F828" wp14:editId="4CE1BB5B">
                <wp:simplePos x="0" y="0"/>
                <wp:positionH relativeFrom="margin">
                  <wp:align>center</wp:align>
                </wp:positionH>
                <wp:positionV relativeFrom="paragraph">
                  <wp:posOffset>3522345</wp:posOffset>
                </wp:positionV>
                <wp:extent cx="6953250" cy="1181100"/>
                <wp:effectExtent l="0" t="0" r="0" b="0"/>
                <wp:wrapNone/>
                <wp:docPr id="143" name="Rounded 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0" cy="1181100"/>
                        </a:xfrm>
                        <a:prstGeom prst="roundRect">
                          <a:avLst/>
                        </a:prstGeom>
                        <a:solidFill>
                          <a:sysClr val="window" lastClr="FFFFFF"/>
                        </a:solidFill>
                        <a:ln w="12700" cap="flat" cmpd="sng" algn="ctr">
                          <a:solidFill>
                            <a:srgbClr val="92D050"/>
                          </a:solidFill>
                          <a:prstDash val="solid"/>
                          <a:miter lim="800000"/>
                        </a:ln>
                        <a:effectLst/>
                      </wps:spPr>
                      <wps:txbx>
                        <w:txbxContent>
                          <w:p w14:paraId="77A97CB8" w14:textId="77777777" w:rsidR="006712E0" w:rsidRPr="00DB3080" w:rsidRDefault="006712E0" w:rsidP="00047EF8">
                            <w:pPr>
                              <w:spacing w:after="0"/>
                              <w:jc w:val="center"/>
                              <w:rPr>
                                <w:rFonts w:ascii="Arial Narrow" w:hAnsi="Arial Narrow"/>
                                <w:b/>
                                <w:color w:val="92D050"/>
                                <w:sz w:val="24"/>
                                <w:szCs w:val="24"/>
                              </w:rPr>
                            </w:pPr>
                            <w:r>
                              <w:rPr>
                                <w:rFonts w:ascii="Arial Narrow" w:hAnsi="Arial Narrow"/>
                                <w:b/>
                                <w:color w:val="92D050"/>
                                <w:sz w:val="24"/>
                                <w:szCs w:val="24"/>
                              </w:rPr>
                              <w:t>SEKTORSKE STRATEGIJE</w:t>
                            </w:r>
                            <w:r w:rsidRPr="00DB3080">
                              <w:rPr>
                                <w:rFonts w:ascii="Arial Narrow" w:hAnsi="Arial Narrow"/>
                                <w:b/>
                                <w:color w:val="92D050"/>
                                <w:sz w:val="24"/>
                                <w:szCs w:val="24"/>
                              </w:rPr>
                              <w:t>:</w:t>
                            </w:r>
                          </w:p>
                          <w:p w14:paraId="3C229A1A" w14:textId="77777777" w:rsidR="006712E0" w:rsidRPr="00DB3080" w:rsidRDefault="006712E0" w:rsidP="00047EF8">
                            <w:pPr>
                              <w:pStyle w:val="ListParagraph"/>
                              <w:numPr>
                                <w:ilvl w:val="0"/>
                                <w:numId w:val="81"/>
                              </w:numPr>
                              <w:spacing w:after="0" w:line="240" w:lineRule="auto"/>
                              <w:jc w:val="both"/>
                              <w:rPr>
                                <w:rFonts w:ascii="Arial Narrow" w:hAnsi="Arial Narrow"/>
                                <w:b/>
                                <w:color w:val="92D050"/>
                              </w:rPr>
                            </w:pPr>
                            <w:r>
                              <w:rPr>
                                <w:rStyle w:val="Hyperlink"/>
                                <w:rFonts w:ascii="Arial Narrow" w:hAnsi="Arial Narrow"/>
                                <w:color w:val="92D050"/>
                              </w:rPr>
                              <w:t xml:space="preserve">Strategija za razvoj </w:t>
                            </w:r>
                            <w:r>
                              <w:rPr>
                                <w:rStyle w:val="Hyperlink"/>
                                <w:rFonts w:ascii="Times New Roman" w:hAnsi="Times New Roman"/>
                                <w:color w:val="92D050"/>
                              </w:rPr>
                              <w:t>ž</w:t>
                            </w:r>
                            <w:r>
                              <w:rPr>
                                <w:rStyle w:val="Hyperlink"/>
                                <w:rFonts w:ascii="Arial Narrow" w:hAnsi="Arial Narrow"/>
                                <w:color w:val="92D050"/>
                              </w:rPr>
                              <w:t>eljeznice</w:t>
                            </w:r>
                            <w:r w:rsidRPr="00DB3080">
                              <w:rPr>
                                <w:rStyle w:val="Hyperlink"/>
                                <w:rFonts w:ascii="Arial Narrow" w:hAnsi="Arial Narrow"/>
                                <w:color w:val="92D050"/>
                              </w:rPr>
                              <w:t xml:space="preserve"> 2017-2027</w:t>
                            </w:r>
                            <w:r>
                              <w:rPr>
                                <w:rStyle w:val="Hyperlink"/>
                                <w:rFonts w:ascii="Arial Narrow" w:hAnsi="Arial Narrow"/>
                                <w:color w:val="92D050"/>
                              </w:rPr>
                              <w:t>.</w:t>
                            </w:r>
                          </w:p>
                          <w:p w14:paraId="167EA9A5" w14:textId="77777777" w:rsidR="006712E0" w:rsidRPr="00DB3080" w:rsidRDefault="001D48BA" w:rsidP="00047EF8">
                            <w:pPr>
                              <w:pStyle w:val="ListParagraph"/>
                              <w:numPr>
                                <w:ilvl w:val="0"/>
                                <w:numId w:val="81"/>
                              </w:numPr>
                              <w:spacing w:after="0" w:line="240" w:lineRule="auto"/>
                              <w:rPr>
                                <w:rFonts w:ascii="Arial Narrow" w:hAnsi="Arial Narrow"/>
                                <w:b/>
                                <w:color w:val="92D050"/>
                              </w:rPr>
                            </w:pPr>
                            <w:hyperlink r:id="rId69" w:history="1">
                              <w:r w:rsidR="006712E0" w:rsidRPr="00DB3080">
                                <w:rPr>
                                  <w:rStyle w:val="Hyperlink"/>
                                  <w:rFonts w:ascii="Arial Narrow" w:hAnsi="Arial Narrow"/>
                                  <w:color w:val="92D050"/>
                                </w:rPr>
                                <w:t>Strateg</w:t>
                              </w:r>
                              <w:r w:rsidR="006712E0">
                                <w:rPr>
                                  <w:rStyle w:val="Hyperlink"/>
                                  <w:rFonts w:ascii="Arial Narrow" w:hAnsi="Arial Narrow"/>
                                  <w:color w:val="92D050"/>
                                </w:rPr>
                                <w:t>ija razvoja transporta</w:t>
                              </w:r>
                              <w:r w:rsidR="006712E0" w:rsidRPr="00DB3080">
                                <w:rPr>
                                  <w:rStyle w:val="Hyperlink"/>
                                  <w:rFonts w:ascii="Arial Narrow" w:hAnsi="Arial Narrow"/>
                                  <w:color w:val="92D050"/>
                                </w:rPr>
                                <w:t xml:space="preserve"> 2019-2035.</w:t>
                              </w:r>
                            </w:hyperlink>
                            <w:r w:rsidR="006712E0" w:rsidRPr="00DB3080">
                              <w:rPr>
                                <w:rFonts w:ascii="Arial Narrow" w:hAnsi="Arial Narrow"/>
                                <w:b/>
                                <w:color w:val="92D050"/>
                              </w:rPr>
                              <w:t xml:space="preserve"> </w:t>
                            </w:r>
                          </w:p>
                          <w:p w14:paraId="143EDC63" w14:textId="77777777" w:rsidR="006712E0" w:rsidRPr="00DB3080" w:rsidRDefault="006712E0" w:rsidP="00047EF8">
                            <w:pPr>
                              <w:pStyle w:val="ListParagraph"/>
                              <w:numPr>
                                <w:ilvl w:val="0"/>
                                <w:numId w:val="81"/>
                              </w:numPr>
                              <w:spacing w:after="0" w:line="240" w:lineRule="auto"/>
                              <w:rPr>
                                <w:rFonts w:ascii="Arial Narrow" w:hAnsi="Arial Narrow"/>
                                <w:b/>
                                <w:color w:val="92D050"/>
                              </w:rPr>
                            </w:pPr>
                            <w:r>
                              <w:rPr>
                                <w:rFonts w:ascii="Arial Narrow" w:hAnsi="Arial Narrow"/>
                                <w:b/>
                                <w:color w:val="92D050"/>
                              </w:rPr>
                              <w:t>Strategija razvoja pomorstva za period od 2020. do 2030. godine</w:t>
                            </w:r>
                            <w:r w:rsidRPr="00DB3080">
                              <w:rPr>
                                <w:rFonts w:ascii="Arial Narrow" w:hAnsi="Arial Narrow"/>
                                <w:b/>
                                <w:color w:val="92D050"/>
                              </w:rPr>
                              <w:t xml:space="preserve"> </w:t>
                            </w:r>
                          </w:p>
                          <w:p w14:paraId="4A997358" w14:textId="77777777" w:rsidR="006712E0" w:rsidRPr="00DB3080" w:rsidRDefault="006712E0" w:rsidP="00047EF8">
                            <w:pPr>
                              <w:pStyle w:val="ListParagraph"/>
                              <w:numPr>
                                <w:ilvl w:val="0"/>
                                <w:numId w:val="81"/>
                              </w:numPr>
                              <w:spacing w:after="0" w:line="240" w:lineRule="auto"/>
                              <w:rPr>
                                <w:rFonts w:ascii="Arial Narrow" w:hAnsi="Arial Narrow"/>
                                <w:b/>
                                <w:color w:val="92D050"/>
                              </w:rPr>
                            </w:pPr>
                            <w:r>
                              <w:rPr>
                                <w:rFonts w:ascii="Arial Narrow" w:hAnsi="Arial Narrow"/>
                                <w:b/>
                                <w:color w:val="92D050"/>
                              </w:rPr>
                              <w:t>Strategija razvoja energetike Crne Gore</w:t>
                            </w:r>
                            <w:r w:rsidRPr="00DB3080">
                              <w:rPr>
                                <w:rFonts w:ascii="Arial Narrow" w:hAnsi="Arial Narrow"/>
                                <w:b/>
                                <w:color w:val="92D050"/>
                              </w:rPr>
                              <w:t xml:space="preserve"> 2014-2030</w:t>
                            </w:r>
                            <w:r>
                              <w:rPr>
                                <w:rFonts w:ascii="Arial Narrow" w:hAnsi="Arial Narrow"/>
                                <w:b/>
                                <w:color w:val="92D050"/>
                              </w:rPr>
                              <w:t xml:space="preserve">. </w:t>
                            </w:r>
                          </w:p>
                          <w:p w14:paraId="7BEAC557" w14:textId="77777777" w:rsidR="006712E0" w:rsidRPr="001C6D17" w:rsidRDefault="006712E0" w:rsidP="00047EF8">
                            <w:pPr>
                              <w:rPr>
                                <w:rFonts w:ascii="Arial Narrow" w:hAnsi="Arial Narrow"/>
                                <w:b/>
                                <w:color w:val="92D050"/>
                              </w:rPr>
                            </w:pPr>
                          </w:p>
                          <w:p w14:paraId="78A19AA8" w14:textId="77777777" w:rsidR="006712E0" w:rsidRPr="001C6D17" w:rsidRDefault="006712E0" w:rsidP="00047EF8">
                            <w:pPr>
                              <w:rPr>
                                <w:rFonts w:ascii="Arial Narrow" w:hAnsi="Arial Narrow"/>
                                <w:b/>
                                <w:color w:val="92D050"/>
                              </w:rPr>
                            </w:pPr>
                          </w:p>
                          <w:p w14:paraId="6AB70934" w14:textId="77777777" w:rsidR="006712E0" w:rsidRPr="001C6D17" w:rsidRDefault="006712E0" w:rsidP="00047EF8">
                            <w:pPr>
                              <w:rPr>
                                <w:rFonts w:ascii="Arial Narrow" w:hAnsi="Arial Narrow"/>
                                <w:b/>
                                <w:color w:val="92D050"/>
                              </w:rPr>
                            </w:pPr>
                            <w:r w:rsidRPr="001C6D17">
                              <w:rPr>
                                <w:rFonts w:ascii="Arial Narrow" w:hAnsi="Arial Narrow"/>
                                <w:b/>
                                <w:color w:val="92D050"/>
                              </w:rPr>
                              <w:t>Strategija razvoja pomorske privrede 2020-2030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5F828" id="Rounded Rectangle 143" o:spid="_x0000_s1113" style="position:absolute;left:0;text-align:left;margin-left:0;margin-top:277.35pt;width:547.5pt;height:93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" fillcolor="window" strokecolor="#92d050" strokeweight="1pt">
                <v:stroke joinstyle="miter"/>
                <v:path arrowok="t"/>
                <v:textbox>
                  <w:txbxContent>
                    <w:p w14:paraId="77A97CB8" w14:textId="77777777" w:rsidR="006712E0" w:rsidRPr="00DB3080" w:rsidRDefault="006712E0" w:rsidP="00047EF8">
                      <w:pPr>
                        <w:spacing w:after="0"/>
                        <w:jc w:val="center"/>
                        <w:rPr>
                          <w:rFonts w:ascii="Arial Narrow" w:hAnsi="Arial Narrow"/>
                          <w:b/>
                          <w:color w:val="92D050"/>
                          <w:sz w:val="24"/>
                          <w:szCs w:val="24"/>
                        </w:rPr>
                      </w:pPr>
                      <w:r>
                        <w:rPr>
                          <w:rFonts w:ascii="Arial Narrow" w:hAnsi="Arial Narrow"/>
                          <w:b/>
                          <w:color w:val="92D050"/>
                          <w:sz w:val="24"/>
                          <w:szCs w:val="24"/>
                        </w:rPr>
                        <w:t>SEKTORSKE STRATEGIJE</w:t>
                      </w:r>
                      <w:r w:rsidRPr="00DB3080">
                        <w:rPr>
                          <w:rFonts w:ascii="Arial Narrow" w:hAnsi="Arial Narrow"/>
                          <w:b/>
                          <w:color w:val="92D050"/>
                          <w:sz w:val="24"/>
                          <w:szCs w:val="24"/>
                        </w:rPr>
                        <w:t>:</w:t>
                      </w:r>
                    </w:p>
                    <w:p w14:paraId="3C229A1A" w14:textId="77777777" w:rsidR="006712E0" w:rsidRPr="00DB3080" w:rsidRDefault="006712E0" w:rsidP="00047EF8">
                      <w:pPr>
                        <w:pStyle w:val="ListParagraph"/>
                        <w:numPr>
                          <w:ilvl w:val="0"/>
                          <w:numId w:val="81"/>
                        </w:numPr>
                        <w:spacing w:after="0" w:line="240" w:lineRule="auto"/>
                        <w:jc w:val="both"/>
                        <w:rPr>
                          <w:rFonts w:ascii="Arial Narrow" w:hAnsi="Arial Narrow"/>
                          <w:b/>
                          <w:color w:val="92D050"/>
                        </w:rPr>
                      </w:pPr>
                      <w:r>
                        <w:rPr>
                          <w:rStyle w:val="Hyperlink"/>
                          <w:rFonts w:ascii="Arial Narrow" w:hAnsi="Arial Narrow"/>
                          <w:color w:val="92D050"/>
                        </w:rPr>
                        <w:t xml:space="preserve">Strategija za razvoj </w:t>
                      </w:r>
                      <w:r>
                        <w:rPr>
                          <w:rStyle w:val="Hyperlink"/>
                          <w:rFonts w:ascii="Times New Roman" w:hAnsi="Times New Roman"/>
                          <w:color w:val="92D050"/>
                        </w:rPr>
                        <w:t>ž</w:t>
                      </w:r>
                      <w:r>
                        <w:rPr>
                          <w:rStyle w:val="Hyperlink"/>
                          <w:rFonts w:ascii="Arial Narrow" w:hAnsi="Arial Narrow"/>
                          <w:color w:val="92D050"/>
                        </w:rPr>
                        <w:t>eljeznice</w:t>
                      </w:r>
                      <w:r w:rsidRPr="00DB3080">
                        <w:rPr>
                          <w:rStyle w:val="Hyperlink"/>
                          <w:rFonts w:ascii="Arial Narrow" w:hAnsi="Arial Narrow"/>
                          <w:color w:val="92D050"/>
                        </w:rPr>
                        <w:t xml:space="preserve"> 2017-2027</w:t>
                      </w:r>
                      <w:r>
                        <w:rPr>
                          <w:rStyle w:val="Hyperlink"/>
                          <w:rFonts w:ascii="Arial Narrow" w:hAnsi="Arial Narrow"/>
                          <w:color w:val="92D050"/>
                        </w:rPr>
                        <w:t>.</w:t>
                      </w:r>
                    </w:p>
                    <w:p w14:paraId="167EA9A5" w14:textId="77777777" w:rsidR="006712E0" w:rsidRPr="00DB3080" w:rsidRDefault="006712E0" w:rsidP="00047EF8">
                      <w:pPr>
                        <w:pStyle w:val="ListParagraph"/>
                        <w:numPr>
                          <w:ilvl w:val="0"/>
                          <w:numId w:val="81"/>
                        </w:numPr>
                        <w:spacing w:after="0" w:line="240" w:lineRule="auto"/>
                        <w:rPr>
                          <w:rFonts w:ascii="Arial Narrow" w:hAnsi="Arial Narrow"/>
                          <w:b/>
                          <w:color w:val="92D050"/>
                        </w:rPr>
                      </w:pPr>
                      <w:hyperlink r:id="rId70" w:history="1">
                        <w:r w:rsidRPr="00DB3080">
                          <w:rPr>
                            <w:rStyle w:val="Hyperlink"/>
                            <w:rFonts w:ascii="Arial Narrow" w:hAnsi="Arial Narrow"/>
                            <w:color w:val="92D050"/>
                          </w:rPr>
                          <w:t>Strateg</w:t>
                        </w:r>
                        <w:r>
                          <w:rPr>
                            <w:rStyle w:val="Hyperlink"/>
                            <w:rFonts w:ascii="Arial Narrow" w:hAnsi="Arial Narrow"/>
                            <w:color w:val="92D050"/>
                          </w:rPr>
                          <w:t>ija razvoja transporta</w:t>
                        </w:r>
                        <w:r w:rsidRPr="00DB3080">
                          <w:rPr>
                            <w:rStyle w:val="Hyperlink"/>
                            <w:rFonts w:ascii="Arial Narrow" w:hAnsi="Arial Narrow"/>
                            <w:color w:val="92D050"/>
                          </w:rPr>
                          <w:t xml:space="preserve"> 2019-2035.</w:t>
                        </w:r>
                      </w:hyperlink>
                      <w:r w:rsidRPr="00DB3080">
                        <w:rPr>
                          <w:rFonts w:ascii="Arial Narrow" w:hAnsi="Arial Narrow"/>
                          <w:b/>
                          <w:color w:val="92D050"/>
                        </w:rPr>
                        <w:t xml:space="preserve"> </w:t>
                      </w:r>
                    </w:p>
                    <w:p w14:paraId="143EDC63" w14:textId="77777777" w:rsidR="006712E0" w:rsidRPr="00DB3080" w:rsidRDefault="006712E0" w:rsidP="00047EF8">
                      <w:pPr>
                        <w:pStyle w:val="ListParagraph"/>
                        <w:numPr>
                          <w:ilvl w:val="0"/>
                          <w:numId w:val="81"/>
                        </w:numPr>
                        <w:spacing w:after="0" w:line="240" w:lineRule="auto"/>
                        <w:rPr>
                          <w:rFonts w:ascii="Arial Narrow" w:hAnsi="Arial Narrow"/>
                          <w:b/>
                          <w:color w:val="92D050"/>
                        </w:rPr>
                      </w:pPr>
                      <w:r>
                        <w:rPr>
                          <w:rFonts w:ascii="Arial Narrow" w:hAnsi="Arial Narrow"/>
                          <w:b/>
                          <w:color w:val="92D050"/>
                        </w:rPr>
                        <w:t>Strategija razvoja pomorstva za period od 2020. do 2030. godine</w:t>
                      </w:r>
                      <w:r w:rsidRPr="00DB3080">
                        <w:rPr>
                          <w:rFonts w:ascii="Arial Narrow" w:hAnsi="Arial Narrow"/>
                          <w:b/>
                          <w:color w:val="92D050"/>
                        </w:rPr>
                        <w:t xml:space="preserve"> </w:t>
                      </w:r>
                    </w:p>
                    <w:p w14:paraId="4A997358" w14:textId="77777777" w:rsidR="006712E0" w:rsidRPr="00DB3080" w:rsidRDefault="006712E0" w:rsidP="00047EF8">
                      <w:pPr>
                        <w:pStyle w:val="ListParagraph"/>
                        <w:numPr>
                          <w:ilvl w:val="0"/>
                          <w:numId w:val="81"/>
                        </w:numPr>
                        <w:spacing w:after="0" w:line="240" w:lineRule="auto"/>
                        <w:rPr>
                          <w:rFonts w:ascii="Arial Narrow" w:hAnsi="Arial Narrow"/>
                          <w:b/>
                          <w:color w:val="92D050"/>
                        </w:rPr>
                      </w:pPr>
                      <w:r>
                        <w:rPr>
                          <w:rFonts w:ascii="Arial Narrow" w:hAnsi="Arial Narrow"/>
                          <w:b/>
                          <w:color w:val="92D050"/>
                        </w:rPr>
                        <w:t>Strategija razvoja energetike Crne Gore</w:t>
                      </w:r>
                      <w:r w:rsidRPr="00DB3080">
                        <w:rPr>
                          <w:rFonts w:ascii="Arial Narrow" w:hAnsi="Arial Narrow"/>
                          <w:b/>
                          <w:color w:val="92D050"/>
                        </w:rPr>
                        <w:t xml:space="preserve"> 2014-2030</w:t>
                      </w:r>
                      <w:r>
                        <w:rPr>
                          <w:rFonts w:ascii="Arial Narrow" w:hAnsi="Arial Narrow"/>
                          <w:b/>
                          <w:color w:val="92D050"/>
                        </w:rPr>
                        <w:t xml:space="preserve">. </w:t>
                      </w:r>
                    </w:p>
                    <w:p w14:paraId="7BEAC557" w14:textId="77777777" w:rsidR="006712E0" w:rsidRPr="001C6D17" w:rsidRDefault="006712E0" w:rsidP="00047EF8">
                      <w:pPr>
                        <w:rPr>
                          <w:rFonts w:ascii="Arial Narrow" w:hAnsi="Arial Narrow"/>
                          <w:b/>
                          <w:color w:val="92D050"/>
                        </w:rPr>
                      </w:pPr>
                    </w:p>
                    <w:p w14:paraId="78A19AA8" w14:textId="77777777" w:rsidR="006712E0" w:rsidRPr="001C6D17" w:rsidRDefault="006712E0" w:rsidP="00047EF8">
                      <w:pPr>
                        <w:rPr>
                          <w:rFonts w:ascii="Arial Narrow" w:hAnsi="Arial Narrow"/>
                          <w:b/>
                          <w:color w:val="92D050"/>
                        </w:rPr>
                      </w:pPr>
                    </w:p>
                    <w:p w14:paraId="6AB70934" w14:textId="77777777" w:rsidR="006712E0" w:rsidRPr="001C6D17" w:rsidRDefault="006712E0" w:rsidP="00047EF8">
                      <w:pPr>
                        <w:rPr>
                          <w:rFonts w:ascii="Arial Narrow" w:hAnsi="Arial Narrow"/>
                          <w:b/>
                          <w:color w:val="92D050"/>
                        </w:rPr>
                      </w:pPr>
                      <w:r w:rsidRPr="001C6D17">
                        <w:rPr>
                          <w:rFonts w:ascii="Arial Narrow" w:hAnsi="Arial Narrow"/>
                          <w:b/>
                          <w:color w:val="92D050"/>
                        </w:rPr>
                        <w:t>Strategija razvoja pomorske privrede 2020-2030</w:t>
                      </w:r>
                    </w:p>
                  </w:txbxContent>
                </v:textbox>
                <w10:wrap anchorx="margin"/>
              </v:roundrect>
            </w:pict>
          </mc:Fallback>
        </mc:AlternateContent>
      </w:r>
      <w:r w:rsidRPr="00F563CD">
        <w:rPr>
          <w:rFonts w:asciiTheme="minorHAnsi" w:hAnsiTheme="minorHAnsi" w:cs="Arial"/>
          <w:noProof/>
          <w:color w:val="FFFFFF" w:themeColor="background1"/>
          <w:sz w:val="28"/>
          <w:szCs w:val="28"/>
          <w:u w:color="FFFFFF" w:themeColor="background1"/>
          <w:lang w:val="en-US" w:eastAsia="en-US"/>
        </w:rPr>
        <mc:AlternateContent>
          <mc:Choice Requires="wps">
            <w:drawing>
              <wp:anchor distT="0" distB="0" distL="114300" distR="114300" simplePos="0" relativeHeight="251685888" behindDoc="0" locked="0" layoutInCell="1" allowOverlap="1" wp14:anchorId="5A3DFBC2" wp14:editId="0B46A8D8">
                <wp:simplePos x="0" y="0"/>
                <wp:positionH relativeFrom="margin">
                  <wp:align>center</wp:align>
                </wp:positionH>
                <wp:positionV relativeFrom="paragraph">
                  <wp:posOffset>2941320</wp:posOffset>
                </wp:positionV>
                <wp:extent cx="7115175" cy="381000"/>
                <wp:effectExtent l="0" t="0" r="9525" b="0"/>
                <wp:wrapNone/>
                <wp:docPr id="142" name="Rounded 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5175" cy="381000"/>
                        </a:xfrm>
                        <a:prstGeom prst="roundRect">
                          <a:avLst/>
                        </a:prstGeom>
                        <a:solidFill>
                          <a:srgbClr val="92D050"/>
                        </a:solidFill>
                        <a:ln w="12700" cap="flat" cmpd="sng" algn="ctr">
                          <a:solidFill>
                            <a:srgbClr val="5B9BD5">
                              <a:shade val="50000"/>
                            </a:srgbClr>
                          </a:solidFill>
                          <a:prstDash val="solid"/>
                          <a:miter lim="800000"/>
                        </a:ln>
                        <a:effectLst/>
                      </wps:spPr>
                      <wps:txbx>
                        <w:txbxContent>
                          <w:p w14:paraId="2694A300" w14:textId="77777777" w:rsidR="006712E0" w:rsidRPr="002B0FB7" w:rsidRDefault="006712E0" w:rsidP="00047EF8">
                            <w:pPr>
                              <w:jc w:val="center"/>
                              <w:rPr>
                                <w:rFonts w:ascii="Arial" w:hAnsi="Arial" w:cs="Arial"/>
                                <w:b/>
                                <w:sz w:val="28"/>
                                <w:szCs w:val="28"/>
                              </w:rPr>
                            </w:pPr>
                            <w:r>
                              <w:rPr>
                                <w:rFonts w:ascii="Arial" w:hAnsi="Arial" w:cs="Arial"/>
                                <w:b/>
                                <w:sz w:val="28"/>
                                <w:szCs w:val="28"/>
                              </w:rPr>
                              <w:t>MINISTARSTVO KAPITALNIH INVESTICIJA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3DFBC2" id="Rounded Rectangle 142" o:spid="_x0000_s1114" style="position:absolute;left:0;text-align:left;margin-left:0;margin-top:231.6pt;width:560.25pt;height:30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" fillcolor="#92d050" strokecolor="#41719c" strokeweight="1pt">
                <v:stroke joinstyle="miter"/>
                <v:path arrowok="t"/>
                <v:textbox>
                  <w:txbxContent>
                    <w:p w14:paraId="2694A300" w14:textId="77777777" w:rsidR="006712E0" w:rsidRPr="002B0FB7" w:rsidRDefault="006712E0" w:rsidP="00047EF8">
                      <w:pPr>
                        <w:jc w:val="center"/>
                        <w:rPr>
                          <w:rFonts w:ascii="Arial" w:hAnsi="Arial" w:cs="Arial"/>
                          <w:b/>
                          <w:sz w:val="28"/>
                          <w:szCs w:val="28"/>
                        </w:rPr>
                      </w:pPr>
                      <w:r>
                        <w:rPr>
                          <w:rFonts w:ascii="Arial" w:hAnsi="Arial" w:cs="Arial"/>
                          <w:b/>
                          <w:sz w:val="28"/>
                          <w:szCs w:val="28"/>
                        </w:rPr>
                        <w:t>MINISTARSTVO KAPITALNIH INVESTICIJA</w:t>
                      </w: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18656" behindDoc="0" locked="0" layoutInCell="1" allowOverlap="1" wp14:anchorId="16F02A87" wp14:editId="7332E586">
                <wp:simplePos x="0" y="0"/>
                <wp:positionH relativeFrom="margin">
                  <wp:align>center</wp:align>
                </wp:positionH>
                <wp:positionV relativeFrom="paragraph">
                  <wp:posOffset>1579245</wp:posOffset>
                </wp:positionV>
                <wp:extent cx="7143750" cy="676275"/>
                <wp:effectExtent l="0" t="0" r="0" b="9525"/>
                <wp:wrapNone/>
                <wp:docPr id="23518" name="Rounded Rectangle 23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0" cy="6762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797AEC66" w14:textId="77777777" w:rsidR="006712E0" w:rsidRPr="00AE6231" w:rsidRDefault="006712E0" w:rsidP="00047EF8">
                            <w:pPr>
                              <w:spacing w:after="120"/>
                              <w:jc w:val="center"/>
                              <w:rPr>
                                <w:rFonts w:ascii="Arial Narrow" w:hAnsi="Arial Narrow"/>
                                <w:b/>
                                <w:color w:val="365F91" w:themeColor="accent1" w:themeShade="BF"/>
                                <w:sz w:val="24"/>
                                <w:szCs w:val="24"/>
                              </w:rPr>
                            </w:pPr>
                            <w:r>
                              <w:rPr>
                                <w:rFonts w:ascii="Arial Narrow" w:hAnsi="Arial Narrow"/>
                                <w:b/>
                                <w:color w:val="365F91" w:themeColor="accent1" w:themeShade="BF"/>
                                <w:sz w:val="24"/>
                                <w:szCs w:val="24"/>
                              </w:rPr>
                              <w:t>SMJERNICE I OSTALA PLANSKA DOKUMENTA RELEVANTNA ZA IMPLEMENTACIJU POLITIKE</w:t>
                            </w:r>
                            <w:r w:rsidRPr="00AE6231">
                              <w:rPr>
                                <w:rFonts w:ascii="Arial Narrow" w:hAnsi="Arial Narrow"/>
                                <w:b/>
                                <w:color w:val="365F91" w:themeColor="accent1" w:themeShade="BF"/>
                                <w:sz w:val="24"/>
                                <w:szCs w:val="24"/>
                              </w:rPr>
                              <w:t>:</w:t>
                            </w:r>
                          </w:p>
                          <w:p w14:paraId="7BCBF06C" w14:textId="77777777" w:rsidR="006712E0" w:rsidRPr="00AE6231" w:rsidRDefault="006712E0" w:rsidP="00047EF8">
                            <w:pPr>
                              <w:spacing w:after="0"/>
                              <w:rPr>
                                <w:rFonts w:ascii="Arial Narrow" w:hAnsi="Arial Narrow"/>
                                <w:b/>
                                <w:color w:val="365F91" w:themeColor="accent1" w:themeShade="BF"/>
                              </w:rPr>
                            </w:pPr>
                            <w:r>
                              <w:rPr>
                                <w:rStyle w:val="Hyperlink"/>
                                <w:rFonts w:ascii="Arial Narrow" w:hAnsi="Arial Narrow"/>
                                <w:color w:val="365F91" w:themeColor="accent1" w:themeShade="BF"/>
                              </w:rPr>
                              <w:t>Program zvani</w:t>
                            </w:r>
                            <w:r>
                              <w:rPr>
                                <w:rStyle w:val="Hyperlink"/>
                                <w:rFonts w:ascii="Times New Roman" w:hAnsi="Times New Roman"/>
                                <w:color w:val="365F91" w:themeColor="accent1" w:themeShade="BF"/>
                              </w:rPr>
                              <w:t>č</w:t>
                            </w:r>
                            <w:r>
                              <w:rPr>
                                <w:rStyle w:val="Hyperlink"/>
                                <w:rFonts w:ascii="Arial Narrow" w:hAnsi="Arial Narrow"/>
                                <w:color w:val="365F91" w:themeColor="accent1" w:themeShade="BF"/>
                              </w:rPr>
                              <w:t xml:space="preserve">ne statistike </w:t>
                            </w:r>
                            <w:r w:rsidRPr="00AE6231">
                              <w:rPr>
                                <w:rStyle w:val="Hyperlink"/>
                                <w:rFonts w:ascii="Arial Narrow" w:hAnsi="Arial Narrow"/>
                                <w:color w:val="365F91" w:themeColor="accent1" w:themeShade="BF"/>
                              </w:rPr>
                              <w:t>2019-2023.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F02A87" id="Rounded Rectangle 23518" o:spid="_x0000_s1115" style="position:absolute;left:0;text-align:left;margin-left:0;margin-top:124.35pt;width:562.5pt;height:53.2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" fillcolor="window" strokecolor="#41719c" strokeweight="1pt">
                <v:stroke joinstyle="miter"/>
                <v:path arrowok="t"/>
                <v:textbox>
                  <w:txbxContent>
                    <w:p w14:paraId="797AEC66" w14:textId="77777777" w:rsidR="006712E0" w:rsidRPr="00AE6231" w:rsidRDefault="006712E0" w:rsidP="00047EF8">
                      <w:pPr>
                        <w:spacing w:after="120"/>
                        <w:jc w:val="center"/>
                        <w:rPr>
                          <w:rFonts w:ascii="Arial Narrow" w:hAnsi="Arial Narrow"/>
                          <w:b/>
                          <w:color w:val="365F91" w:themeColor="accent1" w:themeShade="BF"/>
                          <w:sz w:val="24"/>
                          <w:szCs w:val="24"/>
                        </w:rPr>
                      </w:pPr>
                      <w:r>
                        <w:rPr>
                          <w:rFonts w:ascii="Arial Narrow" w:hAnsi="Arial Narrow"/>
                          <w:b/>
                          <w:color w:val="365F91" w:themeColor="accent1" w:themeShade="BF"/>
                          <w:sz w:val="24"/>
                          <w:szCs w:val="24"/>
                        </w:rPr>
                        <w:t>SMJERNICE I OSTALA PLANSKA DOKUMENTA RELEVANTNA ZA IMPLEMENTACIJU POLITIKE</w:t>
                      </w:r>
                      <w:r w:rsidRPr="00AE6231">
                        <w:rPr>
                          <w:rFonts w:ascii="Arial Narrow" w:hAnsi="Arial Narrow"/>
                          <w:b/>
                          <w:color w:val="365F91" w:themeColor="accent1" w:themeShade="BF"/>
                          <w:sz w:val="24"/>
                          <w:szCs w:val="24"/>
                        </w:rPr>
                        <w:t>:</w:t>
                      </w:r>
                    </w:p>
                    <w:p w14:paraId="7BCBF06C" w14:textId="77777777" w:rsidR="006712E0" w:rsidRPr="00AE6231" w:rsidRDefault="006712E0" w:rsidP="00047EF8">
                      <w:pPr>
                        <w:spacing w:after="0"/>
                        <w:rPr>
                          <w:rFonts w:ascii="Arial Narrow" w:hAnsi="Arial Narrow"/>
                          <w:b/>
                          <w:color w:val="365F91" w:themeColor="accent1" w:themeShade="BF"/>
                        </w:rPr>
                      </w:pPr>
                      <w:r>
                        <w:rPr>
                          <w:rStyle w:val="Hyperlink"/>
                          <w:rFonts w:ascii="Arial Narrow" w:hAnsi="Arial Narrow"/>
                          <w:color w:val="365F91" w:themeColor="accent1" w:themeShade="BF"/>
                        </w:rPr>
                        <w:t>Program zvani</w:t>
                      </w:r>
                      <w:r>
                        <w:rPr>
                          <w:rStyle w:val="Hyperlink"/>
                          <w:rFonts w:ascii="Times New Roman" w:hAnsi="Times New Roman"/>
                          <w:color w:val="365F91" w:themeColor="accent1" w:themeShade="BF"/>
                        </w:rPr>
                        <w:t>č</w:t>
                      </w:r>
                      <w:r>
                        <w:rPr>
                          <w:rStyle w:val="Hyperlink"/>
                          <w:rFonts w:ascii="Arial Narrow" w:hAnsi="Arial Narrow"/>
                          <w:color w:val="365F91" w:themeColor="accent1" w:themeShade="BF"/>
                        </w:rPr>
                        <w:t xml:space="preserve">ne statistike </w:t>
                      </w:r>
                      <w:r w:rsidRPr="00AE6231">
                        <w:rPr>
                          <w:rStyle w:val="Hyperlink"/>
                          <w:rFonts w:ascii="Arial Narrow" w:hAnsi="Arial Narrow"/>
                          <w:color w:val="365F91" w:themeColor="accent1" w:themeShade="BF"/>
                        </w:rPr>
                        <w:t>2019-2023.</w:t>
                      </w: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70528" behindDoc="0" locked="0" layoutInCell="1" allowOverlap="1" wp14:anchorId="169C49D9" wp14:editId="51C427B5">
                <wp:simplePos x="0" y="0"/>
                <wp:positionH relativeFrom="page">
                  <wp:posOffset>1304925</wp:posOffset>
                </wp:positionH>
                <wp:positionV relativeFrom="paragraph">
                  <wp:posOffset>2474595</wp:posOffset>
                </wp:positionV>
                <wp:extent cx="5991225" cy="352425"/>
                <wp:effectExtent l="0" t="0" r="0" b="0"/>
                <wp:wrapNone/>
                <wp:docPr id="23519" name="Text Box 23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352425"/>
                        </a:xfrm>
                        <a:prstGeom prst="rect">
                          <a:avLst/>
                        </a:prstGeom>
                        <a:solidFill>
                          <a:sysClr val="window" lastClr="FFFFFF"/>
                        </a:solidFill>
                        <a:ln w="6350">
                          <a:noFill/>
                        </a:ln>
                      </wps:spPr>
                      <wps:txbx>
                        <w:txbxContent>
                          <w:p w14:paraId="1EB04A0A" w14:textId="77777777" w:rsidR="006712E0" w:rsidRPr="004D3A94" w:rsidRDefault="006712E0" w:rsidP="00047EF8">
                            <w:pPr>
                              <w:pStyle w:val="Header"/>
                              <w:jc w:val="right"/>
                              <w:rPr>
                                <w:b/>
                                <w:color w:val="92D050"/>
                                <w:spacing w:val="-20"/>
                                <w:sz w:val="30"/>
                                <w:szCs w:val="30"/>
                              </w:rPr>
                            </w:pPr>
                            <w:r>
                              <w:rPr>
                                <w:b/>
                                <w:color w:val="92D050"/>
                                <w:spacing w:val="-20"/>
                                <w:sz w:val="30"/>
                                <w:szCs w:val="30"/>
                              </w:rPr>
                              <w:t>SAOBRAĆAJNA, ENERGETSKA I INFORMACIONA INFRASTRUKTURA</w:t>
                            </w:r>
                          </w:p>
                          <w:p w14:paraId="6C151747" w14:textId="77777777" w:rsidR="006712E0" w:rsidRDefault="006712E0" w:rsidP="00047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C49D9" id="Text Box 23519" o:spid="_x0000_s1116" type="#_x0000_t202" style="position:absolute;left:0;text-align:left;margin-left:102.75pt;margin-top:194.85pt;width:471.75pt;height:27.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" fillcolor="window" stroked="f" strokeweight=".5pt">
                <v:path arrowok="t"/>
                <v:textbox>
                  <w:txbxContent>
                    <w:p w14:paraId="1EB04A0A" w14:textId="77777777" w:rsidR="006712E0" w:rsidRPr="004D3A94" w:rsidRDefault="006712E0" w:rsidP="00047EF8">
                      <w:pPr>
                        <w:pStyle w:val="Header"/>
                        <w:jc w:val="right"/>
                        <w:rPr>
                          <w:b/>
                          <w:color w:val="92D050"/>
                          <w:spacing w:val="-20"/>
                          <w:sz w:val="30"/>
                          <w:szCs w:val="30"/>
                        </w:rPr>
                      </w:pPr>
                      <w:r>
                        <w:rPr>
                          <w:b/>
                          <w:color w:val="92D050"/>
                          <w:spacing w:val="-20"/>
                          <w:sz w:val="30"/>
                          <w:szCs w:val="30"/>
                        </w:rPr>
                        <w:t>SAOBRAĆAJNA, ENERGETSKA I INFORMACIONA INFRASTRUKTURA</w:t>
                      </w:r>
                    </w:p>
                    <w:p w14:paraId="6C151747" w14:textId="77777777" w:rsidR="006712E0" w:rsidRDefault="006712E0" w:rsidP="00047EF8"/>
                  </w:txbxContent>
                </v:textbox>
                <w10:wrap anchorx="page"/>
              </v:shape>
            </w:pict>
          </mc:Fallback>
        </mc:AlternateContent>
      </w:r>
      <w:r w:rsidR="00864F83" w:rsidRPr="00F563CD">
        <w:rPr>
          <w:rFonts w:asciiTheme="minorHAnsi" w:hAnsiTheme="minorHAnsi"/>
          <w:color w:val="FFFFFF" w:themeColor="background1"/>
          <w:sz w:val="24"/>
          <w:szCs w:val="24"/>
          <w:u w:color="FFFFFF" w:themeColor="background1"/>
        </w:rPr>
        <w:br w:type="page"/>
      </w:r>
    </w:p>
    <w:p w14:paraId="5526A178" w14:textId="1B965E07"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noProof/>
          <w:color w:val="FFFFFF" w:themeColor="background1"/>
          <w:sz w:val="24"/>
          <w:szCs w:val="24"/>
          <w:u w:color="FFFFFF" w:themeColor="background1"/>
          <w:lang w:val="en-US" w:eastAsia="en-US"/>
        </w:rPr>
        <w:lastRenderedPageBreak/>
        <mc:AlternateContent>
          <mc:Choice Requires="wps">
            <w:drawing>
              <wp:anchor distT="0" distB="0" distL="114300" distR="114300" simplePos="0" relativeHeight="251671552" behindDoc="0" locked="0" layoutInCell="1" allowOverlap="1" wp14:anchorId="04C9C448" wp14:editId="4AA0F2FB">
                <wp:simplePos x="0" y="0"/>
                <wp:positionH relativeFrom="column">
                  <wp:posOffset>657225</wp:posOffset>
                </wp:positionH>
                <wp:positionV relativeFrom="paragraph">
                  <wp:posOffset>-447675</wp:posOffset>
                </wp:positionV>
                <wp:extent cx="5534025" cy="327660"/>
                <wp:effectExtent l="0" t="0" r="0" b="0"/>
                <wp:wrapNone/>
                <wp:docPr id="23520" name="Text Box 23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327660"/>
                        </a:xfrm>
                        <a:prstGeom prst="rect">
                          <a:avLst/>
                        </a:prstGeom>
                        <a:solidFill>
                          <a:sysClr val="window" lastClr="FFFFFF"/>
                        </a:solidFill>
                        <a:ln w="6350">
                          <a:noFill/>
                        </a:ln>
                      </wps:spPr>
                      <wps:txbx>
                        <w:txbxContent>
                          <w:p w14:paraId="0CD5CAC4" w14:textId="77777777" w:rsidR="006712E0" w:rsidRPr="004D3A94" w:rsidRDefault="006712E0" w:rsidP="00047EF8">
                            <w:pPr>
                              <w:pStyle w:val="Header"/>
                              <w:jc w:val="right"/>
                              <w:rPr>
                                <w:b/>
                                <w:color w:val="8064A2" w:themeColor="accent4"/>
                                <w:spacing w:val="-20"/>
                                <w:sz w:val="30"/>
                                <w:szCs w:val="30"/>
                              </w:rPr>
                            </w:pPr>
                            <w:r>
                              <w:rPr>
                                <w:b/>
                                <w:color w:val="8064A2" w:themeColor="accent4"/>
                                <w:spacing w:val="-20"/>
                                <w:sz w:val="30"/>
                                <w:szCs w:val="30"/>
                              </w:rPr>
                              <w:t xml:space="preserve">EKONOMSKI RAZVOJ I ŽIVOTNA SREDINA </w:t>
                            </w:r>
                          </w:p>
                          <w:p w14:paraId="00D07AE7" w14:textId="77777777" w:rsidR="006712E0" w:rsidRDefault="006712E0" w:rsidP="00047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9C448" id="Text Box 23520" o:spid="_x0000_s1117" type="#_x0000_t202" style="position:absolute;left:0;text-align:left;margin-left:51.75pt;margin-top:-35.25pt;width:435.7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" fillcolor="window" stroked="f" strokeweight=".5pt">
                <v:path arrowok="t"/>
                <v:textbox>
                  <w:txbxContent>
                    <w:p w14:paraId="0CD5CAC4" w14:textId="77777777" w:rsidR="006712E0" w:rsidRPr="004D3A94" w:rsidRDefault="006712E0" w:rsidP="00047EF8">
                      <w:pPr>
                        <w:pStyle w:val="Header"/>
                        <w:jc w:val="right"/>
                        <w:rPr>
                          <w:b/>
                          <w:color w:val="8064A2" w:themeColor="accent4"/>
                          <w:spacing w:val="-20"/>
                          <w:sz w:val="30"/>
                          <w:szCs w:val="30"/>
                        </w:rPr>
                      </w:pPr>
                      <w:r>
                        <w:rPr>
                          <w:b/>
                          <w:color w:val="8064A2" w:themeColor="accent4"/>
                          <w:spacing w:val="-20"/>
                          <w:sz w:val="30"/>
                          <w:szCs w:val="30"/>
                        </w:rPr>
                        <w:t xml:space="preserve">EKONOMSKI RAZVOJ I ŽIVOTNA SREDINA </w:t>
                      </w:r>
                    </w:p>
                    <w:p w14:paraId="00D07AE7" w14:textId="77777777" w:rsidR="006712E0" w:rsidRDefault="006712E0" w:rsidP="00047EF8"/>
                  </w:txbxContent>
                </v:textbox>
              </v:shape>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87936" behindDoc="0" locked="0" layoutInCell="1" allowOverlap="1" wp14:anchorId="4B7BA558" wp14:editId="29DCC6E6">
                <wp:simplePos x="0" y="0"/>
                <wp:positionH relativeFrom="margin">
                  <wp:posOffset>-307340</wp:posOffset>
                </wp:positionH>
                <wp:positionV relativeFrom="paragraph">
                  <wp:posOffset>-100330</wp:posOffset>
                </wp:positionV>
                <wp:extent cx="6534150" cy="352425"/>
                <wp:effectExtent l="0" t="0" r="0" b="9525"/>
                <wp:wrapNone/>
                <wp:docPr id="23530" name="Rounded Rectangle 23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352425"/>
                        </a:xfrm>
                        <a:prstGeom prst="roundRect">
                          <a:avLst/>
                        </a:prstGeom>
                        <a:solidFill>
                          <a:srgbClr val="FFC000"/>
                        </a:solidFill>
                        <a:ln w="12700" cap="flat" cmpd="sng" algn="ctr">
                          <a:solidFill>
                            <a:srgbClr val="FFC000"/>
                          </a:solidFill>
                          <a:prstDash val="solid"/>
                          <a:miter lim="800000"/>
                        </a:ln>
                        <a:effectLst/>
                      </wps:spPr>
                      <wps:txbx>
                        <w:txbxContent>
                          <w:p w14:paraId="16727F9B" w14:textId="77777777" w:rsidR="006712E0" w:rsidRPr="00C54BE8" w:rsidRDefault="006712E0" w:rsidP="00047EF8">
                            <w:pPr>
                              <w:jc w:val="center"/>
                              <w:rPr>
                                <w:rFonts w:ascii="Arial" w:hAnsi="Arial" w:cs="Arial"/>
                                <w:b/>
                                <w:sz w:val="28"/>
                                <w:szCs w:val="28"/>
                              </w:rPr>
                            </w:pPr>
                            <w:r>
                              <w:rPr>
                                <w:rFonts w:ascii="Arial" w:hAnsi="Arial" w:cs="Arial"/>
                                <w:b/>
                                <w:sz w:val="28"/>
                                <w:szCs w:val="28"/>
                                <w:lang w:val="en-US"/>
                              </w:rPr>
                              <w:t>MINISTARSTVO EKOLOGIJE, PROSTORNOG PLANIRANJA I URBANIZMA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BA558" id="Rounded Rectangle 23530" o:spid="_x0000_s1118" style="position:absolute;left:0;text-align:left;margin-left:-24.2pt;margin-top:-7.9pt;width:514.5pt;height:2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" fillcolor="#ffc000" strokecolor="#ffc000" strokeweight="1pt">
                <v:stroke joinstyle="miter"/>
                <v:path arrowok="t"/>
                <v:textbox>
                  <w:txbxContent>
                    <w:p w14:paraId="16727F9B" w14:textId="77777777" w:rsidR="006712E0" w:rsidRPr="00C54BE8" w:rsidRDefault="006712E0" w:rsidP="00047EF8">
                      <w:pPr>
                        <w:jc w:val="center"/>
                        <w:rPr>
                          <w:rFonts w:ascii="Arial" w:hAnsi="Arial" w:cs="Arial"/>
                          <w:b/>
                          <w:sz w:val="28"/>
                          <w:szCs w:val="28"/>
                        </w:rPr>
                      </w:pPr>
                      <w:r>
                        <w:rPr>
                          <w:rFonts w:ascii="Arial" w:hAnsi="Arial" w:cs="Arial"/>
                          <w:b/>
                          <w:sz w:val="28"/>
                          <w:szCs w:val="28"/>
                          <w:lang w:val="en-US"/>
                        </w:rPr>
                        <w:t>MINISTARSTVO EKOLOGIJE, PROSTORNOG PLANIRANJA I URBANIZMA</w:t>
                      </w:r>
                    </w:p>
                  </w:txbxContent>
                </v:textbox>
                <w10:wrap anchorx="margin"/>
              </v:roundrect>
            </w:pict>
          </mc:Fallback>
        </mc:AlternateContent>
      </w:r>
    </w:p>
    <w:p w14:paraId="460D4E29" w14:textId="0332980F"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92032" behindDoc="0" locked="0" layoutInCell="1" allowOverlap="1" wp14:anchorId="6182FABB" wp14:editId="53DA927D">
                <wp:simplePos x="0" y="0"/>
                <wp:positionH relativeFrom="margin">
                  <wp:posOffset>-228600</wp:posOffset>
                </wp:positionH>
                <wp:positionV relativeFrom="paragraph">
                  <wp:posOffset>3891915</wp:posOffset>
                </wp:positionV>
                <wp:extent cx="6867525" cy="381000"/>
                <wp:effectExtent l="0" t="0" r="9525" b="0"/>
                <wp:wrapNone/>
                <wp:docPr id="23527" name="Rounded Rectangle 23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381000"/>
                        </a:xfrm>
                        <a:prstGeom prst="roundRect">
                          <a:avLst/>
                        </a:prstGeom>
                        <a:solidFill>
                          <a:srgbClr val="FFCB25"/>
                        </a:solidFill>
                        <a:ln w="12700" cap="flat" cmpd="sng" algn="ctr">
                          <a:solidFill>
                            <a:srgbClr val="FFCB25"/>
                          </a:solidFill>
                          <a:prstDash val="solid"/>
                          <a:miter lim="800000"/>
                        </a:ln>
                        <a:effectLst/>
                      </wps:spPr>
                      <wps:txbx>
                        <w:txbxContent>
                          <w:p w14:paraId="36E62B7C" w14:textId="77777777" w:rsidR="006712E0" w:rsidRPr="00381F29" w:rsidRDefault="006712E0" w:rsidP="00047EF8">
                            <w:pPr>
                              <w:jc w:val="center"/>
                              <w:rPr>
                                <w:rFonts w:ascii="Arial" w:hAnsi="Arial" w:cs="Arial"/>
                                <w:b/>
                                <w:sz w:val="28"/>
                                <w:szCs w:val="28"/>
                              </w:rPr>
                            </w:pPr>
                            <w:r>
                              <w:rPr>
                                <w:rFonts w:ascii="Arial" w:hAnsi="Arial" w:cs="Arial"/>
                                <w:b/>
                                <w:sz w:val="28"/>
                                <w:szCs w:val="28"/>
                              </w:rPr>
                              <w:t xml:space="preserve">MINISTARSTVO EKONOMSKOG RAZVOJA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2FABB" id="Rounded Rectangle 23527" o:spid="_x0000_s1119" style="position:absolute;left:0;text-align:left;margin-left:-18pt;margin-top:306.45pt;width:540.75pt;height:30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" fillcolor="#ffcb25" strokecolor="#ffcb25" strokeweight="1pt">
                <v:stroke joinstyle="miter"/>
                <v:path arrowok="t"/>
                <v:textbox>
                  <w:txbxContent>
                    <w:p w14:paraId="36E62B7C" w14:textId="77777777" w:rsidR="006712E0" w:rsidRPr="00381F29" w:rsidRDefault="006712E0" w:rsidP="00047EF8">
                      <w:pPr>
                        <w:jc w:val="center"/>
                        <w:rPr>
                          <w:rFonts w:ascii="Arial" w:hAnsi="Arial" w:cs="Arial"/>
                          <w:b/>
                          <w:sz w:val="28"/>
                          <w:szCs w:val="28"/>
                        </w:rPr>
                      </w:pPr>
                      <w:r>
                        <w:rPr>
                          <w:rFonts w:ascii="Arial" w:hAnsi="Arial" w:cs="Arial"/>
                          <w:b/>
                          <w:sz w:val="28"/>
                          <w:szCs w:val="28"/>
                        </w:rPr>
                        <w:t xml:space="preserve">MINISTARSTVO EKONOMSKOG RAZVOJA </w:t>
                      </w: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94080" behindDoc="0" locked="0" layoutInCell="1" allowOverlap="1" wp14:anchorId="78D9C8FF" wp14:editId="42E35497">
                <wp:simplePos x="0" y="0"/>
                <wp:positionH relativeFrom="margin">
                  <wp:align>right</wp:align>
                </wp:positionH>
                <wp:positionV relativeFrom="paragraph">
                  <wp:posOffset>4469130</wp:posOffset>
                </wp:positionV>
                <wp:extent cx="3219450" cy="2133600"/>
                <wp:effectExtent l="0" t="0" r="0" b="0"/>
                <wp:wrapNone/>
                <wp:docPr id="23525" name="Rounded Rectangle 23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9450" cy="2133600"/>
                        </a:xfrm>
                        <a:prstGeom prst="roundRect">
                          <a:avLst/>
                        </a:prstGeom>
                        <a:solidFill>
                          <a:sysClr val="window" lastClr="FFFFFF"/>
                        </a:solidFill>
                        <a:ln w="12700" cap="flat" cmpd="sng" algn="ctr">
                          <a:solidFill>
                            <a:srgbClr val="FFCB25"/>
                          </a:solidFill>
                          <a:prstDash val="solid"/>
                          <a:miter lim="800000"/>
                        </a:ln>
                        <a:effectLst/>
                      </wps:spPr>
                      <wps:txbx>
                        <w:txbxContent>
                          <w:p w14:paraId="39C6F8C8" w14:textId="77777777" w:rsidR="006712E0" w:rsidRPr="00C00E3A" w:rsidRDefault="006712E0" w:rsidP="00047EF8">
                            <w:pPr>
                              <w:jc w:val="center"/>
                              <w:rPr>
                                <w:rStyle w:val="Hyperlink"/>
                                <w:rFonts w:ascii="Arial Narrow" w:hAnsi="Arial Narrow"/>
                                <w:b/>
                                <w:color w:val="FFC000"/>
                                <w:sz w:val="24"/>
                                <w:szCs w:val="24"/>
                              </w:rPr>
                            </w:pPr>
                            <w:r>
                              <w:rPr>
                                <w:rFonts w:ascii="Arial Narrow" w:hAnsi="Arial Narrow"/>
                                <w:b/>
                                <w:color w:val="FFC000"/>
                                <w:sz w:val="24"/>
                                <w:szCs w:val="24"/>
                              </w:rPr>
                              <w:t>SEKTORSKI PROGRAMI</w:t>
                            </w:r>
                          </w:p>
                          <w:p w14:paraId="2142DA50" w14:textId="77777777" w:rsidR="006712E0" w:rsidRPr="004C38C9" w:rsidRDefault="006712E0" w:rsidP="00047EF8">
                            <w:pPr>
                              <w:pStyle w:val="ListParagraph"/>
                              <w:numPr>
                                <w:ilvl w:val="0"/>
                                <w:numId w:val="85"/>
                              </w:numPr>
                              <w:spacing w:after="0"/>
                              <w:rPr>
                                <w:rFonts w:ascii="Arial Narrow" w:hAnsi="Arial Narrow"/>
                                <w:b/>
                                <w:color w:val="FFC000"/>
                              </w:rPr>
                            </w:pPr>
                            <w:r>
                              <w:rPr>
                                <w:rFonts w:ascii="Arial Narrow" w:hAnsi="Arial Narrow"/>
                                <w:b/>
                                <w:color w:val="FFC000"/>
                              </w:rPr>
                              <w:t>Program razvoja kulturnog turzima Crne Gore</w:t>
                            </w:r>
                            <w:r w:rsidRPr="004C38C9">
                              <w:rPr>
                                <w:rFonts w:ascii="Arial Narrow" w:hAnsi="Arial Narrow"/>
                                <w:b/>
                                <w:color w:val="FFC000"/>
                              </w:rPr>
                              <w:t xml:space="preserve"> 2019-2021</w:t>
                            </w:r>
                            <w:r>
                              <w:rPr>
                                <w:rFonts w:ascii="Arial Narrow" w:hAnsi="Arial Narrow"/>
                                <w:b/>
                                <w:color w:val="FFC000"/>
                              </w:rPr>
                              <w:t>.</w:t>
                            </w:r>
                          </w:p>
                          <w:p w14:paraId="1CBDF7BF" w14:textId="77777777" w:rsidR="006712E0" w:rsidRPr="004C38C9" w:rsidRDefault="006712E0" w:rsidP="00047EF8">
                            <w:pPr>
                              <w:pStyle w:val="ListParagraph"/>
                              <w:numPr>
                                <w:ilvl w:val="0"/>
                                <w:numId w:val="85"/>
                              </w:numPr>
                              <w:spacing w:after="0"/>
                              <w:rPr>
                                <w:rFonts w:ascii="Arial Narrow" w:hAnsi="Arial Narrow"/>
                                <w:b/>
                                <w:color w:val="FFC000"/>
                              </w:rPr>
                            </w:pPr>
                            <w:r>
                              <w:rPr>
                                <w:rFonts w:ascii="Arial Narrow" w:hAnsi="Arial Narrow"/>
                                <w:b/>
                                <w:color w:val="FFC000"/>
                              </w:rPr>
                              <w:t xml:space="preserve">Program razvoja ruralnog turzima </w:t>
                            </w:r>
                            <w:r w:rsidRPr="004C38C9">
                              <w:rPr>
                                <w:rFonts w:ascii="Arial Narrow" w:hAnsi="Arial Narrow"/>
                                <w:b/>
                                <w:color w:val="FFC000"/>
                              </w:rPr>
                              <w:t>2019-2021</w:t>
                            </w:r>
                            <w:r>
                              <w:rPr>
                                <w:rFonts w:ascii="Arial Narrow" w:hAnsi="Arial Narrow"/>
                                <w:b/>
                                <w:color w:val="FFC000"/>
                              </w:rPr>
                              <w:t>.</w:t>
                            </w:r>
                          </w:p>
                          <w:p w14:paraId="3ED61535" w14:textId="77777777" w:rsidR="006712E0" w:rsidRPr="004C38C9" w:rsidRDefault="006712E0" w:rsidP="00047EF8">
                            <w:pPr>
                              <w:pStyle w:val="ListParagraph"/>
                              <w:numPr>
                                <w:ilvl w:val="0"/>
                                <w:numId w:val="85"/>
                              </w:numPr>
                              <w:spacing w:after="0"/>
                              <w:rPr>
                                <w:rFonts w:ascii="Arial Narrow" w:hAnsi="Arial Narrow"/>
                                <w:b/>
                                <w:color w:val="FFC000"/>
                              </w:rPr>
                            </w:pPr>
                            <w:r>
                              <w:rPr>
                                <w:rFonts w:ascii="Arial Narrow" w:hAnsi="Arial Narrow"/>
                                <w:b/>
                                <w:color w:val="FFC000"/>
                              </w:rPr>
                              <w:t>Nac</w:t>
                            </w:r>
                            <w:r w:rsidRPr="004C38C9">
                              <w:rPr>
                                <w:rFonts w:ascii="Arial Narrow" w:hAnsi="Arial Narrow"/>
                                <w:b/>
                                <w:color w:val="FFC000"/>
                              </w:rPr>
                              <w:t>ional</w:t>
                            </w:r>
                            <w:r>
                              <w:rPr>
                                <w:rFonts w:ascii="Arial Narrow" w:hAnsi="Arial Narrow"/>
                                <w:b/>
                                <w:color w:val="FFC000"/>
                              </w:rPr>
                              <w:t>ni program zaštite potrošača</w:t>
                            </w:r>
                            <w:r w:rsidRPr="004C38C9">
                              <w:rPr>
                                <w:rFonts w:ascii="Arial Narrow" w:hAnsi="Arial Narrow"/>
                                <w:b/>
                                <w:color w:val="FFC000"/>
                              </w:rPr>
                              <w:t xml:space="preserve"> 2019-2021</w:t>
                            </w:r>
                          </w:p>
                          <w:p w14:paraId="35F85C49" w14:textId="77777777" w:rsidR="006712E0" w:rsidRPr="004C38C9" w:rsidRDefault="006712E0" w:rsidP="00047EF8">
                            <w:pPr>
                              <w:pStyle w:val="ListParagraph"/>
                              <w:numPr>
                                <w:ilvl w:val="0"/>
                                <w:numId w:val="85"/>
                              </w:numPr>
                              <w:spacing w:after="0"/>
                              <w:rPr>
                                <w:rFonts w:ascii="Arial Narrow" w:hAnsi="Arial Narrow"/>
                                <w:b/>
                                <w:color w:val="FFC000"/>
                              </w:rPr>
                            </w:pPr>
                            <w:r>
                              <w:rPr>
                                <w:rFonts w:ascii="Arial Narrow" w:hAnsi="Arial Narrow"/>
                                <w:b/>
                                <w:color w:val="FFC000"/>
                              </w:rPr>
                              <w:t>Program podsticaja za inovativna start-up preduzeća u Crnoj Gori</w:t>
                            </w:r>
                            <w:r w:rsidRPr="004C38C9">
                              <w:rPr>
                                <w:rFonts w:ascii="Arial Narrow" w:hAnsi="Arial Narrow"/>
                                <w:b/>
                                <w:color w:val="FFC000"/>
                              </w:rPr>
                              <w:t xml:space="preserve"> 2019-2021</w:t>
                            </w:r>
                            <w:r>
                              <w:rPr>
                                <w:rFonts w:ascii="Arial Narrow" w:hAnsi="Arial Narrow"/>
                                <w:b/>
                                <w:color w:val="FFC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9C8FF" id="Rounded Rectangle 23525" o:spid="_x0000_s1120" style="position:absolute;left:0;text-align:left;margin-left:202.3pt;margin-top:351.9pt;width:253.5pt;height:168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" fillcolor="window" strokecolor="#ffcb25" strokeweight="1pt">
                <v:stroke joinstyle="miter"/>
                <v:path arrowok="t"/>
                <v:textbox>
                  <w:txbxContent>
                    <w:p w14:paraId="39C6F8C8" w14:textId="77777777" w:rsidR="006712E0" w:rsidRPr="00C00E3A" w:rsidRDefault="006712E0" w:rsidP="00047EF8">
                      <w:pPr>
                        <w:jc w:val="center"/>
                        <w:rPr>
                          <w:rStyle w:val="Hyperlink"/>
                          <w:rFonts w:ascii="Arial Narrow" w:hAnsi="Arial Narrow"/>
                          <w:b/>
                          <w:color w:val="FFC000"/>
                          <w:sz w:val="24"/>
                          <w:szCs w:val="24"/>
                        </w:rPr>
                      </w:pPr>
                      <w:r>
                        <w:rPr>
                          <w:rFonts w:ascii="Arial Narrow" w:hAnsi="Arial Narrow"/>
                          <w:b/>
                          <w:color w:val="FFC000"/>
                          <w:sz w:val="24"/>
                          <w:szCs w:val="24"/>
                        </w:rPr>
                        <w:t>SEKTORSKI PROGRAMI</w:t>
                      </w:r>
                    </w:p>
                    <w:p w14:paraId="2142DA50" w14:textId="77777777" w:rsidR="006712E0" w:rsidRPr="004C38C9" w:rsidRDefault="006712E0" w:rsidP="00047EF8">
                      <w:pPr>
                        <w:pStyle w:val="ListParagraph"/>
                        <w:numPr>
                          <w:ilvl w:val="0"/>
                          <w:numId w:val="85"/>
                        </w:numPr>
                        <w:spacing w:after="0"/>
                        <w:rPr>
                          <w:rFonts w:ascii="Arial Narrow" w:hAnsi="Arial Narrow"/>
                          <w:b/>
                          <w:color w:val="FFC000"/>
                        </w:rPr>
                      </w:pPr>
                      <w:r>
                        <w:rPr>
                          <w:rFonts w:ascii="Arial Narrow" w:hAnsi="Arial Narrow"/>
                          <w:b/>
                          <w:color w:val="FFC000"/>
                        </w:rPr>
                        <w:t>Program razvoja kulturnog turzima Crne Gore</w:t>
                      </w:r>
                      <w:r w:rsidRPr="004C38C9">
                        <w:rPr>
                          <w:rFonts w:ascii="Arial Narrow" w:hAnsi="Arial Narrow"/>
                          <w:b/>
                          <w:color w:val="FFC000"/>
                        </w:rPr>
                        <w:t xml:space="preserve"> 2019-2021</w:t>
                      </w:r>
                      <w:r>
                        <w:rPr>
                          <w:rFonts w:ascii="Arial Narrow" w:hAnsi="Arial Narrow"/>
                          <w:b/>
                          <w:color w:val="FFC000"/>
                        </w:rPr>
                        <w:t>.</w:t>
                      </w:r>
                    </w:p>
                    <w:p w14:paraId="1CBDF7BF" w14:textId="77777777" w:rsidR="006712E0" w:rsidRPr="004C38C9" w:rsidRDefault="006712E0" w:rsidP="00047EF8">
                      <w:pPr>
                        <w:pStyle w:val="ListParagraph"/>
                        <w:numPr>
                          <w:ilvl w:val="0"/>
                          <w:numId w:val="85"/>
                        </w:numPr>
                        <w:spacing w:after="0"/>
                        <w:rPr>
                          <w:rFonts w:ascii="Arial Narrow" w:hAnsi="Arial Narrow"/>
                          <w:b/>
                          <w:color w:val="FFC000"/>
                        </w:rPr>
                      </w:pPr>
                      <w:r>
                        <w:rPr>
                          <w:rFonts w:ascii="Arial Narrow" w:hAnsi="Arial Narrow"/>
                          <w:b/>
                          <w:color w:val="FFC000"/>
                        </w:rPr>
                        <w:t xml:space="preserve">Program razvoja ruralnog turzima </w:t>
                      </w:r>
                      <w:r w:rsidRPr="004C38C9">
                        <w:rPr>
                          <w:rFonts w:ascii="Arial Narrow" w:hAnsi="Arial Narrow"/>
                          <w:b/>
                          <w:color w:val="FFC000"/>
                        </w:rPr>
                        <w:t>2019-2021</w:t>
                      </w:r>
                      <w:r>
                        <w:rPr>
                          <w:rFonts w:ascii="Arial Narrow" w:hAnsi="Arial Narrow"/>
                          <w:b/>
                          <w:color w:val="FFC000"/>
                        </w:rPr>
                        <w:t>.</w:t>
                      </w:r>
                    </w:p>
                    <w:p w14:paraId="3ED61535" w14:textId="77777777" w:rsidR="006712E0" w:rsidRPr="004C38C9" w:rsidRDefault="006712E0" w:rsidP="00047EF8">
                      <w:pPr>
                        <w:pStyle w:val="ListParagraph"/>
                        <w:numPr>
                          <w:ilvl w:val="0"/>
                          <w:numId w:val="85"/>
                        </w:numPr>
                        <w:spacing w:after="0"/>
                        <w:rPr>
                          <w:rFonts w:ascii="Arial Narrow" w:hAnsi="Arial Narrow"/>
                          <w:b/>
                          <w:color w:val="FFC000"/>
                        </w:rPr>
                      </w:pPr>
                      <w:r>
                        <w:rPr>
                          <w:rFonts w:ascii="Arial Narrow" w:hAnsi="Arial Narrow"/>
                          <w:b/>
                          <w:color w:val="FFC000"/>
                        </w:rPr>
                        <w:t>Nac</w:t>
                      </w:r>
                      <w:r w:rsidRPr="004C38C9">
                        <w:rPr>
                          <w:rFonts w:ascii="Arial Narrow" w:hAnsi="Arial Narrow"/>
                          <w:b/>
                          <w:color w:val="FFC000"/>
                        </w:rPr>
                        <w:t>ional</w:t>
                      </w:r>
                      <w:r>
                        <w:rPr>
                          <w:rFonts w:ascii="Arial Narrow" w:hAnsi="Arial Narrow"/>
                          <w:b/>
                          <w:color w:val="FFC000"/>
                        </w:rPr>
                        <w:t>ni program zaštite potrošača</w:t>
                      </w:r>
                      <w:r w:rsidRPr="004C38C9">
                        <w:rPr>
                          <w:rFonts w:ascii="Arial Narrow" w:hAnsi="Arial Narrow"/>
                          <w:b/>
                          <w:color w:val="FFC000"/>
                        </w:rPr>
                        <w:t xml:space="preserve"> 2019-2021</w:t>
                      </w:r>
                    </w:p>
                    <w:p w14:paraId="35F85C49" w14:textId="77777777" w:rsidR="006712E0" w:rsidRPr="004C38C9" w:rsidRDefault="006712E0" w:rsidP="00047EF8">
                      <w:pPr>
                        <w:pStyle w:val="ListParagraph"/>
                        <w:numPr>
                          <w:ilvl w:val="0"/>
                          <w:numId w:val="85"/>
                        </w:numPr>
                        <w:spacing w:after="0"/>
                        <w:rPr>
                          <w:rFonts w:ascii="Arial Narrow" w:hAnsi="Arial Narrow"/>
                          <w:b/>
                          <w:color w:val="FFC000"/>
                        </w:rPr>
                      </w:pPr>
                      <w:r>
                        <w:rPr>
                          <w:rFonts w:ascii="Arial Narrow" w:hAnsi="Arial Narrow"/>
                          <w:b/>
                          <w:color w:val="FFC000"/>
                        </w:rPr>
                        <w:t>Program podsticaja za inovativna start-up preduzeća u Crnoj Gori</w:t>
                      </w:r>
                      <w:r w:rsidRPr="004C38C9">
                        <w:rPr>
                          <w:rFonts w:ascii="Arial Narrow" w:hAnsi="Arial Narrow"/>
                          <w:b/>
                          <w:color w:val="FFC000"/>
                        </w:rPr>
                        <w:t xml:space="preserve"> 2019-2021</w:t>
                      </w:r>
                      <w:r>
                        <w:rPr>
                          <w:rFonts w:ascii="Arial Narrow" w:hAnsi="Arial Narrow"/>
                          <w:b/>
                          <w:color w:val="FFC000"/>
                        </w:rPr>
                        <w:t>.</w:t>
                      </w: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93056" behindDoc="0" locked="0" layoutInCell="1" allowOverlap="1" wp14:anchorId="5600E282" wp14:editId="46BC7657">
                <wp:simplePos x="0" y="0"/>
                <wp:positionH relativeFrom="column">
                  <wp:posOffset>-231775</wp:posOffset>
                </wp:positionH>
                <wp:positionV relativeFrom="paragraph">
                  <wp:posOffset>4471670</wp:posOffset>
                </wp:positionV>
                <wp:extent cx="3600450" cy="2219325"/>
                <wp:effectExtent l="0" t="0" r="0" b="9525"/>
                <wp:wrapNone/>
                <wp:docPr id="23528" name="Rounded Rectangle 23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0" cy="2219325"/>
                        </a:xfrm>
                        <a:prstGeom prst="roundRect">
                          <a:avLst/>
                        </a:prstGeom>
                        <a:solidFill>
                          <a:sysClr val="window" lastClr="FFFFFF"/>
                        </a:solidFill>
                        <a:ln w="12700" cap="flat" cmpd="sng" algn="ctr">
                          <a:solidFill>
                            <a:srgbClr val="FFCB25"/>
                          </a:solidFill>
                          <a:prstDash val="solid"/>
                          <a:miter lim="800000"/>
                        </a:ln>
                        <a:effectLst/>
                      </wps:spPr>
                      <wps:txbx>
                        <w:txbxContent>
                          <w:p w14:paraId="578DDCC9" w14:textId="77777777" w:rsidR="006712E0" w:rsidRPr="003C0078" w:rsidRDefault="006712E0" w:rsidP="00047EF8">
                            <w:pPr>
                              <w:jc w:val="center"/>
                              <w:rPr>
                                <w:rFonts w:ascii="Arial Narrow" w:hAnsi="Arial Narrow"/>
                                <w:b/>
                                <w:color w:val="FFC000"/>
                                <w:sz w:val="24"/>
                                <w:szCs w:val="24"/>
                              </w:rPr>
                            </w:pPr>
                            <w:r>
                              <w:rPr>
                                <w:rFonts w:ascii="Arial Narrow" w:hAnsi="Arial Narrow"/>
                                <w:b/>
                                <w:color w:val="FFC000"/>
                                <w:sz w:val="24"/>
                                <w:szCs w:val="24"/>
                              </w:rPr>
                              <w:t xml:space="preserve">SEKTORSKE </w:t>
                            </w:r>
                            <w:r w:rsidRPr="00C00E3A">
                              <w:rPr>
                                <w:rFonts w:ascii="Arial Narrow" w:hAnsi="Arial Narrow"/>
                                <w:b/>
                                <w:color w:val="FFC000"/>
                                <w:sz w:val="24"/>
                                <w:szCs w:val="24"/>
                              </w:rPr>
                              <w:t>STRATEGI</w:t>
                            </w:r>
                            <w:r>
                              <w:rPr>
                                <w:rFonts w:ascii="Arial Narrow" w:hAnsi="Arial Narrow"/>
                                <w:b/>
                                <w:color w:val="FFC000"/>
                                <w:sz w:val="24"/>
                                <w:szCs w:val="24"/>
                              </w:rPr>
                              <w:t>JE</w:t>
                            </w:r>
                          </w:p>
                          <w:p w14:paraId="785BFD48" w14:textId="77777777" w:rsidR="006712E0" w:rsidRDefault="006712E0" w:rsidP="00047EF8">
                            <w:pPr>
                              <w:pStyle w:val="ListParagraph"/>
                              <w:numPr>
                                <w:ilvl w:val="0"/>
                                <w:numId w:val="84"/>
                              </w:numPr>
                              <w:spacing w:after="0"/>
                              <w:jc w:val="both"/>
                              <w:rPr>
                                <w:rFonts w:ascii="Arial Narrow" w:hAnsi="Arial Narrow"/>
                                <w:b/>
                                <w:color w:val="FFC000"/>
                              </w:rPr>
                            </w:pPr>
                            <w:r>
                              <w:rPr>
                                <w:rFonts w:ascii="Arial Narrow" w:hAnsi="Arial Narrow"/>
                                <w:b/>
                                <w:color w:val="FFC000"/>
                              </w:rPr>
                              <w:t>Strategija pametne specijalizacije</w:t>
                            </w:r>
                            <w:r w:rsidRPr="003C0078">
                              <w:rPr>
                                <w:rFonts w:ascii="Arial Narrow" w:hAnsi="Arial Narrow"/>
                                <w:b/>
                                <w:color w:val="FFC000"/>
                              </w:rPr>
                              <w:t xml:space="preserve"> 2019-2024.</w:t>
                            </w:r>
                          </w:p>
                          <w:p w14:paraId="7C10B36E" w14:textId="77777777" w:rsidR="006712E0" w:rsidRPr="003C0078" w:rsidRDefault="006712E0" w:rsidP="00047EF8">
                            <w:pPr>
                              <w:pStyle w:val="ListParagraph"/>
                              <w:numPr>
                                <w:ilvl w:val="0"/>
                                <w:numId w:val="84"/>
                              </w:numPr>
                              <w:rPr>
                                <w:rFonts w:ascii="Arial Narrow" w:hAnsi="Arial Narrow"/>
                                <w:b/>
                                <w:color w:val="FFC000"/>
                              </w:rPr>
                            </w:pPr>
                            <w:r w:rsidRPr="003C0078">
                              <w:rPr>
                                <w:rFonts w:ascii="Arial Narrow" w:hAnsi="Arial Narrow"/>
                                <w:b/>
                                <w:color w:val="FFC000"/>
                              </w:rPr>
                              <w:t>Industri</w:t>
                            </w:r>
                            <w:r>
                              <w:rPr>
                                <w:rFonts w:ascii="Arial Narrow" w:hAnsi="Arial Narrow"/>
                                <w:b/>
                                <w:color w:val="FFC000"/>
                              </w:rPr>
                              <w:t>jska politika</w:t>
                            </w:r>
                            <w:r w:rsidRPr="003C0078">
                              <w:rPr>
                                <w:rFonts w:ascii="Arial Narrow" w:hAnsi="Arial Narrow"/>
                                <w:b/>
                                <w:color w:val="FFC000"/>
                              </w:rPr>
                              <w:t xml:space="preserve"> 2019-2023</w:t>
                            </w:r>
                            <w:r>
                              <w:rPr>
                                <w:rFonts w:ascii="Arial Narrow" w:hAnsi="Arial Narrow"/>
                                <w:b/>
                                <w:color w:val="FFC000"/>
                              </w:rPr>
                              <w:t>.</w:t>
                            </w:r>
                          </w:p>
                          <w:p w14:paraId="27C081F7" w14:textId="77777777" w:rsidR="006712E0" w:rsidRPr="003C0078" w:rsidRDefault="001D48BA" w:rsidP="00047EF8">
                            <w:pPr>
                              <w:pStyle w:val="ListParagraph"/>
                              <w:numPr>
                                <w:ilvl w:val="0"/>
                                <w:numId w:val="84"/>
                              </w:numPr>
                              <w:spacing w:after="0"/>
                              <w:jc w:val="both"/>
                              <w:rPr>
                                <w:rFonts w:ascii="Arial Narrow" w:hAnsi="Arial Narrow"/>
                                <w:color w:val="FFC000"/>
                              </w:rPr>
                            </w:pPr>
                            <w:hyperlink r:id="rId71" w:history="1">
                              <w:r w:rsidR="006712E0" w:rsidRPr="003C0078">
                                <w:rPr>
                                  <w:rStyle w:val="Hyperlink"/>
                                  <w:rFonts w:ascii="Arial Narrow" w:hAnsi="Arial Narrow"/>
                                  <w:bCs/>
                                  <w:color w:val="FFC000"/>
                                </w:rPr>
                                <w:t>Strateg</w:t>
                              </w:r>
                              <w:r w:rsidR="006712E0">
                                <w:rPr>
                                  <w:rStyle w:val="Hyperlink"/>
                                  <w:rFonts w:ascii="Arial Narrow" w:hAnsi="Arial Narrow"/>
                                  <w:bCs/>
                                  <w:color w:val="FFC000"/>
                                </w:rPr>
                                <w:t>ija za cjelo</w:t>
                              </w:r>
                              <w:r w:rsidR="006712E0">
                                <w:rPr>
                                  <w:rStyle w:val="Hyperlink"/>
                                  <w:rFonts w:ascii="Times New Roman" w:hAnsi="Times New Roman"/>
                                  <w:bCs/>
                                  <w:color w:val="FFC000"/>
                                </w:rPr>
                                <w:t>ž</w:t>
                              </w:r>
                              <w:r w:rsidR="006712E0">
                                <w:rPr>
                                  <w:rStyle w:val="Hyperlink"/>
                                  <w:rFonts w:ascii="Arial Narrow" w:hAnsi="Arial Narrow"/>
                                  <w:bCs/>
                                  <w:color w:val="FFC000"/>
                                </w:rPr>
                                <w:t>ivotno</w:t>
                              </w:r>
                              <w:r w:rsidR="006712E0" w:rsidRPr="003C0078">
                                <w:rPr>
                                  <w:rStyle w:val="Hyperlink"/>
                                  <w:rFonts w:ascii="Arial Narrow" w:hAnsi="Arial Narrow"/>
                                  <w:bCs/>
                                  <w:color w:val="FFC000"/>
                                </w:rPr>
                                <w:t xml:space="preserve"> </w:t>
                              </w:r>
                              <w:r w:rsidR="006712E0">
                                <w:rPr>
                                  <w:rStyle w:val="Hyperlink"/>
                                  <w:rFonts w:ascii="Arial Narrow" w:hAnsi="Arial Narrow"/>
                                  <w:bCs/>
                                  <w:color w:val="FFC000"/>
                                </w:rPr>
                                <w:t>preduzetni</w:t>
                              </w:r>
                              <w:r w:rsidR="006712E0">
                                <w:rPr>
                                  <w:rStyle w:val="Hyperlink"/>
                                  <w:rFonts w:ascii="Times New Roman" w:hAnsi="Times New Roman"/>
                                  <w:bCs/>
                                  <w:color w:val="FFC000"/>
                                </w:rPr>
                                <w:t>č</w:t>
                              </w:r>
                              <w:r w:rsidR="006712E0">
                                <w:rPr>
                                  <w:rStyle w:val="Hyperlink"/>
                                  <w:rFonts w:ascii="Arial Narrow" w:hAnsi="Arial Narrow"/>
                                  <w:bCs/>
                                  <w:color w:val="FFC000"/>
                                </w:rPr>
                                <w:t>ko u</w:t>
                              </w:r>
                              <w:r w:rsidR="006712E0">
                                <w:rPr>
                                  <w:rStyle w:val="Hyperlink"/>
                                  <w:rFonts w:ascii="Times New Roman" w:hAnsi="Times New Roman"/>
                                  <w:bCs/>
                                  <w:color w:val="FFC000"/>
                                </w:rPr>
                                <w:t>č</w:t>
                              </w:r>
                              <w:r w:rsidR="006712E0">
                                <w:rPr>
                                  <w:rStyle w:val="Hyperlink"/>
                                  <w:rFonts w:ascii="Arial Narrow" w:hAnsi="Arial Narrow"/>
                                  <w:bCs/>
                                  <w:color w:val="FFC000"/>
                                </w:rPr>
                                <w:t xml:space="preserve">enje </w:t>
                              </w:r>
                              <w:r w:rsidR="006712E0" w:rsidRPr="003C0078">
                                <w:rPr>
                                  <w:rStyle w:val="Hyperlink"/>
                                  <w:rFonts w:ascii="Arial Narrow" w:hAnsi="Arial Narrow"/>
                                  <w:bCs/>
                                  <w:color w:val="FFC000"/>
                                </w:rPr>
                                <w:t>2015</w:t>
                              </w:r>
                              <w:r w:rsidR="006712E0">
                                <w:rPr>
                                  <w:rStyle w:val="Hyperlink"/>
                                  <w:rFonts w:ascii="Arial Narrow" w:hAnsi="Arial Narrow"/>
                                  <w:bCs/>
                                  <w:color w:val="FFC000"/>
                                </w:rPr>
                                <w:t>–2024</w:t>
                              </w:r>
                            </w:hyperlink>
                            <w:r w:rsidR="006712E0" w:rsidRPr="003C0078">
                              <w:rPr>
                                <w:rFonts w:ascii="Arial Narrow" w:hAnsi="Arial Narrow"/>
                                <w:b/>
                                <w:bCs/>
                                <w:color w:val="FFC000"/>
                              </w:rPr>
                              <w:t xml:space="preserve"> </w:t>
                            </w:r>
                          </w:p>
                          <w:p w14:paraId="1F46B613" w14:textId="77777777" w:rsidR="006712E0" w:rsidRPr="003C0078" w:rsidRDefault="001D48BA" w:rsidP="00047EF8">
                            <w:pPr>
                              <w:pStyle w:val="ListParagraph"/>
                              <w:numPr>
                                <w:ilvl w:val="0"/>
                                <w:numId w:val="84"/>
                              </w:numPr>
                              <w:spacing w:after="0"/>
                              <w:jc w:val="both"/>
                              <w:rPr>
                                <w:rFonts w:ascii="Arial Narrow" w:hAnsi="Arial Narrow"/>
                                <w:color w:val="FFC000"/>
                              </w:rPr>
                            </w:pPr>
                            <w:hyperlink r:id="rId72" w:history="1">
                              <w:r w:rsidR="006712E0">
                                <w:rPr>
                                  <w:rStyle w:val="Hyperlink"/>
                                  <w:rFonts w:ascii="Arial Narrow" w:hAnsi="Arial Narrow"/>
                                  <w:bCs/>
                                  <w:color w:val="FFC000"/>
                                </w:rPr>
                                <w:t>Strategija razvoja malih, srednjih i mikro preduze</w:t>
                              </w:r>
                              <w:r w:rsidR="006712E0">
                                <w:rPr>
                                  <w:rStyle w:val="Hyperlink"/>
                                  <w:rFonts w:ascii="Times New Roman" w:hAnsi="Times New Roman"/>
                                  <w:bCs/>
                                  <w:color w:val="FFC000"/>
                                </w:rPr>
                                <w:t>ć</w:t>
                              </w:r>
                              <w:r w:rsidR="006712E0">
                                <w:rPr>
                                  <w:rStyle w:val="Hyperlink"/>
                                  <w:rFonts w:ascii="Arial Narrow" w:hAnsi="Arial Narrow"/>
                                  <w:bCs/>
                                  <w:color w:val="FFC000"/>
                                </w:rPr>
                                <w:t xml:space="preserve">a </w:t>
                              </w:r>
                              <w:r w:rsidR="006712E0" w:rsidRPr="003C0078">
                                <w:rPr>
                                  <w:rStyle w:val="Hyperlink"/>
                                  <w:rFonts w:ascii="Arial Narrow" w:hAnsi="Arial Narrow"/>
                                  <w:bCs/>
                                  <w:color w:val="FFC000"/>
                                </w:rPr>
                                <w:t>2018-2022</w:t>
                              </w:r>
                            </w:hyperlink>
                          </w:p>
                          <w:p w14:paraId="76C3CC78" w14:textId="77777777" w:rsidR="006712E0" w:rsidRPr="003C0078" w:rsidRDefault="006712E0" w:rsidP="00047EF8">
                            <w:pPr>
                              <w:pStyle w:val="ListParagraph"/>
                              <w:numPr>
                                <w:ilvl w:val="0"/>
                                <w:numId w:val="84"/>
                              </w:numPr>
                              <w:spacing w:after="0"/>
                              <w:jc w:val="both"/>
                              <w:rPr>
                                <w:rFonts w:ascii="Arial Narrow" w:hAnsi="Arial Narrow"/>
                                <w:b/>
                                <w:color w:val="FFC000"/>
                              </w:rPr>
                            </w:pPr>
                            <w:r>
                              <w:rPr>
                                <w:rStyle w:val="Hyperlink"/>
                                <w:rFonts w:ascii="Arial Narrow" w:hAnsi="Arial Narrow"/>
                                <w:color w:val="FFC000"/>
                              </w:rPr>
                              <w:t xml:space="preserve">Strategija poštanskih usluga </w:t>
                            </w:r>
                            <w:r w:rsidRPr="003C0078">
                              <w:rPr>
                                <w:rStyle w:val="Hyperlink"/>
                                <w:rFonts w:ascii="Arial Narrow" w:hAnsi="Arial Narrow"/>
                                <w:color w:val="FFC000"/>
                              </w:rPr>
                              <w:t>2019-2023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0E282" id="Rounded Rectangle 23528" o:spid="_x0000_s1121" style="position:absolute;left:0;text-align:left;margin-left:-18.25pt;margin-top:352.1pt;width:283.5pt;height:17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" fillcolor="window" strokecolor="#ffcb25" strokeweight="1pt">
                <v:stroke joinstyle="miter"/>
                <v:path arrowok="t"/>
                <v:textbox>
                  <w:txbxContent>
                    <w:p w14:paraId="578DDCC9" w14:textId="77777777" w:rsidR="006712E0" w:rsidRPr="003C0078" w:rsidRDefault="006712E0" w:rsidP="00047EF8">
                      <w:pPr>
                        <w:jc w:val="center"/>
                        <w:rPr>
                          <w:rFonts w:ascii="Arial Narrow" w:hAnsi="Arial Narrow"/>
                          <w:b/>
                          <w:color w:val="FFC000"/>
                          <w:sz w:val="24"/>
                          <w:szCs w:val="24"/>
                        </w:rPr>
                      </w:pPr>
                      <w:r>
                        <w:rPr>
                          <w:rFonts w:ascii="Arial Narrow" w:hAnsi="Arial Narrow"/>
                          <w:b/>
                          <w:color w:val="FFC000"/>
                          <w:sz w:val="24"/>
                          <w:szCs w:val="24"/>
                        </w:rPr>
                        <w:t xml:space="preserve">SEKTORSKE </w:t>
                      </w:r>
                      <w:r w:rsidRPr="00C00E3A">
                        <w:rPr>
                          <w:rFonts w:ascii="Arial Narrow" w:hAnsi="Arial Narrow"/>
                          <w:b/>
                          <w:color w:val="FFC000"/>
                          <w:sz w:val="24"/>
                          <w:szCs w:val="24"/>
                        </w:rPr>
                        <w:t>STRATEGI</w:t>
                      </w:r>
                      <w:r>
                        <w:rPr>
                          <w:rFonts w:ascii="Arial Narrow" w:hAnsi="Arial Narrow"/>
                          <w:b/>
                          <w:color w:val="FFC000"/>
                          <w:sz w:val="24"/>
                          <w:szCs w:val="24"/>
                        </w:rPr>
                        <w:t>JE</w:t>
                      </w:r>
                    </w:p>
                    <w:p w14:paraId="785BFD48" w14:textId="77777777" w:rsidR="006712E0" w:rsidRDefault="006712E0" w:rsidP="00047EF8">
                      <w:pPr>
                        <w:pStyle w:val="ListParagraph"/>
                        <w:numPr>
                          <w:ilvl w:val="0"/>
                          <w:numId w:val="84"/>
                        </w:numPr>
                        <w:spacing w:after="0"/>
                        <w:jc w:val="both"/>
                        <w:rPr>
                          <w:rFonts w:ascii="Arial Narrow" w:hAnsi="Arial Narrow"/>
                          <w:b/>
                          <w:color w:val="FFC000"/>
                        </w:rPr>
                      </w:pPr>
                      <w:r>
                        <w:rPr>
                          <w:rFonts w:ascii="Arial Narrow" w:hAnsi="Arial Narrow"/>
                          <w:b/>
                          <w:color w:val="FFC000"/>
                        </w:rPr>
                        <w:t>Strategija pametne specijalizacije</w:t>
                      </w:r>
                      <w:r w:rsidRPr="003C0078">
                        <w:rPr>
                          <w:rFonts w:ascii="Arial Narrow" w:hAnsi="Arial Narrow"/>
                          <w:b/>
                          <w:color w:val="FFC000"/>
                        </w:rPr>
                        <w:t xml:space="preserve"> 2019-2024.</w:t>
                      </w:r>
                    </w:p>
                    <w:p w14:paraId="7C10B36E" w14:textId="77777777" w:rsidR="006712E0" w:rsidRPr="003C0078" w:rsidRDefault="006712E0" w:rsidP="00047EF8">
                      <w:pPr>
                        <w:pStyle w:val="ListParagraph"/>
                        <w:numPr>
                          <w:ilvl w:val="0"/>
                          <w:numId w:val="84"/>
                        </w:numPr>
                        <w:rPr>
                          <w:rFonts w:ascii="Arial Narrow" w:hAnsi="Arial Narrow"/>
                          <w:b/>
                          <w:color w:val="FFC000"/>
                        </w:rPr>
                      </w:pPr>
                      <w:r w:rsidRPr="003C0078">
                        <w:rPr>
                          <w:rFonts w:ascii="Arial Narrow" w:hAnsi="Arial Narrow"/>
                          <w:b/>
                          <w:color w:val="FFC000"/>
                        </w:rPr>
                        <w:t>Industri</w:t>
                      </w:r>
                      <w:r>
                        <w:rPr>
                          <w:rFonts w:ascii="Arial Narrow" w:hAnsi="Arial Narrow"/>
                          <w:b/>
                          <w:color w:val="FFC000"/>
                        </w:rPr>
                        <w:t>jska politika</w:t>
                      </w:r>
                      <w:r w:rsidRPr="003C0078">
                        <w:rPr>
                          <w:rFonts w:ascii="Arial Narrow" w:hAnsi="Arial Narrow"/>
                          <w:b/>
                          <w:color w:val="FFC000"/>
                        </w:rPr>
                        <w:t xml:space="preserve"> 2019-2023</w:t>
                      </w:r>
                      <w:r>
                        <w:rPr>
                          <w:rFonts w:ascii="Arial Narrow" w:hAnsi="Arial Narrow"/>
                          <w:b/>
                          <w:color w:val="FFC000"/>
                        </w:rPr>
                        <w:t>.</w:t>
                      </w:r>
                    </w:p>
                    <w:p w14:paraId="27C081F7" w14:textId="77777777" w:rsidR="006712E0" w:rsidRPr="003C0078" w:rsidRDefault="006712E0" w:rsidP="00047EF8">
                      <w:pPr>
                        <w:pStyle w:val="ListParagraph"/>
                        <w:numPr>
                          <w:ilvl w:val="0"/>
                          <w:numId w:val="84"/>
                        </w:numPr>
                        <w:spacing w:after="0"/>
                        <w:jc w:val="both"/>
                        <w:rPr>
                          <w:rFonts w:ascii="Arial Narrow" w:hAnsi="Arial Narrow"/>
                          <w:color w:val="FFC000"/>
                        </w:rPr>
                      </w:pPr>
                      <w:hyperlink r:id="rId73" w:history="1">
                        <w:r w:rsidRPr="003C0078">
                          <w:rPr>
                            <w:rStyle w:val="Hyperlink"/>
                            <w:rFonts w:ascii="Arial Narrow" w:hAnsi="Arial Narrow"/>
                            <w:bCs/>
                            <w:color w:val="FFC000"/>
                          </w:rPr>
                          <w:t>Strateg</w:t>
                        </w:r>
                        <w:r>
                          <w:rPr>
                            <w:rStyle w:val="Hyperlink"/>
                            <w:rFonts w:ascii="Arial Narrow" w:hAnsi="Arial Narrow"/>
                            <w:bCs/>
                            <w:color w:val="FFC000"/>
                          </w:rPr>
                          <w:t>ija za cjelo</w:t>
                        </w:r>
                        <w:r>
                          <w:rPr>
                            <w:rStyle w:val="Hyperlink"/>
                            <w:rFonts w:ascii="Times New Roman" w:hAnsi="Times New Roman"/>
                            <w:bCs/>
                            <w:color w:val="FFC000"/>
                          </w:rPr>
                          <w:t>ž</w:t>
                        </w:r>
                        <w:r>
                          <w:rPr>
                            <w:rStyle w:val="Hyperlink"/>
                            <w:rFonts w:ascii="Arial Narrow" w:hAnsi="Arial Narrow"/>
                            <w:bCs/>
                            <w:color w:val="FFC000"/>
                          </w:rPr>
                          <w:t>ivotno</w:t>
                        </w:r>
                        <w:r w:rsidRPr="003C0078">
                          <w:rPr>
                            <w:rStyle w:val="Hyperlink"/>
                            <w:rFonts w:ascii="Arial Narrow" w:hAnsi="Arial Narrow"/>
                            <w:bCs/>
                            <w:color w:val="FFC000"/>
                          </w:rPr>
                          <w:t xml:space="preserve"> </w:t>
                        </w:r>
                        <w:r>
                          <w:rPr>
                            <w:rStyle w:val="Hyperlink"/>
                            <w:rFonts w:ascii="Arial Narrow" w:hAnsi="Arial Narrow"/>
                            <w:bCs/>
                            <w:color w:val="FFC000"/>
                          </w:rPr>
                          <w:t>preduzetni</w:t>
                        </w:r>
                        <w:r>
                          <w:rPr>
                            <w:rStyle w:val="Hyperlink"/>
                            <w:rFonts w:ascii="Times New Roman" w:hAnsi="Times New Roman"/>
                            <w:bCs/>
                            <w:color w:val="FFC000"/>
                          </w:rPr>
                          <w:t>č</w:t>
                        </w:r>
                        <w:r>
                          <w:rPr>
                            <w:rStyle w:val="Hyperlink"/>
                            <w:rFonts w:ascii="Arial Narrow" w:hAnsi="Arial Narrow"/>
                            <w:bCs/>
                            <w:color w:val="FFC000"/>
                          </w:rPr>
                          <w:t>ko u</w:t>
                        </w:r>
                        <w:r>
                          <w:rPr>
                            <w:rStyle w:val="Hyperlink"/>
                            <w:rFonts w:ascii="Times New Roman" w:hAnsi="Times New Roman"/>
                            <w:bCs/>
                            <w:color w:val="FFC000"/>
                          </w:rPr>
                          <w:t>č</w:t>
                        </w:r>
                        <w:r>
                          <w:rPr>
                            <w:rStyle w:val="Hyperlink"/>
                            <w:rFonts w:ascii="Arial Narrow" w:hAnsi="Arial Narrow"/>
                            <w:bCs/>
                            <w:color w:val="FFC000"/>
                          </w:rPr>
                          <w:t xml:space="preserve">enje </w:t>
                        </w:r>
                        <w:r w:rsidRPr="003C0078">
                          <w:rPr>
                            <w:rStyle w:val="Hyperlink"/>
                            <w:rFonts w:ascii="Arial Narrow" w:hAnsi="Arial Narrow"/>
                            <w:bCs/>
                            <w:color w:val="FFC000"/>
                          </w:rPr>
                          <w:t>2015</w:t>
                        </w:r>
                        <w:r>
                          <w:rPr>
                            <w:rStyle w:val="Hyperlink"/>
                            <w:rFonts w:ascii="Arial Narrow" w:hAnsi="Arial Narrow"/>
                            <w:bCs/>
                            <w:color w:val="FFC000"/>
                          </w:rPr>
                          <w:t>–2024</w:t>
                        </w:r>
                      </w:hyperlink>
                      <w:r w:rsidRPr="003C0078">
                        <w:rPr>
                          <w:rFonts w:ascii="Arial Narrow" w:hAnsi="Arial Narrow"/>
                          <w:b/>
                          <w:bCs/>
                          <w:color w:val="FFC000"/>
                        </w:rPr>
                        <w:t xml:space="preserve"> </w:t>
                      </w:r>
                    </w:p>
                    <w:p w14:paraId="1F46B613" w14:textId="77777777" w:rsidR="006712E0" w:rsidRPr="003C0078" w:rsidRDefault="006712E0" w:rsidP="00047EF8">
                      <w:pPr>
                        <w:pStyle w:val="ListParagraph"/>
                        <w:numPr>
                          <w:ilvl w:val="0"/>
                          <w:numId w:val="84"/>
                        </w:numPr>
                        <w:spacing w:after="0"/>
                        <w:jc w:val="both"/>
                        <w:rPr>
                          <w:rFonts w:ascii="Arial Narrow" w:hAnsi="Arial Narrow"/>
                          <w:color w:val="FFC000"/>
                        </w:rPr>
                      </w:pPr>
                      <w:hyperlink r:id="rId74" w:history="1">
                        <w:r>
                          <w:rPr>
                            <w:rStyle w:val="Hyperlink"/>
                            <w:rFonts w:ascii="Arial Narrow" w:hAnsi="Arial Narrow"/>
                            <w:bCs/>
                            <w:color w:val="FFC000"/>
                          </w:rPr>
                          <w:t>Strategija razvoja malih, srednjih i mikro preduze</w:t>
                        </w:r>
                        <w:r>
                          <w:rPr>
                            <w:rStyle w:val="Hyperlink"/>
                            <w:rFonts w:ascii="Times New Roman" w:hAnsi="Times New Roman"/>
                            <w:bCs/>
                            <w:color w:val="FFC000"/>
                          </w:rPr>
                          <w:t>ć</w:t>
                        </w:r>
                        <w:r>
                          <w:rPr>
                            <w:rStyle w:val="Hyperlink"/>
                            <w:rFonts w:ascii="Arial Narrow" w:hAnsi="Arial Narrow"/>
                            <w:bCs/>
                            <w:color w:val="FFC000"/>
                          </w:rPr>
                          <w:t xml:space="preserve">a </w:t>
                        </w:r>
                        <w:r w:rsidRPr="003C0078">
                          <w:rPr>
                            <w:rStyle w:val="Hyperlink"/>
                            <w:rFonts w:ascii="Arial Narrow" w:hAnsi="Arial Narrow"/>
                            <w:bCs/>
                            <w:color w:val="FFC000"/>
                          </w:rPr>
                          <w:t>2018-2022</w:t>
                        </w:r>
                      </w:hyperlink>
                    </w:p>
                    <w:p w14:paraId="76C3CC78" w14:textId="77777777" w:rsidR="006712E0" w:rsidRPr="003C0078" w:rsidRDefault="006712E0" w:rsidP="00047EF8">
                      <w:pPr>
                        <w:pStyle w:val="ListParagraph"/>
                        <w:numPr>
                          <w:ilvl w:val="0"/>
                          <w:numId w:val="84"/>
                        </w:numPr>
                        <w:spacing w:after="0"/>
                        <w:jc w:val="both"/>
                        <w:rPr>
                          <w:rFonts w:ascii="Arial Narrow" w:hAnsi="Arial Narrow"/>
                          <w:b/>
                          <w:color w:val="FFC000"/>
                        </w:rPr>
                      </w:pPr>
                      <w:r>
                        <w:rPr>
                          <w:rStyle w:val="Hyperlink"/>
                          <w:rFonts w:ascii="Arial Narrow" w:hAnsi="Arial Narrow"/>
                          <w:color w:val="FFC000"/>
                        </w:rPr>
                        <w:t xml:space="preserve">Strategija poštanskih usluga </w:t>
                      </w:r>
                      <w:r w:rsidRPr="003C0078">
                        <w:rPr>
                          <w:rStyle w:val="Hyperlink"/>
                          <w:rFonts w:ascii="Arial Narrow" w:hAnsi="Arial Narrow"/>
                          <w:color w:val="FFC000"/>
                        </w:rPr>
                        <w:t>2019-2023</w:t>
                      </w:r>
                    </w:p>
                  </w:txbxContent>
                </v:textbox>
              </v:roundrect>
            </w:pict>
          </mc:Fallback>
        </mc:AlternateContent>
      </w:r>
      <w:r w:rsidRPr="00F563CD">
        <w:rPr>
          <w:rFonts w:asciiTheme="minorHAnsi" w:hAnsiTheme="minorHAnsi"/>
          <w:b/>
          <w:noProof/>
          <w:color w:val="FFC000"/>
          <w:sz w:val="24"/>
          <w:szCs w:val="24"/>
          <w:u w:color="FFFFFF" w:themeColor="background1"/>
          <w:lang w:val="en-US" w:eastAsia="en-US"/>
        </w:rPr>
        <mc:AlternateContent>
          <mc:Choice Requires="wps">
            <w:drawing>
              <wp:anchor distT="0" distB="0" distL="114300" distR="114300" simplePos="0" relativeHeight="251719680" behindDoc="0" locked="0" layoutInCell="1" allowOverlap="1" wp14:anchorId="7AFE8970" wp14:editId="3A999A2E">
                <wp:simplePos x="0" y="0"/>
                <wp:positionH relativeFrom="margin">
                  <wp:posOffset>-228600</wp:posOffset>
                </wp:positionH>
                <wp:positionV relativeFrom="paragraph">
                  <wp:posOffset>2830830</wp:posOffset>
                </wp:positionV>
                <wp:extent cx="7038975" cy="695325"/>
                <wp:effectExtent l="0" t="0" r="9525" b="9525"/>
                <wp:wrapNone/>
                <wp:docPr id="23521" name="Rounded Rectangle 23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695325"/>
                        </a:xfrm>
                        <a:prstGeom prst="roundRect">
                          <a:avLst/>
                        </a:prstGeom>
                        <a:solidFill>
                          <a:sysClr val="window" lastClr="FFFFFF"/>
                        </a:solidFill>
                        <a:ln w="12700" cap="flat" cmpd="sng" algn="ctr">
                          <a:solidFill>
                            <a:srgbClr val="FFC000"/>
                          </a:solidFill>
                          <a:prstDash val="solid"/>
                          <a:miter lim="800000"/>
                        </a:ln>
                        <a:effectLst/>
                      </wps:spPr>
                      <wps:txbx>
                        <w:txbxContent>
                          <w:p w14:paraId="0CC4245D" w14:textId="77777777" w:rsidR="006712E0" w:rsidRPr="001C6D17" w:rsidRDefault="006712E0" w:rsidP="00047EF8">
                            <w:pPr>
                              <w:spacing w:after="120"/>
                              <w:jc w:val="center"/>
                              <w:rPr>
                                <w:rFonts w:ascii="Arial Narrow" w:hAnsi="Arial Narrow"/>
                                <w:b/>
                                <w:color w:val="5F497A" w:themeColor="accent4" w:themeShade="BF"/>
                                <w:sz w:val="24"/>
                                <w:szCs w:val="24"/>
                              </w:rPr>
                            </w:pPr>
                            <w:r>
                              <w:rPr>
                                <w:rFonts w:ascii="Arial Narrow" w:hAnsi="Arial Narrow"/>
                                <w:b/>
                                <w:color w:val="5F497A" w:themeColor="accent4" w:themeShade="BF"/>
                                <w:sz w:val="24"/>
                                <w:szCs w:val="24"/>
                              </w:rPr>
                              <w:t>SMJERNICE I OSTALA PLANSKA DOKUEMNTA RELEVANTNA ZA IMPLEMENTACIJU POLITIKE</w:t>
                            </w:r>
                            <w:r w:rsidRPr="001C6D17">
                              <w:rPr>
                                <w:rFonts w:ascii="Arial Narrow" w:hAnsi="Arial Narrow"/>
                                <w:b/>
                                <w:color w:val="5F497A" w:themeColor="accent4" w:themeShade="BF"/>
                                <w:sz w:val="24"/>
                                <w:szCs w:val="24"/>
                              </w:rPr>
                              <w:t>:</w:t>
                            </w:r>
                          </w:p>
                          <w:p w14:paraId="5BB3C39F" w14:textId="77777777" w:rsidR="006712E0" w:rsidRPr="00AE6231" w:rsidRDefault="001D48BA" w:rsidP="00047EF8">
                            <w:pPr>
                              <w:spacing w:after="0" w:line="240" w:lineRule="auto"/>
                              <w:jc w:val="both"/>
                              <w:rPr>
                                <w:rFonts w:ascii="Arial Narrow" w:hAnsi="Arial Narrow"/>
                                <w:b/>
                                <w:bCs/>
                                <w:color w:val="5F497A" w:themeColor="accent4" w:themeShade="BF"/>
                                <w:sz w:val="21"/>
                                <w:szCs w:val="21"/>
                              </w:rPr>
                            </w:pPr>
                            <w:hyperlink r:id="rId75" w:history="1">
                              <w:r w:rsidR="006712E0">
                                <w:rPr>
                                  <w:rStyle w:val="Hyperlink"/>
                                  <w:rFonts w:ascii="Arial Narrow" w:hAnsi="Arial Narrow"/>
                                  <w:bCs/>
                                  <w:color w:val="5F497A" w:themeColor="accent4" w:themeShade="BF"/>
                                  <w:sz w:val="21"/>
                                  <w:szCs w:val="21"/>
                                </w:rPr>
                                <w:t>Plan za upravljanje komunalnim otpadom</w:t>
                              </w:r>
                              <w:r w:rsidR="006712E0" w:rsidRPr="00AE6231">
                                <w:rPr>
                                  <w:rStyle w:val="Hyperlink"/>
                                  <w:rFonts w:ascii="Arial Narrow" w:hAnsi="Arial Narrow"/>
                                  <w:bCs/>
                                  <w:color w:val="5F497A" w:themeColor="accent4" w:themeShade="BF"/>
                                  <w:sz w:val="21"/>
                                  <w:szCs w:val="21"/>
                                </w:rPr>
                                <w:t xml:space="preserve"> (2020-2035)</w:t>
                              </w:r>
                            </w:hyperlink>
                            <w:r w:rsidR="006712E0" w:rsidRPr="00AE6231">
                              <w:rPr>
                                <w:rStyle w:val="Hyperlink"/>
                                <w:rFonts w:ascii="Arial Narrow" w:hAnsi="Arial Narrow"/>
                                <w:bCs/>
                                <w:color w:val="5F497A" w:themeColor="accent4" w:themeShade="BF"/>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E8970" id="Rounded Rectangle 23521" o:spid="_x0000_s1122" style="position:absolute;left:0;text-align:left;margin-left:-18pt;margin-top:222.9pt;width:554.25pt;height:54.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" fillcolor="window" strokecolor="#ffc000" strokeweight="1pt">
                <v:stroke joinstyle="miter"/>
                <v:path arrowok="t"/>
                <v:textbox>
                  <w:txbxContent>
                    <w:p w14:paraId="0CC4245D" w14:textId="77777777" w:rsidR="006712E0" w:rsidRPr="001C6D17" w:rsidRDefault="006712E0" w:rsidP="00047EF8">
                      <w:pPr>
                        <w:spacing w:after="120"/>
                        <w:jc w:val="center"/>
                        <w:rPr>
                          <w:rFonts w:ascii="Arial Narrow" w:hAnsi="Arial Narrow"/>
                          <w:b/>
                          <w:color w:val="5F497A" w:themeColor="accent4" w:themeShade="BF"/>
                          <w:sz w:val="24"/>
                          <w:szCs w:val="24"/>
                        </w:rPr>
                      </w:pPr>
                      <w:r>
                        <w:rPr>
                          <w:rFonts w:ascii="Arial Narrow" w:hAnsi="Arial Narrow"/>
                          <w:b/>
                          <w:color w:val="5F497A" w:themeColor="accent4" w:themeShade="BF"/>
                          <w:sz w:val="24"/>
                          <w:szCs w:val="24"/>
                        </w:rPr>
                        <w:t>SMJERNICE I OSTALA PLANSKA DOKUEMNTA RELEVANTNA ZA IMPLEMENTACIJU POLITIKE</w:t>
                      </w:r>
                      <w:r w:rsidRPr="001C6D17">
                        <w:rPr>
                          <w:rFonts w:ascii="Arial Narrow" w:hAnsi="Arial Narrow"/>
                          <w:b/>
                          <w:color w:val="5F497A" w:themeColor="accent4" w:themeShade="BF"/>
                          <w:sz w:val="24"/>
                          <w:szCs w:val="24"/>
                        </w:rPr>
                        <w:t>:</w:t>
                      </w:r>
                    </w:p>
                    <w:p w14:paraId="5BB3C39F" w14:textId="77777777" w:rsidR="006712E0" w:rsidRPr="00AE6231" w:rsidRDefault="006712E0" w:rsidP="00047EF8">
                      <w:pPr>
                        <w:spacing w:after="0" w:line="240" w:lineRule="auto"/>
                        <w:jc w:val="both"/>
                        <w:rPr>
                          <w:rFonts w:ascii="Arial Narrow" w:hAnsi="Arial Narrow"/>
                          <w:b/>
                          <w:bCs/>
                          <w:color w:val="5F497A" w:themeColor="accent4" w:themeShade="BF"/>
                          <w:sz w:val="21"/>
                          <w:szCs w:val="21"/>
                        </w:rPr>
                      </w:pPr>
                      <w:hyperlink r:id="rId76" w:history="1">
                        <w:r>
                          <w:rPr>
                            <w:rStyle w:val="Hyperlink"/>
                            <w:rFonts w:ascii="Arial Narrow" w:hAnsi="Arial Narrow"/>
                            <w:bCs/>
                            <w:color w:val="5F497A" w:themeColor="accent4" w:themeShade="BF"/>
                            <w:sz w:val="21"/>
                            <w:szCs w:val="21"/>
                          </w:rPr>
                          <w:t>Plan za upravljanje komunalnim otpadom</w:t>
                        </w:r>
                        <w:r w:rsidRPr="00AE6231">
                          <w:rPr>
                            <w:rStyle w:val="Hyperlink"/>
                            <w:rFonts w:ascii="Arial Narrow" w:hAnsi="Arial Narrow"/>
                            <w:bCs/>
                            <w:color w:val="5F497A" w:themeColor="accent4" w:themeShade="BF"/>
                            <w:sz w:val="21"/>
                            <w:szCs w:val="21"/>
                          </w:rPr>
                          <w:t xml:space="preserve"> (2020-2035)</w:t>
                        </w:r>
                      </w:hyperlink>
                      <w:r w:rsidRPr="00AE6231">
                        <w:rPr>
                          <w:rStyle w:val="Hyperlink"/>
                          <w:rFonts w:ascii="Arial Narrow" w:hAnsi="Arial Narrow"/>
                          <w:bCs/>
                          <w:color w:val="5F497A" w:themeColor="accent4" w:themeShade="BF"/>
                          <w:sz w:val="21"/>
                          <w:szCs w:val="21"/>
                        </w:rPr>
                        <w:t xml:space="preserve"> </w:t>
                      </w:r>
                    </w:p>
                  </w:txbxContent>
                </v:textbox>
                <w10:wrap anchorx="margin"/>
              </v:roundrect>
            </w:pict>
          </mc:Fallback>
        </mc:AlternateContent>
      </w:r>
      <w:r w:rsidRPr="00F563CD">
        <w:rPr>
          <w:rFonts w:asciiTheme="minorHAnsi" w:hAnsiTheme="minorHAnsi"/>
          <w:b/>
          <w:noProof/>
          <w:color w:val="FFC000"/>
          <w:sz w:val="24"/>
          <w:szCs w:val="24"/>
          <w:u w:color="FFFFFF" w:themeColor="background1"/>
          <w:lang w:val="en-US" w:eastAsia="en-US"/>
        </w:rPr>
        <mc:AlternateContent>
          <mc:Choice Requires="wps">
            <w:drawing>
              <wp:anchor distT="0" distB="0" distL="114300" distR="114300" simplePos="0" relativeHeight="251689984" behindDoc="0" locked="0" layoutInCell="1" allowOverlap="1" wp14:anchorId="11EB8354" wp14:editId="3EC895C3">
                <wp:simplePos x="0" y="0"/>
                <wp:positionH relativeFrom="margin">
                  <wp:posOffset>-260350</wp:posOffset>
                </wp:positionH>
                <wp:positionV relativeFrom="paragraph">
                  <wp:posOffset>801370</wp:posOffset>
                </wp:positionV>
                <wp:extent cx="5505450" cy="1914525"/>
                <wp:effectExtent l="0" t="0" r="0" b="9525"/>
                <wp:wrapNone/>
                <wp:docPr id="23523" name="Rounded Rectangle 23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0" cy="1914525"/>
                        </a:xfrm>
                        <a:prstGeom prst="roundRect">
                          <a:avLst/>
                        </a:prstGeom>
                        <a:solidFill>
                          <a:sysClr val="window" lastClr="FFFFFF"/>
                        </a:solidFill>
                        <a:ln w="12700" cap="flat" cmpd="sng" algn="ctr">
                          <a:solidFill>
                            <a:srgbClr val="FFC000"/>
                          </a:solidFill>
                          <a:prstDash val="solid"/>
                          <a:miter lim="800000"/>
                        </a:ln>
                        <a:effectLst/>
                      </wps:spPr>
                      <wps:txbx>
                        <w:txbxContent>
                          <w:p w14:paraId="219B2771" w14:textId="77777777" w:rsidR="006712E0" w:rsidRPr="001C6D17" w:rsidRDefault="006712E0" w:rsidP="00047EF8">
                            <w:pPr>
                              <w:jc w:val="center"/>
                              <w:rPr>
                                <w:rFonts w:ascii="Arial Narrow" w:hAnsi="Arial Narrow"/>
                                <w:b/>
                                <w:color w:val="5F497A" w:themeColor="accent4" w:themeShade="BF"/>
                                <w:sz w:val="24"/>
                                <w:szCs w:val="24"/>
                              </w:rPr>
                            </w:pPr>
                            <w:r>
                              <w:rPr>
                                <w:rFonts w:ascii="Arial Narrow" w:hAnsi="Arial Narrow"/>
                                <w:b/>
                                <w:color w:val="5F497A" w:themeColor="accent4" w:themeShade="BF"/>
                                <w:sz w:val="24"/>
                                <w:szCs w:val="24"/>
                              </w:rPr>
                              <w:t>SEKTORSKE STRATEGIJE</w:t>
                            </w:r>
                            <w:r w:rsidRPr="001C6D17">
                              <w:rPr>
                                <w:rFonts w:ascii="Arial Narrow" w:hAnsi="Arial Narrow"/>
                                <w:b/>
                                <w:color w:val="5F497A" w:themeColor="accent4" w:themeShade="BF"/>
                                <w:sz w:val="24"/>
                                <w:szCs w:val="24"/>
                              </w:rPr>
                              <w:t>:</w:t>
                            </w:r>
                          </w:p>
                          <w:p w14:paraId="5844D95D" w14:textId="77777777" w:rsidR="006712E0" w:rsidRPr="00AE6231" w:rsidRDefault="006712E0" w:rsidP="00047EF8">
                            <w:pPr>
                              <w:pStyle w:val="ListParagraph"/>
                              <w:numPr>
                                <w:ilvl w:val="0"/>
                                <w:numId w:val="83"/>
                              </w:numPr>
                              <w:spacing w:after="0"/>
                              <w:rPr>
                                <w:rStyle w:val="Hyperlink"/>
                                <w:rFonts w:ascii="Arial Narrow" w:hAnsi="Arial Narrow"/>
                                <w:b/>
                                <w:color w:val="5F497A" w:themeColor="accent4" w:themeShade="BF"/>
                                <w:sz w:val="21"/>
                                <w:szCs w:val="21"/>
                              </w:rPr>
                            </w:pPr>
                            <w:r>
                              <w:rPr>
                                <w:rStyle w:val="Hyperlink"/>
                                <w:rFonts w:ascii="Arial Narrow" w:hAnsi="Arial Narrow"/>
                                <w:color w:val="5F497A" w:themeColor="accent4" w:themeShade="BF"/>
                                <w:sz w:val="21"/>
                                <w:szCs w:val="21"/>
                              </w:rPr>
                              <w:t>Nac</w:t>
                            </w:r>
                            <w:r w:rsidRPr="00AE6231">
                              <w:rPr>
                                <w:rStyle w:val="Hyperlink"/>
                                <w:rFonts w:ascii="Arial Narrow" w:hAnsi="Arial Narrow"/>
                                <w:color w:val="5F497A" w:themeColor="accent4" w:themeShade="BF"/>
                                <w:sz w:val="21"/>
                                <w:szCs w:val="21"/>
                              </w:rPr>
                              <w:t>ional</w:t>
                            </w:r>
                            <w:r>
                              <w:rPr>
                                <w:rStyle w:val="Hyperlink"/>
                                <w:rFonts w:ascii="Arial Narrow" w:hAnsi="Arial Narrow"/>
                                <w:color w:val="5F497A" w:themeColor="accent4" w:themeShade="BF"/>
                                <w:sz w:val="21"/>
                                <w:szCs w:val="21"/>
                              </w:rPr>
                              <w:t>na strategija o klimatskim promjenama</w:t>
                            </w:r>
                            <w:r w:rsidRPr="00AE6231">
                              <w:rPr>
                                <w:rStyle w:val="Hyperlink"/>
                                <w:rFonts w:ascii="Arial Narrow" w:hAnsi="Arial Narrow"/>
                                <w:color w:val="5F497A" w:themeColor="accent4" w:themeShade="BF"/>
                                <w:sz w:val="21"/>
                                <w:szCs w:val="21"/>
                              </w:rPr>
                              <w:t xml:space="preserve"> 2015-2030</w:t>
                            </w:r>
                            <w:r>
                              <w:rPr>
                                <w:rStyle w:val="Hyperlink"/>
                                <w:rFonts w:ascii="Arial Narrow" w:hAnsi="Arial Narrow"/>
                                <w:color w:val="5F497A" w:themeColor="accent4" w:themeShade="BF"/>
                                <w:sz w:val="21"/>
                                <w:szCs w:val="21"/>
                              </w:rPr>
                              <w:t>.</w:t>
                            </w:r>
                          </w:p>
                          <w:p w14:paraId="6453B148" w14:textId="77777777" w:rsidR="006712E0" w:rsidRPr="00AE6231" w:rsidRDefault="006712E0" w:rsidP="00047EF8">
                            <w:pPr>
                              <w:pStyle w:val="ListParagraph"/>
                              <w:numPr>
                                <w:ilvl w:val="0"/>
                                <w:numId w:val="83"/>
                              </w:numPr>
                              <w:spacing w:after="0"/>
                              <w:rPr>
                                <w:rStyle w:val="Hyperlink"/>
                                <w:rFonts w:ascii="Arial Narrow" w:hAnsi="Arial Narrow"/>
                                <w:b/>
                                <w:color w:val="5F497A" w:themeColor="accent4" w:themeShade="BF"/>
                                <w:sz w:val="21"/>
                                <w:szCs w:val="21"/>
                              </w:rPr>
                            </w:pPr>
                            <w:r>
                              <w:rPr>
                                <w:rStyle w:val="Hyperlink"/>
                                <w:rFonts w:ascii="Arial Narrow" w:hAnsi="Arial Narrow"/>
                                <w:color w:val="5F497A" w:themeColor="accent4" w:themeShade="BF"/>
                                <w:sz w:val="21"/>
                                <w:szCs w:val="21"/>
                              </w:rPr>
                              <w:t>Nac</w:t>
                            </w:r>
                            <w:r w:rsidRPr="00AE6231">
                              <w:rPr>
                                <w:rStyle w:val="Hyperlink"/>
                                <w:rFonts w:ascii="Arial Narrow" w:hAnsi="Arial Narrow"/>
                                <w:color w:val="5F497A" w:themeColor="accent4" w:themeShade="BF"/>
                                <w:sz w:val="21"/>
                                <w:szCs w:val="21"/>
                              </w:rPr>
                              <w:t>ional</w:t>
                            </w:r>
                            <w:r>
                              <w:rPr>
                                <w:rStyle w:val="Hyperlink"/>
                                <w:rFonts w:ascii="Arial Narrow" w:hAnsi="Arial Narrow"/>
                                <w:color w:val="5F497A" w:themeColor="accent4" w:themeShade="BF"/>
                                <w:sz w:val="21"/>
                                <w:szCs w:val="21"/>
                              </w:rPr>
                              <w:t>na strategija upravljanja integrisanom obalskom zonom</w:t>
                            </w:r>
                            <w:r w:rsidRPr="00AE6231">
                              <w:rPr>
                                <w:rStyle w:val="Hyperlink"/>
                                <w:rFonts w:ascii="Arial Narrow" w:hAnsi="Arial Narrow"/>
                                <w:color w:val="5F497A" w:themeColor="accent4" w:themeShade="BF"/>
                                <w:sz w:val="21"/>
                                <w:szCs w:val="21"/>
                              </w:rPr>
                              <w:t xml:space="preserve"> 2015-2030</w:t>
                            </w:r>
                            <w:r>
                              <w:rPr>
                                <w:rStyle w:val="Hyperlink"/>
                                <w:rFonts w:ascii="Arial Narrow" w:hAnsi="Arial Narrow"/>
                                <w:color w:val="5F497A" w:themeColor="accent4" w:themeShade="BF"/>
                                <w:sz w:val="21"/>
                                <w:szCs w:val="21"/>
                              </w:rPr>
                              <w:t>.</w:t>
                            </w:r>
                          </w:p>
                          <w:p w14:paraId="79C4F197" w14:textId="77777777" w:rsidR="006712E0" w:rsidRPr="00AE6231" w:rsidRDefault="006712E0" w:rsidP="00047EF8">
                            <w:pPr>
                              <w:pStyle w:val="ListParagraph"/>
                              <w:numPr>
                                <w:ilvl w:val="0"/>
                                <w:numId w:val="83"/>
                              </w:numPr>
                              <w:spacing w:after="0"/>
                              <w:rPr>
                                <w:rStyle w:val="Hyperlink"/>
                                <w:rFonts w:ascii="Arial Narrow" w:hAnsi="Arial Narrow"/>
                                <w:b/>
                                <w:color w:val="5F497A" w:themeColor="accent4" w:themeShade="BF"/>
                                <w:sz w:val="21"/>
                                <w:szCs w:val="21"/>
                              </w:rPr>
                            </w:pPr>
                            <w:r>
                              <w:rPr>
                                <w:rStyle w:val="Hyperlink"/>
                                <w:rFonts w:ascii="Arial Narrow" w:hAnsi="Arial Narrow"/>
                                <w:color w:val="5F497A" w:themeColor="accent4" w:themeShade="BF"/>
                                <w:sz w:val="21"/>
                                <w:szCs w:val="21"/>
                              </w:rPr>
                              <w:t>Naci</w:t>
                            </w:r>
                            <w:r w:rsidRPr="00AE6231">
                              <w:rPr>
                                <w:rStyle w:val="Hyperlink"/>
                                <w:rFonts w:ascii="Arial Narrow" w:hAnsi="Arial Narrow"/>
                                <w:color w:val="5F497A" w:themeColor="accent4" w:themeShade="BF"/>
                                <w:sz w:val="21"/>
                                <w:szCs w:val="21"/>
                              </w:rPr>
                              <w:t>onal</w:t>
                            </w:r>
                            <w:r>
                              <w:rPr>
                                <w:rStyle w:val="Hyperlink"/>
                                <w:rFonts w:ascii="Arial Narrow" w:hAnsi="Arial Narrow"/>
                                <w:color w:val="5F497A" w:themeColor="accent4" w:themeShade="BF"/>
                                <w:sz w:val="21"/>
                                <w:szCs w:val="21"/>
                              </w:rPr>
                              <w:t>na strategija upravljanja hemikalijama</w:t>
                            </w:r>
                            <w:r w:rsidRPr="00AE6231">
                              <w:rPr>
                                <w:rStyle w:val="Hyperlink"/>
                                <w:rFonts w:ascii="Arial Narrow" w:hAnsi="Arial Narrow"/>
                                <w:color w:val="5F497A" w:themeColor="accent4" w:themeShade="BF"/>
                                <w:sz w:val="21"/>
                                <w:szCs w:val="21"/>
                              </w:rPr>
                              <w:t xml:space="preserve"> 2019-2022</w:t>
                            </w:r>
                            <w:r>
                              <w:rPr>
                                <w:rStyle w:val="Hyperlink"/>
                                <w:rFonts w:ascii="Arial Narrow" w:hAnsi="Arial Narrow"/>
                                <w:color w:val="5F497A" w:themeColor="accent4" w:themeShade="BF"/>
                                <w:sz w:val="21"/>
                                <w:szCs w:val="21"/>
                              </w:rPr>
                              <w:t>.</w:t>
                            </w:r>
                          </w:p>
                          <w:p w14:paraId="13753747" w14:textId="77777777" w:rsidR="006712E0" w:rsidRPr="00AE6231" w:rsidRDefault="006712E0" w:rsidP="00047EF8">
                            <w:pPr>
                              <w:pStyle w:val="ListParagraph"/>
                              <w:numPr>
                                <w:ilvl w:val="0"/>
                                <w:numId w:val="83"/>
                              </w:numPr>
                              <w:spacing w:after="0"/>
                              <w:rPr>
                                <w:rStyle w:val="Hyperlink"/>
                                <w:rFonts w:ascii="Arial Narrow" w:hAnsi="Arial Narrow"/>
                                <w:b/>
                                <w:color w:val="5F497A" w:themeColor="accent4" w:themeShade="BF"/>
                                <w:sz w:val="21"/>
                                <w:szCs w:val="21"/>
                              </w:rPr>
                            </w:pPr>
                            <w:r>
                              <w:rPr>
                                <w:rStyle w:val="Hyperlink"/>
                                <w:rFonts w:ascii="Arial Narrow" w:hAnsi="Arial Narrow"/>
                                <w:color w:val="5F497A" w:themeColor="accent4" w:themeShade="BF"/>
                                <w:sz w:val="21"/>
                                <w:szCs w:val="21"/>
                              </w:rPr>
                              <w:t>Strategija za zaštitu protiv jonizuju</w:t>
                            </w:r>
                            <w:r>
                              <w:rPr>
                                <w:rStyle w:val="Hyperlink"/>
                                <w:rFonts w:ascii="Times New Roman" w:hAnsi="Times New Roman"/>
                                <w:color w:val="5F497A" w:themeColor="accent4" w:themeShade="BF"/>
                                <w:sz w:val="21"/>
                                <w:szCs w:val="21"/>
                              </w:rPr>
                              <w:t>ć</w:t>
                            </w:r>
                            <w:r>
                              <w:rPr>
                                <w:rStyle w:val="Hyperlink"/>
                                <w:rFonts w:ascii="Arial Narrow" w:hAnsi="Arial Narrow"/>
                                <w:color w:val="5F497A" w:themeColor="accent4" w:themeShade="BF"/>
                                <w:sz w:val="21"/>
                                <w:szCs w:val="21"/>
                              </w:rPr>
                              <w:t>eg zra</w:t>
                            </w:r>
                            <w:r>
                              <w:rPr>
                                <w:rStyle w:val="Hyperlink"/>
                                <w:rFonts w:ascii="Times New Roman" w:hAnsi="Times New Roman"/>
                                <w:color w:val="5F497A" w:themeColor="accent4" w:themeShade="BF"/>
                                <w:sz w:val="21"/>
                                <w:szCs w:val="21"/>
                              </w:rPr>
                              <w:t>č</w:t>
                            </w:r>
                            <w:r>
                              <w:rPr>
                                <w:rStyle w:val="Hyperlink"/>
                                <w:rFonts w:ascii="Arial Narrow" w:hAnsi="Arial Narrow"/>
                                <w:color w:val="5F497A" w:themeColor="accent4" w:themeShade="BF"/>
                                <w:sz w:val="21"/>
                                <w:szCs w:val="21"/>
                              </w:rPr>
                              <w:t>enja, bezbjednost od zra</w:t>
                            </w:r>
                            <w:r>
                              <w:rPr>
                                <w:rStyle w:val="Hyperlink"/>
                                <w:rFonts w:ascii="Times New Roman" w:hAnsi="Times New Roman"/>
                                <w:color w:val="5F497A" w:themeColor="accent4" w:themeShade="BF"/>
                                <w:sz w:val="21"/>
                                <w:szCs w:val="21"/>
                              </w:rPr>
                              <w:t>č</w:t>
                            </w:r>
                            <w:r>
                              <w:rPr>
                                <w:rStyle w:val="Hyperlink"/>
                                <w:rFonts w:ascii="Arial Narrow" w:hAnsi="Arial Narrow"/>
                                <w:color w:val="5F497A" w:themeColor="accent4" w:themeShade="BF"/>
                                <w:sz w:val="21"/>
                                <w:szCs w:val="21"/>
                              </w:rPr>
                              <w:t>enja i upravljanje radiokativnim otpadom</w:t>
                            </w:r>
                            <w:r w:rsidRPr="00AE6231">
                              <w:rPr>
                                <w:rStyle w:val="Hyperlink"/>
                                <w:rFonts w:ascii="Arial Narrow" w:hAnsi="Arial Narrow"/>
                                <w:color w:val="5F497A" w:themeColor="accent4" w:themeShade="BF"/>
                                <w:sz w:val="21"/>
                                <w:szCs w:val="21"/>
                              </w:rPr>
                              <w:t xml:space="preserve"> 2017-2021</w:t>
                            </w:r>
                            <w:r>
                              <w:rPr>
                                <w:rStyle w:val="Hyperlink"/>
                                <w:rFonts w:ascii="Arial Narrow" w:hAnsi="Arial Narrow"/>
                                <w:color w:val="5F497A" w:themeColor="accent4" w:themeShade="BF"/>
                                <w:sz w:val="21"/>
                                <w:szCs w:val="21"/>
                              </w:rPr>
                              <w:t>.</w:t>
                            </w:r>
                            <w:r w:rsidRPr="00AE6231">
                              <w:rPr>
                                <w:rStyle w:val="Hyperlink"/>
                                <w:rFonts w:ascii="Arial Narrow" w:hAnsi="Arial Narrow"/>
                                <w:color w:val="5F497A" w:themeColor="accent4" w:themeShade="BF"/>
                                <w:sz w:val="21"/>
                                <w:szCs w:val="21"/>
                              </w:rPr>
                              <w:t xml:space="preserve"> </w:t>
                            </w:r>
                            <w:r>
                              <w:rPr>
                                <w:rStyle w:val="Hyperlink"/>
                                <w:rFonts w:ascii="Arial Narrow" w:hAnsi="Arial Narrow"/>
                                <w:color w:val="5F497A" w:themeColor="accent4" w:themeShade="BF"/>
                                <w:sz w:val="21"/>
                                <w:szCs w:val="21"/>
                              </w:rPr>
                              <w:t>sa nacrtom Akcionog plana</w:t>
                            </w:r>
                            <w:r w:rsidRPr="00AE6231">
                              <w:rPr>
                                <w:rStyle w:val="Hyperlink"/>
                                <w:rFonts w:ascii="Arial Narrow" w:hAnsi="Arial Narrow"/>
                                <w:color w:val="5F497A" w:themeColor="accent4" w:themeShade="BF"/>
                                <w:sz w:val="21"/>
                                <w:szCs w:val="21"/>
                              </w:rPr>
                              <w:t xml:space="preserve"> 2017-2021</w:t>
                            </w:r>
                            <w:r>
                              <w:rPr>
                                <w:rStyle w:val="Hyperlink"/>
                                <w:rFonts w:ascii="Arial Narrow" w:hAnsi="Arial Narrow"/>
                                <w:color w:val="5F497A" w:themeColor="accent4" w:themeShade="BF"/>
                                <w:sz w:val="21"/>
                                <w:szCs w:val="21"/>
                              </w:rPr>
                              <w:t>.</w:t>
                            </w:r>
                          </w:p>
                          <w:p w14:paraId="12D6575E" w14:textId="77777777" w:rsidR="006712E0" w:rsidRPr="00AE6231" w:rsidRDefault="006712E0" w:rsidP="00047EF8">
                            <w:pPr>
                              <w:pStyle w:val="ListParagraph"/>
                              <w:numPr>
                                <w:ilvl w:val="0"/>
                                <w:numId w:val="83"/>
                              </w:numPr>
                              <w:spacing w:after="0" w:line="240" w:lineRule="auto"/>
                              <w:jc w:val="both"/>
                              <w:rPr>
                                <w:rStyle w:val="Hyperlink"/>
                                <w:rFonts w:ascii="Arial Narrow" w:hAnsi="Arial Narrow"/>
                                <w:b/>
                                <w:color w:val="5F497A" w:themeColor="accent4" w:themeShade="BF"/>
                                <w:sz w:val="21"/>
                                <w:szCs w:val="21"/>
                              </w:rPr>
                            </w:pPr>
                            <w:r>
                              <w:rPr>
                                <w:rStyle w:val="Hyperlink"/>
                                <w:rFonts w:ascii="Arial Narrow" w:hAnsi="Arial Narrow"/>
                                <w:color w:val="5F497A" w:themeColor="accent4" w:themeShade="BF"/>
                                <w:sz w:val="21"/>
                                <w:szCs w:val="21"/>
                              </w:rPr>
                              <w:t xml:space="preserve">Strategija upravljanja otpadom </w:t>
                            </w:r>
                            <w:r w:rsidRPr="00AE6231">
                              <w:rPr>
                                <w:rStyle w:val="Hyperlink"/>
                                <w:rFonts w:ascii="Arial Narrow" w:hAnsi="Arial Narrow"/>
                                <w:color w:val="5F497A" w:themeColor="accent4" w:themeShade="BF"/>
                                <w:sz w:val="21"/>
                                <w:szCs w:val="21"/>
                              </w:rPr>
                              <w:t>2015-2030</w:t>
                            </w:r>
                            <w:r>
                              <w:rPr>
                                <w:rStyle w:val="Hyperlink"/>
                                <w:rFonts w:ascii="Arial Narrow" w:hAnsi="Arial Narrow"/>
                                <w:color w:val="5F497A" w:themeColor="accent4" w:themeShade="BF"/>
                                <w:sz w:val="21"/>
                                <w:szCs w:val="21"/>
                              </w:rPr>
                              <w:t>.</w:t>
                            </w:r>
                          </w:p>
                          <w:p w14:paraId="43E269F2" w14:textId="77777777" w:rsidR="006712E0" w:rsidRPr="00AE6231" w:rsidRDefault="001D48BA" w:rsidP="00047EF8">
                            <w:pPr>
                              <w:pStyle w:val="ListParagraph"/>
                              <w:numPr>
                                <w:ilvl w:val="0"/>
                                <w:numId w:val="83"/>
                              </w:numPr>
                              <w:spacing w:after="0" w:line="240" w:lineRule="auto"/>
                              <w:jc w:val="both"/>
                              <w:rPr>
                                <w:rFonts w:ascii="Arial Narrow" w:hAnsi="Arial Narrow"/>
                                <w:b/>
                                <w:bCs/>
                                <w:color w:val="5F497A" w:themeColor="accent4" w:themeShade="BF"/>
                                <w:sz w:val="21"/>
                                <w:szCs w:val="21"/>
                              </w:rPr>
                            </w:pPr>
                            <w:hyperlink r:id="rId77" w:history="1">
                              <w:r w:rsidR="006712E0">
                                <w:rPr>
                                  <w:rStyle w:val="Hyperlink"/>
                                  <w:rFonts w:ascii="Arial Narrow" w:hAnsi="Arial Narrow"/>
                                  <w:bCs/>
                                  <w:color w:val="5F497A" w:themeColor="accent4" w:themeShade="BF"/>
                                  <w:sz w:val="21"/>
                                  <w:szCs w:val="21"/>
                                </w:rPr>
                                <w:t>Nac</w:t>
                              </w:r>
                              <w:r w:rsidR="006712E0" w:rsidRPr="00AE6231">
                                <w:rPr>
                                  <w:rStyle w:val="Hyperlink"/>
                                  <w:rFonts w:ascii="Arial Narrow" w:hAnsi="Arial Narrow"/>
                                  <w:bCs/>
                                  <w:color w:val="5F497A" w:themeColor="accent4" w:themeShade="BF"/>
                                  <w:sz w:val="21"/>
                                  <w:szCs w:val="21"/>
                                </w:rPr>
                                <w:t>ional</w:t>
                              </w:r>
                              <w:r w:rsidR="006712E0">
                                <w:rPr>
                                  <w:rStyle w:val="Hyperlink"/>
                                  <w:rFonts w:ascii="Arial Narrow" w:hAnsi="Arial Narrow"/>
                                  <w:bCs/>
                                  <w:color w:val="5F497A" w:themeColor="accent4" w:themeShade="BF"/>
                                  <w:sz w:val="21"/>
                                  <w:szCs w:val="21"/>
                                </w:rPr>
                                <w:t>ni plan za implementaciju Štokholmske konvencije</w:t>
                              </w:r>
                            </w:hyperlink>
                            <w:r w:rsidR="006712E0" w:rsidRPr="00AE6231">
                              <w:rPr>
                                <w:rFonts w:ascii="Arial Narrow" w:hAnsi="Arial Narrow"/>
                                <w:b/>
                                <w:bCs/>
                                <w:color w:val="5F497A" w:themeColor="accent4" w:themeShade="BF"/>
                                <w:sz w:val="21"/>
                                <w:szCs w:val="21"/>
                              </w:rPr>
                              <w:t xml:space="preserve"> </w:t>
                            </w:r>
                          </w:p>
                          <w:p w14:paraId="6007369D" w14:textId="77777777" w:rsidR="006712E0" w:rsidRPr="00443814" w:rsidRDefault="006712E0" w:rsidP="00047EF8">
                            <w:pPr>
                              <w:spacing w:after="0" w:line="240" w:lineRule="auto"/>
                              <w:jc w:val="both"/>
                              <w:rPr>
                                <w:rFonts w:ascii="Arial Narrow" w:hAnsi="Arial Narrow"/>
                                <w:b/>
                                <w:bCs/>
                                <w:color w:val="5F497A" w:themeColor="accent4" w:themeShade="BF"/>
                                <w:sz w:val="21"/>
                                <w:szCs w:val="21"/>
                                <w:u w:val="single"/>
                                <w:lang w:val="bs-Latn-B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B8354" id="Rounded Rectangle 23523" o:spid="_x0000_s1123" style="position:absolute;left:0;text-align:left;margin-left:-20.5pt;margin-top:63.1pt;width:433.5pt;height:150.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" fillcolor="window" strokecolor="#ffc000" strokeweight="1pt">
                <v:stroke joinstyle="miter"/>
                <v:path arrowok="t"/>
                <v:textbox>
                  <w:txbxContent>
                    <w:p w14:paraId="219B2771" w14:textId="77777777" w:rsidR="006712E0" w:rsidRPr="001C6D17" w:rsidRDefault="006712E0" w:rsidP="00047EF8">
                      <w:pPr>
                        <w:jc w:val="center"/>
                        <w:rPr>
                          <w:rFonts w:ascii="Arial Narrow" w:hAnsi="Arial Narrow"/>
                          <w:b/>
                          <w:color w:val="5F497A" w:themeColor="accent4" w:themeShade="BF"/>
                          <w:sz w:val="24"/>
                          <w:szCs w:val="24"/>
                        </w:rPr>
                      </w:pPr>
                      <w:r>
                        <w:rPr>
                          <w:rFonts w:ascii="Arial Narrow" w:hAnsi="Arial Narrow"/>
                          <w:b/>
                          <w:color w:val="5F497A" w:themeColor="accent4" w:themeShade="BF"/>
                          <w:sz w:val="24"/>
                          <w:szCs w:val="24"/>
                        </w:rPr>
                        <w:t>SEKTORSKE STRATEGIJE</w:t>
                      </w:r>
                      <w:r w:rsidRPr="001C6D17">
                        <w:rPr>
                          <w:rFonts w:ascii="Arial Narrow" w:hAnsi="Arial Narrow"/>
                          <w:b/>
                          <w:color w:val="5F497A" w:themeColor="accent4" w:themeShade="BF"/>
                          <w:sz w:val="24"/>
                          <w:szCs w:val="24"/>
                        </w:rPr>
                        <w:t>:</w:t>
                      </w:r>
                    </w:p>
                    <w:p w14:paraId="5844D95D" w14:textId="77777777" w:rsidR="006712E0" w:rsidRPr="00AE6231" w:rsidRDefault="006712E0" w:rsidP="00047EF8">
                      <w:pPr>
                        <w:pStyle w:val="ListParagraph"/>
                        <w:numPr>
                          <w:ilvl w:val="0"/>
                          <w:numId w:val="83"/>
                        </w:numPr>
                        <w:spacing w:after="0"/>
                        <w:rPr>
                          <w:rStyle w:val="Hyperlink"/>
                          <w:rFonts w:ascii="Arial Narrow" w:hAnsi="Arial Narrow"/>
                          <w:b/>
                          <w:color w:val="5F497A" w:themeColor="accent4" w:themeShade="BF"/>
                          <w:sz w:val="21"/>
                          <w:szCs w:val="21"/>
                        </w:rPr>
                      </w:pPr>
                      <w:r>
                        <w:rPr>
                          <w:rStyle w:val="Hyperlink"/>
                          <w:rFonts w:ascii="Arial Narrow" w:hAnsi="Arial Narrow"/>
                          <w:color w:val="5F497A" w:themeColor="accent4" w:themeShade="BF"/>
                          <w:sz w:val="21"/>
                          <w:szCs w:val="21"/>
                        </w:rPr>
                        <w:t>Nac</w:t>
                      </w:r>
                      <w:r w:rsidRPr="00AE6231">
                        <w:rPr>
                          <w:rStyle w:val="Hyperlink"/>
                          <w:rFonts w:ascii="Arial Narrow" w:hAnsi="Arial Narrow"/>
                          <w:color w:val="5F497A" w:themeColor="accent4" w:themeShade="BF"/>
                          <w:sz w:val="21"/>
                          <w:szCs w:val="21"/>
                        </w:rPr>
                        <w:t>ional</w:t>
                      </w:r>
                      <w:r>
                        <w:rPr>
                          <w:rStyle w:val="Hyperlink"/>
                          <w:rFonts w:ascii="Arial Narrow" w:hAnsi="Arial Narrow"/>
                          <w:color w:val="5F497A" w:themeColor="accent4" w:themeShade="BF"/>
                          <w:sz w:val="21"/>
                          <w:szCs w:val="21"/>
                        </w:rPr>
                        <w:t>na strategija o klimatskim promjenama</w:t>
                      </w:r>
                      <w:r w:rsidRPr="00AE6231">
                        <w:rPr>
                          <w:rStyle w:val="Hyperlink"/>
                          <w:rFonts w:ascii="Arial Narrow" w:hAnsi="Arial Narrow"/>
                          <w:color w:val="5F497A" w:themeColor="accent4" w:themeShade="BF"/>
                          <w:sz w:val="21"/>
                          <w:szCs w:val="21"/>
                        </w:rPr>
                        <w:t xml:space="preserve"> 2015-2030</w:t>
                      </w:r>
                      <w:r>
                        <w:rPr>
                          <w:rStyle w:val="Hyperlink"/>
                          <w:rFonts w:ascii="Arial Narrow" w:hAnsi="Arial Narrow"/>
                          <w:color w:val="5F497A" w:themeColor="accent4" w:themeShade="BF"/>
                          <w:sz w:val="21"/>
                          <w:szCs w:val="21"/>
                        </w:rPr>
                        <w:t>.</w:t>
                      </w:r>
                    </w:p>
                    <w:p w14:paraId="6453B148" w14:textId="77777777" w:rsidR="006712E0" w:rsidRPr="00AE6231" w:rsidRDefault="006712E0" w:rsidP="00047EF8">
                      <w:pPr>
                        <w:pStyle w:val="ListParagraph"/>
                        <w:numPr>
                          <w:ilvl w:val="0"/>
                          <w:numId w:val="83"/>
                        </w:numPr>
                        <w:spacing w:after="0"/>
                        <w:rPr>
                          <w:rStyle w:val="Hyperlink"/>
                          <w:rFonts w:ascii="Arial Narrow" w:hAnsi="Arial Narrow"/>
                          <w:b/>
                          <w:color w:val="5F497A" w:themeColor="accent4" w:themeShade="BF"/>
                          <w:sz w:val="21"/>
                          <w:szCs w:val="21"/>
                        </w:rPr>
                      </w:pPr>
                      <w:r>
                        <w:rPr>
                          <w:rStyle w:val="Hyperlink"/>
                          <w:rFonts w:ascii="Arial Narrow" w:hAnsi="Arial Narrow"/>
                          <w:color w:val="5F497A" w:themeColor="accent4" w:themeShade="BF"/>
                          <w:sz w:val="21"/>
                          <w:szCs w:val="21"/>
                        </w:rPr>
                        <w:t>Nac</w:t>
                      </w:r>
                      <w:r w:rsidRPr="00AE6231">
                        <w:rPr>
                          <w:rStyle w:val="Hyperlink"/>
                          <w:rFonts w:ascii="Arial Narrow" w:hAnsi="Arial Narrow"/>
                          <w:color w:val="5F497A" w:themeColor="accent4" w:themeShade="BF"/>
                          <w:sz w:val="21"/>
                          <w:szCs w:val="21"/>
                        </w:rPr>
                        <w:t>ional</w:t>
                      </w:r>
                      <w:r>
                        <w:rPr>
                          <w:rStyle w:val="Hyperlink"/>
                          <w:rFonts w:ascii="Arial Narrow" w:hAnsi="Arial Narrow"/>
                          <w:color w:val="5F497A" w:themeColor="accent4" w:themeShade="BF"/>
                          <w:sz w:val="21"/>
                          <w:szCs w:val="21"/>
                        </w:rPr>
                        <w:t>na strategija upravljanja integrisanom obalskom zonom</w:t>
                      </w:r>
                      <w:r w:rsidRPr="00AE6231">
                        <w:rPr>
                          <w:rStyle w:val="Hyperlink"/>
                          <w:rFonts w:ascii="Arial Narrow" w:hAnsi="Arial Narrow"/>
                          <w:color w:val="5F497A" w:themeColor="accent4" w:themeShade="BF"/>
                          <w:sz w:val="21"/>
                          <w:szCs w:val="21"/>
                        </w:rPr>
                        <w:t xml:space="preserve"> 2015-2030</w:t>
                      </w:r>
                      <w:r>
                        <w:rPr>
                          <w:rStyle w:val="Hyperlink"/>
                          <w:rFonts w:ascii="Arial Narrow" w:hAnsi="Arial Narrow"/>
                          <w:color w:val="5F497A" w:themeColor="accent4" w:themeShade="BF"/>
                          <w:sz w:val="21"/>
                          <w:szCs w:val="21"/>
                        </w:rPr>
                        <w:t>.</w:t>
                      </w:r>
                    </w:p>
                    <w:p w14:paraId="79C4F197" w14:textId="77777777" w:rsidR="006712E0" w:rsidRPr="00AE6231" w:rsidRDefault="006712E0" w:rsidP="00047EF8">
                      <w:pPr>
                        <w:pStyle w:val="ListParagraph"/>
                        <w:numPr>
                          <w:ilvl w:val="0"/>
                          <w:numId w:val="83"/>
                        </w:numPr>
                        <w:spacing w:after="0"/>
                        <w:rPr>
                          <w:rStyle w:val="Hyperlink"/>
                          <w:rFonts w:ascii="Arial Narrow" w:hAnsi="Arial Narrow"/>
                          <w:b/>
                          <w:color w:val="5F497A" w:themeColor="accent4" w:themeShade="BF"/>
                          <w:sz w:val="21"/>
                          <w:szCs w:val="21"/>
                        </w:rPr>
                      </w:pPr>
                      <w:r>
                        <w:rPr>
                          <w:rStyle w:val="Hyperlink"/>
                          <w:rFonts w:ascii="Arial Narrow" w:hAnsi="Arial Narrow"/>
                          <w:color w:val="5F497A" w:themeColor="accent4" w:themeShade="BF"/>
                          <w:sz w:val="21"/>
                          <w:szCs w:val="21"/>
                        </w:rPr>
                        <w:t>Naci</w:t>
                      </w:r>
                      <w:r w:rsidRPr="00AE6231">
                        <w:rPr>
                          <w:rStyle w:val="Hyperlink"/>
                          <w:rFonts w:ascii="Arial Narrow" w:hAnsi="Arial Narrow"/>
                          <w:color w:val="5F497A" w:themeColor="accent4" w:themeShade="BF"/>
                          <w:sz w:val="21"/>
                          <w:szCs w:val="21"/>
                        </w:rPr>
                        <w:t>onal</w:t>
                      </w:r>
                      <w:r>
                        <w:rPr>
                          <w:rStyle w:val="Hyperlink"/>
                          <w:rFonts w:ascii="Arial Narrow" w:hAnsi="Arial Narrow"/>
                          <w:color w:val="5F497A" w:themeColor="accent4" w:themeShade="BF"/>
                          <w:sz w:val="21"/>
                          <w:szCs w:val="21"/>
                        </w:rPr>
                        <w:t>na strategija upravljanja hemikalijama</w:t>
                      </w:r>
                      <w:r w:rsidRPr="00AE6231">
                        <w:rPr>
                          <w:rStyle w:val="Hyperlink"/>
                          <w:rFonts w:ascii="Arial Narrow" w:hAnsi="Arial Narrow"/>
                          <w:color w:val="5F497A" w:themeColor="accent4" w:themeShade="BF"/>
                          <w:sz w:val="21"/>
                          <w:szCs w:val="21"/>
                        </w:rPr>
                        <w:t xml:space="preserve"> 2019-2022</w:t>
                      </w:r>
                      <w:r>
                        <w:rPr>
                          <w:rStyle w:val="Hyperlink"/>
                          <w:rFonts w:ascii="Arial Narrow" w:hAnsi="Arial Narrow"/>
                          <w:color w:val="5F497A" w:themeColor="accent4" w:themeShade="BF"/>
                          <w:sz w:val="21"/>
                          <w:szCs w:val="21"/>
                        </w:rPr>
                        <w:t>.</w:t>
                      </w:r>
                    </w:p>
                    <w:p w14:paraId="13753747" w14:textId="77777777" w:rsidR="006712E0" w:rsidRPr="00AE6231" w:rsidRDefault="006712E0" w:rsidP="00047EF8">
                      <w:pPr>
                        <w:pStyle w:val="ListParagraph"/>
                        <w:numPr>
                          <w:ilvl w:val="0"/>
                          <w:numId w:val="83"/>
                        </w:numPr>
                        <w:spacing w:after="0"/>
                        <w:rPr>
                          <w:rStyle w:val="Hyperlink"/>
                          <w:rFonts w:ascii="Arial Narrow" w:hAnsi="Arial Narrow"/>
                          <w:b/>
                          <w:color w:val="5F497A" w:themeColor="accent4" w:themeShade="BF"/>
                          <w:sz w:val="21"/>
                          <w:szCs w:val="21"/>
                        </w:rPr>
                      </w:pPr>
                      <w:r>
                        <w:rPr>
                          <w:rStyle w:val="Hyperlink"/>
                          <w:rFonts w:ascii="Arial Narrow" w:hAnsi="Arial Narrow"/>
                          <w:color w:val="5F497A" w:themeColor="accent4" w:themeShade="BF"/>
                          <w:sz w:val="21"/>
                          <w:szCs w:val="21"/>
                        </w:rPr>
                        <w:t>Strategija za zaštitu protiv jonizuju</w:t>
                      </w:r>
                      <w:r>
                        <w:rPr>
                          <w:rStyle w:val="Hyperlink"/>
                          <w:rFonts w:ascii="Times New Roman" w:hAnsi="Times New Roman"/>
                          <w:color w:val="5F497A" w:themeColor="accent4" w:themeShade="BF"/>
                          <w:sz w:val="21"/>
                          <w:szCs w:val="21"/>
                        </w:rPr>
                        <w:t>ć</w:t>
                      </w:r>
                      <w:r>
                        <w:rPr>
                          <w:rStyle w:val="Hyperlink"/>
                          <w:rFonts w:ascii="Arial Narrow" w:hAnsi="Arial Narrow"/>
                          <w:color w:val="5F497A" w:themeColor="accent4" w:themeShade="BF"/>
                          <w:sz w:val="21"/>
                          <w:szCs w:val="21"/>
                        </w:rPr>
                        <w:t>eg zra</w:t>
                      </w:r>
                      <w:r>
                        <w:rPr>
                          <w:rStyle w:val="Hyperlink"/>
                          <w:rFonts w:ascii="Times New Roman" w:hAnsi="Times New Roman"/>
                          <w:color w:val="5F497A" w:themeColor="accent4" w:themeShade="BF"/>
                          <w:sz w:val="21"/>
                          <w:szCs w:val="21"/>
                        </w:rPr>
                        <w:t>č</w:t>
                      </w:r>
                      <w:r>
                        <w:rPr>
                          <w:rStyle w:val="Hyperlink"/>
                          <w:rFonts w:ascii="Arial Narrow" w:hAnsi="Arial Narrow"/>
                          <w:color w:val="5F497A" w:themeColor="accent4" w:themeShade="BF"/>
                          <w:sz w:val="21"/>
                          <w:szCs w:val="21"/>
                        </w:rPr>
                        <w:t>enja, bezbjednost od zra</w:t>
                      </w:r>
                      <w:r>
                        <w:rPr>
                          <w:rStyle w:val="Hyperlink"/>
                          <w:rFonts w:ascii="Times New Roman" w:hAnsi="Times New Roman"/>
                          <w:color w:val="5F497A" w:themeColor="accent4" w:themeShade="BF"/>
                          <w:sz w:val="21"/>
                          <w:szCs w:val="21"/>
                        </w:rPr>
                        <w:t>č</w:t>
                      </w:r>
                      <w:r>
                        <w:rPr>
                          <w:rStyle w:val="Hyperlink"/>
                          <w:rFonts w:ascii="Arial Narrow" w:hAnsi="Arial Narrow"/>
                          <w:color w:val="5F497A" w:themeColor="accent4" w:themeShade="BF"/>
                          <w:sz w:val="21"/>
                          <w:szCs w:val="21"/>
                        </w:rPr>
                        <w:t>enja i upravljanje radiokativnim otpadom</w:t>
                      </w:r>
                      <w:r w:rsidRPr="00AE6231">
                        <w:rPr>
                          <w:rStyle w:val="Hyperlink"/>
                          <w:rFonts w:ascii="Arial Narrow" w:hAnsi="Arial Narrow"/>
                          <w:color w:val="5F497A" w:themeColor="accent4" w:themeShade="BF"/>
                          <w:sz w:val="21"/>
                          <w:szCs w:val="21"/>
                        </w:rPr>
                        <w:t xml:space="preserve"> 2017-2021</w:t>
                      </w:r>
                      <w:r>
                        <w:rPr>
                          <w:rStyle w:val="Hyperlink"/>
                          <w:rFonts w:ascii="Arial Narrow" w:hAnsi="Arial Narrow"/>
                          <w:color w:val="5F497A" w:themeColor="accent4" w:themeShade="BF"/>
                          <w:sz w:val="21"/>
                          <w:szCs w:val="21"/>
                        </w:rPr>
                        <w:t>.</w:t>
                      </w:r>
                      <w:r w:rsidRPr="00AE6231">
                        <w:rPr>
                          <w:rStyle w:val="Hyperlink"/>
                          <w:rFonts w:ascii="Arial Narrow" w:hAnsi="Arial Narrow"/>
                          <w:color w:val="5F497A" w:themeColor="accent4" w:themeShade="BF"/>
                          <w:sz w:val="21"/>
                          <w:szCs w:val="21"/>
                        </w:rPr>
                        <w:t xml:space="preserve"> </w:t>
                      </w:r>
                      <w:r>
                        <w:rPr>
                          <w:rStyle w:val="Hyperlink"/>
                          <w:rFonts w:ascii="Arial Narrow" w:hAnsi="Arial Narrow"/>
                          <w:color w:val="5F497A" w:themeColor="accent4" w:themeShade="BF"/>
                          <w:sz w:val="21"/>
                          <w:szCs w:val="21"/>
                        </w:rPr>
                        <w:t>sa nacrtom Akcionog plana</w:t>
                      </w:r>
                      <w:r w:rsidRPr="00AE6231">
                        <w:rPr>
                          <w:rStyle w:val="Hyperlink"/>
                          <w:rFonts w:ascii="Arial Narrow" w:hAnsi="Arial Narrow"/>
                          <w:color w:val="5F497A" w:themeColor="accent4" w:themeShade="BF"/>
                          <w:sz w:val="21"/>
                          <w:szCs w:val="21"/>
                        </w:rPr>
                        <w:t xml:space="preserve"> 2017-2021</w:t>
                      </w:r>
                      <w:r>
                        <w:rPr>
                          <w:rStyle w:val="Hyperlink"/>
                          <w:rFonts w:ascii="Arial Narrow" w:hAnsi="Arial Narrow"/>
                          <w:color w:val="5F497A" w:themeColor="accent4" w:themeShade="BF"/>
                          <w:sz w:val="21"/>
                          <w:szCs w:val="21"/>
                        </w:rPr>
                        <w:t>.</w:t>
                      </w:r>
                    </w:p>
                    <w:p w14:paraId="12D6575E" w14:textId="77777777" w:rsidR="006712E0" w:rsidRPr="00AE6231" w:rsidRDefault="006712E0" w:rsidP="00047EF8">
                      <w:pPr>
                        <w:pStyle w:val="ListParagraph"/>
                        <w:numPr>
                          <w:ilvl w:val="0"/>
                          <w:numId w:val="83"/>
                        </w:numPr>
                        <w:spacing w:after="0" w:line="240" w:lineRule="auto"/>
                        <w:jc w:val="both"/>
                        <w:rPr>
                          <w:rStyle w:val="Hyperlink"/>
                          <w:rFonts w:ascii="Arial Narrow" w:hAnsi="Arial Narrow"/>
                          <w:b/>
                          <w:color w:val="5F497A" w:themeColor="accent4" w:themeShade="BF"/>
                          <w:sz w:val="21"/>
                          <w:szCs w:val="21"/>
                        </w:rPr>
                      </w:pPr>
                      <w:r>
                        <w:rPr>
                          <w:rStyle w:val="Hyperlink"/>
                          <w:rFonts w:ascii="Arial Narrow" w:hAnsi="Arial Narrow"/>
                          <w:color w:val="5F497A" w:themeColor="accent4" w:themeShade="BF"/>
                          <w:sz w:val="21"/>
                          <w:szCs w:val="21"/>
                        </w:rPr>
                        <w:t xml:space="preserve">Strategija upravljanja otpadom </w:t>
                      </w:r>
                      <w:r w:rsidRPr="00AE6231">
                        <w:rPr>
                          <w:rStyle w:val="Hyperlink"/>
                          <w:rFonts w:ascii="Arial Narrow" w:hAnsi="Arial Narrow"/>
                          <w:color w:val="5F497A" w:themeColor="accent4" w:themeShade="BF"/>
                          <w:sz w:val="21"/>
                          <w:szCs w:val="21"/>
                        </w:rPr>
                        <w:t>2015-2030</w:t>
                      </w:r>
                      <w:r>
                        <w:rPr>
                          <w:rStyle w:val="Hyperlink"/>
                          <w:rFonts w:ascii="Arial Narrow" w:hAnsi="Arial Narrow"/>
                          <w:color w:val="5F497A" w:themeColor="accent4" w:themeShade="BF"/>
                          <w:sz w:val="21"/>
                          <w:szCs w:val="21"/>
                        </w:rPr>
                        <w:t>.</w:t>
                      </w:r>
                    </w:p>
                    <w:p w14:paraId="43E269F2" w14:textId="77777777" w:rsidR="006712E0" w:rsidRPr="00AE6231" w:rsidRDefault="006712E0" w:rsidP="00047EF8">
                      <w:pPr>
                        <w:pStyle w:val="ListParagraph"/>
                        <w:numPr>
                          <w:ilvl w:val="0"/>
                          <w:numId w:val="83"/>
                        </w:numPr>
                        <w:spacing w:after="0" w:line="240" w:lineRule="auto"/>
                        <w:jc w:val="both"/>
                        <w:rPr>
                          <w:rFonts w:ascii="Arial Narrow" w:hAnsi="Arial Narrow"/>
                          <w:b/>
                          <w:bCs/>
                          <w:color w:val="5F497A" w:themeColor="accent4" w:themeShade="BF"/>
                          <w:sz w:val="21"/>
                          <w:szCs w:val="21"/>
                        </w:rPr>
                      </w:pPr>
                      <w:hyperlink r:id="rId78" w:history="1">
                        <w:r>
                          <w:rPr>
                            <w:rStyle w:val="Hyperlink"/>
                            <w:rFonts w:ascii="Arial Narrow" w:hAnsi="Arial Narrow"/>
                            <w:bCs/>
                            <w:color w:val="5F497A" w:themeColor="accent4" w:themeShade="BF"/>
                            <w:sz w:val="21"/>
                            <w:szCs w:val="21"/>
                          </w:rPr>
                          <w:t>Nac</w:t>
                        </w:r>
                        <w:r w:rsidRPr="00AE6231">
                          <w:rPr>
                            <w:rStyle w:val="Hyperlink"/>
                            <w:rFonts w:ascii="Arial Narrow" w:hAnsi="Arial Narrow"/>
                            <w:bCs/>
                            <w:color w:val="5F497A" w:themeColor="accent4" w:themeShade="BF"/>
                            <w:sz w:val="21"/>
                            <w:szCs w:val="21"/>
                          </w:rPr>
                          <w:t>ional</w:t>
                        </w:r>
                        <w:r>
                          <w:rPr>
                            <w:rStyle w:val="Hyperlink"/>
                            <w:rFonts w:ascii="Arial Narrow" w:hAnsi="Arial Narrow"/>
                            <w:bCs/>
                            <w:color w:val="5F497A" w:themeColor="accent4" w:themeShade="BF"/>
                            <w:sz w:val="21"/>
                            <w:szCs w:val="21"/>
                          </w:rPr>
                          <w:t>ni plan za implementaciju Štokholmske konvencije</w:t>
                        </w:r>
                      </w:hyperlink>
                      <w:r w:rsidRPr="00AE6231">
                        <w:rPr>
                          <w:rFonts w:ascii="Arial Narrow" w:hAnsi="Arial Narrow"/>
                          <w:b/>
                          <w:bCs/>
                          <w:color w:val="5F497A" w:themeColor="accent4" w:themeShade="BF"/>
                          <w:sz w:val="21"/>
                          <w:szCs w:val="21"/>
                        </w:rPr>
                        <w:t xml:space="preserve"> </w:t>
                      </w:r>
                    </w:p>
                    <w:p w14:paraId="6007369D" w14:textId="77777777" w:rsidR="006712E0" w:rsidRPr="00443814" w:rsidRDefault="006712E0" w:rsidP="00047EF8">
                      <w:pPr>
                        <w:spacing w:after="0" w:line="240" w:lineRule="auto"/>
                        <w:jc w:val="both"/>
                        <w:rPr>
                          <w:rFonts w:ascii="Arial Narrow" w:hAnsi="Arial Narrow"/>
                          <w:b/>
                          <w:bCs/>
                          <w:color w:val="5F497A" w:themeColor="accent4" w:themeShade="BF"/>
                          <w:sz w:val="21"/>
                          <w:szCs w:val="21"/>
                          <w:u w:val="single"/>
                          <w:lang w:val="bs-Latn-BA"/>
                        </w:rPr>
                      </w:pP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91008" behindDoc="0" locked="0" layoutInCell="1" allowOverlap="1" wp14:anchorId="1319E7E3" wp14:editId="4865751D">
                <wp:simplePos x="0" y="0"/>
                <wp:positionH relativeFrom="margin">
                  <wp:align>right</wp:align>
                </wp:positionH>
                <wp:positionV relativeFrom="paragraph">
                  <wp:posOffset>789305</wp:posOffset>
                </wp:positionV>
                <wp:extent cx="1419225" cy="1876425"/>
                <wp:effectExtent l="0" t="0" r="9525" b="9525"/>
                <wp:wrapNone/>
                <wp:docPr id="23522" name="Rounded Rectangle 23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1876425"/>
                        </a:xfrm>
                        <a:prstGeom prst="roundRect">
                          <a:avLst/>
                        </a:prstGeom>
                        <a:solidFill>
                          <a:sysClr val="window" lastClr="FFFFFF"/>
                        </a:solidFill>
                        <a:ln w="12700" cap="flat" cmpd="sng" algn="ctr">
                          <a:solidFill>
                            <a:srgbClr val="FFC000"/>
                          </a:solidFill>
                          <a:prstDash val="solid"/>
                          <a:miter lim="800000"/>
                        </a:ln>
                        <a:effectLst/>
                      </wps:spPr>
                      <wps:txbx>
                        <w:txbxContent>
                          <w:p w14:paraId="6240711F" w14:textId="77777777" w:rsidR="006712E0" w:rsidRPr="001C6D17" w:rsidRDefault="006712E0" w:rsidP="00047EF8">
                            <w:pPr>
                              <w:jc w:val="center"/>
                              <w:rPr>
                                <w:rFonts w:ascii="Arial Narrow" w:hAnsi="Arial Narrow"/>
                                <w:b/>
                                <w:color w:val="5F497A" w:themeColor="accent4" w:themeShade="BF"/>
                                <w:sz w:val="24"/>
                                <w:szCs w:val="24"/>
                              </w:rPr>
                            </w:pPr>
                            <w:r>
                              <w:rPr>
                                <w:rFonts w:ascii="Arial Narrow" w:hAnsi="Arial Narrow"/>
                                <w:b/>
                                <w:color w:val="5F497A" w:themeColor="accent4" w:themeShade="BF"/>
                                <w:sz w:val="24"/>
                                <w:szCs w:val="24"/>
                              </w:rPr>
                              <w:t>SEKTORSKI PROGRAMI</w:t>
                            </w:r>
                            <w:r w:rsidRPr="001C6D17">
                              <w:rPr>
                                <w:rFonts w:ascii="Arial Narrow" w:hAnsi="Arial Narrow"/>
                                <w:b/>
                                <w:color w:val="5F497A" w:themeColor="accent4" w:themeShade="BF"/>
                                <w:sz w:val="24"/>
                                <w:szCs w:val="24"/>
                              </w:rPr>
                              <w:t>:</w:t>
                            </w:r>
                          </w:p>
                          <w:p w14:paraId="5D409085" w14:textId="77777777" w:rsidR="006712E0" w:rsidRPr="00AE6231" w:rsidRDefault="001D48BA" w:rsidP="00047EF8">
                            <w:pPr>
                              <w:rPr>
                                <w:rStyle w:val="Hyperlink"/>
                                <w:rFonts w:ascii="Arial Narrow" w:hAnsi="Arial Narrow"/>
                                <w:b/>
                                <w:color w:val="5F497A" w:themeColor="accent4" w:themeShade="BF"/>
                              </w:rPr>
                            </w:pPr>
                            <w:hyperlink r:id="rId79" w:history="1">
                              <w:r w:rsidR="006712E0">
                                <w:rPr>
                                  <w:rStyle w:val="Hyperlink"/>
                                  <w:rFonts w:ascii="Arial Narrow" w:hAnsi="Arial Narrow"/>
                                  <w:color w:val="5F497A" w:themeColor="accent4" w:themeShade="BF"/>
                                </w:rPr>
                                <w:t>Program za zaštitu od zra</w:t>
                              </w:r>
                              <w:r w:rsidR="006712E0">
                                <w:rPr>
                                  <w:rStyle w:val="Hyperlink"/>
                                  <w:rFonts w:ascii="Times New Roman" w:hAnsi="Times New Roman"/>
                                  <w:color w:val="5F497A" w:themeColor="accent4" w:themeShade="BF"/>
                                </w:rPr>
                                <w:t>č</w:t>
                              </w:r>
                              <w:r w:rsidR="006712E0">
                                <w:rPr>
                                  <w:rStyle w:val="Hyperlink"/>
                                  <w:rFonts w:ascii="Arial Narrow" w:hAnsi="Arial Narrow"/>
                                  <w:color w:val="5F497A" w:themeColor="accent4" w:themeShade="BF"/>
                                </w:rPr>
                                <w:t>enja</w:t>
                              </w:r>
                              <w:r w:rsidR="006712E0" w:rsidRPr="00AE6231">
                                <w:rPr>
                                  <w:rStyle w:val="Hyperlink"/>
                                  <w:rFonts w:ascii="Arial Narrow" w:hAnsi="Arial Narrow"/>
                                  <w:color w:val="5F497A" w:themeColor="accent4" w:themeShade="BF"/>
                                </w:rPr>
                                <w:t xml:space="preserve"> 2019-2023</w:t>
                              </w:r>
                            </w:hyperlink>
                            <w:r w:rsidR="006712E0" w:rsidRPr="00AE6231">
                              <w:rPr>
                                <w:rStyle w:val="Hyperlink"/>
                                <w:rFonts w:ascii="Arial Narrow" w:hAnsi="Arial Narrow"/>
                                <w:color w:val="5F497A" w:themeColor="accent4" w:themeShade="BF"/>
                              </w:rPr>
                              <w:t xml:space="preserve"> </w:t>
                            </w:r>
                          </w:p>
                          <w:p w14:paraId="10F52B7D" w14:textId="77777777" w:rsidR="006712E0" w:rsidRPr="001C6D17" w:rsidRDefault="006712E0" w:rsidP="00047EF8">
                            <w:pPr>
                              <w:rPr>
                                <w:rFonts w:ascii="Arial Narrow" w:hAnsi="Arial Narrow"/>
                                <w:b/>
                                <w:color w:val="5F497A" w:themeColor="accent4" w:themeShade="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9E7E3" id="Rounded Rectangle 23522" o:spid="_x0000_s1124" style="position:absolute;left:0;text-align:left;margin-left:60.55pt;margin-top:62.15pt;width:111.75pt;height:147.7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" fillcolor="window" strokecolor="#ffc000" strokeweight="1pt">
                <v:stroke joinstyle="miter"/>
                <v:path arrowok="t"/>
                <v:textbox>
                  <w:txbxContent>
                    <w:p w14:paraId="6240711F" w14:textId="77777777" w:rsidR="006712E0" w:rsidRPr="001C6D17" w:rsidRDefault="006712E0" w:rsidP="00047EF8">
                      <w:pPr>
                        <w:jc w:val="center"/>
                        <w:rPr>
                          <w:rFonts w:ascii="Arial Narrow" w:hAnsi="Arial Narrow"/>
                          <w:b/>
                          <w:color w:val="5F497A" w:themeColor="accent4" w:themeShade="BF"/>
                          <w:sz w:val="24"/>
                          <w:szCs w:val="24"/>
                        </w:rPr>
                      </w:pPr>
                      <w:r>
                        <w:rPr>
                          <w:rFonts w:ascii="Arial Narrow" w:hAnsi="Arial Narrow"/>
                          <w:b/>
                          <w:color w:val="5F497A" w:themeColor="accent4" w:themeShade="BF"/>
                          <w:sz w:val="24"/>
                          <w:szCs w:val="24"/>
                        </w:rPr>
                        <w:t>SEKTORSKI PROGRAMI</w:t>
                      </w:r>
                      <w:r w:rsidRPr="001C6D17">
                        <w:rPr>
                          <w:rFonts w:ascii="Arial Narrow" w:hAnsi="Arial Narrow"/>
                          <w:b/>
                          <w:color w:val="5F497A" w:themeColor="accent4" w:themeShade="BF"/>
                          <w:sz w:val="24"/>
                          <w:szCs w:val="24"/>
                        </w:rPr>
                        <w:t>:</w:t>
                      </w:r>
                    </w:p>
                    <w:p w14:paraId="5D409085" w14:textId="77777777" w:rsidR="006712E0" w:rsidRPr="00AE6231" w:rsidRDefault="006712E0" w:rsidP="00047EF8">
                      <w:pPr>
                        <w:rPr>
                          <w:rStyle w:val="Hyperlink"/>
                          <w:rFonts w:ascii="Arial Narrow" w:hAnsi="Arial Narrow"/>
                          <w:b/>
                          <w:color w:val="5F497A" w:themeColor="accent4" w:themeShade="BF"/>
                        </w:rPr>
                      </w:pPr>
                      <w:hyperlink r:id="rId80" w:history="1">
                        <w:r>
                          <w:rPr>
                            <w:rStyle w:val="Hyperlink"/>
                            <w:rFonts w:ascii="Arial Narrow" w:hAnsi="Arial Narrow"/>
                            <w:color w:val="5F497A" w:themeColor="accent4" w:themeShade="BF"/>
                          </w:rPr>
                          <w:t>Program za zaštitu od zra</w:t>
                        </w:r>
                        <w:r>
                          <w:rPr>
                            <w:rStyle w:val="Hyperlink"/>
                            <w:rFonts w:ascii="Times New Roman" w:hAnsi="Times New Roman"/>
                            <w:color w:val="5F497A" w:themeColor="accent4" w:themeShade="BF"/>
                          </w:rPr>
                          <w:t>č</w:t>
                        </w:r>
                        <w:r>
                          <w:rPr>
                            <w:rStyle w:val="Hyperlink"/>
                            <w:rFonts w:ascii="Arial Narrow" w:hAnsi="Arial Narrow"/>
                            <w:color w:val="5F497A" w:themeColor="accent4" w:themeShade="BF"/>
                          </w:rPr>
                          <w:t>enja</w:t>
                        </w:r>
                        <w:r w:rsidRPr="00AE6231">
                          <w:rPr>
                            <w:rStyle w:val="Hyperlink"/>
                            <w:rFonts w:ascii="Arial Narrow" w:hAnsi="Arial Narrow"/>
                            <w:color w:val="5F497A" w:themeColor="accent4" w:themeShade="BF"/>
                          </w:rPr>
                          <w:t xml:space="preserve"> 2019-2023</w:t>
                        </w:r>
                      </w:hyperlink>
                      <w:r w:rsidRPr="00AE6231">
                        <w:rPr>
                          <w:rStyle w:val="Hyperlink"/>
                          <w:rFonts w:ascii="Arial Narrow" w:hAnsi="Arial Narrow"/>
                          <w:color w:val="5F497A" w:themeColor="accent4" w:themeShade="BF"/>
                        </w:rPr>
                        <w:t xml:space="preserve"> </w:t>
                      </w:r>
                    </w:p>
                    <w:p w14:paraId="10F52B7D" w14:textId="77777777" w:rsidR="006712E0" w:rsidRPr="001C6D17" w:rsidRDefault="006712E0" w:rsidP="00047EF8">
                      <w:pPr>
                        <w:rPr>
                          <w:rFonts w:ascii="Arial Narrow" w:hAnsi="Arial Narrow"/>
                          <w:b/>
                          <w:color w:val="5F497A" w:themeColor="accent4" w:themeShade="BF"/>
                          <w:sz w:val="20"/>
                          <w:szCs w:val="20"/>
                        </w:rPr>
                      </w:pPr>
                    </w:p>
                  </w:txbxContent>
                </v:textbox>
                <w10:wrap anchorx="margin"/>
              </v:roundrect>
            </w:pict>
          </mc:Fallback>
        </mc:AlternateContent>
      </w:r>
      <w:r w:rsidR="00864F83" w:rsidRPr="00F563CD">
        <w:rPr>
          <w:rFonts w:asciiTheme="minorHAnsi" w:hAnsiTheme="minorHAnsi"/>
          <w:color w:val="FFFFFF" w:themeColor="background1"/>
          <w:sz w:val="24"/>
          <w:szCs w:val="24"/>
          <w:u w:color="FFFFFF" w:themeColor="background1"/>
        </w:rPr>
        <w:br w:type="page"/>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88960" behindDoc="0" locked="0" layoutInCell="1" allowOverlap="1" wp14:anchorId="63E1B60C" wp14:editId="0F5E1499">
                <wp:simplePos x="0" y="0"/>
                <wp:positionH relativeFrom="margin">
                  <wp:align>center</wp:align>
                </wp:positionH>
                <wp:positionV relativeFrom="paragraph">
                  <wp:posOffset>9525</wp:posOffset>
                </wp:positionV>
                <wp:extent cx="7010400" cy="638175"/>
                <wp:effectExtent l="0" t="0" r="0" b="9525"/>
                <wp:wrapNone/>
                <wp:docPr id="23529" name="Rounded Rectangle 23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0" cy="638175"/>
                        </a:xfrm>
                        <a:prstGeom prst="roundRect">
                          <a:avLst/>
                        </a:prstGeom>
                        <a:solidFill>
                          <a:sysClr val="window" lastClr="FFFFFF"/>
                        </a:solidFill>
                        <a:ln w="12700" cap="flat" cmpd="sng" algn="ctr">
                          <a:solidFill>
                            <a:srgbClr val="FFC000"/>
                          </a:solidFill>
                          <a:prstDash val="solid"/>
                          <a:miter lim="800000"/>
                        </a:ln>
                        <a:effectLst/>
                      </wps:spPr>
                      <wps:txbx>
                        <w:txbxContent>
                          <w:p w14:paraId="09E8C413" w14:textId="77777777" w:rsidR="006712E0" w:rsidRPr="001C6D17" w:rsidRDefault="006712E0" w:rsidP="00047EF8">
                            <w:pPr>
                              <w:jc w:val="center"/>
                              <w:rPr>
                                <w:rFonts w:ascii="Arial Narrow" w:hAnsi="Arial Narrow"/>
                                <w:b/>
                                <w:color w:val="5F497A" w:themeColor="accent4" w:themeShade="BF"/>
                                <w:sz w:val="24"/>
                                <w:szCs w:val="24"/>
                              </w:rPr>
                            </w:pPr>
                            <w:r>
                              <w:rPr>
                                <w:rFonts w:ascii="Arial Narrow" w:hAnsi="Arial Narrow"/>
                                <w:b/>
                                <w:color w:val="5F497A" w:themeColor="accent4" w:themeShade="BF"/>
                                <w:sz w:val="24"/>
                                <w:szCs w:val="24"/>
                              </w:rPr>
                              <w:t>KROVNI DOKUMENTI</w:t>
                            </w:r>
                            <w:r w:rsidRPr="001C6D17">
                              <w:rPr>
                                <w:rFonts w:ascii="Arial Narrow" w:hAnsi="Arial Narrow"/>
                                <w:b/>
                                <w:color w:val="5F497A" w:themeColor="accent4" w:themeShade="BF"/>
                                <w:sz w:val="24"/>
                                <w:szCs w:val="24"/>
                              </w:rPr>
                              <w:t>:</w:t>
                            </w:r>
                          </w:p>
                          <w:p w14:paraId="41B6C8B2" w14:textId="77777777" w:rsidR="006712E0" w:rsidRPr="001C6D17" w:rsidRDefault="006712E0" w:rsidP="00047EF8">
                            <w:pPr>
                              <w:rPr>
                                <w:rFonts w:ascii="Arial Narrow" w:hAnsi="Arial Narrow"/>
                                <w:b/>
                                <w:color w:val="5F497A" w:themeColor="accent4" w:themeShade="BF"/>
                                <w:sz w:val="24"/>
                                <w:szCs w:val="24"/>
                              </w:rPr>
                            </w:pPr>
                            <w:r>
                              <w:rPr>
                                <w:rFonts w:ascii="Arial Narrow" w:hAnsi="Arial Narrow"/>
                                <w:b/>
                                <w:color w:val="5F497A" w:themeColor="accent4" w:themeShade="BF"/>
                              </w:rPr>
                              <w:t xml:space="preserve">Nacionalna straregija za održivi razvoj do </w:t>
                            </w:r>
                            <w:r w:rsidRPr="001C6D17">
                              <w:rPr>
                                <w:rFonts w:ascii="Arial Narrow" w:hAnsi="Arial Narrow"/>
                                <w:b/>
                                <w:color w:val="5F497A" w:themeColor="accent4" w:themeShade="BF"/>
                              </w:rPr>
                              <w:t>2030</w:t>
                            </w:r>
                            <w:r>
                              <w:rPr>
                                <w:rFonts w:ascii="Arial Narrow" w:hAnsi="Arial Narrow"/>
                                <w:b/>
                                <w:color w:val="5F497A" w:themeColor="accent4" w:themeShade="BF"/>
                              </w:rPr>
                              <w:t>. godine</w:t>
                            </w:r>
                          </w:p>
                          <w:p w14:paraId="1C3E2C8F" w14:textId="77777777" w:rsidR="006712E0" w:rsidRPr="00287E28" w:rsidRDefault="006712E0" w:rsidP="00047EF8">
                            <w:pPr>
                              <w:jc w:val="center"/>
                              <w:rPr>
                                <w:rFonts w:ascii="Arial Narrow" w:hAnsi="Arial Narrow"/>
                                <w:b/>
                                <w:color w:val="FFC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1B60C" id="Rounded Rectangle 23529" o:spid="_x0000_s1125" style="position:absolute;left:0;text-align:left;margin-left:0;margin-top:.75pt;width:552pt;height:50.25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" fillcolor="window" strokecolor="#ffc000" strokeweight="1pt">
                <v:stroke joinstyle="miter"/>
                <v:path arrowok="t"/>
                <v:textbox>
                  <w:txbxContent>
                    <w:p w14:paraId="09E8C413" w14:textId="77777777" w:rsidR="006712E0" w:rsidRPr="001C6D17" w:rsidRDefault="006712E0" w:rsidP="00047EF8">
                      <w:pPr>
                        <w:jc w:val="center"/>
                        <w:rPr>
                          <w:rFonts w:ascii="Arial Narrow" w:hAnsi="Arial Narrow"/>
                          <w:b/>
                          <w:color w:val="5F497A" w:themeColor="accent4" w:themeShade="BF"/>
                          <w:sz w:val="24"/>
                          <w:szCs w:val="24"/>
                        </w:rPr>
                      </w:pPr>
                      <w:r>
                        <w:rPr>
                          <w:rFonts w:ascii="Arial Narrow" w:hAnsi="Arial Narrow"/>
                          <w:b/>
                          <w:color w:val="5F497A" w:themeColor="accent4" w:themeShade="BF"/>
                          <w:sz w:val="24"/>
                          <w:szCs w:val="24"/>
                        </w:rPr>
                        <w:t>KROVNI DOKUMENTI</w:t>
                      </w:r>
                      <w:r w:rsidRPr="001C6D17">
                        <w:rPr>
                          <w:rFonts w:ascii="Arial Narrow" w:hAnsi="Arial Narrow"/>
                          <w:b/>
                          <w:color w:val="5F497A" w:themeColor="accent4" w:themeShade="BF"/>
                          <w:sz w:val="24"/>
                          <w:szCs w:val="24"/>
                        </w:rPr>
                        <w:t>:</w:t>
                      </w:r>
                    </w:p>
                    <w:p w14:paraId="41B6C8B2" w14:textId="77777777" w:rsidR="006712E0" w:rsidRPr="001C6D17" w:rsidRDefault="006712E0" w:rsidP="00047EF8">
                      <w:pPr>
                        <w:rPr>
                          <w:rFonts w:ascii="Arial Narrow" w:hAnsi="Arial Narrow"/>
                          <w:b/>
                          <w:color w:val="5F497A" w:themeColor="accent4" w:themeShade="BF"/>
                          <w:sz w:val="24"/>
                          <w:szCs w:val="24"/>
                        </w:rPr>
                      </w:pPr>
                      <w:r>
                        <w:rPr>
                          <w:rFonts w:ascii="Arial Narrow" w:hAnsi="Arial Narrow"/>
                          <w:b/>
                          <w:color w:val="5F497A" w:themeColor="accent4" w:themeShade="BF"/>
                        </w:rPr>
                        <w:t xml:space="preserve">Nacionalna straregija za održivi razvoj do </w:t>
                      </w:r>
                      <w:r w:rsidRPr="001C6D17">
                        <w:rPr>
                          <w:rFonts w:ascii="Arial Narrow" w:hAnsi="Arial Narrow"/>
                          <w:b/>
                          <w:color w:val="5F497A" w:themeColor="accent4" w:themeShade="BF"/>
                        </w:rPr>
                        <w:t>2030</w:t>
                      </w:r>
                      <w:r>
                        <w:rPr>
                          <w:rFonts w:ascii="Arial Narrow" w:hAnsi="Arial Narrow"/>
                          <w:b/>
                          <w:color w:val="5F497A" w:themeColor="accent4" w:themeShade="BF"/>
                        </w:rPr>
                        <w:t>. godine</w:t>
                      </w:r>
                    </w:p>
                    <w:p w14:paraId="1C3E2C8F" w14:textId="77777777" w:rsidR="006712E0" w:rsidRPr="00287E28" w:rsidRDefault="006712E0" w:rsidP="00047EF8">
                      <w:pPr>
                        <w:jc w:val="center"/>
                        <w:rPr>
                          <w:rFonts w:ascii="Arial Narrow" w:hAnsi="Arial Narrow"/>
                          <w:b/>
                          <w:color w:val="FFC000"/>
                          <w:sz w:val="24"/>
                          <w:szCs w:val="24"/>
                        </w:rPr>
                      </w:pPr>
                    </w:p>
                  </w:txbxContent>
                </v:textbox>
                <w10:wrap anchorx="margin"/>
              </v:roundrect>
            </w:pict>
          </mc:Fallback>
        </mc:AlternateContent>
      </w:r>
    </w:p>
    <w:p w14:paraId="077C655F" w14:textId="4CE59491" w:rsidR="00047EF8" w:rsidRPr="00F563CD" w:rsidRDefault="007840BE" w:rsidP="00047EF8">
      <w:pPr>
        <w:spacing w:after="0"/>
        <w:jc w:val="both"/>
        <w:rPr>
          <w:rFonts w:asciiTheme="minorHAnsi" w:hAnsiTheme="minorHAnsi"/>
          <w:b/>
          <w:bCs/>
          <w:color w:val="FFC000"/>
          <w:sz w:val="24"/>
          <w:szCs w:val="24"/>
          <w:u w:val="single" w:color="FFFFFF" w:themeColor="background1"/>
        </w:rPr>
      </w:pPr>
      <w:r w:rsidRPr="00F563CD">
        <w:rPr>
          <w:rFonts w:asciiTheme="minorHAnsi" w:hAnsiTheme="minorHAnsi" w:cs="Arial"/>
          <w:noProof/>
          <w:color w:val="FFFFFF" w:themeColor="background1"/>
          <w:sz w:val="28"/>
          <w:szCs w:val="28"/>
          <w:u w:color="FFFFFF" w:themeColor="background1"/>
          <w:lang w:val="en-US" w:eastAsia="en-US"/>
        </w:rPr>
        <w:lastRenderedPageBreak/>
        <mc:AlternateContent>
          <mc:Choice Requires="wps">
            <w:drawing>
              <wp:anchor distT="0" distB="0" distL="114300" distR="114300" simplePos="0" relativeHeight="251695104" behindDoc="0" locked="0" layoutInCell="1" allowOverlap="1" wp14:anchorId="6511C83E" wp14:editId="4C8607C9">
                <wp:simplePos x="0" y="0"/>
                <wp:positionH relativeFrom="margin">
                  <wp:align>left</wp:align>
                </wp:positionH>
                <wp:positionV relativeFrom="paragraph">
                  <wp:posOffset>10795</wp:posOffset>
                </wp:positionV>
                <wp:extent cx="6477000" cy="323850"/>
                <wp:effectExtent l="0" t="0" r="0" b="0"/>
                <wp:wrapNone/>
                <wp:docPr id="23531" name="Rounded Rectangle 23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323850"/>
                        </a:xfrm>
                        <a:prstGeom prst="roundRect">
                          <a:avLst/>
                        </a:prstGeom>
                        <a:solidFill>
                          <a:srgbClr val="FFD757"/>
                        </a:solidFill>
                        <a:ln w="12700" cap="flat" cmpd="sng" algn="ctr">
                          <a:solidFill>
                            <a:srgbClr val="FFD757"/>
                          </a:solidFill>
                          <a:prstDash val="solid"/>
                          <a:miter lim="800000"/>
                        </a:ln>
                        <a:effectLst/>
                      </wps:spPr>
                      <wps:txbx>
                        <w:txbxContent>
                          <w:p w14:paraId="6F148C00" w14:textId="77777777" w:rsidR="006712E0" w:rsidRPr="00287E28" w:rsidRDefault="006712E0" w:rsidP="00047EF8">
                            <w:pPr>
                              <w:jc w:val="center"/>
                              <w:rPr>
                                <w:rFonts w:ascii="Arial" w:hAnsi="Arial" w:cs="Arial"/>
                                <w:b/>
                                <w:sz w:val="28"/>
                                <w:szCs w:val="28"/>
                              </w:rPr>
                            </w:pPr>
                            <w:r>
                              <w:rPr>
                                <w:rFonts w:ascii="Arial" w:hAnsi="Arial" w:cs="Arial"/>
                                <w:b/>
                                <w:sz w:val="28"/>
                                <w:szCs w:val="28"/>
                              </w:rPr>
                              <w:t>MINISTARSTVO POLJOPRIVREDE, ŠUMARSTVA I VODOPRIVREDE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1C83E" id="Rounded Rectangle 23531" o:spid="_x0000_s1126" style="position:absolute;left:0;text-align:left;margin-left:0;margin-top:.85pt;width:510pt;height:25.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" fillcolor="#ffd757" strokecolor="#ffd757" strokeweight="1pt">
                <v:stroke joinstyle="miter"/>
                <v:path arrowok="t"/>
                <v:textbox>
                  <w:txbxContent>
                    <w:p w14:paraId="6F148C00" w14:textId="77777777" w:rsidR="006712E0" w:rsidRPr="00287E28" w:rsidRDefault="006712E0" w:rsidP="00047EF8">
                      <w:pPr>
                        <w:jc w:val="center"/>
                        <w:rPr>
                          <w:rFonts w:ascii="Arial" w:hAnsi="Arial" w:cs="Arial"/>
                          <w:b/>
                          <w:sz w:val="28"/>
                          <w:szCs w:val="28"/>
                        </w:rPr>
                      </w:pPr>
                      <w:r>
                        <w:rPr>
                          <w:rFonts w:ascii="Arial" w:hAnsi="Arial" w:cs="Arial"/>
                          <w:b/>
                          <w:sz w:val="28"/>
                          <w:szCs w:val="28"/>
                        </w:rPr>
                        <w:t>MINISTARSTVO POLJOPRIVREDE, ŠUMARSTVA I VODOPRIVREDE</w:t>
                      </w: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17632" behindDoc="0" locked="0" layoutInCell="1" allowOverlap="1" wp14:anchorId="763BE336" wp14:editId="2AAA37A2">
                <wp:simplePos x="0" y="0"/>
                <wp:positionH relativeFrom="page">
                  <wp:posOffset>1362075</wp:posOffset>
                </wp:positionH>
                <wp:positionV relativeFrom="paragraph">
                  <wp:posOffset>-390525</wp:posOffset>
                </wp:positionV>
                <wp:extent cx="5905500" cy="327660"/>
                <wp:effectExtent l="0" t="0" r="0" b="0"/>
                <wp:wrapNone/>
                <wp:docPr id="23532" name="Text Box 23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0" cy="327660"/>
                        </a:xfrm>
                        <a:prstGeom prst="rect">
                          <a:avLst/>
                        </a:prstGeom>
                        <a:solidFill>
                          <a:sysClr val="window" lastClr="FFFFFF"/>
                        </a:solidFill>
                        <a:ln w="6350">
                          <a:noFill/>
                        </a:ln>
                      </wps:spPr>
                      <wps:txbx>
                        <w:txbxContent>
                          <w:p w14:paraId="30184D92" w14:textId="77777777" w:rsidR="006712E0" w:rsidRPr="004D3A94" w:rsidRDefault="006712E0" w:rsidP="00047EF8">
                            <w:pPr>
                              <w:pStyle w:val="Header"/>
                              <w:ind w:firstLine="708"/>
                              <w:jc w:val="right"/>
                              <w:rPr>
                                <w:b/>
                                <w:color w:val="8064A2" w:themeColor="accent4"/>
                                <w:spacing w:val="-20"/>
                                <w:sz w:val="30"/>
                                <w:szCs w:val="30"/>
                              </w:rPr>
                            </w:pPr>
                            <w:r>
                              <w:rPr>
                                <w:b/>
                                <w:color w:val="8064A2" w:themeColor="accent4"/>
                                <w:spacing w:val="-20"/>
                                <w:sz w:val="30"/>
                                <w:szCs w:val="30"/>
                              </w:rPr>
                              <w:t xml:space="preserve">EKONOMSKI RAZVOJ I ŽIVOTNA SREDINA </w:t>
                            </w:r>
                          </w:p>
                          <w:p w14:paraId="2F64B29C" w14:textId="77777777" w:rsidR="006712E0" w:rsidRDefault="006712E0" w:rsidP="00047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63BE336" id="Text Box 23532" o:spid="_x0000_s1127" type="#_x0000_t202" style="position:absolute;left:0;text-align:left;margin-left:107.25pt;margin-top:-30.75pt;width:465pt;height:25.8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" fillcolor="window" stroked="f" strokeweight=".5pt">
                <v:path arrowok="t"/>
                <v:textbox>
                  <w:txbxContent>
                    <w:p w14:paraId="30184D92" w14:textId="77777777" w:rsidR="006712E0" w:rsidRPr="004D3A94" w:rsidRDefault="006712E0" w:rsidP="00047EF8">
                      <w:pPr>
                        <w:pStyle w:val="Header"/>
                        <w:ind w:firstLine="708"/>
                        <w:jc w:val="right"/>
                        <w:rPr>
                          <w:b/>
                          <w:color w:val="8064A2" w:themeColor="accent4"/>
                          <w:spacing w:val="-20"/>
                          <w:sz w:val="30"/>
                          <w:szCs w:val="30"/>
                        </w:rPr>
                      </w:pPr>
                      <w:r>
                        <w:rPr>
                          <w:b/>
                          <w:color w:val="8064A2" w:themeColor="accent4"/>
                          <w:spacing w:val="-20"/>
                          <w:sz w:val="30"/>
                          <w:szCs w:val="30"/>
                        </w:rPr>
                        <w:t xml:space="preserve">EKONOMSKI RAZVOJ I ŽIVOTNA SREDINA </w:t>
                      </w:r>
                    </w:p>
                    <w:p w14:paraId="2F64B29C" w14:textId="77777777" w:rsidR="006712E0" w:rsidRDefault="006712E0" w:rsidP="00047EF8"/>
                  </w:txbxContent>
                </v:textbox>
                <w10:wrap anchorx="page"/>
              </v:shape>
            </w:pict>
          </mc:Fallback>
        </mc:AlternateContent>
      </w:r>
      <w:r w:rsidR="00864F83" w:rsidRPr="00F563CD">
        <w:rPr>
          <w:rFonts w:asciiTheme="minorHAnsi" w:hAnsiTheme="minorHAnsi"/>
          <w:color w:val="FFFFFF" w:themeColor="background1"/>
          <w:u w:color="FFFFFF" w:themeColor="background1"/>
        </w:rPr>
        <w:t xml:space="preserve">     </w:t>
      </w:r>
      <w:r w:rsidR="00864F83" w:rsidRPr="00F563CD">
        <w:rPr>
          <w:rFonts w:asciiTheme="minorHAnsi" w:hAnsiTheme="minorHAnsi"/>
          <w:color w:val="FFC000"/>
          <w:u w:color="FFFFFF" w:themeColor="background1"/>
        </w:rPr>
        <w:t>.</w:t>
      </w:r>
    </w:p>
    <w:p w14:paraId="4A49A542" w14:textId="574A31B7" w:rsidR="00047EF8" w:rsidRPr="00F563CD" w:rsidRDefault="007840BE" w:rsidP="00047EF8">
      <w:pPr>
        <w:tabs>
          <w:tab w:val="left" w:pos="2760"/>
        </w:tabs>
        <w:jc w:val="both"/>
        <w:rPr>
          <w:rFonts w:asciiTheme="minorHAnsi" w:hAnsiTheme="minorHAnsi"/>
          <w:b/>
          <w:color w:val="FFC000"/>
          <w:sz w:val="2"/>
          <w:szCs w:val="24"/>
          <w:u w:color="FFFFFF" w:themeColor="background1"/>
        </w:rPr>
      </w:pPr>
      <w:r w:rsidRPr="00F563CD">
        <w:rPr>
          <w:rFonts w:asciiTheme="minorHAnsi" w:hAnsiTheme="minorHAnsi" w:cs="Arial"/>
          <w:noProof/>
          <w:color w:val="FFFFFF" w:themeColor="background1"/>
          <w:sz w:val="28"/>
          <w:szCs w:val="28"/>
          <w:u w:color="FFFFFF" w:themeColor="background1"/>
          <w:lang w:val="en-US" w:eastAsia="en-US"/>
        </w:rPr>
        <mc:AlternateContent>
          <mc:Choice Requires="wps">
            <w:drawing>
              <wp:anchor distT="0" distB="0" distL="114300" distR="114300" simplePos="0" relativeHeight="251696128" behindDoc="0" locked="0" layoutInCell="1" allowOverlap="1" wp14:anchorId="72889603" wp14:editId="7CC61CC2">
                <wp:simplePos x="0" y="0"/>
                <wp:positionH relativeFrom="margin">
                  <wp:posOffset>-139700</wp:posOffset>
                </wp:positionH>
                <wp:positionV relativeFrom="paragraph">
                  <wp:posOffset>177800</wp:posOffset>
                </wp:positionV>
                <wp:extent cx="6734175" cy="962025"/>
                <wp:effectExtent l="0" t="0" r="9525" b="9525"/>
                <wp:wrapNone/>
                <wp:docPr id="23536" name="Rounded Rectangle 23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4175" cy="962025"/>
                        </a:xfrm>
                        <a:prstGeom prst="roundRect">
                          <a:avLst/>
                        </a:prstGeom>
                        <a:solidFill>
                          <a:sysClr val="window" lastClr="FFFFFF"/>
                        </a:solidFill>
                        <a:ln w="12700" cap="flat" cmpd="sng" algn="ctr">
                          <a:solidFill>
                            <a:srgbClr val="FFD757"/>
                          </a:solidFill>
                          <a:prstDash val="solid"/>
                          <a:miter lim="800000"/>
                        </a:ln>
                        <a:effectLst/>
                      </wps:spPr>
                      <wps:txbx>
                        <w:txbxContent>
                          <w:p w14:paraId="2F5755B1" w14:textId="77777777" w:rsidR="006712E0" w:rsidRPr="00FB4FF4" w:rsidRDefault="006712E0" w:rsidP="00047EF8">
                            <w:pPr>
                              <w:jc w:val="center"/>
                              <w:rPr>
                                <w:rFonts w:ascii="Arial Narrow" w:hAnsi="Arial Narrow"/>
                                <w:b/>
                                <w:color w:val="B2A1C7" w:themeColor="accent4" w:themeTint="99"/>
                                <w:sz w:val="24"/>
                                <w:szCs w:val="24"/>
                              </w:rPr>
                            </w:pPr>
                            <w:r>
                              <w:rPr>
                                <w:rFonts w:ascii="Arial Narrow" w:hAnsi="Arial Narrow"/>
                                <w:b/>
                                <w:color w:val="B2A1C7" w:themeColor="accent4" w:themeTint="99"/>
                                <w:sz w:val="24"/>
                                <w:szCs w:val="24"/>
                              </w:rPr>
                              <w:t>SEKTORSKE STRATEGIJE</w:t>
                            </w:r>
                            <w:r w:rsidRPr="00FB4FF4">
                              <w:rPr>
                                <w:rFonts w:ascii="Arial Narrow" w:hAnsi="Arial Narrow"/>
                                <w:b/>
                                <w:color w:val="B2A1C7" w:themeColor="accent4" w:themeTint="99"/>
                                <w:sz w:val="24"/>
                                <w:szCs w:val="24"/>
                              </w:rPr>
                              <w:t>:</w:t>
                            </w:r>
                          </w:p>
                          <w:p w14:paraId="447F2FFB" w14:textId="77777777" w:rsidR="006712E0" w:rsidRPr="008D350B" w:rsidRDefault="006712E0" w:rsidP="00047EF8">
                            <w:pPr>
                              <w:pStyle w:val="ListParagraph"/>
                              <w:numPr>
                                <w:ilvl w:val="0"/>
                                <w:numId w:val="86"/>
                              </w:numPr>
                              <w:spacing w:after="0"/>
                              <w:jc w:val="both"/>
                              <w:rPr>
                                <w:rStyle w:val="Hyperlink"/>
                                <w:rFonts w:ascii="Arial Narrow" w:hAnsi="Arial Narrow"/>
                                <w:color w:val="B2A1C7" w:themeColor="accent4" w:themeTint="99"/>
                              </w:rPr>
                            </w:pPr>
                            <w:r w:rsidRPr="004C38C9">
                              <w:rPr>
                                <w:rFonts w:ascii="Arial Narrow" w:hAnsi="Arial Narrow"/>
                                <w:b/>
                                <w:color w:val="B2A1C7" w:themeColor="accent4" w:themeTint="99"/>
                              </w:rPr>
                              <w:fldChar w:fldCharType="begin"/>
                            </w:r>
                            <w:r w:rsidRPr="004C38C9">
                              <w:rPr>
                                <w:rFonts w:ascii="Arial Narrow" w:hAnsi="Arial Narrow"/>
                                <w:b/>
                                <w:color w:val="B2A1C7" w:themeColor="accent4" w:themeTint="99"/>
                              </w:rPr>
                              <w:instrText xml:space="preserve"> HYPERLINK "http://www.gov.me/ResourceManager/FileDownload.aspx?rId=333609&amp;rType=2" </w:instrText>
                            </w:r>
                            <w:r w:rsidRPr="004C38C9">
                              <w:rPr>
                                <w:rFonts w:ascii="Arial Narrow" w:hAnsi="Arial Narrow"/>
                                <w:b/>
                                <w:color w:val="B2A1C7" w:themeColor="accent4" w:themeTint="99"/>
                              </w:rPr>
                              <w:fldChar w:fldCharType="separate"/>
                            </w:r>
                            <w:r w:rsidRPr="004C38C9">
                              <w:rPr>
                                <w:rStyle w:val="Hyperlink"/>
                                <w:rFonts w:ascii="Arial Narrow" w:hAnsi="Arial Narrow"/>
                                <w:bCs/>
                                <w:color w:val="B2A1C7" w:themeColor="accent4" w:themeTint="99"/>
                              </w:rPr>
                              <w:t>Strateg</w:t>
                            </w:r>
                            <w:r>
                              <w:rPr>
                                <w:rStyle w:val="Hyperlink"/>
                                <w:rFonts w:ascii="Arial Narrow" w:hAnsi="Arial Narrow"/>
                                <w:bCs/>
                                <w:color w:val="B2A1C7" w:themeColor="accent4" w:themeTint="99"/>
                              </w:rPr>
                              <w:t>ija za razvoj šuma i šumarstva</w:t>
                            </w:r>
                            <w:r w:rsidRPr="008D350B">
                              <w:rPr>
                                <w:rStyle w:val="Hyperlink"/>
                                <w:rFonts w:ascii="Arial Narrow" w:hAnsi="Arial Narrow"/>
                                <w:bCs/>
                                <w:color w:val="B2A1C7" w:themeColor="accent4" w:themeTint="99"/>
                              </w:rPr>
                              <w:t xml:space="preserve"> (2014-2023</w:t>
                            </w:r>
                            <w:r w:rsidRPr="008D350B">
                              <w:rPr>
                                <w:rStyle w:val="Hyperlink"/>
                                <w:rFonts w:ascii="Arial Narrow" w:hAnsi="Arial Narrow"/>
                                <w:color w:val="B2A1C7" w:themeColor="accent4" w:themeTint="99"/>
                              </w:rPr>
                              <w:t>)</w:t>
                            </w:r>
                          </w:p>
                          <w:p w14:paraId="5E60915D" w14:textId="77777777" w:rsidR="006712E0" w:rsidRPr="004C38C9" w:rsidRDefault="006712E0" w:rsidP="00047EF8">
                            <w:pPr>
                              <w:pStyle w:val="ListParagraph"/>
                              <w:numPr>
                                <w:ilvl w:val="0"/>
                                <w:numId w:val="86"/>
                              </w:numPr>
                              <w:rPr>
                                <w:rFonts w:ascii="Arial Narrow" w:hAnsi="Arial Narrow"/>
                                <w:color w:val="B2A1C7" w:themeColor="accent4" w:themeTint="99"/>
                              </w:rPr>
                            </w:pPr>
                            <w:r w:rsidRPr="004C38C9">
                              <w:rPr>
                                <w:rFonts w:ascii="Arial Narrow" w:hAnsi="Arial Narrow"/>
                                <w:b/>
                                <w:color w:val="B2A1C7" w:themeColor="accent4" w:themeTint="99"/>
                              </w:rPr>
                              <w:fldChar w:fldCharType="end"/>
                            </w:r>
                            <w:hyperlink r:id="rId81" w:history="1">
                              <w:r w:rsidRPr="004C38C9">
                                <w:rPr>
                                  <w:rStyle w:val="Hyperlink"/>
                                  <w:rFonts w:ascii="Arial Narrow" w:hAnsi="Arial Narrow"/>
                                  <w:bCs/>
                                  <w:color w:val="B2A1C7" w:themeColor="accent4" w:themeTint="99"/>
                                </w:rPr>
                                <w:t xml:space="preserve"> Strateg</w:t>
                              </w:r>
                              <w:r>
                                <w:rPr>
                                  <w:rStyle w:val="Hyperlink"/>
                                  <w:rFonts w:ascii="Arial Narrow" w:hAnsi="Arial Narrow"/>
                                  <w:bCs/>
                                  <w:color w:val="B2A1C7" w:themeColor="accent4" w:themeTint="99"/>
                                </w:rPr>
                                <w:t>ija vodoprivrede</w:t>
                              </w:r>
                              <w:r w:rsidRPr="004C38C9">
                                <w:rPr>
                                  <w:rStyle w:val="Hyperlink"/>
                                  <w:rFonts w:ascii="Arial Narrow" w:hAnsi="Arial Narrow"/>
                                  <w:bCs/>
                                  <w:color w:val="B2A1C7" w:themeColor="accent4" w:themeTint="99"/>
                                </w:rPr>
                                <w:t xml:space="preserve"> 2018–2035</w:t>
                              </w:r>
                            </w:hyperlink>
                            <w:r w:rsidRPr="004C38C9">
                              <w:rPr>
                                <w:rFonts w:ascii="Arial Narrow" w:hAnsi="Arial Narrow"/>
                                <w:color w:val="B2A1C7" w:themeColor="accent4" w:themeTint="9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89603" id="Rounded Rectangle 23536" o:spid="_x0000_s1128" style="position:absolute;left:0;text-align:left;margin-left:-11pt;margin-top:14pt;width:530.25pt;height:75.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" fillcolor="window" strokecolor="#ffd757" strokeweight="1pt">
                <v:stroke joinstyle="miter"/>
                <v:path arrowok="t"/>
                <v:textbox>
                  <w:txbxContent>
                    <w:p w14:paraId="2F5755B1" w14:textId="77777777" w:rsidR="006712E0" w:rsidRPr="00FB4FF4" w:rsidRDefault="006712E0" w:rsidP="00047EF8">
                      <w:pPr>
                        <w:jc w:val="center"/>
                        <w:rPr>
                          <w:rFonts w:ascii="Arial Narrow" w:hAnsi="Arial Narrow"/>
                          <w:b/>
                          <w:color w:val="B2A1C7" w:themeColor="accent4" w:themeTint="99"/>
                          <w:sz w:val="24"/>
                          <w:szCs w:val="24"/>
                        </w:rPr>
                      </w:pPr>
                      <w:r>
                        <w:rPr>
                          <w:rFonts w:ascii="Arial Narrow" w:hAnsi="Arial Narrow"/>
                          <w:b/>
                          <w:color w:val="B2A1C7" w:themeColor="accent4" w:themeTint="99"/>
                          <w:sz w:val="24"/>
                          <w:szCs w:val="24"/>
                        </w:rPr>
                        <w:t>SEKTORSKE STRATEGIJE</w:t>
                      </w:r>
                      <w:r w:rsidRPr="00FB4FF4">
                        <w:rPr>
                          <w:rFonts w:ascii="Arial Narrow" w:hAnsi="Arial Narrow"/>
                          <w:b/>
                          <w:color w:val="B2A1C7" w:themeColor="accent4" w:themeTint="99"/>
                          <w:sz w:val="24"/>
                          <w:szCs w:val="24"/>
                        </w:rPr>
                        <w:t>:</w:t>
                      </w:r>
                    </w:p>
                    <w:p w14:paraId="447F2FFB" w14:textId="77777777" w:rsidR="006712E0" w:rsidRPr="008D350B" w:rsidRDefault="006712E0" w:rsidP="00047EF8">
                      <w:pPr>
                        <w:pStyle w:val="ListParagraph"/>
                        <w:numPr>
                          <w:ilvl w:val="0"/>
                          <w:numId w:val="86"/>
                        </w:numPr>
                        <w:spacing w:after="0"/>
                        <w:jc w:val="both"/>
                        <w:rPr>
                          <w:rStyle w:val="Hyperlink"/>
                          <w:rFonts w:ascii="Arial Narrow" w:hAnsi="Arial Narrow"/>
                          <w:color w:val="B2A1C7" w:themeColor="accent4" w:themeTint="99"/>
                        </w:rPr>
                      </w:pPr>
                      <w:r w:rsidRPr="004C38C9">
                        <w:rPr>
                          <w:rFonts w:ascii="Arial Narrow" w:hAnsi="Arial Narrow"/>
                          <w:b/>
                          <w:color w:val="B2A1C7" w:themeColor="accent4" w:themeTint="99"/>
                        </w:rPr>
                        <w:fldChar w:fldCharType="begin"/>
                      </w:r>
                      <w:r w:rsidRPr="004C38C9">
                        <w:rPr>
                          <w:rFonts w:ascii="Arial Narrow" w:hAnsi="Arial Narrow"/>
                          <w:b/>
                          <w:color w:val="B2A1C7" w:themeColor="accent4" w:themeTint="99"/>
                        </w:rPr>
                        <w:instrText xml:space="preserve"> HYPERLINK "http://www.gov.me/ResourceManager/FileDownload.aspx?rId=333609&amp;rType=2" </w:instrText>
                      </w:r>
                      <w:r w:rsidRPr="004C38C9">
                        <w:rPr>
                          <w:rFonts w:ascii="Arial Narrow" w:hAnsi="Arial Narrow"/>
                          <w:b/>
                          <w:color w:val="B2A1C7" w:themeColor="accent4" w:themeTint="99"/>
                        </w:rPr>
                        <w:fldChar w:fldCharType="separate"/>
                      </w:r>
                      <w:r w:rsidRPr="004C38C9">
                        <w:rPr>
                          <w:rStyle w:val="Hyperlink"/>
                          <w:rFonts w:ascii="Arial Narrow" w:hAnsi="Arial Narrow"/>
                          <w:bCs/>
                          <w:color w:val="B2A1C7" w:themeColor="accent4" w:themeTint="99"/>
                        </w:rPr>
                        <w:t>Strateg</w:t>
                      </w:r>
                      <w:r>
                        <w:rPr>
                          <w:rStyle w:val="Hyperlink"/>
                          <w:rFonts w:ascii="Arial Narrow" w:hAnsi="Arial Narrow"/>
                          <w:bCs/>
                          <w:color w:val="B2A1C7" w:themeColor="accent4" w:themeTint="99"/>
                        </w:rPr>
                        <w:t>ija za razvoj šuma i šumarstva</w:t>
                      </w:r>
                      <w:r w:rsidRPr="008D350B">
                        <w:rPr>
                          <w:rStyle w:val="Hyperlink"/>
                          <w:rFonts w:ascii="Arial Narrow" w:hAnsi="Arial Narrow"/>
                          <w:bCs/>
                          <w:color w:val="B2A1C7" w:themeColor="accent4" w:themeTint="99"/>
                        </w:rPr>
                        <w:t xml:space="preserve"> (2014-2023</w:t>
                      </w:r>
                      <w:r w:rsidRPr="008D350B">
                        <w:rPr>
                          <w:rStyle w:val="Hyperlink"/>
                          <w:rFonts w:ascii="Arial Narrow" w:hAnsi="Arial Narrow"/>
                          <w:color w:val="B2A1C7" w:themeColor="accent4" w:themeTint="99"/>
                        </w:rPr>
                        <w:t>)</w:t>
                      </w:r>
                    </w:p>
                    <w:p w14:paraId="5E60915D" w14:textId="77777777" w:rsidR="006712E0" w:rsidRPr="004C38C9" w:rsidRDefault="006712E0" w:rsidP="00047EF8">
                      <w:pPr>
                        <w:pStyle w:val="ListParagraph"/>
                        <w:numPr>
                          <w:ilvl w:val="0"/>
                          <w:numId w:val="86"/>
                        </w:numPr>
                        <w:rPr>
                          <w:rFonts w:ascii="Arial Narrow" w:hAnsi="Arial Narrow"/>
                          <w:color w:val="B2A1C7" w:themeColor="accent4" w:themeTint="99"/>
                        </w:rPr>
                      </w:pPr>
                      <w:r w:rsidRPr="004C38C9">
                        <w:rPr>
                          <w:rFonts w:ascii="Arial Narrow" w:hAnsi="Arial Narrow"/>
                          <w:b/>
                          <w:color w:val="B2A1C7" w:themeColor="accent4" w:themeTint="99"/>
                        </w:rPr>
                        <w:fldChar w:fldCharType="end"/>
                      </w:r>
                      <w:hyperlink r:id="rId82" w:history="1">
                        <w:r w:rsidRPr="004C38C9">
                          <w:rPr>
                            <w:rStyle w:val="Hyperlink"/>
                            <w:rFonts w:ascii="Arial Narrow" w:hAnsi="Arial Narrow"/>
                            <w:bCs/>
                            <w:color w:val="B2A1C7" w:themeColor="accent4" w:themeTint="99"/>
                          </w:rPr>
                          <w:t xml:space="preserve"> Strateg</w:t>
                        </w:r>
                        <w:r>
                          <w:rPr>
                            <w:rStyle w:val="Hyperlink"/>
                            <w:rFonts w:ascii="Arial Narrow" w:hAnsi="Arial Narrow"/>
                            <w:bCs/>
                            <w:color w:val="B2A1C7" w:themeColor="accent4" w:themeTint="99"/>
                          </w:rPr>
                          <w:t>ija vodoprivrede</w:t>
                        </w:r>
                        <w:r w:rsidRPr="004C38C9">
                          <w:rPr>
                            <w:rStyle w:val="Hyperlink"/>
                            <w:rFonts w:ascii="Arial Narrow" w:hAnsi="Arial Narrow"/>
                            <w:bCs/>
                            <w:color w:val="B2A1C7" w:themeColor="accent4" w:themeTint="99"/>
                          </w:rPr>
                          <w:t xml:space="preserve"> 2018–2035</w:t>
                        </w:r>
                      </w:hyperlink>
                      <w:r w:rsidRPr="004C38C9">
                        <w:rPr>
                          <w:rFonts w:ascii="Arial Narrow" w:hAnsi="Arial Narrow"/>
                          <w:color w:val="B2A1C7" w:themeColor="accent4" w:themeTint="99"/>
                        </w:rPr>
                        <w:t>.</w:t>
                      </w:r>
                    </w:p>
                  </w:txbxContent>
                </v:textbox>
                <w10:wrap anchorx="margin"/>
              </v:roundrect>
            </w:pict>
          </mc:Fallback>
        </mc:AlternateContent>
      </w:r>
    </w:p>
    <w:p w14:paraId="0655B437" w14:textId="443194F7"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98176" behindDoc="0" locked="0" layoutInCell="1" allowOverlap="1" wp14:anchorId="7CEFD39E" wp14:editId="5D453C92">
                <wp:simplePos x="0" y="0"/>
                <wp:positionH relativeFrom="column">
                  <wp:posOffset>-222250</wp:posOffset>
                </wp:positionH>
                <wp:positionV relativeFrom="paragraph">
                  <wp:posOffset>3993515</wp:posOffset>
                </wp:positionV>
                <wp:extent cx="4267200" cy="2828925"/>
                <wp:effectExtent l="0" t="0" r="0" b="9525"/>
                <wp:wrapNone/>
                <wp:docPr id="23541" name="Rounded Rectangle 23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2828925"/>
                        </a:xfrm>
                        <a:prstGeom prst="roundRect">
                          <a:avLst/>
                        </a:prstGeom>
                        <a:solidFill>
                          <a:sysClr val="window" lastClr="FFFFFF"/>
                        </a:solidFill>
                        <a:ln w="12700" cap="flat" cmpd="sng" algn="ctr">
                          <a:solidFill>
                            <a:srgbClr val="D5577B"/>
                          </a:solidFill>
                          <a:prstDash val="solid"/>
                          <a:miter lim="800000"/>
                        </a:ln>
                        <a:effectLst/>
                      </wps:spPr>
                      <wps:txbx>
                        <w:txbxContent>
                          <w:p w14:paraId="04F5E2E0" w14:textId="77777777" w:rsidR="006712E0" w:rsidRPr="00935D7E" w:rsidRDefault="006712E0" w:rsidP="00047EF8">
                            <w:pPr>
                              <w:jc w:val="center"/>
                              <w:rPr>
                                <w:rStyle w:val="Hyperlink"/>
                                <w:rFonts w:ascii="Arial Narrow" w:hAnsi="Arial Narrow"/>
                                <w:b/>
                                <w:color w:val="D5577B"/>
                                <w:sz w:val="24"/>
                                <w:szCs w:val="24"/>
                              </w:rPr>
                            </w:pPr>
                            <w:r>
                              <w:rPr>
                                <w:rFonts w:ascii="Arial Narrow" w:hAnsi="Arial Narrow"/>
                                <w:b/>
                                <w:color w:val="D5577B"/>
                                <w:sz w:val="24"/>
                                <w:szCs w:val="24"/>
                              </w:rPr>
                              <w:t>SEKTORSKE STRATEGIJE:</w:t>
                            </w:r>
                          </w:p>
                          <w:p w14:paraId="680D5196" w14:textId="77777777" w:rsidR="006712E0" w:rsidRPr="00AE6231" w:rsidRDefault="006712E0" w:rsidP="00047EF8">
                            <w:pPr>
                              <w:pStyle w:val="ListParagraph"/>
                              <w:numPr>
                                <w:ilvl w:val="0"/>
                                <w:numId w:val="88"/>
                              </w:numPr>
                              <w:spacing w:after="0"/>
                              <w:jc w:val="both"/>
                              <w:rPr>
                                <w:rStyle w:val="Hyperlink"/>
                                <w:rFonts w:ascii="Arial Narrow" w:hAnsi="Arial Narrow"/>
                                <w:b/>
                                <w:bCs/>
                                <w:color w:val="D5577B"/>
                              </w:rPr>
                            </w:pPr>
                            <w:r>
                              <w:rPr>
                                <w:rStyle w:val="Hyperlink"/>
                                <w:rFonts w:ascii="Arial Narrow" w:hAnsi="Arial Narrow"/>
                                <w:bCs/>
                                <w:color w:val="D5577B"/>
                              </w:rPr>
                              <w:t>Strategija inkluzivnog obrazovanja</w:t>
                            </w:r>
                            <w:r w:rsidRPr="00AE6231">
                              <w:rPr>
                                <w:rStyle w:val="Hyperlink"/>
                                <w:rFonts w:ascii="Arial Narrow" w:hAnsi="Arial Narrow"/>
                                <w:bCs/>
                                <w:color w:val="D5577B"/>
                              </w:rPr>
                              <w:t xml:space="preserve"> 2019-2025</w:t>
                            </w:r>
                            <w:r>
                              <w:rPr>
                                <w:rStyle w:val="Hyperlink"/>
                                <w:rFonts w:ascii="Arial Narrow" w:hAnsi="Arial Narrow"/>
                                <w:bCs/>
                                <w:color w:val="D5577B"/>
                              </w:rPr>
                              <w:t>.</w:t>
                            </w:r>
                          </w:p>
                          <w:p w14:paraId="61FFD9C2" w14:textId="77777777" w:rsidR="006712E0" w:rsidRPr="00AE6231" w:rsidRDefault="001D48BA" w:rsidP="00047EF8">
                            <w:pPr>
                              <w:pStyle w:val="ListParagraph"/>
                              <w:numPr>
                                <w:ilvl w:val="0"/>
                                <w:numId w:val="88"/>
                              </w:numPr>
                              <w:spacing w:after="0"/>
                              <w:jc w:val="both"/>
                              <w:rPr>
                                <w:rStyle w:val="Hyperlink"/>
                                <w:rFonts w:ascii="Arial Narrow" w:hAnsi="Arial Narrow"/>
                                <w:b/>
                                <w:bCs/>
                                <w:color w:val="D5577B"/>
                              </w:rPr>
                            </w:pPr>
                            <w:hyperlink r:id="rId83" w:history="1">
                              <w:r w:rsidR="006712E0">
                                <w:rPr>
                                  <w:rStyle w:val="Hyperlink"/>
                                  <w:rFonts w:ascii="Arial Narrow" w:hAnsi="Arial Narrow"/>
                                  <w:bCs/>
                                  <w:color w:val="D5577B"/>
                                </w:rPr>
                                <w:t xml:space="preserve">Strategija za obuku nastavnika u Crnoj Gori </w:t>
                              </w:r>
                              <w:r w:rsidR="006712E0" w:rsidRPr="00AE6231">
                                <w:rPr>
                                  <w:rStyle w:val="Hyperlink"/>
                                  <w:rFonts w:ascii="Arial Narrow" w:hAnsi="Arial Narrow"/>
                                  <w:bCs/>
                                  <w:color w:val="D5577B"/>
                                </w:rPr>
                                <w:t>2017-2024</w:t>
                              </w:r>
                            </w:hyperlink>
                            <w:r w:rsidR="006712E0">
                              <w:rPr>
                                <w:rStyle w:val="Hyperlink"/>
                                <w:rFonts w:ascii="Arial Narrow" w:hAnsi="Arial Narrow"/>
                                <w:bCs/>
                                <w:color w:val="D5577B"/>
                              </w:rPr>
                              <w:t>.</w:t>
                            </w:r>
                          </w:p>
                          <w:p w14:paraId="2F51C164" w14:textId="77777777" w:rsidR="006712E0" w:rsidRPr="00AE6231" w:rsidRDefault="001D48BA" w:rsidP="00047EF8">
                            <w:pPr>
                              <w:pStyle w:val="ListParagraph"/>
                              <w:numPr>
                                <w:ilvl w:val="0"/>
                                <w:numId w:val="88"/>
                              </w:numPr>
                              <w:spacing w:after="0"/>
                              <w:jc w:val="both"/>
                              <w:rPr>
                                <w:rStyle w:val="Hyperlink"/>
                                <w:rFonts w:ascii="Arial Narrow" w:hAnsi="Arial Narrow"/>
                                <w:b/>
                                <w:bCs/>
                                <w:color w:val="D5577B"/>
                              </w:rPr>
                            </w:pPr>
                            <w:hyperlink r:id="rId84" w:history="1">
                              <w:r w:rsidR="006712E0" w:rsidRPr="00AE6231">
                                <w:rPr>
                                  <w:rStyle w:val="Hyperlink"/>
                                  <w:rFonts w:ascii="Arial Narrow" w:hAnsi="Arial Narrow"/>
                                  <w:bCs/>
                                  <w:color w:val="D5577B"/>
                                </w:rPr>
                                <w:t>Strateg</w:t>
                              </w:r>
                              <w:r w:rsidR="006712E0">
                                <w:rPr>
                                  <w:rStyle w:val="Hyperlink"/>
                                  <w:rFonts w:ascii="Arial Narrow" w:hAnsi="Arial Narrow"/>
                                  <w:bCs/>
                                  <w:color w:val="D5577B"/>
                                </w:rPr>
                                <w:t>ija za razvoj visokog obrazovanja u Crnoj Gori</w:t>
                              </w:r>
                              <w:r w:rsidR="006712E0" w:rsidRPr="00AE6231">
                                <w:rPr>
                                  <w:rStyle w:val="Hyperlink"/>
                                  <w:rFonts w:ascii="Arial Narrow" w:hAnsi="Arial Narrow"/>
                                  <w:bCs/>
                                  <w:color w:val="D5577B"/>
                                </w:rPr>
                                <w:t xml:space="preserve"> 2020</w:t>
                              </w:r>
                            </w:hyperlink>
                            <w:r w:rsidR="006712E0" w:rsidRPr="00AE6231">
                              <w:rPr>
                                <w:rStyle w:val="Hyperlink"/>
                                <w:rFonts w:ascii="Arial Narrow" w:hAnsi="Arial Narrow"/>
                                <w:bCs/>
                                <w:color w:val="D5577B"/>
                              </w:rPr>
                              <w:t>-2024</w:t>
                            </w:r>
                          </w:p>
                          <w:p w14:paraId="6E74F1F7" w14:textId="77777777" w:rsidR="006712E0" w:rsidRPr="00AE6231" w:rsidRDefault="006712E0" w:rsidP="00047EF8">
                            <w:pPr>
                              <w:pStyle w:val="ListParagraph"/>
                              <w:numPr>
                                <w:ilvl w:val="0"/>
                                <w:numId w:val="88"/>
                              </w:numPr>
                              <w:spacing w:after="0"/>
                              <w:jc w:val="both"/>
                              <w:rPr>
                                <w:rStyle w:val="Hyperlink"/>
                                <w:rFonts w:ascii="Arial Narrow" w:hAnsi="Arial Narrow"/>
                                <w:b/>
                                <w:color w:val="DA4A73"/>
                              </w:rPr>
                            </w:pPr>
                            <w:r>
                              <w:rPr>
                                <w:rStyle w:val="Hyperlink"/>
                                <w:rFonts w:ascii="Arial Narrow" w:hAnsi="Arial Narrow"/>
                                <w:color w:val="DA4A73"/>
                              </w:rPr>
                              <w:t>Strategija nau</w:t>
                            </w:r>
                            <w:r>
                              <w:rPr>
                                <w:rStyle w:val="Hyperlink"/>
                                <w:rFonts w:ascii="Times New Roman" w:hAnsi="Times New Roman"/>
                                <w:color w:val="DA4A73"/>
                              </w:rPr>
                              <w:t>č</w:t>
                            </w:r>
                            <w:r>
                              <w:rPr>
                                <w:rStyle w:val="Hyperlink"/>
                                <w:rFonts w:ascii="Arial Narrow" w:hAnsi="Arial Narrow"/>
                                <w:color w:val="DA4A73"/>
                              </w:rPr>
                              <w:t>nog istra</w:t>
                            </w:r>
                            <w:r>
                              <w:rPr>
                                <w:rStyle w:val="Hyperlink"/>
                                <w:rFonts w:ascii="Times New Roman" w:hAnsi="Times New Roman"/>
                                <w:color w:val="DA4A73"/>
                              </w:rPr>
                              <w:t>ž</w:t>
                            </w:r>
                            <w:r>
                              <w:rPr>
                                <w:rStyle w:val="Hyperlink"/>
                                <w:rFonts w:ascii="Arial Narrow" w:hAnsi="Arial Narrow"/>
                                <w:color w:val="DA4A73"/>
                              </w:rPr>
                              <w:t>ivanja</w:t>
                            </w:r>
                            <w:r w:rsidRPr="00AE6231">
                              <w:rPr>
                                <w:rStyle w:val="Hyperlink"/>
                                <w:rFonts w:ascii="Arial Narrow" w:hAnsi="Arial Narrow"/>
                                <w:color w:val="DA4A73"/>
                              </w:rPr>
                              <w:t xml:space="preserve"> 2017-2021</w:t>
                            </w:r>
                            <w:r>
                              <w:rPr>
                                <w:rStyle w:val="Hyperlink"/>
                                <w:rFonts w:ascii="Arial Narrow" w:hAnsi="Arial Narrow"/>
                                <w:color w:val="DA4A73"/>
                              </w:rPr>
                              <w:t>.</w:t>
                            </w:r>
                          </w:p>
                          <w:p w14:paraId="17738C5D" w14:textId="77777777" w:rsidR="006712E0" w:rsidRPr="00AE6231" w:rsidRDefault="006712E0" w:rsidP="00047EF8">
                            <w:pPr>
                              <w:pStyle w:val="ListParagraph"/>
                              <w:numPr>
                                <w:ilvl w:val="0"/>
                                <w:numId w:val="88"/>
                              </w:numPr>
                              <w:spacing w:after="0"/>
                              <w:jc w:val="both"/>
                              <w:rPr>
                                <w:rStyle w:val="Hyperlink"/>
                                <w:rFonts w:ascii="Arial Narrow" w:hAnsi="Arial Narrow"/>
                                <w:color w:val="F97399"/>
                              </w:rPr>
                            </w:pPr>
                            <w:r>
                              <w:rPr>
                                <w:rStyle w:val="Hyperlink"/>
                                <w:rFonts w:ascii="Arial Narrow" w:hAnsi="Arial Narrow"/>
                                <w:bCs/>
                                <w:color w:val="D5577B"/>
                              </w:rPr>
                              <w:t xml:space="preserve">Strategija za mlade </w:t>
                            </w:r>
                            <w:r w:rsidRPr="00AE6231">
                              <w:rPr>
                                <w:rStyle w:val="Hyperlink"/>
                                <w:rFonts w:ascii="Arial Narrow" w:hAnsi="Arial Narrow"/>
                                <w:bCs/>
                                <w:color w:val="D5577B"/>
                              </w:rPr>
                              <w:t>2017-2021</w:t>
                            </w:r>
                            <w:r>
                              <w:rPr>
                                <w:rStyle w:val="Hyperlink"/>
                                <w:rFonts w:ascii="Arial Narrow" w:hAnsi="Arial Narrow"/>
                                <w:bCs/>
                                <w:color w:val="D5577B"/>
                              </w:rPr>
                              <w:t>.</w:t>
                            </w:r>
                          </w:p>
                          <w:p w14:paraId="46DC9A89" w14:textId="77777777" w:rsidR="006712E0" w:rsidRPr="00AE6231" w:rsidRDefault="006712E0" w:rsidP="00047EF8">
                            <w:pPr>
                              <w:pStyle w:val="ListParagraph"/>
                              <w:numPr>
                                <w:ilvl w:val="0"/>
                                <w:numId w:val="88"/>
                              </w:numPr>
                              <w:spacing w:after="0"/>
                              <w:jc w:val="both"/>
                              <w:rPr>
                                <w:rStyle w:val="Hyperlink"/>
                                <w:rFonts w:ascii="Arial Narrow" w:hAnsi="Arial Narrow"/>
                                <w:color w:val="F97399"/>
                              </w:rPr>
                            </w:pPr>
                            <w:r w:rsidRPr="00AE6231">
                              <w:rPr>
                                <w:rStyle w:val="Hyperlink"/>
                                <w:rFonts w:ascii="Arial Narrow" w:hAnsi="Arial Narrow"/>
                                <w:bCs/>
                                <w:color w:val="D5577B"/>
                              </w:rPr>
                              <w:t>S</w:t>
                            </w:r>
                            <w:r>
                              <w:rPr>
                                <w:rStyle w:val="Hyperlink"/>
                                <w:rFonts w:ascii="Arial Narrow" w:hAnsi="Arial Narrow"/>
                                <w:bCs/>
                                <w:color w:val="D5577B"/>
                              </w:rPr>
                              <w:t xml:space="preserve">trategija za razvoj sporta </w:t>
                            </w:r>
                            <w:r w:rsidRPr="00AE6231">
                              <w:rPr>
                                <w:rStyle w:val="Hyperlink"/>
                                <w:rFonts w:ascii="Arial Narrow" w:hAnsi="Arial Narrow"/>
                                <w:bCs/>
                                <w:color w:val="D5577B"/>
                              </w:rPr>
                              <w:t>2018-2021</w:t>
                            </w:r>
                            <w:r>
                              <w:rPr>
                                <w:rStyle w:val="Hyperlink"/>
                                <w:rFonts w:ascii="Arial Narrow" w:hAnsi="Arial Narrow"/>
                                <w:bCs/>
                                <w:color w:val="D5577B"/>
                              </w:rPr>
                              <w:t>.</w:t>
                            </w:r>
                          </w:p>
                          <w:p w14:paraId="18214FF1" w14:textId="77777777" w:rsidR="006712E0" w:rsidRPr="00AE6231" w:rsidRDefault="001D48BA" w:rsidP="00047EF8">
                            <w:pPr>
                              <w:pStyle w:val="ListParagraph"/>
                              <w:numPr>
                                <w:ilvl w:val="0"/>
                                <w:numId w:val="88"/>
                              </w:numPr>
                              <w:spacing w:after="0"/>
                              <w:jc w:val="both"/>
                              <w:rPr>
                                <w:rStyle w:val="Hyperlink"/>
                                <w:rFonts w:ascii="Arial Narrow" w:hAnsi="Arial Narrow"/>
                                <w:b/>
                                <w:bCs/>
                                <w:color w:val="D5577B"/>
                              </w:rPr>
                            </w:pPr>
                            <w:hyperlink r:id="rId85" w:history="1">
                              <w:r w:rsidR="006712E0">
                                <w:rPr>
                                  <w:rStyle w:val="Hyperlink"/>
                                  <w:rFonts w:ascii="Arial Narrow" w:hAnsi="Arial Narrow"/>
                                  <w:bCs/>
                                  <w:color w:val="D5577B"/>
                                </w:rPr>
                                <w:t>Strategija stru</w:t>
                              </w:r>
                              <w:r w:rsidR="006712E0">
                                <w:rPr>
                                  <w:rStyle w:val="Hyperlink"/>
                                  <w:rFonts w:ascii="Times New Roman" w:hAnsi="Times New Roman"/>
                                  <w:bCs/>
                                  <w:color w:val="D5577B"/>
                                </w:rPr>
                                <w:t>č</w:t>
                              </w:r>
                              <w:r w:rsidR="006712E0">
                                <w:rPr>
                                  <w:rStyle w:val="Hyperlink"/>
                                  <w:rFonts w:ascii="Arial Narrow" w:hAnsi="Arial Narrow"/>
                                  <w:bCs/>
                                  <w:color w:val="D5577B"/>
                                </w:rPr>
                                <w:t>nog obrazovanja</w:t>
                              </w:r>
                              <w:r w:rsidR="006712E0" w:rsidRPr="00AE6231">
                                <w:rPr>
                                  <w:rStyle w:val="Hyperlink"/>
                                  <w:rFonts w:ascii="Arial Narrow" w:hAnsi="Arial Narrow"/>
                                  <w:bCs/>
                                  <w:color w:val="D5577B"/>
                                </w:rPr>
                                <w:t xml:space="preserve"> 2020</w:t>
                              </w:r>
                            </w:hyperlink>
                            <w:r w:rsidR="006712E0" w:rsidRPr="00AE6231">
                              <w:rPr>
                                <w:rStyle w:val="Hyperlink"/>
                                <w:rFonts w:ascii="Arial Narrow" w:hAnsi="Arial Narrow"/>
                                <w:bCs/>
                                <w:color w:val="D5577B"/>
                              </w:rPr>
                              <w:t>-2024</w:t>
                            </w:r>
                            <w:r w:rsidR="006712E0">
                              <w:rPr>
                                <w:rStyle w:val="Hyperlink"/>
                                <w:rFonts w:ascii="Arial Narrow" w:hAnsi="Arial Narrow"/>
                                <w:bCs/>
                                <w:color w:val="D5577B"/>
                              </w:rPr>
                              <w:t>.</w:t>
                            </w:r>
                          </w:p>
                          <w:p w14:paraId="51047FAE" w14:textId="77777777" w:rsidR="006712E0" w:rsidRPr="00935D7E" w:rsidRDefault="001D48BA" w:rsidP="00047EF8">
                            <w:pPr>
                              <w:pStyle w:val="ListParagraph"/>
                              <w:numPr>
                                <w:ilvl w:val="0"/>
                                <w:numId w:val="88"/>
                              </w:numPr>
                              <w:spacing w:after="0"/>
                              <w:jc w:val="both"/>
                              <w:rPr>
                                <w:rFonts w:ascii="Arial Narrow" w:hAnsi="Arial Narrow"/>
                                <w:color w:val="D5577B"/>
                              </w:rPr>
                            </w:pPr>
                            <w:hyperlink r:id="rId86" w:history="1">
                              <w:r w:rsidR="006712E0">
                                <w:rPr>
                                  <w:rStyle w:val="Hyperlink"/>
                                  <w:rFonts w:ascii="Arial Narrow" w:hAnsi="Arial Narrow"/>
                                  <w:bCs/>
                                  <w:color w:val="D5577B"/>
                                </w:rPr>
                                <w:t>Strategija za rano i predškolsko obrazovanje</w:t>
                              </w:r>
                              <w:r w:rsidR="006712E0" w:rsidRPr="00AE6231">
                                <w:rPr>
                                  <w:rStyle w:val="Hyperlink"/>
                                  <w:rFonts w:ascii="Arial Narrow" w:hAnsi="Arial Narrow"/>
                                  <w:bCs/>
                                  <w:color w:val="D5577B"/>
                                </w:rPr>
                                <w:t xml:space="preserve"> 2021-2025</w:t>
                              </w:r>
                            </w:hyperlink>
                            <w:r w:rsidR="006712E0">
                              <w:rPr>
                                <w:rStyle w:val="Hyperlink"/>
                                <w:rFonts w:ascii="Arial Narrow" w:hAnsi="Arial Narrow"/>
                                <w:bCs/>
                                <w:color w:val="D5577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FD39E" id="Rounded Rectangle 23541" o:spid="_x0000_s1129" style="position:absolute;left:0;text-align:left;margin-left:-17.5pt;margin-top:314.45pt;width:336pt;height:22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" fillcolor="window" strokecolor="#d5577b" strokeweight="1pt">
                <v:stroke joinstyle="miter"/>
                <v:path arrowok="t"/>
                <v:textbox>
                  <w:txbxContent>
                    <w:p w14:paraId="04F5E2E0" w14:textId="77777777" w:rsidR="006712E0" w:rsidRPr="00935D7E" w:rsidRDefault="006712E0" w:rsidP="00047EF8">
                      <w:pPr>
                        <w:jc w:val="center"/>
                        <w:rPr>
                          <w:rStyle w:val="Hyperlink"/>
                          <w:rFonts w:ascii="Arial Narrow" w:hAnsi="Arial Narrow"/>
                          <w:b/>
                          <w:color w:val="D5577B"/>
                          <w:sz w:val="24"/>
                          <w:szCs w:val="24"/>
                        </w:rPr>
                      </w:pPr>
                      <w:r>
                        <w:rPr>
                          <w:rFonts w:ascii="Arial Narrow" w:hAnsi="Arial Narrow"/>
                          <w:b/>
                          <w:color w:val="D5577B"/>
                          <w:sz w:val="24"/>
                          <w:szCs w:val="24"/>
                        </w:rPr>
                        <w:t>SEKTORSKE STRATEGIJE:</w:t>
                      </w:r>
                    </w:p>
                    <w:p w14:paraId="680D5196" w14:textId="77777777" w:rsidR="006712E0" w:rsidRPr="00AE6231" w:rsidRDefault="006712E0" w:rsidP="00047EF8">
                      <w:pPr>
                        <w:pStyle w:val="ListParagraph"/>
                        <w:numPr>
                          <w:ilvl w:val="0"/>
                          <w:numId w:val="88"/>
                        </w:numPr>
                        <w:spacing w:after="0"/>
                        <w:jc w:val="both"/>
                        <w:rPr>
                          <w:rStyle w:val="Hyperlink"/>
                          <w:rFonts w:ascii="Arial Narrow" w:hAnsi="Arial Narrow"/>
                          <w:b/>
                          <w:bCs/>
                          <w:color w:val="D5577B"/>
                        </w:rPr>
                      </w:pPr>
                      <w:r>
                        <w:rPr>
                          <w:rStyle w:val="Hyperlink"/>
                          <w:rFonts w:ascii="Arial Narrow" w:hAnsi="Arial Narrow"/>
                          <w:bCs/>
                          <w:color w:val="D5577B"/>
                        </w:rPr>
                        <w:t>Strategija inkluzivnog obrazovanja</w:t>
                      </w:r>
                      <w:r w:rsidRPr="00AE6231">
                        <w:rPr>
                          <w:rStyle w:val="Hyperlink"/>
                          <w:rFonts w:ascii="Arial Narrow" w:hAnsi="Arial Narrow"/>
                          <w:bCs/>
                          <w:color w:val="D5577B"/>
                        </w:rPr>
                        <w:t xml:space="preserve"> 2019-2025</w:t>
                      </w:r>
                      <w:r>
                        <w:rPr>
                          <w:rStyle w:val="Hyperlink"/>
                          <w:rFonts w:ascii="Arial Narrow" w:hAnsi="Arial Narrow"/>
                          <w:bCs/>
                          <w:color w:val="D5577B"/>
                        </w:rPr>
                        <w:t>.</w:t>
                      </w:r>
                    </w:p>
                    <w:p w14:paraId="61FFD9C2" w14:textId="77777777" w:rsidR="006712E0" w:rsidRPr="00AE6231" w:rsidRDefault="006712E0" w:rsidP="00047EF8">
                      <w:pPr>
                        <w:pStyle w:val="ListParagraph"/>
                        <w:numPr>
                          <w:ilvl w:val="0"/>
                          <w:numId w:val="88"/>
                        </w:numPr>
                        <w:spacing w:after="0"/>
                        <w:jc w:val="both"/>
                        <w:rPr>
                          <w:rStyle w:val="Hyperlink"/>
                          <w:rFonts w:ascii="Arial Narrow" w:hAnsi="Arial Narrow"/>
                          <w:b/>
                          <w:bCs/>
                          <w:color w:val="D5577B"/>
                        </w:rPr>
                      </w:pPr>
                      <w:hyperlink r:id="rId87" w:history="1">
                        <w:r>
                          <w:rPr>
                            <w:rStyle w:val="Hyperlink"/>
                            <w:rFonts w:ascii="Arial Narrow" w:hAnsi="Arial Narrow"/>
                            <w:bCs/>
                            <w:color w:val="D5577B"/>
                          </w:rPr>
                          <w:t xml:space="preserve">Strategija za obuku nastavnika u Crnoj Gori </w:t>
                        </w:r>
                        <w:r w:rsidRPr="00AE6231">
                          <w:rPr>
                            <w:rStyle w:val="Hyperlink"/>
                            <w:rFonts w:ascii="Arial Narrow" w:hAnsi="Arial Narrow"/>
                            <w:bCs/>
                            <w:color w:val="D5577B"/>
                          </w:rPr>
                          <w:t>2017-2024</w:t>
                        </w:r>
                      </w:hyperlink>
                      <w:r>
                        <w:rPr>
                          <w:rStyle w:val="Hyperlink"/>
                          <w:rFonts w:ascii="Arial Narrow" w:hAnsi="Arial Narrow"/>
                          <w:bCs/>
                          <w:color w:val="D5577B"/>
                        </w:rPr>
                        <w:t>.</w:t>
                      </w:r>
                    </w:p>
                    <w:p w14:paraId="2F51C164" w14:textId="77777777" w:rsidR="006712E0" w:rsidRPr="00AE6231" w:rsidRDefault="006712E0" w:rsidP="00047EF8">
                      <w:pPr>
                        <w:pStyle w:val="ListParagraph"/>
                        <w:numPr>
                          <w:ilvl w:val="0"/>
                          <w:numId w:val="88"/>
                        </w:numPr>
                        <w:spacing w:after="0"/>
                        <w:jc w:val="both"/>
                        <w:rPr>
                          <w:rStyle w:val="Hyperlink"/>
                          <w:rFonts w:ascii="Arial Narrow" w:hAnsi="Arial Narrow"/>
                          <w:b/>
                          <w:bCs/>
                          <w:color w:val="D5577B"/>
                        </w:rPr>
                      </w:pPr>
                      <w:hyperlink r:id="rId88" w:history="1">
                        <w:r w:rsidRPr="00AE6231">
                          <w:rPr>
                            <w:rStyle w:val="Hyperlink"/>
                            <w:rFonts w:ascii="Arial Narrow" w:hAnsi="Arial Narrow"/>
                            <w:bCs/>
                            <w:color w:val="D5577B"/>
                          </w:rPr>
                          <w:t>Strateg</w:t>
                        </w:r>
                        <w:r>
                          <w:rPr>
                            <w:rStyle w:val="Hyperlink"/>
                            <w:rFonts w:ascii="Arial Narrow" w:hAnsi="Arial Narrow"/>
                            <w:bCs/>
                            <w:color w:val="D5577B"/>
                          </w:rPr>
                          <w:t>ija za razvoj visokog obrazovanja u Crnoj Gori</w:t>
                        </w:r>
                        <w:r w:rsidRPr="00AE6231">
                          <w:rPr>
                            <w:rStyle w:val="Hyperlink"/>
                            <w:rFonts w:ascii="Arial Narrow" w:hAnsi="Arial Narrow"/>
                            <w:bCs/>
                            <w:color w:val="D5577B"/>
                          </w:rPr>
                          <w:t xml:space="preserve"> 2020</w:t>
                        </w:r>
                      </w:hyperlink>
                      <w:r w:rsidRPr="00AE6231">
                        <w:rPr>
                          <w:rStyle w:val="Hyperlink"/>
                          <w:rFonts w:ascii="Arial Narrow" w:hAnsi="Arial Narrow"/>
                          <w:bCs/>
                          <w:color w:val="D5577B"/>
                        </w:rPr>
                        <w:t>-2024</w:t>
                      </w:r>
                    </w:p>
                    <w:p w14:paraId="6E74F1F7" w14:textId="77777777" w:rsidR="006712E0" w:rsidRPr="00AE6231" w:rsidRDefault="006712E0" w:rsidP="00047EF8">
                      <w:pPr>
                        <w:pStyle w:val="ListParagraph"/>
                        <w:numPr>
                          <w:ilvl w:val="0"/>
                          <w:numId w:val="88"/>
                        </w:numPr>
                        <w:spacing w:after="0"/>
                        <w:jc w:val="both"/>
                        <w:rPr>
                          <w:rStyle w:val="Hyperlink"/>
                          <w:rFonts w:ascii="Arial Narrow" w:hAnsi="Arial Narrow"/>
                          <w:b/>
                          <w:color w:val="DA4A73"/>
                        </w:rPr>
                      </w:pPr>
                      <w:r>
                        <w:rPr>
                          <w:rStyle w:val="Hyperlink"/>
                          <w:rFonts w:ascii="Arial Narrow" w:hAnsi="Arial Narrow"/>
                          <w:color w:val="DA4A73"/>
                        </w:rPr>
                        <w:t>Strategija nau</w:t>
                      </w:r>
                      <w:r>
                        <w:rPr>
                          <w:rStyle w:val="Hyperlink"/>
                          <w:rFonts w:ascii="Times New Roman" w:hAnsi="Times New Roman"/>
                          <w:color w:val="DA4A73"/>
                        </w:rPr>
                        <w:t>č</w:t>
                      </w:r>
                      <w:r>
                        <w:rPr>
                          <w:rStyle w:val="Hyperlink"/>
                          <w:rFonts w:ascii="Arial Narrow" w:hAnsi="Arial Narrow"/>
                          <w:color w:val="DA4A73"/>
                        </w:rPr>
                        <w:t>nog istra</w:t>
                      </w:r>
                      <w:r>
                        <w:rPr>
                          <w:rStyle w:val="Hyperlink"/>
                          <w:rFonts w:ascii="Times New Roman" w:hAnsi="Times New Roman"/>
                          <w:color w:val="DA4A73"/>
                        </w:rPr>
                        <w:t>ž</w:t>
                      </w:r>
                      <w:r>
                        <w:rPr>
                          <w:rStyle w:val="Hyperlink"/>
                          <w:rFonts w:ascii="Arial Narrow" w:hAnsi="Arial Narrow"/>
                          <w:color w:val="DA4A73"/>
                        </w:rPr>
                        <w:t>ivanja</w:t>
                      </w:r>
                      <w:r w:rsidRPr="00AE6231">
                        <w:rPr>
                          <w:rStyle w:val="Hyperlink"/>
                          <w:rFonts w:ascii="Arial Narrow" w:hAnsi="Arial Narrow"/>
                          <w:color w:val="DA4A73"/>
                        </w:rPr>
                        <w:t xml:space="preserve"> 2017-2021</w:t>
                      </w:r>
                      <w:r>
                        <w:rPr>
                          <w:rStyle w:val="Hyperlink"/>
                          <w:rFonts w:ascii="Arial Narrow" w:hAnsi="Arial Narrow"/>
                          <w:color w:val="DA4A73"/>
                        </w:rPr>
                        <w:t>.</w:t>
                      </w:r>
                    </w:p>
                    <w:p w14:paraId="17738C5D" w14:textId="77777777" w:rsidR="006712E0" w:rsidRPr="00AE6231" w:rsidRDefault="006712E0" w:rsidP="00047EF8">
                      <w:pPr>
                        <w:pStyle w:val="ListParagraph"/>
                        <w:numPr>
                          <w:ilvl w:val="0"/>
                          <w:numId w:val="88"/>
                        </w:numPr>
                        <w:spacing w:after="0"/>
                        <w:jc w:val="both"/>
                        <w:rPr>
                          <w:rStyle w:val="Hyperlink"/>
                          <w:rFonts w:ascii="Arial Narrow" w:hAnsi="Arial Narrow"/>
                          <w:color w:val="F97399"/>
                        </w:rPr>
                      </w:pPr>
                      <w:r>
                        <w:rPr>
                          <w:rStyle w:val="Hyperlink"/>
                          <w:rFonts w:ascii="Arial Narrow" w:hAnsi="Arial Narrow"/>
                          <w:bCs/>
                          <w:color w:val="D5577B"/>
                        </w:rPr>
                        <w:t xml:space="preserve">Strategija za mlade </w:t>
                      </w:r>
                      <w:r w:rsidRPr="00AE6231">
                        <w:rPr>
                          <w:rStyle w:val="Hyperlink"/>
                          <w:rFonts w:ascii="Arial Narrow" w:hAnsi="Arial Narrow"/>
                          <w:bCs/>
                          <w:color w:val="D5577B"/>
                        </w:rPr>
                        <w:t>2017-2021</w:t>
                      </w:r>
                      <w:r>
                        <w:rPr>
                          <w:rStyle w:val="Hyperlink"/>
                          <w:rFonts w:ascii="Arial Narrow" w:hAnsi="Arial Narrow"/>
                          <w:bCs/>
                          <w:color w:val="D5577B"/>
                        </w:rPr>
                        <w:t>.</w:t>
                      </w:r>
                    </w:p>
                    <w:p w14:paraId="46DC9A89" w14:textId="77777777" w:rsidR="006712E0" w:rsidRPr="00AE6231" w:rsidRDefault="006712E0" w:rsidP="00047EF8">
                      <w:pPr>
                        <w:pStyle w:val="ListParagraph"/>
                        <w:numPr>
                          <w:ilvl w:val="0"/>
                          <w:numId w:val="88"/>
                        </w:numPr>
                        <w:spacing w:after="0"/>
                        <w:jc w:val="both"/>
                        <w:rPr>
                          <w:rStyle w:val="Hyperlink"/>
                          <w:rFonts w:ascii="Arial Narrow" w:hAnsi="Arial Narrow"/>
                          <w:color w:val="F97399"/>
                        </w:rPr>
                      </w:pPr>
                      <w:r w:rsidRPr="00AE6231">
                        <w:rPr>
                          <w:rStyle w:val="Hyperlink"/>
                          <w:rFonts w:ascii="Arial Narrow" w:hAnsi="Arial Narrow"/>
                          <w:bCs/>
                          <w:color w:val="D5577B"/>
                        </w:rPr>
                        <w:t>S</w:t>
                      </w:r>
                      <w:r>
                        <w:rPr>
                          <w:rStyle w:val="Hyperlink"/>
                          <w:rFonts w:ascii="Arial Narrow" w:hAnsi="Arial Narrow"/>
                          <w:bCs/>
                          <w:color w:val="D5577B"/>
                        </w:rPr>
                        <w:t xml:space="preserve">trategija za razvoj sporta </w:t>
                      </w:r>
                      <w:r w:rsidRPr="00AE6231">
                        <w:rPr>
                          <w:rStyle w:val="Hyperlink"/>
                          <w:rFonts w:ascii="Arial Narrow" w:hAnsi="Arial Narrow"/>
                          <w:bCs/>
                          <w:color w:val="D5577B"/>
                        </w:rPr>
                        <w:t>2018-2021</w:t>
                      </w:r>
                      <w:r>
                        <w:rPr>
                          <w:rStyle w:val="Hyperlink"/>
                          <w:rFonts w:ascii="Arial Narrow" w:hAnsi="Arial Narrow"/>
                          <w:bCs/>
                          <w:color w:val="D5577B"/>
                        </w:rPr>
                        <w:t>.</w:t>
                      </w:r>
                    </w:p>
                    <w:p w14:paraId="18214FF1" w14:textId="77777777" w:rsidR="006712E0" w:rsidRPr="00AE6231" w:rsidRDefault="006712E0" w:rsidP="00047EF8">
                      <w:pPr>
                        <w:pStyle w:val="ListParagraph"/>
                        <w:numPr>
                          <w:ilvl w:val="0"/>
                          <w:numId w:val="88"/>
                        </w:numPr>
                        <w:spacing w:after="0"/>
                        <w:jc w:val="both"/>
                        <w:rPr>
                          <w:rStyle w:val="Hyperlink"/>
                          <w:rFonts w:ascii="Arial Narrow" w:hAnsi="Arial Narrow"/>
                          <w:b/>
                          <w:bCs/>
                          <w:color w:val="D5577B"/>
                        </w:rPr>
                      </w:pPr>
                      <w:hyperlink r:id="rId89" w:history="1">
                        <w:r>
                          <w:rPr>
                            <w:rStyle w:val="Hyperlink"/>
                            <w:rFonts w:ascii="Arial Narrow" w:hAnsi="Arial Narrow"/>
                            <w:bCs/>
                            <w:color w:val="D5577B"/>
                          </w:rPr>
                          <w:t>Strategija stru</w:t>
                        </w:r>
                        <w:r>
                          <w:rPr>
                            <w:rStyle w:val="Hyperlink"/>
                            <w:rFonts w:ascii="Times New Roman" w:hAnsi="Times New Roman"/>
                            <w:bCs/>
                            <w:color w:val="D5577B"/>
                          </w:rPr>
                          <w:t>č</w:t>
                        </w:r>
                        <w:r>
                          <w:rPr>
                            <w:rStyle w:val="Hyperlink"/>
                            <w:rFonts w:ascii="Arial Narrow" w:hAnsi="Arial Narrow"/>
                            <w:bCs/>
                            <w:color w:val="D5577B"/>
                          </w:rPr>
                          <w:t>nog obrazovanja</w:t>
                        </w:r>
                        <w:r w:rsidRPr="00AE6231">
                          <w:rPr>
                            <w:rStyle w:val="Hyperlink"/>
                            <w:rFonts w:ascii="Arial Narrow" w:hAnsi="Arial Narrow"/>
                            <w:bCs/>
                            <w:color w:val="D5577B"/>
                          </w:rPr>
                          <w:t xml:space="preserve"> 2020</w:t>
                        </w:r>
                      </w:hyperlink>
                      <w:r w:rsidRPr="00AE6231">
                        <w:rPr>
                          <w:rStyle w:val="Hyperlink"/>
                          <w:rFonts w:ascii="Arial Narrow" w:hAnsi="Arial Narrow"/>
                          <w:bCs/>
                          <w:color w:val="D5577B"/>
                        </w:rPr>
                        <w:t>-2024</w:t>
                      </w:r>
                      <w:r>
                        <w:rPr>
                          <w:rStyle w:val="Hyperlink"/>
                          <w:rFonts w:ascii="Arial Narrow" w:hAnsi="Arial Narrow"/>
                          <w:bCs/>
                          <w:color w:val="D5577B"/>
                        </w:rPr>
                        <w:t>.</w:t>
                      </w:r>
                    </w:p>
                    <w:p w14:paraId="51047FAE" w14:textId="77777777" w:rsidR="006712E0" w:rsidRPr="00935D7E" w:rsidRDefault="006712E0" w:rsidP="00047EF8">
                      <w:pPr>
                        <w:pStyle w:val="ListParagraph"/>
                        <w:numPr>
                          <w:ilvl w:val="0"/>
                          <w:numId w:val="88"/>
                        </w:numPr>
                        <w:spacing w:after="0"/>
                        <w:jc w:val="both"/>
                        <w:rPr>
                          <w:rFonts w:ascii="Arial Narrow" w:hAnsi="Arial Narrow"/>
                          <w:color w:val="D5577B"/>
                        </w:rPr>
                      </w:pPr>
                      <w:hyperlink r:id="rId90" w:history="1">
                        <w:r>
                          <w:rPr>
                            <w:rStyle w:val="Hyperlink"/>
                            <w:rFonts w:ascii="Arial Narrow" w:hAnsi="Arial Narrow"/>
                            <w:bCs/>
                            <w:color w:val="D5577B"/>
                          </w:rPr>
                          <w:t>Strategija za rano i predškolsko obrazovanje</w:t>
                        </w:r>
                        <w:r w:rsidRPr="00AE6231">
                          <w:rPr>
                            <w:rStyle w:val="Hyperlink"/>
                            <w:rFonts w:ascii="Arial Narrow" w:hAnsi="Arial Narrow"/>
                            <w:bCs/>
                            <w:color w:val="D5577B"/>
                          </w:rPr>
                          <w:t xml:space="preserve"> 2021-2025</w:t>
                        </w:r>
                      </w:hyperlink>
                      <w:r>
                        <w:rPr>
                          <w:rStyle w:val="Hyperlink"/>
                          <w:rFonts w:ascii="Arial Narrow" w:hAnsi="Arial Narrow"/>
                          <w:bCs/>
                          <w:color w:val="D5577B"/>
                        </w:rPr>
                        <w:t>.</w:t>
                      </w:r>
                    </w:p>
                  </w:txbxContent>
                </v:textbox>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99200" behindDoc="0" locked="0" layoutInCell="1" allowOverlap="1" wp14:anchorId="17964F35" wp14:editId="54794ADE">
                <wp:simplePos x="0" y="0"/>
                <wp:positionH relativeFrom="column">
                  <wp:posOffset>4076700</wp:posOffset>
                </wp:positionH>
                <wp:positionV relativeFrom="paragraph">
                  <wp:posOffset>3927475</wp:posOffset>
                </wp:positionV>
                <wp:extent cx="2676525" cy="2857500"/>
                <wp:effectExtent l="0" t="0" r="9525" b="0"/>
                <wp:wrapNone/>
                <wp:docPr id="23540" name="Rounded Rectangle 23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2857500"/>
                        </a:xfrm>
                        <a:prstGeom prst="roundRect">
                          <a:avLst/>
                        </a:prstGeom>
                        <a:solidFill>
                          <a:sysClr val="window" lastClr="FFFFFF"/>
                        </a:solidFill>
                        <a:ln w="12700" cap="flat" cmpd="sng" algn="ctr">
                          <a:solidFill>
                            <a:srgbClr val="D5577B"/>
                          </a:solidFill>
                          <a:prstDash val="solid"/>
                          <a:miter lim="800000"/>
                        </a:ln>
                        <a:effectLst/>
                      </wps:spPr>
                      <wps:txbx>
                        <w:txbxContent>
                          <w:p w14:paraId="701E63B5" w14:textId="77777777" w:rsidR="006712E0" w:rsidRPr="00FB4FF4" w:rsidRDefault="006712E0" w:rsidP="00047EF8">
                            <w:pPr>
                              <w:jc w:val="center"/>
                              <w:rPr>
                                <w:rFonts w:ascii="Arial Narrow" w:hAnsi="Arial Narrow"/>
                                <w:b/>
                                <w:color w:val="D5577B"/>
                                <w:sz w:val="24"/>
                                <w:szCs w:val="24"/>
                              </w:rPr>
                            </w:pPr>
                            <w:r>
                              <w:rPr>
                                <w:rFonts w:ascii="Arial Narrow" w:hAnsi="Arial Narrow"/>
                                <w:b/>
                                <w:color w:val="D5577B"/>
                                <w:sz w:val="24"/>
                                <w:szCs w:val="24"/>
                              </w:rPr>
                              <w:t>SEKTORSKI</w:t>
                            </w:r>
                            <w:r w:rsidRPr="00FB4FF4">
                              <w:rPr>
                                <w:rFonts w:ascii="Arial Narrow" w:hAnsi="Arial Narrow"/>
                                <w:b/>
                                <w:color w:val="D5577B"/>
                                <w:sz w:val="24"/>
                                <w:szCs w:val="24"/>
                              </w:rPr>
                              <w:t xml:space="preserve"> PROGRAM</w:t>
                            </w:r>
                            <w:r>
                              <w:rPr>
                                <w:rFonts w:ascii="Arial Narrow" w:hAnsi="Arial Narrow"/>
                                <w:b/>
                                <w:color w:val="D5577B"/>
                                <w:sz w:val="24"/>
                                <w:szCs w:val="24"/>
                              </w:rPr>
                              <w:t>I</w:t>
                            </w:r>
                            <w:r w:rsidRPr="00FB4FF4">
                              <w:rPr>
                                <w:rFonts w:ascii="Arial Narrow" w:hAnsi="Arial Narrow"/>
                                <w:b/>
                                <w:color w:val="D5577B"/>
                                <w:sz w:val="24"/>
                                <w:szCs w:val="24"/>
                              </w:rPr>
                              <w:t>:</w:t>
                            </w:r>
                          </w:p>
                          <w:p w14:paraId="58E41BFA" w14:textId="77777777" w:rsidR="006712E0" w:rsidRPr="00ED13FD" w:rsidRDefault="006712E0" w:rsidP="00047EF8">
                            <w:pPr>
                              <w:pStyle w:val="ListParagraph"/>
                              <w:numPr>
                                <w:ilvl w:val="0"/>
                                <w:numId w:val="89"/>
                              </w:numPr>
                              <w:spacing w:after="0"/>
                              <w:rPr>
                                <w:rFonts w:ascii="Arial Narrow" w:hAnsi="Arial Narrow"/>
                                <w:b/>
                                <w:color w:val="D5577B"/>
                              </w:rPr>
                            </w:pPr>
                            <w:r w:rsidRPr="00ED13FD">
                              <w:rPr>
                                <w:rFonts w:ascii="Arial Narrow" w:hAnsi="Arial Narrow"/>
                                <w:b/>
                                <w:color w:val="D5577B"/>
                              </w:rPr>
                              <w:t>Program</w:t>
                            </w:r>
                            <w:r>
                              <w:rPr>
                                <w:rFonts w:ascii="Arial Narrow" w:hAnsi="Arial Narrow"/>
                                <w:b/>
                                <w:color w:val="D5577B"/>
                              </w:rPr>
                              <w:t xml:space="preserve"> za praćenje preporuka za unapređenje obrazovne politike</w:t>
                            </w:r>
                            <w:r w:rsidRPr="00ED13FD">
                              <w:rPr>
                                <w:rFonts w:ascii="Arial Narrow" w:hAnsi="Arial Narrow"/>
                                <w:b/>
                                <w:color w:val="D5577B"/>
                              </w:rPr>
                              <w:t xml:space="preserve"> 2019-2021</w:t>
                            </w:r>
                            <w:r>
                              <w:rPr>
                                <w:rFonts w:ascii="Arial Narrow" w:hAnsi="Arial Narrow"/>
                                <w:b/>
                                <w:color w:val="D5577B"/>
                              </w:rPr>
                              <w:t>. na osnovu nalaza PISA testiranja</w:t>
                            </w:r>
                          </w:p>
                          <w:p w14:paraId="42121E29" w14:textId="77777777" w:rsidR="006712E0" w:rsidRPr="00ED13FD" w:rsidRDefault="006712E0" w:rsidP="00047EF8">
                            <w:pPr>
                              <w:pStyle w:val="ListParagraph"/>
                              <w:numPr>
                                <w:ilvl w:val="0"/>
                                <w:numId w:val="89"/>
                              </w:numPr>
                              <w:spacing w:after="0"/>
                              <w:rPr>
                                <w:rFonts w:ascii="Arial Narrow" w:hAnsi="Arial Narrow"/>
                                <w:b/>
                                <w:color w:val="D5577B"/>
                              </w:rPr>
                            </w:pPr>
                            <w:r w:rsidRPr="00ED13FD">
                              <w:rPr>
                                <w:rFonts w:ascii="Arial Narrow" w:hAnsi="Arial Narrow"/>
                                <w:b/>
                                <w:color w:val="D5577B"/>
                              </w:rPr>
                              <w:t>Program</w:t>
                            </w:r>
                            <w:r>
                              <w:rPr>
                                <w:rFonts w:ascii="Arial Narrow" w:hAnsi="Arial Narrow"/>
                                <w:b/>
                                <w:color w:val="D5577B"/>
                              </w:rPr>
                              <w:t xml:space="preserve"> za razvoj i podršku talentovanim učenicima</w:t>
                            </w:r>
                            <w:r w:rsidRPr="00ED13FD">
                              <w:rPr>
                                <w:rFonts w:ascii="Arial Narrow" w:hAnsi="Arial Narrow"/>
                                <w:b/>
                                <w:color w:val="D5577B"/>
                              </w:rPr>
                              <w:t xml:space="preserve"> 2020-2022</w:t>
                            </w:r>
                            <w:r>
                              <w:rPr>
                                <w:rFonts w:ascii="Arial Narrow" w:hAnsi="Arial Narrow"/>
                                <w:b/>
                                <w:color w:val="D5577B"/>
                              </w:rPr>
                              <w:t>.</w:t>
                            </w:r>
                          </w:p>
                          <w:p w14:paraId="4C1BEAA7" w14:textId="77777777" w:rsidR="006712E0" w:rsidRPr="00ED13FD" w:rsidRDefault="006712E0" w:rsidP="00047EF8">
                            <w:pPr>
                              <w:pStyle w:val="ListParagraph"/>
                              <w:numPr>
                                <w:ilvl w:val="0"/>
                                <w:numId w:val="89"/>
                              </w:numPr>
                              <w:spacing w:after="0"/>
                              <w:rPr>
                                <w:rFonts w:ascii="Arial Narrow" w:hAnsi="Arial Narrow"/>
                                <w:b/>
                                <w:color w:val="D5577B"/>
                              </w:rPr>
                            </w:pPr>
                            <w:r>
                              <w:rPr>
                                <w:rFonts w:ascii="Arial Narrow" w:hAnsi="Arial Narrow"/>
                                <w:b/>
                                <w:color w:val="D5577B"/>
                              </w:rPr>
                              <w:t>Program za realizaciju principa “Otvorena nauka” u Crnoj Gori</w:t>
                            </w:r>
                            <w:r w:rsidRPr="00ED13FD">
                              <w:rPr>
                                <w:rFonts w:ascii="Arial Narrow" w:hAnsi="Arial Narrow"/>
                                <w:b/>
                                <w:color w:val="D5577B"/>
                              </w:rPr>
                              <w:t xml:space="preserve"> 2020-2022</w:t>
                            </w:r>
                            <w:r>
                              <w:rPr>
                                <w:rFonts w:ascii="Arial Narrow" w:hAnsi="Arial Narrow"/>
                                <w:b/>
                                <w:color w:val="D5577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64F35" id="Rounded Rectangle 23540" o:spid="_x0000_s1130" style="position:absolute;left:0;text-align:left;margin-left:321pt;margin-top:309.25pt;width:210.7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" fillcolor="window" strokecolor="#d5577b" strokeweight="1pt">
                <v:stroke joinstyle="miter"/>
                <v:path arrowok="t"/>
                <v:textbox>
                  <w:txbxContent>
                    <w:p w14:paraId="701E63B5" w14:textId="77777777" w:rsidR="006712E0" w:rsidRPr="00FB4FF4" w:rsidRDefault="006712E0" w:rsidP="00047EF8">
                      <w:pPr>
                        <w:jc w:val="center"/>
                        <w:rPr>
                          <w:rFonts w:ascii="Arial Narrow" w:hAnsi="Arial Narrow"/>
                          <w:b/>
                          <w:color w:val="D5577B"/>
                          <w:sz w:val="24"/>
                          <w:szCs w:val="24"/>
                        </w:rPr>
                      </w:pPr>
                      <w:r>
                        <w:rPr>
                          <w:rFonts w:ascii="Arial Narrow" w:hAnsi="Arial Narrow"/>
                          <w:b/>
                          <w:color w:val="D5577B"/>
                          <w:sz w:val="24"/>
                          <w:szCs w:val="24"/>
                        </w:rPr>
                        <w:t>SEKTORSKI</w:t>
                      </w:r>
                      <w:r w:rsidRPr="00FB4FF4">
                        <w:rPr>
                          <w:rFonts w:ascii="Arial Narrow" w:hAnsi="Arial Narrow"/>
                          <w:b/>
                          <w:color w:val="D5577B"/>
                          <w:sz w:val="24"/>
                          <w:szCs w:val="24"/>
                        </w:rPr>
                        <w:t xml:space="preserve"> PROGRAM</w:t>
                      </w:r>
                      <w:r>
                        <w:rPr>
                          <w:rFonts w:ascii="Arial Narrow" w:hAnsi="Arial Narrow"/>
                          <w:b/>
                          <w:color w:val="D5577B"/>
                          <w:sz w:val="24"/>
                          <w:szCs w:val="24"/>
                        </w:rPr>
                        <w:t>I</w:t>
                      </w:r>
                      <w:r w:rsidRPr="00FB4FF4">
                        <w:rPr>
                          <w:rFonts w:ascii="Arial Narrow" w:hAnsi="Arial Narrow"/>
                          <w:b/>
                          <w:color w:val="D5577B"/>
                          <w:sz w:val="24"/>
                          <w:szCs w:val="24"/>
                        </w:rPr>
                        <w:t>:</w:t>
                      </w:r>
                    </w:p>
                    <w:p w14:paraId="58E41BFA" w14:textId="77777777" w:rsidR="006712E0" w:rsidRPr="00ED13FD" w:rsidRDefault="006712E0" w:rsidP="00047EF8">
                      <w:pPr>
                        <w:pStyle w:val="ListParagraph"/>
                        <w:numPr>
                          <w:ilvl w:val="0"/>
                          <w:numId w:val="89"/>
                        </w:numPr>
                        <w:spacing w:after="0"/>
                        <w:rPr>
                          <w:rFonts w:ascii="Arial Narrow" w:hAnsi="Arial Narrow"/>
                          <w:b/>
                          <w:color w:val="D5577B"/>
                        </w:rPr>
                      </w:pPr>
                      <w:r w:rsidRPr="00ED13FD">
                        <w:rPr>
                          <w:rFonts w:ascii="Arial Narrow" w:hAnsi="Arial Narrow"/>
                          <w:b/>
                          <w:color w:val="D5577B"/>
                        </w:rPr>
                        <w:t>Program</w:t>
                      </w:r>
                      <w:r>
                        <w:rPr>
                          <w:rFonts w:ascii="Arial Narrow" w:hAnsi="Arial Narrow"/>
                          <w:b/>
                          <w:color w:val="D5577B"/>
                        </w:rPr>
                        <w:t xml:space="preserve"> za praćenje preporuka za unapređenje obrazovne politike</w:t>
                      </w:r>
                      <w:r w:rsidRPr="00ED13FD">
                        <w:rPr>
                          <w:rFonts w:ascii="Arial Narrow" w:hAnsi="Arial Narrow"/>
                          <w:b/>
                          <w:color w:val="D5577B"/>
                        </w:rPr>
                        <w:t xml:space="preserve"> 2019-2021</w:t>
                      </w:r>
                      <w:r>
                        <w:rPr>
                          <w:rFonts w:ascii="Arial Narrow" w:hAnsi="Arial Narrow"/>
                          <w:b/>
                          <w:color w:val="D5577B"/>
                        </w:rPr>
                        <w:t>. na osnovu nalaza PISA testiranja</w:t>
                      </w:r>
                    </w:p>
                    <w:p w14:paraId="42121E29" w14:textId="77777777" w:rsidR="006712E0" w:rsidRPr="00ED13FD" w:rsidRDefault="006712E0" w:rsidP="00047EF8">
                      <w:pPr>
                        <w:pStyle w:val="ListParagraph"/>
                        <w:numPr>
                          <w:ilvl w:val="0"/>
                          <w:numId w:val="89"/>
                        </w:numPr>
                        <w:spacing w:after="0"/>
                        <w:rPr>
                          <w:rFonts w:ascii="Arial Narrow" w:hAnsi="Arial Narrow"/>
                          <w:b/>
                          <w:color w:val="D5577B"/>
                        </w:rPr>
                      </w:pPr>
                      <w:r w:rsidRPr="00ED13FD">
                        <w:rPr>
                          <w:rFonts w:ascii="Arial Narrow" w:hAnsi="Arial Narrow"/>
                          <w:b/>
                          <w:color w:val="D5577B"/>
                        </w:rPr>
                        <w:t>Program</w:t>
                      </w:r>
                      <w:r>
                        <w:rPr>
                          <w:rFonts w:ascii="Arial Narrow" w:hAnsi="Arial Narrow"/>
                          <w:b/>
                          <w:color w:val="D5577B"/>
                        </w:rPr>
                        <w:t xml:space="preserve"> za razvoj i podršku talentovanim učenicima</w:t>
                      </w:r>
                      <w:r w:rsidRPr="00ED13FD">
                        <w:rPr>
                          <w:rFonts w:ascii="Arial Narrow" w:hAnsi="Arial Narrow"/>
                          <w:b/>
                          <w:color w:val="D5577B"/>
                        </w:rPr>
                        <w:t xml:space="preserve"> 2020-2022</w:t>
                      </w:r>
                      <w:r>
                        <w:rPr>
                          <w:rFonts w:ascii="Arial Narrow" w:hAnsi="Arial Narrow"/>
                          <w:b/>
                          <w:color w:val="D5577B"/>
                        </w:rPr>
                        <w:t>.</w:t>
                      </w:r>
                    </w:p>
                    <w:p w14:paraId="4C1BEAA7" w14:textId="77777777" w:rsidR="006712E0" w:rsidRPr="00ED13FD" w:rsidRDefault="006712E0" w:rsidP="00047EF8">
                      <w:pPr>
                        <w:pStyle w:val="ListParagraph"/>
                        <w:numPr>
                          <w:ilvl w:val="0"/>
                          <w:numId w:val="89"/>
                        </w:numPr>
                        <w:spacing w:after="0"/>
                        <w:rPr>
                          <w:rFonts w:ascii="Arial Narrow" w:hAnsi="Arial Narrow"/>
                          <w:b/>
                          <w:color w:val="D5577B"/>
                        </w:rPr>
                      </w:pPr>
                      <w:r>
                        <w:rPr>
                          <w:rFonts w:ascii="Arial Narrow" w:hAnsi="Arial Narrow"/>
                          <w:b/>
                          <w:color w:val="D5577B"/>
                        </w:rPr>
                        <w:t>Program za realizaciju principa “Otvorena nauka” u Crnoj Gori</w:t>
                      </w:r>
                      <w:r w:rsidRPr="00ED13FD">
                        <w:rPr>
                          <w:rFonts w:ascii="Arial Narrow" w:hAnsi="Arial Narrow"/>
                          <w:b/>
                          <w:color w:val="D5577B"/>
                        </w:rPr>
                        <w:t xml:space="preserve"> 2020-2022</w:t>
                      </w:r>
                      <w:r>
                        <w:rPr>
                          <w:rFonts w:ascii="Arial Narrow" w:hAnsi="Arial Narrow"/>
                          <w:b/>
                          <w:color w:val="D5577B"/>
                        </w:rPr>
                        <w:t>.</w:t>
                      </w:r>
                    </w:p>
                  </w:txbxContent>
                </v:textbox>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97152" behindDoc="0" locked="0" layoutInCell="1" allowOverlap="1" wp14:anchorId="7C697300" wp14:editId="3A933750">
                <wp:simplePos x="0" y="0"/>
                <wp:positionH relativeFrom="margin">
                  <wp:posOffset>-67945</wp:posOffset>
                </wp:positionH>
                <wp:positionV relativeFrom="paragraph">
                  <wp:posOffset>3491865</wp:posOffset>
                </wp:positionV>
                <wp:extent cx="6448425" cy="341630"/>
                <wp:effectExtent l="0" t="0" r="9525" b="1270"/>
                <wp:wrapNone/>
                <wp:docPr id="23542" name="Rounded Rectangle 23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8425" cy="341630"/>
                        </a:xfrm>
                        <a:prstGeom prst="roundRect">
                          <a:avLst/>
                        </a:prstGeom>
                        <a:solidFill>
                          <a:srgbClr val="D5577B"/>
                        </a:solidFill>
                        <a:ln w="12700" cap="flat" cmpd="sng" algn="ctr">
                          <a:solidFill>
                            <a:srgbClr val="D5577B"/>
                          </a:solidFill>
                          <a:prstDash val="solid"/>
                          <a:miter lim="800000"/>
                        </a:ln>
                        <a:effectLst/>
                      </wps:spPr>
                      <wps:txbx>
                        <w:txbxContent>
                          <w:p w14:paraId="0B989DD9" w14:textId="77777777" w:rsidR="006712E0" w:rsidRPr="00926D7F" w:rsidRDefault="006712E0" w:rsidP="00047EF8">
                            <w:pPr>
                              <w:jc w:val="center"/>
                              <w:rPr>
                                <w:rFonts w:ascii="Arial" w:hAnsi="Arial" w:cs="Arial"/>
                                <w:b/>
                                <w:sz w:val="28"/>
                                <w:szCs w:val="28"/>
                              </w:rPr>
                            </w:pPr>
                            <w:r>
                              <w:rPr>
                                <w:rFonts w:ascii="Arial" w:hAnsi="Arial" w:cs="Arial"/>
                                <w:b/>
                                <w:sz w:val="28"/>
                                <w:szCs w:val="28"/>
                              </w:rPr>
                              <w:t>MINISTARSTVO PROSVJETE, NAUKE, KULTURE I SPORTA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97300" id="Rounded Rectangle 23542" o:spid="_x0000_s1131" style="position:absolute;left:0;text-align:left;margin-left:-5.35pt;margin-top:274.95pt;width:507.75pt;height:26.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" fillcolor="#d5577b" strokecolor="#d5577b" strokeweight="1pt">
                <v:stroke joinstyle="miter"/>
                <v:path arrowok="t"/>
                <v:textbox>
                  <w:txbxContent>
                    <w:p w14:paraId="0B989DD9" w14:textId="77777777" w:rsidR="006712E0" w:rsidRPr="00926D7F" w:rsidRDefault="006712E0" w:rsidP="00047EF8">
                      <w:pPr>
                        <w:jc w:val="center"/>
                        <w:rPr>
                          <w:rFonts w:ascii="Arial" w:hAnsi="Arial" w:cs="Arial"/>
                          <w:b/>
                          <w:sz w:val="28"/>
                          <w:szCs w:val="28"/>
                        </w:rPr>
                      </w:pPr>
                      <w:r>
                        <w:rPr>
                          <w:rFonts w:ascii="Arial" w:hAnsi="Arial" w:cs="Arial"/>
                          <w:b/>
                          <w:sz w:val="28"/>
                          <w:szCs w:val="28"/>
                        </w:rPr>
                        <w:t>MINISTARSTVO PROSVJETE, NAUKE, KULTURE I SPORTA</w:t>
                      </w: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15584" behindDoc="0" locked="0" layoutInCell="1" allowOverlap="1" wp14:anchorId="746DC387" wp14:editId="0EFFBE76">
                <wp:simplePos x="0" y="0"/>
                <wp:positionH relativeFrom="page">
                  <wp:posOffset>168275</wp:posOffset>
                </wp:positionH>
                <wp:positionV relativeFrom="paragraph">
                  <wp:posOffset>1181100</wp:posOffset>
                </wp:positionV>
                <wp:extent cx="6762750" cy="1190625"/>
                <wp:effectExtent l="0" t="0" r="0" b="9525"/>
                <wp:wrapNone/>
                <wp:docPr id="23535" name="Rounded Rectangle 23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0" cy="1190625"/>
                        </a:xfrm>
                        <a:prstGeom prst="roundRect">
                          <a:avLst/>
                        </a:prstGeom>
                        <a:solidFill>
                          <a:sysClr val="window" lastClr="FFFFFF"/>
                        </a:solidFill>
                        <a:ln w="12700" cap="flat" cmpd="sng" algn="ctr">
                          <a:solidFill>
                            <a:srgbClr val="FFCB25"/>
                          </a:solidFill>
                          <a:prstDash val="solid"/>
                          <a:miter lim="800000"/>
                        </a:ln>
                        <a:effectLst/>
                      </wps:spPr>
                      <wps:txbx>
                        <w:txbxContent>
                          <w:p w14:paraId="1D442656" w14:textId="77777777" w:rsidR="006712E0" w:rsidRPr="00FB4FF4" w:rsidRDefault="006712E0" w:rsidP="00047EF8">
                            <w:pPr>
                              <w:spacing w:after="120" w:line="240" w:lineRule="auto"/>
                              <w:jc w:val="center"/>
                              <w:rPr>
                                <w:rFonts w:ascii="Arial Narrow" w:hAnsi="Arial Narrow"/>
                                <w:b/>
                                <w:color w:val="B2A1C7" w:themeColor="accent4" w:themeTint="99"/>
                              </w:rPr>
                            </w:pPr>
                            <w:r>
                              <w:rPr>
                                <w:rFonts w:ascii="Arial Narrow" w:hAnsi="Arial Narrow"/>
                                <w:b/>
                                <w:color w:val="B2A1C7" w:themeColor="accent4" w:themeTint="99"/>
                              </w:rPr>
                              <w:t>SMJERNICE I OSTALA STRATEŠKA DOKUMENTA RELEVANTNA ZA IMPLEMENTACIJU POLITIKE</w:t>
                            </w:r>
                            <w:r w:rsidRPr="00FB4FF4">
                              <w:rPr>
                                <w:rFonts w:ascii="Arial Narrow" w:hAnsi="Arial Narrow"/>
                                <w:b/>
                                <w:color w:val="B2A1C7" w:themeColor="accent4" w:themeTint="99"/>
                              </w:rPr>
                              <w:t>:</w:t>
                            </w:r>
                          </w:p>
                          <w:p w14:paraId="5A7F6CCF" w14:textId="77777777" w:rsidR="006712E0" w:rsidRPr="004C38C9" w:rsidRDefault="001D48BA" w:rsidP="00047EF8">
                            <w:pPr>
                              <w:pStyle w:val="ListParagraph"/>
                              <w:numPr>
                                <w:ilvl w:val="0"/>
                                <w:numId w:val="87"/>
                              </w:numPr>
                              <w:spacing w:after="0" w:line="240" w:lineRule="auto"/>
                              <w:jc w:val="both"/>
                              <w:rPr>
                                <w:rFonts w:ascii="Arial Narrow" w:hAnsi="Arial Narrow"/>
                                <w:b/>
                                <w:color w:val="B2A1C7" w:themeColor="accent4" w:themeTint="99"/>
                              </w:rPr>
                            </w:pPr>
                            <w:hyperlink r:id="rId91" w:history="1">
                              <w:r w:rsidR="006712E0">
                                <w:rPr>
                                  <w:rStyle w:val="Hyperlink"/>
                                  <w:rFonts w:ascii="Arial Narrow" w:hAnsi="Arial Narrow"/>
                                  <w:color w:val="B2A1C7" w:themeColor="accent4" w:themeTint="99"/>
                                </w:rPr>
                                <w:t>Nac</w:t>
                              </w:r>
                              <w:r w:rsidR="006712E0" w:rsidRPr="004C38C9">
                                <w:rPr>
                                  <w:rStyle w:val="Hyperlink"/>
                                  <w:rFonts w:ascii="Arial Narrow" w:hAnsi="Arial Narrow"/>
                                  <w:color w:val="B2A1C7" w:themeColor="accent4" w:themeTint="99"/>
                                </w:rPr>
                                <w:t>ional</w:t>
                              </w:r>
                              <w:r w:rsidR="006712E0">
                                <w:rPr>
                                  <w:rStyle w:val="Hyperlink"/>
                                  <w:rFonts w:ascii="Arial Narrow" w:hAnsi="Arial Narrow"/>
                                  <w:color w:val="B2A1C7" w:themeColor="accent4" w:themeTint="99"/>
                                </w:rPr>
                                <w:t>na politika za šumarstvo</w:t>
                              </w:r>
                              <w:r w:rsidR="006712E0" w:rsidRPr="004C38C9">
                                <w:rPr>
                                  <w:rStyle w:val="Hyperlink"/>
                                  <w:rFonts w:ascii="Arial Narrow" w:hAnsi="Arial Narrow"/>
                                  <w:color w:val="B2A1C7" w:themeColor="accent4" w:themeTint="99"/>
                                </w:rPr>
                                <w:t xml:space="preserve"> (2008)</w:t>
                              </w:r>
                            </w:hyperlink>
                          </w:p>
                          <w:p w14:paraId="657E2A8C" w14:textId="77777777" w:rsidR="006712E0" w:rsidRPr="004C38C9" w:rsidRDefault="006712E0" w:rsidP="00047EF8">
                            <w:pPr>
                              <w:pStyle w:val="ListParagraph"/>
                              <w:numPr>
                                <w:ilvl w:val="0"/>
                                <w:numId w:val="87"/>
                              </w:numPr>
                              <w:spacing w:after="0" w:line="240" w:lineRule="auto"/>
                              <w:jc w:val="both"/>
                              <w:rPr>
                                <w:rFonts w:ascii="Arial Narrow" w:hAnsi="Arial Narrow"/>
                                <w:b/>
                                <w:color w:val="B2A1C7" w:themeColor="accent4" w:themeTint="99"/>
                              </w:rPr>
                            </w:pPr>
                            <w:r>
                              <w:rPr>
                                <w:rStyle w:val="Hyperlink"/>
                                <w:rFonts w:ascii="Arial Narrow" w:hAnsi="Arial Narrow"/>
                                <w:color w:val="B2A1C7" w:themeColor="accent4" w:themeTint="99"/>
                              </w:rPr>
                              <w:t>Akc</w:t>
                            </w:r>
                            <w:r w:rsidRPr="004C38C9">
                              <w:rPr>
                                <w:rStyle w:val="Hyperlink"/>
                                <w:rFonts w:ascii="Arial Narrow" w:hAnsi="Arial Narrow"/>
                                <w:color w:val="B2A1C7" w:themeColor="accent4" w:themeTint="99"/>
                              </w:rPr>
                              <w:t>ion</w:t>
                            </w:r>
                            <w:r>
                              <w:rPr>
                                <w:rStyle w:val="Hyperlink"/>
                                <w:rFonts w:ascii="Arial Narrow" w:hAnsi="Arial Narrow"/>
                                <w:color w:val="B2A1C7" w:themeColor="accent4" w:themeTint="99"/>
                              </w:rPr>
                              <w:t>i</w:t>
                            </w:r>
                            <w:r w:rsidRPr="004C38C9">
                              <w:rPr>
                                <w:rStyle w:val="Hyperlink"/>
                                <w:rFonts w:ascii="Arial Narrow" w:hAnsi="Arial Narrow"/>
                                <w:color w:val="B2A1C7" w:themeColor="accent4" w:themeTint="99"/>
                              </w:rPr>
                              <w:t xml:space="preserve"> </w:t>
                            </w:r>
                            <w:r>
                              <w:rPr>
                                <w:rStyle w:val="Hyperlink"/>
                                <w:rFonts w:ascii="Arial Narrow" w:hAnsi="Arial Narrow"/>
                                <w:color w:val="B2A1C7" w:themeColor="accent4" w:themeTint="99"/>
                              </w:rPr>
                              <w:t>p</w:t>
                            </w:r>
                            <w:r w:rsidRPr="004C38C9">
                              <w:rPr>
                                <w:rStyle w:val="Hyperlink"/>
                                <w:rFonts w:ascii="Arial Narrow" w:hAnsi="Arial Narrow"/>
                                <w:color w:val="B2A1C7" w:themeColor="accent4" w:themeTint="99"/>
                              </w:rPr>
                              <w:t>lan</w:t>
                            </w:r>
                            <w:r>
                              <w:rPr>
                                <w:rStyle w:val="Hyperlink"/>
                                <w:rFonts w:ascii="Arial Narrow" w:hAnsi="Arial Narrow"/>
                                <w:color w:val="B2A1C7" w:themeColor="accent4" w:themeTint="99"/>
                              </w:rPr>
                              <w:t xml:space="preserve"> za suzbijanje ilegalnog va</w:t>
                            </w:r>
                            <w:r>
                              <w:rPr>
                                <w:rStyle w:val="Hyperlink"/>
                                <w:rFonts w:ascii="Times New Roman" w:hAnsi="Times New Roman"/>
                                <w:color w:val="B2A1C7" w:themeColor="accent4" w:themeTint="99"/>
                              </w:rPr>
                              <w:t>đ</w:t>
                            </w:r>
                            <w:r>
                              <w:rPr>
                                <w:rStyle w:val="Hyperlink"/>
                                <w:rFonts w:ascii="Arial Narrow" w:hAnsi="Arial Narrow"/>
                                <w:color w:val="B2A1C7" w:themeColor="accent4" w:themeTint="99"/>
                              </w:rPr>
                              <w:t>enja rije</w:t>
                            </w:r>
                            <w:r>
                              <w:rPr>
                                <w:rStyle w:val="Hyperlink"/>
                                <w:rFonts w:ascii="Times New Roman" w:hAnsi="Times New Roman"/>
                                <w:color w:val="B2A1C7" w:themeColor="accent4" w:themeTint="99"/>
                              </w:rPr>
                              <w:t>č</w:t>
                            </w:r>
                            <w:r>
                              <w:rPr>
                                <w:rStyle w:val="Hyperlink"/>
                                <w:rFonts w:ascii="Arial Narrow" w:hAnsi="Arial Narrow"/>
                                <w:color w:val="B2A1C7" w:themeColor="accent4" w:themeTint="99"/>
                              </w:rPr>
                              <w:t>kih depozita</w:t>
                            </w:r>
                            <w:r w:rsidRPr="004C38C9">
                              <w:rPr>
                                <w:rStyle w:val="Hyperlink"/>
                                <w:rFonts w:ascii="Arial Narrow" w:hAnsi="Arial Narrow"/>
                                <w:color w:val="B2A1C7" w:themeColor="accent4" w:themeTint="99"/>
                              </w:rPr>
                              <w:t xml:space="preserve"> 2019-2021</w:t>
                            </w:r>
                            <w:r>
                              <w:rPr>
                                <w:rStyle w:val="Hyperlink"/>
                                <w:rFonts w:ascii="Arial Narrow" w:hAnsi="Arial Narrow"/>
                                <w:color w:val="B2A1C7" w:themeColor="accent4" w:themeTint="99"/>
                              </w:rPr>
                              <w:t>.</w:t>
                            </w:r>
                          </w:p>
                          <w:p w14:paraId="34332589" w14:textId="77777777" w:rsidR="006712E0" w:rsidRPr="004C38C9" w:rsidRDefault="006712E0" w:rsidP="00047EF8">
                            <w:pPr>
                              <w:pStyle w:val="ListParagraph"/>
                              <w:numPr>
                                <w:ilvl w:val="0"/>
                                <w:numId w:val="87"/>
                              </w:numPr>
                              <w:spacing w:after="0" w:line="240" w:lineRule="auto"/>
                              <w:rPr>
                                <w:rFonts w:ascii="Arial Narrow" w:hAnsi="Arial Narrow"/>
                                <w:b/>
                                <w:color w:val="B2A1C7" w:themeColor="accent4" w:themeTint="99"/>
                              </w:rPr>
                            </w:pPr>
                            <w:r>
                              <w:rPr>
                                <w:rStyle w:val="Hyperlink"/>
                                <w:rFonts w:ascii="Arial Narrow" w:hAnsi="Arial Narrow"/>
                                <w:color w:val="B2A1C7" w:themeColor="accent4" w:themeTint="99"/>
                              </w:rPr>
                              <w:t>Akc</w:t>
                            </w:r>
                            <w:r w:rsidRPr="004C38C9">
                              <w:rPr>
                                <w:rStyle w:val="Hyperlink"/>
                                <w:rFonts w:ascii="Arial Narrow" w:hAnsi="Arial Narrow"/>
                                <w:color w:val="B2A1C7" w:themeColor="accent4" w:themeTint="99"/>
                              </w:rPr>
                              <w:t>ion</w:t>
                            </w:r>
                            <w:r>
                              <w:rPr>
                                <w:rStyle w:val="Hyperlink"/>
                                <w:rFonts w:ascii="Arial Narrow" w:hAnsi="Arial Narrow"/>
                                <w:color w:val="B2A1C7" w:themeColor="accent4" w:themeTint="99"/>
                              </w:rPr>
                              <w:t>i</w:t>
                            </w:r>
                            <w:r w:rsidRPr="004C38C9">
                              <w:rPr>
                                <w:rStyle w:val="Hyperlink"/>
                                <w:rFonts w:ascii="Arial Narrow" w:hAnsi="Arial Narrow"/>
                                <w:color w:val="B2A1C7" w:themeColor="accent4" w:themeTint="99"/>
                              </w:rPr>
                              <w:t xml:space="preserve"> </w:t>
                            </w:r>
                            <w:r>
                              <w:rPr>
                                <w:rStyle w:val="Hyperlink"/>
                                <w:rFonts w:ascii="Arial Narrow" w:hAnsi="Arial Narrow"/>
                                <w:color w:val="B2A1C7" w:themeColor="accent4" w:themeTint="99"/>
                              </w:rPr>
                              <w:t>p</w:t>
                            </w:r>
                            <w:r w:rsidRPr="004C38C9">
                              <w:rPr>
                                <w:rStyle w:val="Hyperlink"/>
                                <w:rFonts w:ascii="Arial Narrow" w:hAnsi="Arial Narrow"/>
                                <w:color w:val="B2A1C7" w:themeColor="accent4" w:themeTint="99"/>
                              </w:rPr>
                              <w:t xml:space="preserve">lan </w:t>
                            </w:r>
                            <w:r>
                              <w:rPr>
                                <w:rStyle w:val="Hyperlink"/>
                                <w:rFonts w:ascii="Arial Narrow" w:hAnsi="Arial Narrow"/>
                                <w:color w:val="B2A1C7" w:themeColor="accent4" w:themeTint="99"/>
                              </w:rPr>
                              <w:t>za spre</w:t>
                            </w:r>
                            <w:r>
                              <w:rPr>
                                <w:rStyle w:val="Hyperlink"/>
                                <w:rFonts w:ascii="Times New Roman" w:hAnsi="Times New Roman"/>
                                <w:color w:val="B2A1C7" w:themeColor="accent4" w:themeTint="99"/>
                              </w:rPr>
                              <w:t>č</w:t>
                            </w:r>
                            <w:r>
                              <w:rPr>
                                <w:rStyle w:val="Hyperlink"/>
                                <w:rFonts w:ascii="Arial Narrow" w:hAnsi="Arial Narrow"/>
                                <w:color w:val="B2A1C7" w:themeColor="accent4" w:themeTint="99"/>
                              </w:rPr>
                              <w:t>avanje ilegalnih aktivnosti u šumarstvu</w:t>
                            </w:r>
                            <w:r w:rsidRPr="004C38C9">
                              <w:rPr>
                                <w:rStyle w:val="Hyperlink"/>
                                <w:rFonts w:ascii="Arial Narrow" w:hAnsi="Arial Narrow"/>
                                <w:color w:val="B2A1C7" w:themeColor="accent4" w:themeTint="99"/>
                              </w:rPr>
                              <w:t xml:space="preserve"> 2019-2021</w:t>
                            </w:r>
                            <w:r>
                              <w:rPr>
                                <w:rStyle w:val="Hyperlink"/>
                                <w:rFonts w:ascii="Arial Narrow" w:hAnsi="Arial Narrow"/>
                                <w:color w:val="B2A1C7" w:themeColor="accent4" w:themeTint="99"/>
                              </w:rPr>
                              <w:t>.</w:t>
                            </w:r>
                          </w:p>
                          <w:p w14:paraId="2933C918" w14:textId="77777777" w:rsidR="006712E0" w:rsidRPr="00AE6231" w:rsidRDefault="001D48BA" w:rsidP="00047EF8">
                            <w:pPr>
                              <w:pStyle w:val="ListParagraph"/>
                              <w:numPr>
                                <w:ilvl w:val="0"/>
                                <w:numId w:val="87"/>
                              </w:numPr>
                              <w:spacing w:after="0" w:line="240" w:lineRule="auto"/>
                              <w:rPr>
                                <w:rFonts w:ascii="Arial Narrow" w:hAnsi="Arial Narrow"/>
                                <w:b/>
                                <w:color w:val="B2A1C7" w:themeColor="accent4" w:themeTint="99"/>
                              </w:rPr>
                            </w:pPr>
                            <w:hyperlink r:id="rId92" w:history="1">
                              <w:r w:rsidR="006712E0" w:rsidRPr="004C38C9">
                                <w:rPr>
                                  <w:rStyle w:val="Hyperlink"/>
                                  <w:rFonts w:ascii="Arial Narrow" w:hAnsi="Arial Narrow"/>
                                  <w:color w:val="B2A1C7" w:themeColor="accent4" w:themeTint="99"/>
                                </w:rPr>
                                <w:t>A</w:t>
                              </w:r>
                              <w:r w:rsidR="006712E0">
                                <w:rPr>
                                  <w:rStyle w:val="Hyperlink"/>
                                  <w:rFonts w:ascii="Arial Narrow" w:hAnsi="Arial Narrow"/>
                                  <w:color w:val="B2A1C7" w:themeColor="accent4" w:themeTint="99"/>
                                </w:rPr>
                                <w:t>kc</w:t>
                              </w:r>
                              <w:r w:rsidR="006712E0" w:rsidRPr="004C38C9">
                                <w:rPr>
                                  <w:rStyle w:val="Hyperlink"/>
                                  <w:rFonts w:ascii="Arial Narrow" w:hAnsi="Arial Narrow"/>
                                  <w:color w:val="B2A1C7" w:themeColor="accent4" w:themeTint="99"/>
                                </w:rPr>
                                <w:t xml:space="preserve">ion </w:t>
                              </w:r>
                              <w:r w:rsidR="006712E0">
                                <w:rPr>
                                  <w:rStyle w:val="Hyperlink"/>
                                  <w:rFonts w:ascii="Arial Narrow" w:hAnsi="Arial Narrow"/>
                                  <w:color w:val="B2A1C7" w:themeColor="accent4" w:themeTint="99"/>
                                </w:rPr>
                                <w:t>p</w:t>
                              </w:r>
                              <w:r w:rsidR="006712E0" w:rsidRPr="004C38C9">
                                <w:rPr>
                                  <w:rStyle w:val="Hyperlink"/>
                                  <w:rFonts w:ascii="Arial Narrow" w:hAnsi="Arial Narrow"/>
                                  <w:color w:val="B2A1C7" w:themeColor="accent4" w:themeTint="99"/>
                                </w:rPr>
                                <w:t xml:space="preserve">lan </w:t>
                              </w:r>
                              <w:r w:rsidR="006712E0">
                                <w:rPr>
                                  <w:rStyle w:val="Hyperlink"/>
                                  <w:rFonts w:ascii="Arial Narrow" w:hAnsi="Arial Narrow"/>
                                  <w:color w:val="B2A1C7" w:themeColor="accent4" w:themeTint="99"/>
                                </w:rPr>
                                <w:t>za uska</w:t>
                              </w:r>
                              <w:r w:rsidR="006712E0">
                                <w:rPr>
                                  <w:rStyle w:val="Hyperlink"/>
                                  <w:rFonts w:ascii="Times New Roman" w:hAnsi="Times New Roman"/>
                                  <w:color w:val="B2A1C7" w:themeColor="accent4" w:themeTint="99"/>
                                </w:rPr>
                                <w:t>đ</w:t>
                              </w:r>
                              <w:r w:rsidR="006712E0">
                                <w:rPr>
                                  <w:rStyle w:val="Hyperlink"/>
                                  <w:rFonts w:ascii="Arial Narrow" w:hAnsi="Arial Narrow"/>
                                  <w:color w:val="B2A1C7" w:themeColor="accent4" w:themeTint="99"/>
                                </w:rPr>
                                <w:t>ivanje sa pravnom tekovinom EU, poglavlje</w:t>
                              </w:r>
                              <w:r w:rsidR="006712E0" w:rsidRPr="004C38C9">
                                <w:rPr>
                                  <w:rStyle w:val="Hyperlink"/>
                                  <w:rFonts w:ascii="Arial Narrow" w:hAnsi="Arial Narrow"/>
                                  <w:color w:val="B2A1C7" w:themeColor="accent4" w:themeTint="99"/>
                                </w:rPr>
                                <w:t xml:space="preserve"> 11- </w:t>
                              </w:r>
                              <w:r w:rsidR="006712E0">
                                <w:rPr>
                                  <w:rStyle w:val="Hyperlink"/>
                                  <w:rFonts w:ascii="Arial Narrow" w:hAnsi="Arial Narrow"/>
                                  <w:color w:val="B2A1C7" w:themeColor="accent4" w:themeTint="99"/>
                                </w:rPr>
                                <w:t xml:space="preserve">Poljoprivredni i </w:t>
                              </w:r>
                            </w:hyperlink>
                            <w:r w:rsidR="006712E0">
                              <w:rPr>
                                <w:rStyle w:val="Hyperlink"/>
                                <w:rFonts w:ascii="Arial Narrow" w:hAnsi="Arial Narrow"/>
                                <w:color w:val="B2A1C7" w:themeColor="accent4" w:themeTint="99"/>
                              </w:rPr>
                              <w:t xml:space="preserve"> ruralni razvoj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6DC387" id="Rounded Rectangle 23535" o:spid="_x0000_s1132" style="position:absolute;left:0;text-align:left;margin-left:13.25pt;margin-top:93pt;width:532.5pt;height:93.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" fillcolor="window" strokecolor="#ffcb25" strokeweight="1pt">
                <v:stroke joinstyle="miter"/>
                <v:path arrowok="t"/>
                <v:textbox>
                  <w:txbxContent>
                    <w:p w14:paraId="1D442656" w14:textId="77777777" w:rsidR="006712E0" w:rsidRPr="00FB4FF4" w:rsidRDefault="006712E0" w:rsidP="00047EF8">
                      <w:pPr>
                        <w:spacing w:after="120" w:line="240" w:lineRule="auto"/>
                        <w:jc w:val="center"/>
                        <w:rPr>
                          <w:rFonts w:ascii="Arial Narrow" w:hAnsi="Arial Narrow"/>
                          <w:b/>
                          <w:color w:val="B2A1C7" w:themeColor="accent4" w:themeTint="99"/>
                        </w:rPr>
                      </w:pPr>
                      <w:r>
                        <w:rPr>
                          <w:rFonts w:ascii="Arial Narrow" w:hAnsi="Arial Narrow"/>
                          <w:b/>
                          <w:color w:val="B2A1C7" w:themeColor="accent4" w:themeTint="99"/>
                        </w:rPr>
                        <w:t>SMJERNICE I OSTALA STRATEŠKA DOKUMENTA RELEVANTNA ZA IMPLEMENTACIJU POLITIKE</w:t>
                      </w:r>
                      <w:r w:rsidRPr="00FB4FF4">
                        <w:rPr>
                          <w:rFonts w:ascii="Arial Narrow" w:hAnsi="Arial Narrow"/>
                          <w:b/>
                          <w:color w:val="B2A1C7" w:themeColor="accent4" w:themeTint="99"/>
                        </w:rPr>
                        <w:t>:</w:t>
                      </w:r>
                    </w:p>
                    <w:p w14:paraId="5A7F6CCF" w14:textId="77777777" w:rsidR="006712E0" w:rsidRPr="004C38C9" w:rsidRDefault="006712E0" w:rsidP="00047EF8">
                      <w:pPr>
                        <w:pStyle w:val="ListParagraph"/>
                        <w:numPr>
                          <w:ilvl w:val="0"/>
                          <w:numId w:val="87"/>
                        </w:numPr>
                        <w:spacing w:after="0" w:line="240" w:lineRule="auto"/>
                        <w:jc w:val="both"/>
                        <w:rPr>
                          <w:rFonts w:ascii="Arial Narrow" w:hAnsi="Arial Narrow"/>
                          <w:b/>
                          <w:color w:val="B2A1C7" w:themeColor="accent4" w:themeTint="99"/>
                        </w:rPr>
                      </w:pPr>
                      <w:hyperlink r:id="rId93" w:history="1">
                        <w:r>
                          <w:rPr>
                            <w:rStyle w:val="Hyperlink"/>
                            <w:rFonts w:ascii="Arial Narrow" w:hAnsi="Arial Narrow"/>
                            <w:color w:val="B2A1C7" w:themeColor="accent4" w:themeTint="99"/>
                          </w:rPr>
                          <w:t>Nac</w:t>
                        </w:r>
                        <w:r w:rsidRPr="004C38C9">
                          <w:rPr>
                            <w:rStyle w:val="Hyperlink"/>
                            <w:rFonts w:ascii="Arial Narrow" w:hAnsi="Arial Narrow"/>
                            <w:color w:val="B2A1C7" w:themeColor="accent4" w:themeTint="99"/>
                          </w:rPr>
                          <w:t>ional</w:t>
                        </w:r>
                        <w:r>
                          <w:rPr>
                            <w:rStyle w:val="Hyperlink"/>
                            <w:rFonts w:ascii="Arial Narrow" w:hAnsi="Arial Narrow"/>
                            <w:color w:val="B2A1C7" w:themeColor="accent4" w:themeTint="99"/>
                          </w:rPr>
                          <w:t>na politika za šumarstvo</w:t>
                        </w:r>
                        <w:r w:rsidRPr="004C38C9">
                          <w:rPr>
                            <w:rStyle w:val="Hyperlink"/>
                            <w:rFonts w:ascii="Arial Narrow" w:hAnsi="Arial Narrow"/>
                            <w:color w:val="B2A1C7" w:themeColor="accent4" w:themeTint="99"/>
                          </w:rPr>
                          <w:t xml:space="preserve"> (2008)</w:t>
                        </w:r>
                      </w:hyperlink>
                    </w:p>
                    <w:p w14:paraId="657E2A8C" w14:textId="77777777" w:rsidR="006712E0" w:rsidRPr="004C38C9" w:rsidRDefault="006712E0" w:rsidP="00047EF8">
                      <w:pPr>
                        <w:pStyle w:val="ListParagraph"/>
                        <w:numPr>
                          <w:ilvl w:val="0"/>
                          <w:numId w:val="87"/>
                        </w:numPr>
                        <w:spacing w:after="0" w:line="240" w:lineRule="auto"/>
                        <w:jc w:val="both"/>
                        <w:rPr>
                          <w:rFonts w:ascii="Arial Narrow" w:hAnsi="Arial Narrow"/>
                          <w:b/>
                          <w:color w:val="B2A1C7" w:themeColor="accent4" w:themeTint="99"/>
                        </w:rPr>
                      </w:pPr>
                      <w:r>
                        <w:rPr>
                          <w:rStyle w:val="Hyperlink"/>
                          <w:rFonts w:ascii="Arial Narrow" w:hAnsi="Arial Narrow"/>
                          <w:color w:val="B2A1C7" w:themeColor="accent4" w:themeTint="99"/>
                        </w:rPr>
                        <w:t>Akc</w:t>
                      </w:r>
                      <w:r w:rsidRPr="004C38C9">
                        <w:rPr>
                          <w:rStyle w:val="Hyperlink"/>
                          <w:rFonts w:ascii="Arial Narrow" w:hAnsi="Arial Narrow"/>
                          <w:color w:val="B2A1C7" w:themeColor="accent4" w:themeTint="99"/>
                        </w:rPr>
                        <w:t>ion</w:t>
                      </w:r>
                      <w:r>
                        <w:rPr>
                          <w:rStyle w:val="Hyperlink"/>
                          <w:rFonts w:ascii="Arial Narrow" w:hAnsi="Arial Narrow"/>
                          <w:color w:val="B2A1C7" w:themeColor="accent4" w:themeTint="99"/>
                        </w:rPr>
                        <w:t>i</w:t>
                      </w:r>
                      <w:r w:rsidRPr="004C38C9">
                        <w:rPr>
                          <w:rStyle w:val="Hyperlink"/>
                          <w:rFonts w:ascii="Arial Narrow" w:hAnsi="Arial Narrow"/>
                          <w:color w:val="B2A1C7" w:themeColor="accent4" w:themeTint="99"/>
                        </w:rPr>
                        <w:t xml:space="preserve"> </w:t>
                      </w:r>
                      <w:r>
                        <w:rPr>
                          <w:rStyle w:val="Hyperlink"/>
                          <w:rFonts w:ascii="Arial Narrow" w:hAnsi="Arial Narrow"/>
                          <w:color w:val="B2A1C7" w:themeColor="accent4" w:themeTint="99"/>
                        </w:rPr>
                        <w:t>p</w:t>
                      </w:r>
                      <w:r w:rsidRPr="004C38C9">
                        <w:rPr>
                          <w:rStyle w:val="Hyperlink"/>
                          <w:rFonts w:ascii="Arial Narrow" w:hAnsi="Arial Narrow"/>
                          <w:color w:val="B2A1C7" w:themeColor="accent4" w:themeTint="99"/>
                        </w:rPr>
                        <w:t>lan</w:t>
                      </w:r>
                      <w:r>
                        <w:rPr>
                          <w:rStyle w:val="Hyperlink"/>
                          <w:rFonts w:ascii="Arial Narrow" w:hAnsi="Arial Narrow"/>
                          <w:color w:val="B2A1C7" w:themeColor="accent4" w:themeTint="99"/>
                        </w:rPr>
                        <w:t xml:space="preserve"> za suzbijanje ilegalnog va</w:t>
                      </w:r>
                      <w:r>
                        <w:rPr>
                          <w:rStyle w:val="Hyperlink"/>
                          <w:rFonts w:ascii="Times New Roman" w:hAnsi="Times New Roman"/>
                          <w:color w:val="B2A1C7" w:themeColor="accent4" w:themeTint="99"/>
                        </w:rPr>
                        <w:t>đ</w:t>
                      </w:r>
                      <w:r>
                        <w:rPr>
                          <w:rStyle w:val="Hyperlink"/>
                          <w:rFonts w:ascii="Arial Narrow" w:hAnsi="Arial Narrow"/>
                          <w:color w:val="B2A1C7" w:themeColor="accent4" w:themeTint="99"/>
                        </w:rPr>
                        <w:t>enja rije</w:t>
                      </w:r>
                      <w:r>
                        <w:rPr>
                          <w:rStyle w:val="Hyperlink"/>
                          <w:rFonts w:ascii="Times New Roman" w:hAnsi="Times New Roman"/>
                          <w:color w:val="B2A1C7" w:themeColor="accent4" w:themeTint="99"/>
                        </w:rPr>
                        <w:t>č</w:t>
                      </w:r>
                      <w:r>
                        <w:rPr>
                          <w:rStyle w:val="Hyperlink"/>
                          <w:rFonts w:ascii="Arial Narrow" w:hAnsi="Arial Narrow"/>
                          <w:color w:val="B2A1C7" w:themeColor="accent4" w:themeTint="99"/>
                        </w:rPr>
                        <w:t>kih depozita</w:t>
                      </w:r>
                      <w:r w:rsidRPr="004C38C9">
                        <w:rPr>
                          <w:rStyle w:val="Hyperlink"/>
                          <w:rFonts w:ascii="Arial Narrow" w:hAnsi="Arial Narrow"/>
                          <w:color w:val="B2A1C7" w:themeColor="accent4" w:themeTint="99"/>
                        </w:rPr>
                        <w:t xml:space="preserve"> 2019-2021</w:t>
                      </w:r>
                      <w:r>
                        <w:rPr>
                          <w:rStyle w:val="Hyperlink"/>
                          <w:rFonts w:ascii="Arial Narrow" w:hAnsi="Arial Narrow"/>
                          <w:color w:val="B2A1C7" w:themeColor="accent4" w:themeTint="99"/>
                        </w:rPr>
                        <w:t>.</w:t>
                      </w:r>
                    </w:p>
                    <w:p w14:paraId="34332589" w14:textId="77777777" w:rsidR="006712E0" w:rsidRPr="004C38C9" w:rsidRDefault="006712E0" w:rsidP="00047EF8">
                      <w:pPr>
                        <w:pStyle w:val="ListParagraph"/>
                        <w:numPr>
                          <w:ilvl w:val="0"/>
                          <w:numId w:val="87"/>
                        </w:numPr>
                        <w:spacing w:after="0" w:line="240" w:lineRule="auto"/>
                        <w:rPr>
                          <w:rFonts w:ascii="Arial Narrow" w:hAnsi="Arial Narrow"/>
                          <w:b/>
                          <w:color w:val="B2A1C7" w:themeColor="accent4" w:themeTint="99"/>
                        </w:rPr>
                      </w:pPr>
                      <w:r>
                        <w:rPr>
                          <w:rStyle w:val="Hyperlink"/>
                          <w:rFonts w:ascii="Arial Narrow" w:hAnsi="Arial Narrow"/>
                          <w:color w:val="B2A1C7" w:themeColor="accent4" w:themeTint="99"/>
                        </w:rPr>
                        <w:t>Akc</w:t>
                      </w:r>
                      <w:r w:rsidRPr="004C38C9">
                        <w:rPr>
                          <w:rStyle w:val="Hyperlink"/>
                          <w:rFonts w:ascii="Arial Narrow" w:hAnsi="Arial Narrow"/>
                          <w:color w:val="B2A1C7" w:themeColor="accent4" w:themeTint="99"/>
                        </w:rPr>
                        <w:t>ion</w:t>
                      </w:r>
                      <w:r>
                        <w:rPr>
                          <w:rStyle w:val="Hyperlink"/>
                          <w:rFonts w:ascii="Arial Narrow" w:hAnsi="Arial Narrow"/>
                          <w:color w:val="B2A1C7" w:themeColor="accent4" w:themeTint="99"/>
                        </w:rPr>
                        <w:t>i</w:t>
                      </w:r>
                      <w:r w:rsidRPr="004C38C9">
                        <w:rPr>
                          <w:rStyle w:val="Hyperlink"/>
                          <w:rFonts w:ascii="Arial Narrow" w:hAnsi="Arial Narrow"/>
                          <w:color w:val="B2A1C7" w:themeColor="accent4" w:themeTint="99"/>
                        </w:rPr>
                        <w:t xml:space="preserve"> </w:t>
                      </w:r>
                      <w:r>
                        <w:rPr>
                          <w:rStyle w:val="Hyperlink"/>
                          <w:rFonts w:ascii="Arial Narrow" w:hAnsi="Arial Narrow"/>
                          <w:color w:val="B2A1C7" w:themeColor="accent4" w:themeTint="99"/>
                        </w:rPr>
                        <w:t>p</w:t>
                      </w:r>
                      <w:r w:rsidRPr="004C38C9">
                        <w:rPr>
                          <w:rStyle w:val="Hyperlink"/>
                          <w:rFonts w:ascii="Arial Narrow" w:hAnsi="Arial Narrow"/>
                          <w:color w:val="B2A1C7" w:themeColor="accent4" w:themeTint="99"/>
                        </w:rPr>
                        <w:t xml:space="preserve">lan </w:t>
                      </w:r>
                      <w:r>
                        <w:rPr>
                          <w:rStyle w:val="Hyperlink"/>
                          <w:rFonts w:ascii="Arial Narrow" w:hAnsi="Arial Narrow"/>
                          <w:color w:val="B2A1C7" w:themeColor="accent4" w:themeTint="99"/>
                        </w:rPr>
                        <w:t>za spre</w:t>
                      </w:r>
                      <w:r>
                        <w:rPr>
                          <w:rStyle w:val="Hyperlink"/>
                          <w:rFonts w:ascii="Times New Roman" w:hAnsi="Times New Roman"/>
                          <w:color w:val="B2A1C7" w:themeColor="accent4" w:themeTint="99"/>
                        </w:rPr>
                        <w:t>č</w:t>
                      </w:r>
                      <w:r>
                        <w:rPr>
                          <w:rStyle w:val="Hyperlink"/>
                          <w:rFonts w:ascii="Arial Narrow" w:hAnsi="Arial Narrow"/>
                          <w:color w:val="B2A1C7" w:themeColor="accent4" w:themeTint="99"/>
                        </w:rPr>
                        <w:t>avanje ilegalnih aktivnosti u šumarstvu</w:t>
                      </w:r>
                      <w:r w:rsidRPr="004C38C9">
                        <w:rPr>
                          <w:rStyle w:val="Hyperlink"/>
                          <w:rFonts w:ascii="Arial Narrow" w:hAnsi="Arial Narrow"/>
                          <w:color w:val="B2A1C7" w:themeColor="accent4" w:themeTint="99"/>
                        </w:rPr>
                        <w:t xml:space="preserve"> 2019-2021</w:t>
                      </w:r>
                      <w:r>
                        <w:rPr>
                          <w:rStyle w:val="Hyperlink"/>
                          <w:rFonts w:ascii="Arial Narrow" w:hAnsi="Arial Narrow"/>
                          <w:color w:val="B2A1C7" w:themeColor="accent4" w:themeTint="99"/>
                        </w:rPr>
                        <w:t>.</w:t>
                      </w:r>
                    </w:p>
                    <w:p w14:paraId="2933C918" w14:textId="77777777" w:rsidR="006712E0" w:rsidRPr="00AE6231" w:rsidRDefault="006712E0" w:rsidP="00047EF8">
                      <w:pPr>
                        <w:pStyle w:val="ListParagraph"/>
                        <w:numPr>
                          <w:ilvl w:val="0"/>
                          <w:numId w:val="87"/>
                        </w:numPr>
                        <w:spacing w:after="0" w:line="240" w:lineRule="auto"/>
                        <w:rPr>
                          <w:rFonts w:ascii="Arial Narrow" w:hAnsi="Arial Narrow"/>
                          <w:b/>
                          <w:color w:val="B2A1C7" w:themeColor="accent4" w:themeTint="99"/>
                        </w:rPr>
                      </w:pPr>
                      <w:hyperlink r:id="rId94" w:history="1">
                        <w:r w:rsidRPr="004C38C9">
                          <w:rPr>
                            <w:rStyle w:val="Hyperlink"/>
                            <w:rFonts w:ascii="Arial Narrow" w:hAnsi="Arial Narrow"/>
                            <w:color w:val="B2A1C7" w:themeColor="accent4" w:themeTint="99"/>
                          </w:rPr>
                          <w:t>A</w:t>
                        </w:r>
                        <w:r>
                          <w:rPr>
                            <w:rStyle w:val="Hyperlink"/>
                            <w:rFonts w:ascii="Arial Narrow" w:hAnsi="Arial Narrow"/>
                            <w:color w:val="B2A1C7" w:themeColor="accent4" w:themeTint="99"/>
                          </w:rPr>
                          <w:t>kc</w:t>
                        </w:r>
                        <w:r w:rsidRPr="004C38C9">
                          <w:rPr>
                            <w:rStyle w:val="Hyperlink"/>
                            <w:rFonts w:ascii="Arial Narrow" w:hAnsi="Arial Narrow"/>
                            <w:color w:val="B2A1C7" w:themeColor="accent4" w:themeTint="99"/>
                          </w:rPr>
                          <w:t xml:space="preserve">ion </w:t>
                        </w:r>
                        <w:r>
                          <w:rPr>
                            <w:rStyle w:val="Hyperlink"/>
                            <w:rFonts w:ascii="Arial Narrow" w:hAnsi="Arial Narrow"/>
                            <w:color w:val="B2A1C7" w:themeColor="accent4" w:themeTint="99"/>
                          </w:rPr>
                          <w:t>p</w:t>
                        </w:r>
                        <w:r w:rsidRPr="004C38C9">
                          <w:rPr>
                            <w:rStyle w:val="Hyperlink"/>
                            <w:rFonts w:ascii="Arial Narrow" w:hAnsi="Arial Narrow"/>
                            <w:color w:val="B2A1C7" w:themeColor="accent4" w:themeTint="99"/>
                          </w:rPr>
                          <w:t xml:space="preserve">lan </w:t>
                        </w:r>
                        <w:r>
                          <w:rPr>
                            <w:rStyle w:val="Hyperlink"/>
                            <w:rFonts w:ascii="Arial Narrow" w:hAnsi="Arial Narrow"/>
                            <w:color w:val="B2A1C7" w:themeColor="accent4" w:themeTint="99"/>
                          </w:rPr>
                          <w:t>za uska</w:t>
                        </w:r>
                        <w:r>
                          <w:rPr>
                            <w:rStyle w:val="Hyperlink"/>
                            <w:rFonts w:ascii="Times New Roman" w:hAnsi="Times New Roman"/>
                            <w:color w:val="B2A1C7" w:themeColor="accent4" w:themeTint="99"/>
                          </w:rPr>
                          <w:t>đ</w:t>
                        </w:r>
                        <w:r>
                          <w:rPr>
                            <w:rStyle w:val="Hyperlink"/>
                            <w:rFonts w:ascii="Arial Narrow" w:hAnsi="Arial Narrow"/>
                            <w:color w:val="B2A1C7" w:themeColor="accent4" w:themeTint="99"/>
                          </w:rPr>
                          <w:t>ivanje sa pravnom tekovinom EU, poglavlje</w:t>
                        </w:r>
                        <w:r w:rsidRPr="004C38C9">
                          <w:rPr>
                            <w:rStyle w:val="Hyperlink"/>
                            <w:rFonts w:ascii="Arial Narrow" w:hAnsi="Arial Narrow"/>
                            <w:color w:val="B2A1C7" w:themeColor="accent4" w:themeTint="99"/>
                          </w:rPr>
                          <w:t xml:space="preserve"> 11- </w:t>
                        </w:r>
                        <w:r>
                          <w:rPr>
                            <w:rStyle w:val="Hyperlink"/>
                            <w:rFonts w:ascii="Arial Narrow" w:hAnsi="Arial Narrow"/>
                            <w:color w:val="B2A1C7" w:themeColor="accent4" w:themeTint="99"/>
                          </w:rPr>
                          <w:t xml:space="preserve">Poljoprivredni i </w:t>
                        </w:r>
                      </w:hyperlink>
                      <w:r>
                        <w:rPr>
                          <w:rStyle w:val="Hyperlink"/>
                          <w:rFonts w:ascii="Arial Narrow" w:hAnsi="Arial Narrow"/>
                          <w:color w:val="B2A1C7" w:themeColor="accent4" w:themeTint="99"/>
                        </w:rPr>
                        <w:t xml:space="preserve"> ruralni razvoj</w:t>
                      </w:r>
                    </w:p>
                  </w:txbxContent>
                </v:textbox>
                <w10:wrap anchorx="page"/>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72576" behindDoc="0" locked="0" layoutInCell="1" allowOverlap="1" wp14:anchorId="31F30E0D" wp14:editId="700C6871">
                <wp:simplePos x="0" y="0"/>
                <wp:positionH relativeFrom="page">
                  <wp:posOffset>1504950</wp:posOffset>
                </wp:positionH>
                <wp:positionV relativeFrom="paragraph">
                  <wp:posOffset>3146425</wp:posOffset>
                </wp:positionV>
                <wp:extent cx="5676900" cy="320040"/>
                <wp:effectExtent l="0" t="0" r="0" b="0"/>
                <wp:wrapNone/>
                <wp:docPr id="23534" name="Text Box 23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320040"/>
                        </a:xfrm>
                        <a:prstGeom prst="rect">
                          <a:avLst/>
                        </a:prstGeom>
                        <a:solidFill>
                          <a:sysClr val="window" lastClr="FFFFFF"/>
                        </a:solidFill>
                        <a:ln w="6350">
                          <a:noFill/>
                        </a:ln>
                      </wps:spPr>
                      <wps:txbx>
                        <w:txbxContent>
                          <w:p w14:paraId="6B778D3E" w14:textId="77777777" w:rsidR="006712E0" w:rsidRPr="00921D9C" w:rsidRDefault="006712E0" w:rsidP="00047EF8">
                            <w:pPr>
                              <w:pStyle w:val="Header"/>
                              <w:jc w:val="right"/>
                              <w:rPr>
                                <w:b/>
                                <w:color w:val="DB6F8E"/>
                                <w:spacing w:val="-20"/>
                                <w:sz w:val="30"/>
                                <w:szCs w:val="30"/>
                              </w:rPr>
                            </w:pPr>
                            <w:r>
                              <w:rPr>
                                <w:b/>
                                <w:color w:val="DB6F8E"/>
                                <w:spacing w:val="-20"/>
                                <w:sz w:val="30"/>
                                <w:szCs w:val="30"/>
                              </w:rPr>
                              <w:t>NAUKA, OBRAZOVANJE, KULTURA, MLADI I SPORT</w:t>
                            </w:r>
                          </w:p>
                          <w:p w14:paraId="64726EE5" w14:textId="77777777" w:rsidR="006712E0" w:rsidRDefault="006712E0" w:rsidP="00047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F30E0D" id="Text Box 23534" o:spid="_x0000_s1133" type="#_x0000_t202" style="position:absolute;left:0;text-align:left;margin-left:118.5pt;margin-top:247.75pt;width:447pt;height:25.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" fillcolor="window" stroked="f" strokeweight=".5pt">
                <v:path arrowok="t"/>
                <v:textbox>
                  <w:txbxContent>
                    <w:p w14:paraId="6B778D3E" w14:textId="77777777" w:rsidR="006712E0" w:rsidRPr="00921D9C" w:rsidRDefault="006712E0" w:rsidP="00047EF8">
                      <w:pPr>
                        <w:pStyle w:val="Header"/>
                        <w:jc w:val="right"/>
                        <w:rPr>
                          <w:b/>
                          <w:color w:val="DB6F8E"/>
                          <w:spacing w:val="-20"/>
                          <w:sz w:val="30"/>
                          <w:szCs w:val="30"/>
                        </w:rPr>
                      </w:pPr>
                      <w:r>
                        <w:rPr>
                          <w:b/>
                          <w:color w:val="DB6F8E"/>
                          <w:spacing w:val="-20"/>
                          <w:sz w:val="30"/>
                          <w:szCs w:val="30"/>
                        </w:rPr>
                        <w:t>NAUKA, OBRAZOVANJE, KULTURA, MLADI I SPORT</w:t>
                      </w:r>
                    </w:p>
                    <w:p w14:paraId="64726EE5" w14:textId="77777777" w:rsidR="006712E0" w:rsidRDefault="006712E0" w:rsidP="00047EF8"/>
                  </w:txbxContent>
                </v:textbox>
                <w10:wrap anchorx="page"/>
              </v:shape>
            </w:pict>
          </mc:Fallback>
        </mc:AlternateContent>
      </w:r>
      <w:r w:rsidR="00864F83" w:rsidRPr="00F563CD">
        <w:rPr>
          <w:rFonts w:asciiTheme="minorHAnsi" w:hAnsiTheme="minorHAnsi"/>
          <w:color w:val="FFFFFF" w:themeColor="background1"/>
          <w:sz w:val="24"/>
          <w:szCs w:val="24"/>
          <w:u w:color="FFFFFF" w:themeColor="background1"/>
        </w:rPr>
        <w:br w:type="page"/>
      </w:r>
      <w:r w:rsidRPr="00F563CD">
        <w:rPr>
          <w:rFonts w:asciiTheme="minorHAnsi" w:hAnsiTheme="minorHAnsi"/>
          <w:noProof/>
          <w:color w:val="FFFFFF" w:themeColor="background1"/>
          <w:sz w:val="24"/>
          <w:szCs w:val="24"/>
          <w:u w:color="FFFFFF" w:themeColor="background1"/>
          <w:lang w:val="en-US" w:eastAsia="en-US"/>
        </w:rPr>
        <w:lastRenderedPageBreak/>
        <mc:AlternateContent>
          <mc:Choice Requires="wps">
            <w:drawing>
              <wp:anchor distT="0" distB="0" distL="114300" distR="114300" simplePos="0" relativeHeight="251701248" behindDoc="0" locked="0" layoutInCell="1" allowOverlap="1" wp14:anchorId="546ED3E0" wp14:editId="749D8B8C">
                <wp:simplePos x="0" y="0"/>
                <wp:positionH relativeFrom="margin">
                  <wp:posOffset>-250825</wp:posOffset>
                </wp:positionH>
                <wp:positionV relativeFrom="paragraph">
                  <wp:posOffset>285750</wp:posOffset>
                </wp:positionV>
                <wp:extent cx="4524375" cy="2085975"/>
                <wp:effectExtent l="0" t="0" r="9525" b="9525"/>
                <wp:wrapNone/>
                <wp:docPr id="23549" name="Rounded Rectangle 23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4375" cy="2085975"/>
                        </a:xfrm>
                        <a:prstGeom prst="roundRect">
                          <a:avLst/>
                        </a:prstGeom>
                        <a:solidFill>
                          <a:sysClr val="window" lastClr="FFFFFF"/>
                        </a:solidFill>
                        <a:ln w="12700" cap="flat" cmpd="sng" algn="ctr">
                          <a:solidFill>
                            <a:sysClr val="windowText" lastClr="000000">
                              <a:lumMod val="65000"/>
                              <a:lumOff val="35000"/>
                            </a:sysClr>
                          </a:solidFill>
                          <a:prstDash val="solid"/>
                          <a:miter lim="800000"/>
                        </a:ln>
                        <a:effectLst/>
                      </wps:spPr>
                      <wps:txbx>
                        <w:txbxContent>
                          <w:p w14:paraId="68502E2D" w14:textId="77777777" w:rsidR="006712E0" w:rsidRPr="00FB4FF4" w:rsidRDefault="006712E0" w:rsidP="00047EF8">
                            <w:pPr>
                              <w:jc w:val="center"/>
                              <w:rPr>
                                <w:rFonts w:ascii="Arial Narrow" w:hAnsi="Arial Narrow"/>
                                <w:b/>
                                <w:color w:val="595959" w:themeColor="text1" w:themeTint="A6"/>
                                <w:sz w:val="24"/>
                                <w:szCs w:val="24"/>
                              </w:rPr>
                            </w:pPr>
                            <w:r>
                              <w:rPr>
                                <w:rFonts w:ascii="Arial Narrow" w:hAnsi="Arial Narrow"/>
                                <w:b/>
                                <w:color w:val="595959" w:themeColor="text1" w:themeTint="A6"/>
                                <w:sz w:val="24"/>
                                <w:szCs w:val="24"/>
                              </w:rPr>
                              <w:t>SEKTORSKE STRATEGIJE</w:t>
                            </w:r>
                            <w:r w:rsidRPr="00FB4FF4">
                              <w:rPr>
                                <w:rFonts w:ascii="Arial Narrow" w:hAnsi="Arial Narrow"/>
                                <w:b/>
                                <w:color w:val="595959" w:themeColor="text1" w:themeTint="A6"/>
                                <w:sz w:val="24"/>
                                <w:szCs w:val="24"/>
                              </w:rPr>
                              <w:t>:</w:t>
                            </w:r>
                          </w:p>
                          <w:p w14:paraId="67086FC1" w14:textId="77777777" w:rsidR="006712E0" w:rsidRPr="00ED13FD" w:rsidRDefault="001D48BA" w:rsidP="00047EF8">
                            <w:pPr>
                              <w:pStyle w:val="ListParagraph"/>
                              <w:numPr>
                                <w:ilvl w:val="0"/>
                                <w:numId w:val="90"/>
                              </w:numPr>
                              <w:spacing w:after="0"/>
                              <w:jc w:val="both"/>
                              <w:rPr>
                                <w:rFonts w:ascii="Arial Narrow" w:hAnsi="Arial Narrow"/>
                                <w:b/>
                                <w:bCs/>
                                <w:color w:val="4A442A" w:themeColor="background2" w:themeShade="40"/>
                              </w:rPr>
                            </w:pPr>
                            <w:hyperlink r:id="rId95" w:history="1"/>
                            <w:hyperlink r:id="rId96" w:history="1">
                              <w:r w:rsidR="006712E0">
                                <w:rPr>
                                  <w:rStyle w:val="Hyperlink"/>
                                  <w:rFonts w:ascii="Arial Narrow" w:hAnsi="Arial Narrow"/>
                                  <w:bCs/>
                                  <w:color w:val="404040" w:themeColor="background1" w:themeShade="40"/>
                                </w:rPr>
                                <w:t xml:space="preserve">Strategija razvoja zdravstvene njege </w:t>
                              </w:r>
                            </w:hyperlink>
                            <w:r w:rsidR="006712E0" w:rsidRPr="00ED13FD">
                              <w:rPr>
                                <w:rFonts w:ascii="Arial Narrow" w:hAnsi="Arial Narrow"/>
                                <w:b/>
                                <w:bCs/>
                                <w:color w:val="4A442A" w:themeColor="background2" w:themeShade="40"/>
                              </w:rPr>
                              <w:t>(2003)</w:t>
                            </w:r>
                          </w:p>
                          <w:p w14:paraId="49B41F2C" w14:textId="77777777" w:rsidR="006712E0" w:rsidRPr="00ED13FD" w:rsidRDefault="006712E0" w:rsidP="00047EF8">
                            <w:pPr>
                              <w:pStyle w:val="ListParagraph"/>
                              <w:numPr>
                                <w:ilvl w:val="0"/>
                                <w:numId w:val="90"/>
                              </w:numPr>
                              <w:spacing w:after="0"/>
                              <w:jc w:val="both"/>
                              <w:rPr>
                                <w:rFonts w:ascii="Arial Narrow" w:hAnsi="Arial Narrow"/>
                                <w:b/>
                                <w:bCs/>
                                <w:color w:val="4A442A" w:themeColor="background2" w:themeShade="40"/>
                              </w:rPr>
                            </w:pPr>
                            <w:r>
                              <w:rPr>
                                <w:rFonts w:ascii="Arial Narrow" w:hAnsi="Arial Narrow"/>
                                <w:b/>
                                <w:bCs/>
                                <w:color w:val="4A442A" w:themeColor="background2" w:themeShade="40"/>
                              </w:rPr>
                              <w:t>Strategija za razvoj integrisanog informacionog sistema za oblast zdravlja i e-zdravlja</w:t>
                            </w:r>
                            <w:r w:rsidRPr="00ED13FD">
                              <w:rPr>
                                <w:rFonts w:ascii="Arial Narrow" w:hAnsi="Arial Narrow"/>
                                <w:b/>
                                <w:bCs/>
                                <w:color w:val="4A442A" w:themeColor="background2" w:themeShade="40"/>
                              </w:rPr>
                              <w:t xml:space="preserve"> 2018 </w:t>
                            </w:r>
                            <w:r>
                              <w:rPr>
                                <w:rFonts w:ascii="Arial Narrow" w:hAnsi="Arial Narrow"/>
                                <w:b/>
                                <w:bCs/>
                                <w:color w:val="4A442A" w:themeColor="background2" w:themeShade="40"/>
                              </w:rPr>
                              <w:t>–</w:t>
                            </w:r>
                            <w:r w:rsidRPr="00ED13FD">
                              <w:rPr>
                                <w:rFonts w:ascii="Arial Narrow" w:hAnsi="Arial Narrow"/>
                                <w:b/>
                                <w:bCs/>
                                <w:color w:val="4A442A" w:themeColor="background2" w:themeShade="40"/>
                              </w:rPr>
                              <w:t xml:space="preserve"> 2023</w:t>
                            </w:r>
                            <w:r>
                              <w:rPr>
                                <w:rFonts w:ascii="Arial Narrow" w:hAnsi="Arial Narrow"/>
                                <w:b/>
                                <w:bCs/>
                                <w:color w:val="4A442A" w:themeColor="background2" w:themeShade="40"/>
                              </w:rPr>
                              <w:t>.</w:t>
                            </w:r>
                          </w:p>
                          <w:p w14:paraId="1E1CAF95" w14:textId="77777777" w:rsidR="006712E0" w:rsidRPr="00ED13FD" w:rsidRDefault="006712E0" w:rsidP="00047EF8">
                            <w:pPr>
                              <w:pStyle w:val="ListParagraph"/>
                              <w:numPr>
                                <w:ilvl w:val="0"/>
                                <w:numId w:val="90"/>
                              </w:numPr>
                              <w:spacing w:after="0"/>
                              <w:jc w:val="both"/>
                              <w:rPr>
                                <w:rFonts w:ascii="Arial Narrow" w:hAnsi="Arial Narrow"/>
                                <w:b/>
                                <w:bCs/>
                                <w:color w:val="4A442A" w:themeColor="background2" w:themeShade="40"/>
                              </w:rPr>
                            </w:pPr>
                            <w:r>
                              <w:rPr>
                                <w:rStyle w:val="Hyperlink"/>
                                <w:rFonts w:ascii="Arial Narrow" w:hAnsi="Arial Narrow"/>
                                <w:bCs/>
                                <w:color w:val="404040" w:themeColor="background1" w:themeShade="40"/>
                              </w:rPr>
                              <w:t>Nac</w:t>
                            </w:r>
                            <w:r w:rsidRPr="00ED13FD">
                              <w:rPr>
                                <w:rStyle w:val="Hyperlink"/>
                                <w:rFonts w:ascii="Arial Narrow" w:hAnsi="Arial Narrow"/>
                                <w:bCs/>
                                <w:color w:val="404040" w:themeColor="background1" w:themeShade="40"/>
                              </w:rPr>
                              <w:t>ional</w:t>
                            </w:r>
                            <w:r>
                              <w:rPr>
                                <w:rStyle w:val="Hyperlink"/>
                                <w:rFonts w:ascii="Arial Narrow" w:hAnsi="Arial Narrow"/>
                                <w:bCs/>
                                <w:color w:val="404040" w:themeColor="background1" w:themeShade="40"/>
                              </w:rPr>
                              <w:t>na</w:t>
                            </w:r>
                            <w:r w:rsidRPr="00ED13FD">
                              <w:rPr>
                                <w:rStyle w:val="Hyperlink"/>
                                <w:rFonts w:ascii="Arial Narrow" w:hAnsi="Arial Narrow"/>
                                <w:bCs/>
                                <w:color w:val="404040" w:themeColor="background1" w:themeShade="40"/>
                              </w:rPr>
                              <w:t xml:space="preserve"> </w:t>
                            </w:r>
                            <w:r>
                              <w:rPr>
                                <w:rStyle w:val="Hyperlink"/>
                                <w:rFonts w:ascii="Arial Narrow" w:hAnsi="Arial Narrow"/>
                                <w:bCs/>
                                <w:color w:val="404040" w:themeColor="background1" w:themeShade="40"/>
                              </w:rPr>
                              <w:t>s</w:t>
                            </w:r>
                            <w:r w:rsidRPr="00ED13FD">
                              <w:rPr>
                                <w:rStyle w:val="Hyperlink"/>
                                <w:rFonts w:ascii="Arial Narrow" w:hAnsi="Arial Narrow"/>
                                <w:bCs/>
                                <w:color w:val="404040" w:themeColor="background1" w:themeShade="40"/>
                              </w:rPr>
                              <w:t>trateg</w:t>
                            </w:r>
                            <w:r>
                              <w:rPr>
                                <w:rStyle w:val="Hyperlink"/>
                                <w:rFonts w:ascii="Arial Narrow" w:hAnsi="Arial Narrow"/>
                                <w:bCs/>
                                <w:color w:val="404040" w:themeColor="background1" w:themeShade="40"/>
                              </w:rPr>
                              <w:t>ija za kontrolu reizistencije na antibiotike</w:t>
                            </w:r>
                            <w:r w:rsidRPr="00ED13FD">
                              <w:rPr>
                                <w:rStyle w:val="Hyperlink"/>
                                <w:rFonts w:ascii="Arial Narrow" w:hAnsi="Arial Narrow"/>
                                <w:bCs/>
                                <w:color w:val="404040" w:themeColor="background1" w:themeShade="40"/>
                              </w:rPr>
                              <w:t xml:space="preserve"> 2017-2021</w:t>
                            </w:r>
                            <w:r>
                              <w:rPr>
                                <w:rStyle w:val="Hyperlink"/>
                                <w:rFonts w:ascii="Arial Narrow" w:hAnsi="Arial Narrow"/>
                                <w:bCs/>
                                <w:color w:val="404040" w:themeColor="background1" w:themeShade="40"/>
                              </w:rPr>
                              <w:t>.</w:t>
                            </w:r>
                          </w:p>
                          <w:p w14:paraId="4D889D60" w14:textId="77777777" w:rsidR="006712E0" w:rsidRPr="00ED13FD" w:rsidRDefault="006712E0" w:rsidP="00047EF8">
                            <w:pPr>
                              <w:pStyle w:val="ListParagraph"/>
                              <w:numPr>
                                <w:ilvl w:val="0"/>
                                <w:numId w:val="90"/>
                              </w:numPr>
                              <w:spacing w:after="0"/>
                              <w:rPr>
                                <w:rStyle w:val="Hyperlink"/>
                                <w:rFonts w:ascii="Arial Narrow" w:hAnsi="Arial Narrow"/>
                                <w:b/>
                                <w:bCs/>
                                <w:color w:val="404040" w:themeColor="background1" w:themeShade="40"/>
                              </w:rPr>
                            </w:pPr>
                            <w:r w:rsidRPr="00ED13FD">
                              <w:rPr>
                                <w:rStyle w:val="Hyperlink"/>
                                <w:rFonts w:ascii="Arial Narrow" w:hAnsi="Arial Narrow"/>
                                <w:bCs/>
                                <w:color w:val="404040" w:themeColor="background1" w:themeShade="40"/>
                              </w:rPr>
                              <w:t>Strateg</w:t>
                            </w:r>
                            <w:r>
                              <w:rPr>
                                <w:rStyle w:val="Hyperlink"/>
                                <w:rFonts w:ascii="Arial Narrow" w:hAnsi="Arial Narrow"/>
                                <w:bCs/>
                                <w:color w:val="404040" w:themeColor="background1" w:themeShade="40"/>
                              </w:rPr>
                              <w:t>ija za zaštitu i unapre</w:t>
                            </w:r>
                            <w:r>
                              <w:rPr>
                                <w:rStyle w:val="Hyperlink"/>
                                <w:rFonts w:ascii="Times New Roman" w:hAnsi="Times New Roman"/>
                                <w:bCs/>
                                <w:color w:val="404040" w:themeColor="background1" w:themeShade="40"/>
                              </w:rPr>
                              <w:t>đ</w:t>
                            </w:r>
                            <w:r>
                              <w:rPr>
                                <w:rStyle w:val="Hyperlink"/>
                                <w:rFonts w:ascii="Arial Narrow" w:hAnsi="Arial Narrow"/>
                                <w:bCs/>
                                <w:color w:val="404040" w:themeColor="background1" w:themeShade="40"/>
                              </w:rPr>
                              <w:t>enje mentalnog zdravlja</w:t>
                            </w:r>
                            <w:r w:rsidRPr="00ED13FD">
                              <w:rPr>
                                <w:rStyle w:val="Hyperlink"/>
                                <w:rFonts w:ascii="Arial Narrow" w:hAnsi="Arial Narrow"/>
                                <w:bCs/>
                                <w:color w:val="404040" w:themeColor="background1" w:themeShade="40"/>
                              </w:rPr>
                              <w:t xml:space="preserve"> 2019-2023</w:t>
                            </w:r>
                            <w:r>
                              <w:rPr>
                                <w:rStyle w:val="Hyperlink"/>
                                <w:rFonts w:ascii="Arial Narrow" w:hAnsi="Arial Narrow"/>
                                <w:bCs/>
                                <w:color w:val="404040" w:themeColor="background1" w:themeShade="40"/>
                              </w:rPr>
                              <w:t>.</w:t>
                            </w:r>
                          </w:p>
                          <w:p w14:paraId="0D0A5933" w14:textId="77777777" w:rsidR="006712E0" w:rsidRPr="00ED13FD" w:rsidRDefault="001D48BA" w:rsidP="00047EF8">
                            <w:pPr>
                              <w:pStyle w:val="ListParagraph"/>
                              <w:numPr>
                                <w:ilvl w:val="0"/>
                                <w:numId w:val="90"/>
                              </w:numPr>
                              <w:spacing w:after="0"/>
                              <w:jc w:val="both"/>
                              <w:rPr>
                                <w:rStyle w:val="Hyperlink"/>
                                <w:rFonts w:ascii="Arial Narrow" w:hAnsi="Arial Narrow"/>
                                <w:b/>
                                <w:bCs/>
                                <w:color w:val="404040" w:themeColor="text1" w:themeTint="BF"/>
                              </w:rPr>
                            </w:pPr>
                            <w:hyperlink r:id="rId97" w:history="1">
                              <w:r w:rsidR="006712E0">
                                <w:rPr>
                                  <w:rStyle w:val="Hyperlink"/>
                                  <w:rFonts w:ascii="Arial Narrow" w:hAnsi="Arial Narrow"/>
                                  <w:bCs/>
                                  <w:color w:val="404040" w:themeColor="text1" w:themeTint="BF"/>
                                </w:rPr>
                                <w:t>Strategija za unapre</w:t>
                              </w:r>
                              <w:r w:rsidR="006712E0">
                                <w:rPr>
                                  <w:rStyle w:val="Hyperlink"/>
                                  <w:rFonts w:ascii="Times New Roman" w:hAnsi="Times New Roman"/>
                                  <w:bCs/>
                                  <w:color w:val="404040" w:themeColor="text1" w:themeTint="BF"/>
                                </w:rPr>
                                <w:t>đ</w:t>
                              </w:r>
                              <w:r w:rsidR="006712E0">
                                <w:rPr>
                                  <w:rStyle w:val="Hyperlink"/>
                                  <w:rFonts w:ascii="Arial Narrow" w:hAnsi="Arial Narrow"/>
                                  <w:bCs/>
                                  <w:color w:val="404040" w:themeColor="text1" w:themeTint="BF"/>
                                </w:rPr>
                                <w:t>enje kvaliteta zdravstvene njege i bezbjednosti pacijenata</w:t>
                              </w:r>
                              <w:r w:rsidR="006712E0" w:rsidRPr="00ED13FD">
                                <w:rPr>
                                  <w:rStyle w:val="Hyperlink"/>
                                  <w:rFonts w:ascii="Arial Narrow" w:hAnsi="Arial Narrow"/>
                                  <w:bCs/>
                                  <w:color w:val="404040" w:themeColor="text1" w:themeTint="BF"/>
                                </w:rPr>
                                <w:t xml:space="preserve"> 2019-2023</w:t>
                              </w:r>
                            </w:hyperlink>
                            <w:r w:rsidR="006712E0">
                              <w:rPr>
                                <w:rStyle w:val="Hyperlink"/>
                                <w:rFonts w:ascii="Arial Narrow" w:hAnsi="Arial Narrow"/>
                                <w:bCs/>
                                <w:color w:val="404040" w:themeColor="text1" w:themeTint="BF"/>
                              </w:rPr>
                              <w:t>.</w:t>
                            </w:r>
                          </w:p>
                          <w:p w14:paraId="610CAD87" w14:textId="77777777" w:rsidR="006712E0" w:rsidRPr="00FB4FF4" w:rsidRDefault="006712E0" w:rsidP="00047EF8">
                            <w:pPr>
                              <w:spacing w:after="0"/>
                              <w:jc w:val="both"/>
                              <w:rPr>
                                <w:rFonts w:ascii="Arial Narrow" w:hAnsi="Arial Narrow"/>
                                <w:b/>
                                <w:bCs/>
                                <w:color w:val="4A442A" w:themeColor="background2" w:themeShade="40"/>
                                <w:u w:val="single"/>
                              </w:rPr>
                            </w:pPr>
                          </w:p>
                          <w:p w14:paraId="3E69F021" w14:textId="77777777" w:rsidR="006712E0" w:rsidRPr="00FB4FF4" w:rsidRDefault="006712E0" w:rsidP="00047EF8">
                            <w:pPr>
                              <w:spacing w:after="0"/>
                              <w:rPr>
                                <w:rFonts w:ascii="Arial Narrow" w:hAnsi="Arial Narrow"/>
                                <w:b/>
                                <w:bCs/>
                                <w:color w:val="404040" w:themeColor="text1" w:themeTint="BF"/>
                                <w:u w:val="single"/>
                              </w:rPr>
                            </w:pPr>
                          </w:p>
                          <w:p w14:paraId="012E04E6" w14:textId="77777777" w:rsidR="006712E0" w:rsidRPr="00237AB7" w:rsidRDefault="006712E0" w:rsidP="00047EF8">
                            <w:pPr>
                              <w:spacing w:after="0"/>
                              <w:jc w:val="both"/>
                              <w:rPr>
                                <w:rFonts w:ascii="Arial Narrow" w:hAnsi="Arial Narrow"/>
                                <w:b/>
                                <w:color w:val="595959" w:themeColor="text1" w:themeTint="A6"/>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ED3E0" id="Rounded Rectangle 23549" o:spid="_x0000_s1134" style="position:absolute;left:0;text-align:left;margin-left:-19.75pt;margin-top:22.5pt;width:356.25pt;height:164.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" fillcolor="window" strokecolor="#595959" strokeweight="1pt">
                <v:stroke joinstyle="miter"/>
                <v:path arrowok="t"/>
                <v:textbox>
                  <w:txbxContent>
                    <w:p w14:paraId="68502E2D" w14:textId="77777777" w:rsidR="006712E0" w:rsidRPr="00FB4FF4" w:rsidRDefault="006712E0" w:rsidP="00047EF8">
                      <w:pPr>
                        <w:jc w:val="center"/>
                        <w:rPr>
                          <w:rFonts w:ascii="Arial Narrow" w:hAnsi="Arial Narrow"/>
                          <w:b/>
                          <w:color w:val="595959" w:themeColor="text1" w:themeTint="A6"/>
                          <w:sz w:val="24"/>
                          <w:szCs w:val="24"/>
                        </w:rPr>
                      </w:pPr>
                      <w:r>
                        <w:rPr>
                          <w:rFonts w:ascii="Arial Narrow" w:hAnsi="Arial Narrow"/>
                          <w:b/>
                          <w:color w:val="595959" w:themeColor="text1" w:themeTint="A6"/>
                          <w:sz w:val="24"/>
                          <w:szCs w:val="24"/>
                        </w:rPr>
                        <w:t>SEKTORSKE STRATEGIJE</w:t>
                      </w:r>
                      <w:r w:rsidRPr="00FB4FF4">
                        <w:rPr>
                          <w:rFonts w:ascii="Arial Narrow" w:hAnsi="Arial Narrow"/>
                          <w:b/>
                          <w:color w:val="595959" w:themeColor="text1" w:themeTint="A6"/>
                          <w:sz w:val="24"/>
                          <w:szCs w:val="24"/>
                        </w:rPr>
                        <w:t>:</w:t>
                      </w:r>
                    </w:p>
                    <w:p w14:paraId="67086FC1" w14:textId="77777777" w:rsidR="006712E0" w:rsidRPr="00ED13FD" w:rsidRDefault="006712E0" w:rsidP="00047EF8">
                      <w:pPr>
                        <w:pStyle w:val="ListParagraph"/>
                        <w:numPr>
                          <w:ilvl w:val="0"/>
                          <w:numId w:val="90"/>
                        </w:numPr>
                        <w:spacing w:after="0"/>
                        <w:jc w:val="both"/>
                        <w:rPr>
                          <w:rFonts w:ascii="Arial Narrow" w:hAnsi="Arial Narrow"/>
                          <w:b/>
                          <w:bCs/>
                          <w:color w:val="4A442A" w:themeColor="background2" w:themeShade="40"/>
                        </w:rPr>
                      </w:pPr>
                      <w:hyperlink r:id="rId98" w:history="1"/>
                      <w:hyperlink r:id="rId99" w:history="1">
                        <w:r>
                          <w:rPr>
                            <w:rStyle w:val="Hyperlink"/>
                            <w:rFonts w:ascii="Arial Narrow" w:hAnsi="Arial Narrow"/>
                            <w:bCs/>
                            <w:color w:val="404040" w:themeColor="background1" w:themeShade="40"/>
                          </w:rPr>
                          <w:t xml:space="preserve">Strategija razvoja zdravstvene njege </w:t>
                        </w:r>
                      </w:hyperlink>
                      <w:r w:rsidRPr="00ED13FD">
                        <w:rPr>
                          <w:rFonts w:ascii="Arial Narrow" w:hAnsi="Arial Narrow"/>
                          <w:b/>
                          <w:bCs/>
                          <w:color w:val="4A442A" w:themeColor="background2" w:themeShade="40"/>
                        </w:rPr>
                        <w:t>(2003)</w:t>
                      </w:r>
                    </w:p>
                    <w:p w14:paraId="49B41F2C" w14:textId="77777777" w:rsidR="006712E0" w:rsidRPr="00ED13FD" w:rsidRDefault="006712E0" w:rsidP="00047EF8">
                      <w:pPr>
                        <w:pStyle w:val="ListParagraph"/>
                        <w:numPr>
                          <w:ilvl w:val="0"/>
                          <w:numId w:val="90"/>
                        </w:numPr>
                        <w:spacing w:after="0"/>
                        <w:jc w:val="both"/>
                        <w:rPr>
                          <w:rFonts w:ascii="Arial Narrow" w:hAnsi="Arial Narrow"/>
                          <w:b/>
                          <w:bCs/>
                          <w:color w:val="4A442A" w:themeColor="background2" w:themeShade="40"/>
                        </w:rPr>
                      </w:pPr>
                      <w:r>
                        <w:rPr>
                          <w:rFonts w:ascii="Arial Narrow" w:hAnsi="Arial Narrow"/>
                          <w:b/>
                          <w:bCs/>
                          <w:color w:val="4A442A" w:themeColor="background2" w:themeShade="40"/>
                        </w:rPr>
                        <w:t>Strategija za razvoj integrisanog informacionog sistema za oblast zdravlja i e-zdravlja</w:t>
                      </w:r>
                      <w:r w:rsidRPr="00ED13FD">
                        <w:rPr>
                          <w:rFonts w:ascii="Arial Narrow" w:hAnsi="Arial Narrow"/>
                          <w:b/>
                          <w:bCs/>
                          <w:color w:val="4A442A" w:themeColor="background2" w:themeShade="40"/>
                        </w:rPr>
                        <w:t xml:space="preserve"> 2018 </w:t>
                      </w:r>
                      <w:r>
                        <w:rPr>
                          <w:rFonts w:ascii="Arial Narrow" w:hAnsi="Arial Narrow"/>
                          <w:b/>
                          <w:bCs/>
                          <w:color w:val="4A442A" w:themeColor="background2" w:themeShade="40"/>
                        </w:rPr>
                        <w:t>–</w:t>
                      </w:r>
                      <w:r w:rsidRPr="00ED13FD">
                        <w:rPr>
                          <w:rFonts w:ascii="Arial Narrow" w:hAnsi="Arial Narrow"/>
                          <w:b/>
                          <w:bCs/>
                          <w:color w:val="4A442A" w:themeColor="background2" w:themeShade="40"/>
                        </w:rPr>
                        <w:t xml:space="preserve"> 2023</w:t>
                      </w:r>
                      <w:r>
                        <w:rPr>
                          <w:rFonts w:ascii="Arial Narrow" w:hAnsi="Arial Narrow"/>
                          <w:b/>
                          <w:bCs/>
                          <w:color w:val="4A442A" w:themeColor="background2" w:themeShade="40"/>
                        </w:rPr>
                        <w:t>.</w:t>
                      </w:r>
                    </w:p>
                    <w:p w14:paraId="1E1CAF95" w14:textId="77777777" w:rsidR="006712E0" w:rsidRPr="00ED13FD" w:rsidRDefault="006712E0" w:rsidP="00047EF8">
                      <w:pPr>
                        <w:pStyle w:val="ListParagraph"/>
                        <w:numPr>
                          <w:ilvl w:val="0"/>
                          <w:numId w:val="90"/>
                        </w:numPr>
                        <w:spacing w:after="0"/>
                        <w:jc w:val="both"/>
                        <w:rPr>
                          <w:rFonts w:ascii="Arial Narrow" w:hAnsi="Arial Narrow"/>
                          <w:b/>
                          <w:bCs/>
                          <w:color w:val="4A442A" w:themeColor="background2" w:themeShade="40"/>
                        </w:rPr>
                      </w:pPr>
                      <w:r>
                        <w:rPr>
                          <w:rStyle w:val="Hyperlink"/>
                          <w:rFonts w:ascii="Arial Narrow" w:hAnsi="Arial Narrow"/>
                          <w:bCs/>
                          <w:color w:val="404040" w:themeColor="background1" w:themeShade="40"/>
                        </w:rPr>
                        <w:t>Nac</w:t>
                      </w:r>
                      <w:r w:rsidRPr="00ED13FD">
                        <w:rPr>
                          <w:rStyle w:val="Hyperlink"/>
                          <w:rFonts w:ascii="Arial Narrow" w:hAnsi="Arial Narrow"/>
                          <w:bCs/>
                          <w:color w:val="404040" w:themeColor="background1" w:themeShade="40"/>
                        </w:rPr>
                        <w:t>ional</w:t>
                      </w:r>
                      <w:r>
                        <w:rPr>
                          <w:rStyle w:val="Hyperlink"/>
                          <w:rFonts w:ascii="Arial Narrow" w:hAnsi="Arial Narrow"/>
                          <w:bCs/>
                          <w:color w:val="404040" w:themeColor="background1" w:themeShade="40"/>
                        </w:rPr>
                        <w:t>na</w:t>
                      </w:r>
                      <w:r w:rsidRPr="00ED13FD">
                        <w:rPr>
                          <w:rStyle w:val="Hyperlink"/>
                          <w:rFonts w:ascii="Arial Narrow" w:hAnsi="Arial Narrow"/>
                          <w:bCs/>
                          <w:color w:val="404040" w:themeColor="background1" w:themeShade="40"/>
                        </w:rPr>
                        <w:t xml:space="preserve"> </w:t>
                      </w:r>
                      <w:r>
                        <w:rPr>
                          <w:rStyle w:val="Hyperlink"/>
                          <w:rFonts w:ascii="Arial Narrow" w:hAnsi="Arial Narrow"/>
                          <w:bCs/>
                          <w:color w:val="404040" w:themeColor="background1" w:themeShade="40"/>
                        </w:rPr>
                        <w:t>s</w:t>
                      </w:r>
                      <w:r w:rsidRPr="00ED13FD">
                        <w:rPr>
                          <w:rStyle w:val="Hyperlink"/>
                          <w:rFonts w:ascii="Arial Narrow" w:hAnsi="Arial Narrow"/>
                          <w:bCs/>
                          <w:color w:val="404040" w:themeColor="background1" w:themeShade="40"/>
                        </w:rPr>
                        <w:t>trateg</w:t>
                      </w:r>
                      <w:r>
                        <w:rPr>
                          <w:rStyle w:val="Hyperlink"/>
                          <w:rFonts w:ascii="Arial Narrow" w:hAnsi="Arial Narrow"/>
                          <w:bCs/>
                          <w:color w:val="404040" w:themeColor="background1" w:themeShade="40"/>
                        </w:rPr>
                        <w:t>ija za kontrolu reizistencije na antibiotike</w:t>
                      </w:r>
                      <w:r w:rsidRPr="00ED13FD">
                        <w:rPr>
                          <w:rStyle w:val="Hyperlink"/>
                          <w:rFonts w:ascii="Arial Narrow" w:hAnsi="Arial Narrow"/>
                          <w:bCs/>
                          <w:color w:val="404040" w:themeColor="background1" w:themeShade="40"/>
                        </w:rPr>
                        <w:t xml:space="preserve"> 2017-2021</w:t>
                      </w:r>
                      <w:r>
                        <w:rPr>
                          <w:rStyle w:val="Hyperlink"/>
                          <w:rFonts w:ascii="Arial Narrow" w:hAnsi="Arial Narrow"/>
                          <w:bCs/>
                          <w:color w:val="404040" w:themeColor="background1" w:themeShade="40"/>
                        </w:rPr>
                        <w:t>.</w:t>
                      </w:r>
                    </w:p>
                    <w:p w14:paraId="4D889D60" w14:textId="77777777" w:rsidR="006712E0" w:rsidRPr="00ED13FD" w:rsidRDefault="006712E0" w:rsidP="00047EF8">
                      <w:pPr>
                        <w:pStyle w:val="ListParagraph"/>
                        <w:numPr>
                          <w:ilvl w:val="0"/>
                          <w:numId w:val="90"/>
                        </w:numPr>
                        <w:spacing w:after="0"/>
                        <w:rPr>
                          <w:rStyle w:val="Hyperlink"/>
                          <w:rFonts w:ascii="Arial Narrow" w:hAnsi="Arial Narrow"/>
                          <w:b/>
                          <w:bCs/>
                          <w:color w:val="404040" w:themeColor="background1" w:themeShade="40"/>
                        </w:rPr>
                      </w:pPr>
                      <w:r w:rsidRPr="00ED13FD">
                        <w:rPr>
                          <w:rStyle w:val="Hyperlink"/>
                          <w:rFonts w:ascii="Arial Narrow" w:hAnsi="Arial Narrow"/>
                          <w:bCs/>
                          <w:color w:val="404040" w:themeColor="background1" w:themeShade="40"/>
                        </w:rPr>
                        <w:t>Strateg</w:t>
                      </w:r>
                      <w:r>
                        <w:rPr>
                          <w:rStyle w:val="Hyperlink"/>
                          <w:rFonts w:ascii="Arial Narrow" w:hAnsi="Arial Narrow"/>
                          <w:bCs/>
                          <w:color w:val="404040" w:themeColor="background1" w:themeShade="40"/>
                        </w:rPr>
                        <w:t>ija za zaštitu i unapre</w:t>
                      </w:r>
                      <w:r>
                        <w:rPr>
                          <w:rStyle w:val="Hyperlink"/>
                          <w:rFonts w:ascii="Times New Roman" w:hAnsi="Times New Roman"/>
                          <w:bCs/>
                          <w:color w:val="404040" w:themeColor="background1" w:themeShade="40"/>
                        </w:rPr>
                        <w:t>đ</w:t>
                      </w:r>
                      <w:r>
                        <w:rPr>
                          <w:rStyle w:val="Hyperlink"/>
                          <w:rFonts w:ascii="Arial Narrow" w:hAnsi="Arial Narrow"/>
                          <w:bCs/>
                          <w:color w:val="404040" w:themeColor="background1" w:themeShade="40"/>
                        </w:rPr>
                        <w:t>enje mentalnog zdravlja</w:t>
                      </w:r>
                      <w:r w:rsidRPr="00ED13FD">
                        <w:rPr>
                          <w:rStyle w:val="Hyperlink"/>
                          <w:rFonts w:ascii="Arial Narrow" w:hAnsi="Arial Narrow"/>
                          <w:bCs/>
                          <w:color w:val="404040" w:themeColor="background1" w:themeShade="40"/>
                        </w:rPr>
                        <w:t xml:space="preserve"> 2019-2023</w:t>
                      </w:r>
                      <w:r>
                        <w:rPr>
                          <w:rStyle w:val="Hyperlink"/>
                          <w:rFonts w:ascii="Arial Narrow" w:hAnsi="Arial Narrow"/>
                          <w:bCs/>
                          <w:color w:val="404040" w:themeColor="background1" w:themeShade="40"/>
                        </w:rPr>
                        <w:t>.</w:t>
                      </w:r>
                    </w:p>
                    <w:p w14:paraId="0D0A5933" w14:textId="77777777" w:rsidR="006712E0" w:rsidRPr="00ED13FD" w:rsidRDefault="006712E0" w:rsidP="00047EF8">
                      <w:pPr>
                        <w:pStyle w:val="ListParagraph"/>
                        <w:numPr>
                          <w:ilvl w:val="0"/>
                          <w:numId w:val="90"/>
                        </w:numPr>
                        <w:spacing w:after="0"/>
                        <w:jc w:val="both"/>
                        <w:rPr>
                          <w:rStyle w:val="Hyperlink"/>
                          <w:rFonts w:ascii="Arial Narrow" w:hAnsi="Arial Narrow"/>
                          <w:b/>
                          <w:bCs/>
                          <w:color w:val="404040" w:themeColor="text1" w:themeTint="BF"/>
                        </w:rPr>
                      </w:pPr>
                      <w:hyperlink r:id="rId100" w:history="1">
                        <w:r>
                          <w:rPr>
                            <w:rStyle w:val="Hyperlink"/>
                            <w:rFonts w:ascii="Arial Narrow" w:hAnsi="Arial Narrow"/>
                            <w:bCs/>
                            <w:color w:val="404040" w:themeColor="text1" w:themeTint="BF"/>
                          </w:rPr>
                          <w:t>Strategija za unapre</w:t>
                        </w:r>
                        <w:r>
                          <w:rPr>
                            <w:rStyle w:val="Hyperlink"/>
                            <w:rFonts w:ascii="Times New Roman" w:hAnsi="Times New Roman"/>
                            <w:bCs/>
                            <w:color w:val="404040" w:themeColor="text1" w:themeTint="BF"/>
                          </w:rPr>
                          <w:t>đ</w:t>
                        </w:r>
                        <w:r>
                          <w:rPr>
                            <w:rStyle w:val="Hyperlink"/>
                            <w:rFonts w:ascii="Arial Narrow" w:hAnsi="Arial Narrow"/>
                            <w:bCs/>
                            <w:color w:val="404040" w:themeColor="text1" w:themeTint="BF"/>
                          </w:rPr>
                          <w:t>enje kvaliteta zdravstvene njege i bezbjednosti pacijenata</w:t>
                        </w:r>
                        <w:r w:rsidRPr="00ED13FD">
                          <w:rPr>
                            <w:rStyle w:val="Hyperlink"/>
                            <w:rFonts w:ascii="Arial Narrow" w:hAnsi="Arial Narrow"/>
                            <w:bCs/>
                            <w:color w:val="404040" w:themeColor="text1" w:themeTint="BF"/>
                          </w:rPr>
                          <w:t xml:space="preserve"> 2019-2023</w:t>
                        </w:r>
                      </w:hyperlink>
                      <w:r>
                        <w:rPr>
                          <w:rStyle w:val="Hyperlink"/>
                          <w:rFonts w:ascii="Arial Narrow" w:hAnsi="Arial Narrow"/>
                          <w:bCs/>
                          <w:color w:val="404040" w:themeColor="text1" w:themeTint="BF"/>
                        </w:rPr>
                        <w:t>.</w:t>
                      </w:r>
                    </w:p>
                    <w:p w14:paraId="610CAD87" w14:textId="77777777" w:rsidR="006712E0" w:rsidRPr="00FB4FF4" w:rsidRDefault="006712E0" w:rsidP="00047EF8">
                      <w:pPr>
                        <w:spacing w:after="0"/>
                        <w:jc w:val="both"/>
                        <w:rPr>
                          <w:rFonts w:ascii="Arial Narrow" w:hAnsi="Arial Narrow"/>
                          <w:b/>
                          <w:bCs/>
                          <w:color w:val="4A442A" w:themeColor="background2" w:themeShade="40"/>
                          <w:u w:val="single"/>
                        </w:rPr>
                      </w:pPr>
                    </w:p>
                    <w:p w14:paraId="3E69F021" w14:textId="77777777" w:rsidR="006712E0" w:rsidRPr="00FB4FF4" w:rsidRDefault="006712E0" w:rsidP="00047EF8">
                      <w:pPr>
                        <w:spacing w:after="0"/>
                        <w:rPr>
                          <w:rFonts w:ascii="Arial Narrow" w:hAnsi="Arial Narrow"/>
                          <w:b/>
                          <w:bCs/>
                          <w:color w:val="404040" w:themeColor="text1" w:themeTint="BF"/>
                          <w:u w:val="single"/>
                        </w:rPr>
                      </w:pPr>
                    </w:p>
                    <w:p w14:paraId="012E04E6" w14:textId="77777777" w:rsidR="006712E0" w:rsidRPr="00237AB7" w:rsidRDefault="006712E0" w:rsidP="00047EF8">
                      <w:pPr>
                        <w:spacing w:after="0"/>
                        <w:jc w:val="both"/>
                        <w:rPr>
                          <w:rFonts w:ascii="Arial Narrow" w:hAnsi="Arial Narrow"/>
                          <w:b/>
                          <w:color w:val="595959" w:themeColor="text1" w:themeTint="A6"/>
                          <w:sz w:val="24"/>
                          <w:szCs w:val="24"/>
                        </w:rPr>
                      </w:pP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02272" behindDoc="0" locked="0" layoutInCell="1" allowOverlap="1" wp14:anchorId="3AC31955" wp14:editId="0E50A70C">
                <wp:simplePos x="0" y="0"/>
                <wp:positionH relativeFrom="margin">
                  <wp:align>right</wp:align>
                </wp:positionH>
                <wp:positionV relativeFrom="paragraph">
                  <wp:posOffset>307340</wp:posOffset>
                </wp:positionV>
                <wp:extent cx="2390775" cy="2057400"/>
                <wp:effectExtent l="0" t="0" r="9525" b="0"/>
                <wp:wrapNone/>
                <wp:docPr id="23548" name="Rounded Rectangle 23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2057400"/>
                        </a:xfrm>
                        <a:prstGeom prst="roundRect">
                          <a:avLst/>
                        </a:prstGeom>
                        <a:solidFill>
                          <a:sysClr val="window" lastClr="FFFFFF"/>
                        </a:solidFill>
                        <a:ln w="12700" cap="flat" cmpd="sng" algn="ctr">
                          <a:solidFill>
                            <a:sysClr val="windowText" lastClr="000000">
                              <a:lumMod val="65000"/>
                              <a:lumOff val="35000"/>
                            </a:sysClr>
                          </a:solidFill>
                          <a:prstDash val="solid"/>
                          <a:miter lim="800000"/>
                        </a:ln>
                        <a:effectLst/>
                      </wps:spPr>
                      <wps:txbx>
                        <w:txbxContent>
                          <w:p w14:paraId="5C4ED719" w14:textId="77777777" w:rsidR="006712E0" w:rsidRPr="00FB4FF4" w:rsidRDefault="006712E0" w:rsidP="00047EF8">
                            <w:pPr>
                              <w:jc w:val="center"/>
                              <w:rPr>
                                <w:rFonts w:ascii="Arial Narrow" w:hAnsi="Arial Narrow"/>
                                <w:b/>
                                <w:color w:val="595959" w:themeColor="text1" w:themeTint="A6"/>
                                <w:sz w:val="24"/>
                                <w:szCs w:val="24"/>
                              </w:rPr>
                            </w:pPr>
                            <w:r>
                              <w:rPr>
                                <w:rFonts w:ascii="Arial Narrow" w:hAnsi="Arial Narrow"/>
                                <w:b/>
                                <w:color w:val="595959" w:themeColor="text1" w:themeTint="A6"/>
                                <w:sz w:val="24"/>
                                <w:szCs w:val="24"/>
                              </w:rPr>
                              <w:t>SEKTORSKI PROGRAMI</w:t>
                            </w:r>
                            <w:r w:rsidRPr="00FB4FF4">
                              <w:rPr>
                                <w:rFonts w:ascii="Arial Narrow" w:hAnsi="Arial Narrow"/>
                                <w:b/>
                                <w:color w:val="595959" w:themeColor="text1" w:themeTint="A6"/>
                                <w:sz w:val="24"/>
                                <w:szCs w:val="24"/>
                              </w:rPr>
                              <w:t>:</w:t>
                            </w:r>
                          </w:p>
                          <w:p w14:paraId="579EBABD" w14:textId="77777777" w:rsidR="006712E0" w:rsidRDefault="001D48BA" w:rsidP="00047EF8">
                            <w:pPr>
                              <w:pStyle w:val="ListParagraph"/>
                              <w:numPr>
                                <w:ilvl w:val="0"/>
                                <w:numId w:val="91"/>
                              </w:numPr>
                              <w:rPr>
                                <w:rFonts w:ascii="Arial Narrow" w:hAnsi="Arial Narrow"/>
                                <w:b/>
                                <w:color w:val="595959" w:themeColor="text1" w:themeTint="A6"/>
                              </w:rPr>
                            </w:pPr>
                            <w:hyperlink r:id="rId101" w:history="1">
                              <w:r w:rsidR="006712E0" w:rsidRPr="00C13146">
                                <w:rPr>
                                  <w:rStyle w:val="Hyperlink"/>
                                  <w:rFonts w:ascii="Arial Narrow" w:hAnsi="Arial Narrow"/>
                                  <w:color w:val="595959" w:themeColor="text1" w:themeTint="A6"/>
                                </w:rPr>
                                <w:t>Program</w:t>
                              </w:r>
                              <w:r w:rsidR="006712E0">
                                <w:rPr>
                                  <w:rStyle w:val="Hyperlink"/>
                                  <w:rFonts w:ascii="Arial Narrow" w:hAnsi="Arial Narrow"/>
                                  <w:color w:val="595959" w:themeColor="text1" w:themeTint="A6"/>
                                </w:rPr>
                                <w:t xml:space="preserve"> za kontrolu i spre</w:t>
                              </w:r>
                              <w:r w:rsidR="006712E0">
                                <w:rPr>
                                  <w:rStyle w:val="Hyperlink"/>
                                  <w:rFonts w:ascii="Times New Roman" w:hAnsi="Times New Roman"/>
                                  <w:color w:val="595959" w:themeColor="text1" w:themeTint="A6"/>
                                </w:rPr>
                                <w:t>č</w:t>
                              </w:r>
                              <w:r w:rsidR="006712E0">
                                <w:rPr>
                                  <w:rStyle w:val="Hyperlink"/>
                                  <w:rFonts w:ascii="Arial Narrow" w:hAnsi="Arial Narrow"/>
                                  <w:color w:val="595959" w:themeColor="text1" w:themeTint="A6"/>
                                </w:rPr>
                                <w:t>avanje hroni</w:t>
                              </w:r>
                              <w:r w:rsidR="006712E0">
                                <w:rPr>
                                  <w:rStyle w:val="Hyperlink"/>
                                  <w:rFonts w:ascii="Times New Roman" w:hAnsi="Times New Roman"/>
                                  <w:color w:val="595959" w:themeColor="text1" w:themeTint="A6"/>
                                </w:rPr>
                                <w:t>č</w:t>
                              </w:r>
                              <w:r w:rsidR="006712E0">
                                <w:rPr>
                                  <w:rStyle w:val="Hyperlink"/>
                                  <w:rFonts w:ascii="Arial Narrow" w:hAnsi="Arial Narrow"/>
                                  <w:color w:val="595959" w:themeColor="text1" w:themeTint="A6"/>
                                </w:rPr>
                                <w:t>nih nezaraznih bolesti</w:t>
                              </w:r>
                              <w:r w:rsidR="006712E0" w:rsidRPr="00C13146">
                                <w:rPr>
                                  <w:rStyle w:val="Hyperlink"/>
                                  <w:rFonts w:ascii="Arial Narrow" w:hAnsi="Arial Narrow"/>
                                  <w:color w:val="595959" w:themeColor="text1" w:themeTint="A6"/>
                                </w:rPr>
                                <w:t xml:space="preserve"> 2019-</w:t>
                              </w:r>
                            </w:hyperlink>
                            <w:r w:rsidR="006712E0" w:rsidRPr="001A638D">
                              <w:rPr>
                                <w:rFonts w:ascii="Arial Narrow" w:hAnsi="Arial Narrow"/>
                                <w:color w:val="595959" w:themeColor="text1" w:themeTint="A6"/>
                              </w:rPr>
                              <w:t>2021</w:t>
                            </w:r>
                            <w:r w:rsidR="006712E0">
                              <w:rPr>
                                <w:rFonts w:ascii="Arial Narrow" w:hAnsi="Arial Narrow"/>
                                <w:color w:val="595959" w:themeColor="text1" w:themeTint="A6"/>
                              </w:rPr>
                              <w:t>.</w:t>
                            </w:r>
                          </w:p>
                          <w:p w14:paraId="7F6ECAA2" w14:textId="77777777" w:rsidR="006712E0" w:rsidRPr="00C13146" w:rsidRDefault="006712E0" w:rsidP="00047EF8">
                            <w:pPr>
                              <w:pStyle w:val="ListParagraph"/>
                              <w:numPr>
                                <w:ilvl w:val="0"/>
                                <w:numId w:val="91"/>
                              </w:numPr>
                              <w:rPr>
                                <w:rFonts w:ascii="Arial Narrow" w:hAnsi="Arial Narrow"/>
                                <w:b/>
                                <w:color w:val="595959" w:themeColor="text1" w:themeTint="A6"/>
                              </w:rPr>
                            </w:pPr>
                            <w:r>
                              <w:rPr>
                                <w:rFonts w:ascii="Arial Narrow" w:hAnsi="Arial Narrow"/>
                                <w:b/>
                                <w:color w:val="595959" w:themeColor="text1" w:themeTint="A6"/>
                              </w:rPr>
                              <w:t>Program za prilagođavanje sistema zdravstvene njege klimatskim promjenama 2020-2022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31955" id="Rounded Rectangle 23548" o:spid="_x0000_s1135" style="position:absolute;left:0;text-align:left;margin-left:137.05pt;margin-top:24.2pt;width:188.25pt;height:162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" fillcolor="window" strokecolor="#595959" strokeweight="1pt">
                <v:stroke joinstyle="miter"/>
                <v:path arrowok="t"/>
                <v:textbox>
                  <w:txbxContent>
                    <w:p w14:paraId="5C4ED719" w14:textId="77777777" w:rsidR="006712E0" w:rsidRPr="00FB4FF4" w:rsidRDefault="006712E0" w:rsidP="00047EF8">
                      <w:pPr>
                        <w:jc w:val="center"/>
                        <w:rPr>
                          <w:rFonts w:ascii="Arial Narrow" w:hAnsi="Arial Narrow"/>
                          <w:b/>
                          <w:color w:val="595959" w:themeColor="text1" w:themeTint="A6"/>
                          <w:sz w:val="24"/>
                          <w:szCs w:val="24"/>
                        </w:rPr>
                      </w:pPr>
                      <w:r>
                        <w:rPr>
                          <w:rFonts w:ascii="Arial Narrow" w:hAnsi="Arial Narrow"/>
                          <w:b/>
                          <w:color w:val="595959" w:themeColor="text1" w:themeTint="A6"/>
                          <w:sz w:val="24"/>
                          <w:szCs w:val="24"/>
                        </w:rPr>
                        <w:t>SEKTORSKI PROGRAMI</w:t>
                      </w:r>
                      <w:r w:rsidRPr="00FB4FF4">
                        <w:rPr>
                          <w:rFonts w:ascii="Arial Narrow" w:hAnsi="Arial Narrow"/>
                          <w:b/>
                          <w:color w:val="595959" w:themeColor="text1" w:themeTint="A6"/>
                          <w:sz w:val="24"/>
                          <w:szCs w:val="24"/>
                        </w:rPr>
                        <w:t>:</w:t>
                      </w:r>
                    </w:p>
                    <w:p w14:paraId="579EBABD" w14:textId="77777777" w:rsidR="006712E0" w:rsidRDefault="006712E0" w:rsidP="00047EF8">
                      <w:pPr>
                        <w:pStyle w:val="ListParagraph"/>
                        <w:numPr>
                          <w:ilvl w:val="0"/>
                          <w:numId w:val="91"/>
                        </w:numPr>
                        <w:rPr>
                          <w:rFonts w:ascii="Arial Narrow" w:hAnsi="Arial Narrow"/>
                          <w:b/>
                          <w:color w:val="595959" w:themeColor="text1" w:themeTint="A6"/>
                        </w:rPr>
                      </w:pPr>
                      <w:hyperlink r:id="rId102" w:history="1">
                        <w:r w:rsidRPr="00C13146">
                          <w:rPr>
                            <w:rStyle w:val="Hyperlink"/>
                            <w:rFonts w:ascii="Arial Narrow" w:hAnsi="Arial Narrow"/>
                            <w:color w:val="595959" w:themeColor="text1" w:themeTint="A6"/>
                          </w:rPr>
                          <w:t>Program</w:t>
                        </w:r>
                        <w:r>
                          <w:rPr>
                            <w:rStyle w:val="Hyperlink"/>
                            <w:rFonts w:ascii="Arial Narrow" w:hAnsi="Arial Narrow"/>
                            <w:color w:val="595959" w:themeColor="text1" w:themeTint="A6"/>
                          </w:rPr>
                          <w:t xml:space="preserve"> za kontrolu i spre</w:t>
                        </w:r>
                        <w:r>
                          <w:rPr>
                            <w:rStyle w:val="Hyperlink"/>
                            <w:rFonts w:ascii="Times New Roman" w:hAnsi="Times New Roman"/>
                            <w:color w:val="595959" w:themeColor="text1" w:themeTint="A6"/>
                          </w:rPr>
                          <w:t>č</w:t>
                        </w:r>
                        <w:r>
                          <w:rPr>
                            <w:rStyle w:val="Hyperlink"/>
                            <w:rFonts w:ascii="Arial Narrow" w:hAnsi="Arial Narrow"/>
                            <w:color w:val="595959" w:themeColor="text1" w:themeTint="A6"/>
                          </w:rPr>
                          <w:t>avanje hroni</w:t>
                        </w:r>
                        <w:r>
                          <w:rPr>
                            <w:rStyle w:val="Hyperlink"/>
                            <w:rFonts w:ascii="Times New Roman" w:hAnsi="Times New Roman"/>
                            <w:color w:val="595959" w:themeColor="text1" w:themeTint="A6"/>
                          </w:rPr>
                          <w:t>č</w:t>
                        </w:r>
                        <w:r>
                          <w:rPr>
                            <w:rStyle w:val="Hyperlink"/>
                            <w:rFonts w:ascii="Arial Narrow" w:hAnsi="Arial Narrow"/>
                            <w:color w:val="595959" w:themeColor="text1" w:themeTint="A6"/>
                          </w:rPr>
                          <w:t>nih nezaraznih bolesti</w:t>
                        </w:r>
                        <w:r w:rsidRPr="00C13146">
                          <w:rPr>
                            <w:rStyle w:val="Hyperlink"/>
                            <w:rFonts w:ascii="Arial Narrow" w:hAnsi="Arial Narrow"/>
                            <w:color w:val="595959" w:themeColor="text1" w:themeTint="A6"/>
                          </w:rPr>
                          <w:t xml:space="preserve"> 2019-</w:t>
                        </w:r>
                      </w:hyperlink>
                      <w:r w:rsidRPr="001A638D">
                        <w:rPr>
                          <w:rFonts w:ascii="Arial Narrow" w:hAnsi="Arial Narrow"/>
                          <w:color w:val="595959" w:themeColor="text1" w:themeTint="A6"/>
                        </w:rPr>
                        <w:t>2021</w:t>
                      </w:r>
                      <w:r>
                        <w:rPr>
                          <w:rFonts w:ascii="Arial Narrow" w:hAnsi="Arial Narrow"/>
                          <w:color w:val="595959" w:themeColor="text1" w:themeTint="A6"/>
                        </w:rPr>
                        <w:t>.</w:t>
                      </w:r>
                    </w:p>
                    <w:p w14:paraId="7F6ECAA2" w14:textId="77777777" w:rsidR="006712E0" w:rsidRPr="00C13146" w:rsidRDefault="006712E0" w:rsidP="00047EF8">
                      <w:pPr>
                        <w:pStyle w:val="ListParagraph"/>
                        <w:numPr>
                          <w:ilvl w:val="0"/>
                          <w:numId w:val="91"/>
                        </w:numPr>
                        <w:rPr>
                          <w:rFonts w:ascii="Arial Narrow" w:hAnsi="Arial Narrow"/>
                          <w:b/>
                          <w:color w:val="595959" w:themeColor="text1" w:themeTint="A6"/>
                        </w:rPr>
                      </w:pPr>
                      <w:r>
                        <w:rPr>
                          <w:rFonts w:ascii="Arial Narrow" w:hAnsi="Arial Narrow"/>
                          <w:b/>
                          <w:color w:val="595959" w:themeColor="text1" w:themeTint="A6"/>
                        </w:rPr>
                        <w:t>Program za prilagođavanje sistema zdravstvene njege klimatskim promjenama 2020-2022</w:t>
                      </w: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00224" behindDoc="0" locked="0" layoutInCell="1" allowOverlap="1" wp14:anchorId="69AFAD5D" wp14:editId="00513EBA">
                <wp:simplePos x="0" y="0"/>
                <wp:positionH relativeFrom="margin">
                  <wp:posOffset>-28575</wp:posOffset>
                </wp:positionH>
                <wp:positionV relativeFrom="paragraph">
                  <wp:posOffset>-412750</wp:posOffset>
                </wp:positionV>
                <wp:extent cx="6610350" cy="447675"/>
                <wp:effectExtent l="0" t="0" r="0" b="9525"/>
                <wp:wrapNone/>
                <wp:docPr id="23547" name="Rounded Rectangle 23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350" cy="447675"/>
                        </a:xfrm>
                        <a:prstGeom prst="roundRect">
                          <a:avLst/>
                        </a:prstGeom>
                        <a:solidFill>
                          <a:sysClr val="windowText" lastClr="000000">
                            <a:lumMod val="65000"/>
                            <a:lumOff val="35000"/>
                          </a:sysClr>
                        </a:solidFill>
                        <a:ln w="12700" cap="flat" cmpd="sng" algn="ctr">
                          <a:solidFill>
                            <a:sysClr val="windowText" lastClr="000000">
                              <a:lumMod val="65000"/>
                              <a:lumOff val="35000"/>
                            </a:sysClr>
                          </a:solidFill>
                          <a:prstDash val="solid"/>
                          <a:miter lim="800000"/>
                        </a:ln>
                        <a:effectLst/>
                      </wps:spPr>
                      <wps:txbx>
                        <w:txbxContent>
                          <w:p w14:paraId="107BA1AA" w14:textId="77777777" w:rsidR="006712E0" w:rsidRPr="00237AB7" w:rsidRDefault="006712E0" w:rsidP="00047EF8">
                            <w:pPr>
                              <w:jc w:val="center"/>
                              <w:rPr>
                                <w:rFonts w:ascii="Arial" w:hAnsi="Arial" w:cs="Arial"/>
                                <w:b/>
                                <w:sz w:val="28"/>
                                <w:szCs w:val="28"/>
                              </w:rPr>
                            </w:pPr>
                            <w:r>
                              <w:rPr>
                                <w:rFonts w:ascii="Arial" w:hAnsi="Arial" w:cs="Arial"/>
                                <w:b/>
                                <w:sz w:val="28"/>
                                <w:szCs w:val="28"/>
                              </w:rPr>
                              <w:t>MINISTARSTVO ZDRAVLJA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FAD5D" id="Rounded Rectangle 23547" o:spid="_x0000_s1136" style="position:absolute;left:0;text-align:left;margin-left:-2.25pt;margin-top:-32.5pt;width:520.5pt;height:3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" fillcolor="#595959" strokecolor="#595959" strokeweight="1pt">
                <v:stroke joinstyle="miter"/>
                <v:path arrowok="t"/>
                <v:textbox>
                  <w:txbxContent>
                    <w:p w14:paraId="107BA1AA" w14:textId="77777777" w:rsidR="006712E0" w:rsidRPr="00237AB7" w:rsidRDefault="006712E0" w:rsidP="00047EF8">
                      <w:pPr>
                        <w:jc w:val="center"/>
                        <w:rPr>
                          <w:rFonts w:ascii="Arial" w:hAnsi="Arial" w:cs="Arial"/>
                          <w:b/>
                          <w:sz w:val="28"/>
                          <w:szCs w:val="28"/>
                        </w:rPr>
                      </w:pPr>
                      <w:r>
                        <w:rPr>
                          <w:rFonts w:ascii="Arial" w:hAnsi="Arial" w:cs="Arial"/>
                          <w:b/>
                          <w:sz w:val="28"/>
                          <w:szCs w:val="28"/>
                        </w:rPr>
                        <w:t>MINISTARSTVO ZDRAVLJA</w:t>
                      </w:r>
                    </w:p>
                  </w:txbxContent>
                </v:textbox>
                <w10:wrap anchorx="margin"/>
              </v:roundrect>
            </w:pict>
          </mc:Fallback>
        </mc:AlternateContent>
      </w: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74624" behindDoc="0" locked="0" layoutInCell="1" allowOverlap="1" wp14:anchorId="139AC0AC" wp14:editId="62669D59">
                <wp:simplePos x="0" y="0"/>
                <wp:positionH relativeFrom="page">
                  <wp:posOffset>1647825</wp:posOffset>
                </wp:positionH>
                <wp:positionV relativeFrom="paragraph">
                  <wp:posOffset>-771525</wp:posOffset>
                </wp:positionV>
                <wp:extent cx="5591175" cy="304800"/>
                <wp:effectExtent l="0" t="0" r="0" b="0"/>
                <wp:wrapNone/>
                <wp:docPr id="23546" name="Text Box 23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304800"/>
                        </a:xfrm>
                        <a:prstGeom prst="rect">
                          <a:avLst/>
                        </a:prstGeom>
                        <a:solidFill>
                          <a:sysClr val="window" lastClr="FFFFFF"/>
                        </a:solidFill>
                        <a:ln w="6350">
                          <a:noFill/>
                        </a:ln>
                      </wps:spPr>
                      <wps:txbx>
                        <w:txbxContent>
                          <w:p w14:paraId="7A2B9EF9" w14:textId="77777777" w:rsidR="006712E0" w:rsidRPr="002A3122" w:rsidRDefault="006712E0" w:rsidP="00047EF8">
                            <w:pPr>
                              <w:tabs>
                                <w:tab w:val="center" w:pos="4536"/>
                                <w:tab w:val="right" w:pos="9072"/>
                              </w:tabs>
                              <w:spacing w:after="0" w:line="240" w:lineRule="auto"/>
                              <w:jc w:val="right"/>
                              <w:rPr>
                                <w:rFonts w:eastAsia="Calibri"/>
                                <w:b/>
                                <w:color w:val="808080" w:themeColor="background1" w:themeShade="80"/>
                                <w:spacing w:val="-20"/>
                                <w:sz w:val="30"/>
                                <w:szCs w:val="30"/>
                                <w:u w:color="FFFFFF"/>
                              </w:rPr>
                            </w:pPr>
                            <w:r>
                              <w:rPr>
                                <w:rFonts w:eastAsia="Calibri"/>
                                <w:b/>
                                <w:color w:val="808080" w:themeColor="background1" w:themeShade="80"/>
                                <w:spacing w:val="-20"/>
                                <w:sz w:val="30"/>
                                <w:szCs w:val="30"/>
                                <w:u w:color="FFFFFF"/>
                              </w:rPr>
                              <w:t>ZAPOŠLJAVANJE, SOCIJALNA POLITIKA I ZDRAVLJE</w:t>
                            </w:r>
                          </w:p>
                          <w:p w14:paraId="767EA86C" w14:textId="77777777" w:rsidR="006712E0" w:rsidRDefault="006712E0" w:rsidP="00047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C0AC" id="Text Box 23546" o:spid="_x0000_s1137" type="#_x0000_t202" style="position:absolute;left:0;text-align:left;margin-left:129.75pt;margin-top:-60.75pt;width:440.25pt;height: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" fillcolor="window" stroked="f" strokeweight=".5pt">
                <v:path arrowok="t"/>
                <v:textbox>
                  <w:txbxContent>
                    <w:p w14:paraId="7A2B9EF9" w14:textId="77777777" w:rsidR="006712E0" w:rsidRPr="002A3122" w:rsidRDefault="006712E0" w:rsidP="00047EF8">
                      <w:pPr>
                        <w:tabs>
                          <w:tab w:val="center" w:pos="4536"/>
                          <w:tab w:val="right" w:pos="9072"/>
                        </w:tabs>
                        <w:spacing w:after="0" w:line="240" w:lineRule="auto"/>
                        <w:jc w:val="right"/>
                        <w:rPr>
                          <w:rFonts w:eastAsia="Calibri"/>
                          <w:b/>
                          <w:color w:val="808080" w:themeColor="background1" w:themeShade="80"/>
                          <w:spacing w:val="-20"/>
                          <w:sz w:val="30"/>
                          <w:szCs w:val="30"/>
                          <w:u w:color="FFFFFF"/>
                        </w:rPr>
                      </w:pPr>
                      <w:r>
                        <w:rPr>
                          <w:rFonts w:eastAsia="Calibri"/>
                          <w:b/>
                          <w:color w:val="808080" w:themeColor="background1" w:themeShade="80"/>
                          <w:spacing w:val="-20"/>
                          <w:sz w:val="30"/>
                          <w:szCs w:val="30"/>
                          <w:u w:color="FFFFFF"/>
                        </w:rPr>
                        <w:t>ZAPOŠLJAVANJE, SOCIJALNA POLITIKA I ZDRAVLJE</w:t>
                      </w:r>
                    </w:p>
                    <w:p w14:paraId="767EA86C" w14:textId="77777777" w:rsidR="006712E0" w:rsidRDefault="006712E0" w:rsidP="00047EF8"/>
                  </w:txbxContent>
                </v:textbox>
                <w10:wrap anchorx="page"/>
              </v:shape>
            </w:pict>
          </mc:Fallback>
        </mc:AlternateContent>
      </w:r>
      <w:r w:rsidR="00864F83" w:rsidRPr="00F563CD">
        <w:rPr>
          <w:rFonts w:asciiTheme="minorHAnsi" w:hAnsiTheme="minorHAnsi"/>
          <w:color w:val="FFFFFF" w:themeColor="background1"/>
          <w:sz w:val="24"/>
          <w:szCs w:val="24"/>
          <w:u w:color="FFFFFF" w:themeColor="background1"/>
        </w:rPr>
        <w:t>FF</w:t>
      </w:r>
    </w:p>
    <w:p w14:paraId="20EF504A" w14:textId="2B741AE9" w:rsidR="00047EF8" w:rsidRPr="00F563CD" w:rsidRDefault="00864F83" w:rsidP="00047EF8">
      <w:pPr>
        <w:jc w:val="both"/>
        <w:rPr>
          <w:rFonts w:asciiTheme="minorHAnsi" w:hAnsiTheme="minorHAnsi"/>
          <w:color w:val="FFFFFF" w:themeColor="background1"/>
          <w:sz w:val="2"/>
          <w:szCs w:val="24"/>
          <w:u w:color="FFFFFF" w:themeColor="background1"/>
        </w:rPr>
      </w:pPr>
      <w:r w:rsidRPr="00F563CD">
        <w:rPr>
          <w:rFonts w:asciiTheme="minorHAnsi" w:hAnsiTheme="minorHAnsi"/>
          <w:color w:val="FFFFFF" w:themeColor="background1"/>
          <w:sz w:val="24"/>
          <w:szCs w:val="24"/>
          <w:u w:color="FFFFFF" w:themeColor="background1"/>
        </w:rPr>
        <w:br w:type="page"/>
      </w:r>
      <w:r w:rsidR="007840BE" w:rsidRPr="00F563CD">
        <w:rPr>
          <w:rFonts w:asciiTheme="minorHAnsi" w:hAnsiTheme="minorHAnsi"/>
          <w:noProof/>
          <w:color w:val="FFFFFF" w:themeColor="background1"/>
          <w:sz w:val="24"/>
          <w:szCs w:val="24"/>
          <w:u w:color="FFFFFF" w:themeColor="background1"/>
          <w:lang w:val="en-US" w:eastAsia="en-US"/>
        </w:rPr>
        <w:lastRenderedPageBreak/>
        <mc:AlternateContent>
          <mc:Choice Requires="wps">
            <w:drawing>
              <wp:anchor distT="0" distB="0" distL="114300" distR="114300" simplePos="0" relativeHeight="251720704" behindDoc="0" locked="0" layoutInCell="1" allowOverlap="1" wp14:anchorId="32DE51F0" wp14:editId="0A1A3BC8">
                <wp:simplePos x="0" y="0"/>
                <wp:positionH relativeFrom="margin">
                  <wp:posOffset>847725</wp:posOffset>
                </wp:positionH>
                <wp:positionV relativeFrom="paragraph">
                  <wp:posOffset>-171450</wp:posOffset>
                </wp:positionV>
                <wp:extent cx="5543550" cy="549910"/>
                <wp:effectExtent l="0" t="0" r="0" b="0"/>
                <wp:wrapNone/>
                <wp:docPr id="23552" name="Text Box 23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549910"/>
                        </a:xfrm>
                        <a:prstGeom prst="rect">
                          <a:avLst/>
                        </a:prstGeom>
                        <a:solidFill>
                          <a:sysClr val="window" lastClr="FFFFFF"/>
                        </a:solidFill>
                        <a:ln w="6350">
                          <a:noFill/>
                        </a:ln>
                      </wps:spPr>
                      <wps:txbx>
                        <w:txbxContent>
                          <w:p w14:paraId="4B4A77A5" w14:textId="77777777" w:rsidR="006712E0" w:rsidRDefault="006712E0" w:rsidP="00047EF8">
                            <w:pPr>
                              <w:tabs>
                                <w:tab w:val="center" w:pos="4536"/>
                                <w:tab w:val="right" w:pos="9072"/>
                              </w:tabs>
                              <w:spacing w:after="0" w:line="240" w:lineRule="auto"/>
                              <w:jc w:val="right"/>
                              <w:rPr>
                                <w:rFonts w:eastAsia="Calibri"/>
                                <w:b/>
                                <w:color w:val="808080" w:themeColor="background1" w:themeShade="80"/>
                                <w:spacing w:val="-20"/>
                                <w:sz w:val="30"/>
                                <w:szCs w:val="30"/>
                                <w:u w:color="FFFFFF"/>
                              </w:rPr>
                            </w:pPr>
                          </w:p>
                          <w:p w14:paraId="29040549" w14:textId="46FBF749" w:rsidR="006712E0" w:rsidRPr="006A19B5" w:rsidRDefault="006712E0" w:rsidP="00047EF8">
                            <w:pPr>
                              <w:tabs>
                                <w:tab w:val="center" w:pos="4536"/>
                                <w:tab w:val="right" w:pos="9072"/>
                              </w:tabs>
                              <w:spacing w:after="0" w:line="240" w:lineRule="auto"/>
                              <w:jc w:val="right"/>
                              <w:rPr>
                                <w:rFonts w:eastAsia="Calibri"/>
                                <w:b/>
                                <w:color w:val="808080" w:themeColor="background1" w:themeShade="80"/>
                                <w:spacing w:val="-20"/>
                                <w:sz w:val="30"/>
                                <w:szCs w:val="30"/>
                                <w:u w:color="FFFFFF"/>
                                <w:lang w:val="fr-BE"/>
                              </w:rPr>
                            </w:pPr>
                            <w:r w:rsidRPr="006A19B5">
                              <w:rPr>
                                <w:rFonts w:eastAsia="Calibri"/>
                                <w:b/>
                                <w:color w:val="808080" w:themeColor="background1" w:themeShade="80"/>
                                <w:spacing w:val="-20"/>
                                <w:sz w:val="30"/>
                                <w:szCs w:val="30"/>
                                <w:u w:color="FFFFFF"/>
                                <w:lang w:val="fr-BE"/>
                              </w:rPr>
                              <w:t>ZAPOŠLJAVANJE, SOCIJALNA POLITIKA I ZDRAVLJE</w:t>
                            </w:r>
                          </w:p>
                          <w:p w14:paraId="1A4B9837" w14:textId="77777777" w:rsidR="006712E0" w:rsidRPr="006A19B5" w:rsidRDefault="006712E0" w:rsidP="00047EF8">
                            <w:pPr>
                              <w:rPr>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E51F0" id="Text Box 23552" o:spid="_x0000_s1138" type="#_x0000_t202" style="position:absolute;left:0;text-align:left;margin-left:66.75pt;margin-top:-13.5pt;width:436.5pt;height:43.3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" fillcolor="window" stroked="f" strokeweight=".5pt">
                <v:path arrowok="t"/>
                <v:textbox>
                  <w:txbxContent>
                    <w:p w14:paraId="4B4A77A5" w14:textId="77777777" w:rsidR="006712E0" w:rsidRDefault="006712E0" w:rsidP="00047EF8">
                      <w:pPr>
                        <w:tabs>
                          <w:tab w:val="center" w:pos="4536"/>
                          <w:tab w:val="right" w:pos="9072"/>
                        </w:tabs>
                        <w:spacing w:after="0" w:line="240" w:lineRule="auto"/>
                        <w:jc w:val="right"/>
                        <w:rPr>
                          <w:rFonts w:eastAsia="Calibri"/>
                          <w:b/>
                          <w:color w:val="808080" w:themeColor="background1" w:themeShade="80"/>
                          <w:spacing w:val="-20"/>
                          <w:sz w:val="30"/>
                          <w:szCs w:val="30"/>
                          <w:u w:color="FFFFFF"/>
                        </w:rPr>
                      </w:pPr>
                    </w:p>
                    <w:p w14:paraId="29040549" w14:textId="46FBF749" w:rsidR="006712E0" w:rsidRPr="006A19B5" w:rsidRDefault="006712E0" w:rsidP="00047EF8">
                      <w:pPr>
                        <w:tabs>
                          <w:tab w:val="center" w:pos="4536"/>
                          <w:tab w:val="right" w:pos="9072"/>
                        </w:tabs>
                        <w:spacing w:after="0" w:line="240" w:lineRule="auto"/>
                        <w:jc w:val="right"/>
                        <w:rPr>
                          <w:rFonts w:eastAsia="Calibri"/>
                          <w:b/>
                          <w:color w:val="808080" w:themeColor="background1" w:themeShade="80"/>
                          <w:spacing w:val="-20"/>
                          <w:sz w:val="30"/>
                          <w:szCs w:val="30"/>
                          <w:u w:color="FFFFFF"/>
                          <w:lang w:val="fr-BE"/>
                        </w:rPr>
                      </w:pPr>
                      <w:r w:rsidRPr="006A19B5">
                        <w:rPr>
                          <w:rFonts w:eastAsia="Calibri"/>
                          <w:b/>
                          <w:color w:val="808080" w:themeColor="background1" w:themeShade="80"/>
                          <w:spacing w:val="-20"/>
                          <w:sz w:val="30"/>
                          <w:szCs w:val="30"/>
                          <w:u w:color="FFFFFF"/>
                          <w:lang w:val="fr-BE"/>
                        </w:rPr>
                        <w:t>ZAPOŠLJAVANJE, SOCIJALNA POLITIKA I ZDRAVLJE</w:t>
                      </w:r>
                    </w:p>
                    <w:p w14:paraId="1A4B9837" w14:textId="77777777" w:rsidR="006712E0" w:rsidRPr="006A19B5" w:rsidRDefault="006712E0" w:rsidP="00047EF8">
                      <w:pPr>
                        <w:rPr>
                          <w:lang w:val="fr-BE"/>
                        </w:rPr>
                      </w:pPr>
                    </w:p>
                  </w:txbxContent>
                </v:textbox>
                <w10:wrap anchorx="margin"/>
              </v:shape>
            </w:pict>
          </mc:Fallback>
        </mc:AlternateContent>
      </w:r>
      <w:r w:rsidRPr="00F563CD">
        <w:rPr>
          <w:rFonts w:asciiTheme="minorHAnsi" w:hAnsiTheme="minorHAnsi"/>
          <w:color w:val="FFFFFF" w:themeColor="background1"/>
          <w:sz w:val="24"/>
          <w:szCs w:val="24"/>
          <w:u w:color="FFFFFF" w:themeColor="background1"/>
        </w:rPr>
        <w:t>.</w:t>
      </w:r>
    </w:p>
    <w:p w14:paraId="17E7E41A" w14:textId="58EC732F"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03296" behindDoc="0" locked="0" layoutInCell="1" allowOverlap="1" wp14:anchorId="15FA3AA8" wp14:editId="7053C654">
                <wp:simplePos x="0" y="0"/>
                <wp:positionH relativeFrom="margin">
                  <wp:posOffset>-139065</wp:posOffset>
                </wp:positionH>
                <wp:positionV relativeFrom="paragraph">
                  <wp:posOffset>146050</wp:posOffset>
                </wp:positionV>
                <wp:extent cx="6448425" cy="334010"/>
                <wp:effectExtent l="0" t="0" r="9525" b="8890"/>
                <wp:wrapNone/>
                <wp:docPr id="156" name="Rounded 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8425" cy="334010"/>
                        </a:xfrm>
                        <a:prstGeom prst="roundRect">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txbx>
                        <w:txbxContent>
                          <w:p w14:paraId="6AFB14B3" w14:textId="77777777" w:rsidR="006712E0" w:rsidRPr="00921D9C" w:rsidRDefault="006712E0" w:rsidP="00047EF8">
                            <w:pPr>
                              <w:jc w:val="center"/>
                              <w:rPr>
                                <w:rFonts w:ascii="Arial" w:hAnsi="Arial" w:cs="Arial"/>
                                <w:b/>
                                <w:sz w:val="28"/>
                                <w:szCs w:val="28"/>
                              </w:rPr>
                            </w:pPr>
                            <w:r>
                              <w:rPr>
                                <w:rFonts w:ascii="Arial" w:hAnsi="Arial" w:cs="Arial"/>
                                <w:b/>
                                <w:sz w:val="28"/>
                                <w:szCs w:val="28"/>
                              </w:rPr>
                              <w:t xml:space="preserve">MINISTARSTVO FINANSIJA I SOCIJALNOG STARANJA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A3AA8" id="Rounded Rectangle 156" o:spid="_x0000_s1139" style="position:absolute;left:0;text-align:left;margin-left:-10.95pt;margin-top:11.5pt;width:507.75pt;height:26.3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" fillcolor="#7f7f7f" strokecolor="#7f7f7f" strokeweight="1pt">
                <v:stroke joinstyle="miter"/>
                <v:path arrowok="t"/>
                <v:textbox>
                  <w:txbxContent>
                    <w:p w14:paraId="6AFB14B3" w14:textId="77777777" w:rsidR="006712E0" w:rsidRPr="00921D9C" w:rsidRDefault="006712E0" w:rsidP="00047EF8">
                      <w:pPr>
                        <w:jc w:val="center"/>
                        <w:rPr>
                          <w:rFonts w:ascii="Arial" w:hAnsi="Arial" w:cs="Arial"/>
                          <w:b/>
                          <w:sz w:val="28"/>
                          <w:szCs w:val="28"/>
                        </w:rPr>
                      </w:pPr>
                      <w:r>
                        <w:rPr>
                          <w:rFonts w:ascii="Arial" w:hAnsi="Arial" w:cs="Arial"/>
                          <w:b/>
                          <w:sz w:val="28"/>
                          <w:szCs w:val="28"/>
                        </w:rPr>
                        <w:t xml:space="preserve">MINISTARSTVO FINANSIJA I SOCIJALNOG STARANJA </w:t>
                      </w:r>
                    </w:p>
                  </w:txbxContent>
                </v:textbox>
                <w10:wrap anchorx="margin"/>
              </v:roundrect>
            </w:pict>
          </mc:Fallback>
        </mc:AlternateContent>
      </w:r>
    </w:p>
    <w:p w14:paraId="36267C48" w14:textId="690D56BC" w:rsidR="00047EF8" w:rsidRPr="00F563CD" w:rsidRDefault="007840BE" w:rsidP="00047EF8">
      <w:pPr>
        <w:jc w:val="both"/>
        <w:rPr>
          <w:rFonts w:asciiTheme="minorHAnsi" w:hAnsiTheme="minorHAnsi"/>
          <w:color w:val="FFFFFF" w:themeColor="background1"/>
          <w:sz w:val="24"/>
          <w:szCs w:val="24"/>
          <w:u w:color="FFFFFF" w:themeColor="background1"/>
        </w:rPr>
      </w:pPr>
      <w:r w:rsidRPr="00F563CD">
        <w:rPr>
          <w:rFonts w:asciiTheme="minorHAnsi" w:hAnsiTheme="minorHAnsi"/>
          <w:noProof/>
          <w:color w:val="FFFFFF" w:themeColor="background1"/>
          <w:u w:color="FFFFFF" w:themeColor="background1"/>
          <w:lang w:val="en-US" w:eastAsia="en-US"/>
        </w:rPr>
        <mc:AlternateContent>
          <mc:Choice Requires="wpg">
            <w:drawing>
              <wp:anchor distT="0" distB="0" distL="114300" distR="114300" simplePos="0" relativeHeight="251662336" behindDoc="0" locked="0" layoutInCell="1" allowOverlap="1" wp14:anchorId="3BA90A09" wp14:editId="7461DAA1">
                <wp:simplePos x="0" y="0"/>
                <wp:positionH relativeFrom="column">
                  <wp:posOffset>4275455</wp:posOffset>
                </wp:positionH>
                <wp:positionV relativeFrom="paragraph">
                  <wp:posOffset>-5543550</wp:posOffset>
                </wp:positionV>
                <wp:extent cx="3429000" cy="2527935"/>
                <wp:effectExtent l="0" t="15875" r="3175" b="8890"/>
                <wp:wrapNone/>
                <wp:docPr id="1"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2527935"/>
                          <a:chOff x="0" y="0"/>
                          <a:chExt cx="30485" cy="22843"/>
                        </a:xfrm>
                      </wpg:grpSpPr>
                      <wps:wsp>
                        <wps:cNvPr id="3" name="Freeform 94"/>
                        <wps:cNvSpPr>
                          <a:spLocks/>
                        </wps:cNvSpPr>
                        <wps:spPr bwMode="auto">
                          <a:xfrm>
                            <a:off x="13444" y="0"/>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4B183"/>
                          </a:solidFill>
                          <a:ln w="12700">
                            <a:solidFill>
                              <a:srgbClr val="FFFFFF"/>
                            </a:solidFill>
                            <a:miter lim="800000"/>
                            <a:headEnd/>
                            <a:tailEnd/>
                          </a:ln>
                        </wps:spPr>
                        <wps:txbx>
                          <w:txbxContent>
                            <w:p w14:paraId="26ACD376"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MK</w:t>
                              </w:r>
                            </w:p>
                            <w:p w14:paraId="4F391ED9"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(2)</w:t>
                              </w:r>
                            </w:p>
                          </w:txbxContent>
                        </wps:txbx>
                        <wps:bodyPr rot="0" vert="horz" wrap="square" lIns="164338" tIns="181494" rIns="164339" bIns="181493" anchor="ctr" anchorCtr="0" upright="1">
                          <a:noAutofit/>
                        </wps:bodyPr>
                      </wps:wsp>
                      <wps:wsp>
                        <wps:cNvPr id="4" name="Rectangle 95"/>
                        <wps:cNvSpPr>
                          <a:spLocks noChangeArrowheads="1"/>
                        </wps:cNvSpPr>
                        <wps:spPr bwMode="auto">
                          <a:xfrm>
                            <a:off x="21035" y="1693"/>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96"/>
                        <wps:cNvSpPr>
                          <a:spLocks/>
                        </wps:cNvSpPr>
                        <wps:spPr bwMode="auto">
                          <a:xfrm>
                            <a:off x="5487" y="0"/>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4B183"/>
                          </a:solidFill>
                          <a:ln w="12700">
                            <a:solidFill>
                              <a:srgbClr val="FFFFFF"/>
                            </a:solidFill>
                            <a:miter lim="800000"/>
                            <a:headEnd/>
                            <a:tailEnd/>
                          </a:ln>
                        </wps:spPr>
                        <wps:txbx>
                          <w:txbxContent>
                            <w:p w14:paraId="771B9196"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MPS</w:t>
                              </w:r>
                            </w:p>
                            <w:p w14:paraId="77AD1483"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(11)</w:t>
                              </w:r>
                            </w:p>
                          </w:txbxContent>
                        </wps:txbx>
                        <wps:bodyPr rot="0" vert="horz" wrap="square" lIns="114808" tIns="131964" rIns="114809" bIns="131963" anchor="ctr" anchorCtr="0" upright="1">
                          <a:noAutofit/>
                        </wps:bodyPr>
                      </wps:wsp>
                      <wps:wsp>
                        <wps:cNvPr id="6" name="Freeform 97"/>
                        <wps:cNvSpPr>
                          <a:spLocks/>
                        </wps:cNvSpPr>
                        <wps:spPr bwMode="auto">
                          <a:xfrm>
                            <a:off x="9450"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4B183"/>
                          </a:solidFill>
                          <a:ln w="12700">
                            <a:solidFill>
                              <a:srgbClr val="FFFFFF"/>
                            </a:solidFill>
                            <a:miter lim="800000"/>
                            <a:headEnd/>
                            <a:tailEnd/>
                          </a:ln>
                        </wps:spPr>
                        <wps:txbx>
                          <w:txbxContent>
                            <w:p w14:paraId="747E1D91" w14:textId="77777777" w:rsidR="006712E0" w:rsidRPr="00CC1185" w:rsidRDefault="006712E0" w:rsidP="00047EF8">
                              <w:pPr>
                                <w:pStyle w:val="NormalWeb"/>
                                <w:spacing w:before="0" w:beforeAutospacing="0" w:after="109" w:afterAutospacing="0" w:line="216" w:lineRule="auto"/>
                                <w:jc w:val="center"/>
                                <w:rPr>
                                  <w:rStyle w:val="Hyperlink"/>
                                  <w:rFonts w:ascii="Arial Narrow" w:hAnsi="Arial Narrow"/>
                                </w:rPr>
                              </w:pPr>
                              <w:r w:rsidRPr="00CC1185">
                                <w:rPr>
                                  <w:rFonts w:ascii="Arial Narrow" w:hAnsi="Arial Narrow" w:cstheme="minorBidi"/>
                                  <w:b/>
                                  <w:bCs/>
                                  <w:kern w:val="24"/>
                                  <w:sz w:val="26"/>
                                  <w:szCs w:val="26"/>
                                </w:rPr>
                                <w:fldChar w:fldCharType="begin"/>
                              </w:r>
                              <w:r w:rsidRPr="00CC1185">
                                <w:rPr>
                                  <w:rFonts w:ascii="Arial Narrow" w:hAnsi="Arial Narrow" w:cstheme="minorBidi"/>
                                  <w:b/>
                                  <w:bCs/>
                                  <w:kern w:val="24"/>
                                  <w:sz w:val="26"/>
                                  <w:szCs w:val="26"/>
                                </w:rPr>
                                <w:instrText xml:space="preserve"> HYPERLINK  \l "NOK" \o "Sektor nauke, obrazovanja i kulture" </w:instrText>
                              </w:r>
                              <w:r w:rsidRPr="00CC1185">
                                <w:rPr>
                                  <w:rFonts w:ascii="Arial Narrow" w:hAnsi="Arial Narrow" w:cstheme="minorBidi"/>
                                  <w:b/>
                                  <w:bCs/>
                                  <w:kern w:val="24"/>
                                  <w:sz w:val="26"/>
                                  <w:szCs w:val="26"/>
                                </w:rPr>
                                <w:fldChar w:fldCharType="separate"/>
                              </w:r>
                              <w:r w:rsidRPr="00CC1185">
                                <w:rPr>
                                  <w:rStyle w:val="Hyperlink"/>
                                  <w:rFonts w:ascii="Arial Narrow" w:hAnsi="Arial Narrow" w:cstheme="minorBidi"/>
                                  <w:bCs/>
                                  <w:kern w:val="24"/>
                                  <w:sz w:val="26"/>
                                  <w:szCs w:val="26"/>
                                </w:rPr>
                                <w:t>NOK</w:t>
                              </w:r>
                            </w:p>
                            <w:p w14:paraId="254127EF" w14:textId="77777777" w:rsidR="006712E0" w:rsidRPr="00CC1185" w:rsidRDefault="006712E0" w:rsidP="00047EF8">
                              <w:pPr>
                                <w:pStyle w:val="NormalWeb"/>
                                <w:spacing w:before="0" w:beforeAutospacing="0" w:after="109" w:afterAutospacing="0" w:line="216" w:lineRule="auto"/>
                                <w:jc w:val="center"/>
                                <w:rPr>
                                  <w:rFonts w:ascii="Arial Narrow" w:hAnsi="Arial Narrow"/>
                                </w:rPr>
                              </w:pPr>
                              <w:r w:rsidRPr="00CC1185">
                                <w:rPr>
                                  <w:rStyle w:val="Hyperlink"/>
                                  <w:rFonts w:ascii="Arial Narrow" w:hAnsi="Arial Narrow" w:cstheme="minorBidi"/>
                                  <w:bCs/>
                                  <w:kern w:val="24"/>
                                  <w:sz w:val="26"/>
                                  <w:szCs w:val="26"/>
                                </w:rPr>
                                <w:t>(16)</w:t>
                              </w:r>
                              <w:r w:rsidRPr="00CC1185">
                                <w:rPr>
                                  <w:rFonts w:ascii="Arial Narrow" w:hAnsi="Arial Narrow" w:cstheme="minorBidi"/>
                                  <w:b/>
                                  <w:bCs/>
                                  <w:kern w:val="24"/>
                                  <w:sz w:val="26"/>
                                  <w:szCs w:val="26"/>
                                </w:rPr>
                                <w:fldChar w:fldCharType="end"/>
                              </w:r>
                            </w:p>
                          </w:txbxContent>
                        </wps:txbx>
                        <wps:bodyPr rot="0" vert="horz" wrap="square" lIns="164338" tIns="181494" rIns="164339" bIns="181493" anchor="ctr" anchorCtr="0" upright="1">
                          <a:noAutofit/>
                        </wps:bodyPr>
                      </wps:wsp>
                      <wps:wsp>
                        <wps:cNvPr id="7" name="Rectangle 98"/>
                        <wps:cNvSpPr>
                          <a:spLocks noChangeArrowheads="1"/>
                        </wps:cNvSpPr>
                        <wps:spPr bwMode="auto">
                          <a:xfrm>
                            <a:off x="0" y="8881"/>
                            <a:ext cx="9145"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99"/>
                        <wps:cNvSpPr>
                          <a:spLocks/>
                        </wps:cNvSpPr>
                        <wps:spPr bwMode="auto">
                          <a:xfrm>
                            <a:off x="17407" y="7187"/>
                            <a:ext cx="7367" cy="8469"/>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4B183"/>
                          </a:solidFill>
                          <a:ln w="12700">
                            <a:solidFill>
                              <a:srgbClr val="FFFFFF"/>
                            </a:solidFill>
                            <a:miter lim="800000"/>
                            <a:headEnd/>
                            <a:tailEnd/>
                          </a:ln>
                        </wps:spPr>
                        <wps:txbx>
                          <w:txbxContent>
                            <w:p w14:paraId="227C6C0F"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MNA</w:t>
                              </w:r>
                            </w:p>
                            <w:p w14:paraId="1A4A4F26"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(2)</w:t>
                              </w:r>
                            </w:p>
                          </w:txbxContent>
                        </wps:txbx>
                        <wps:bodyPr rot="0" vert="horz" wrap="square" lIns="114808" tIns="131964" rIns="114809" bIns="131963" anchor="ctr" anchorCtr="0" upright="1">
                          <a:noAutofit/>
                        </wps:bodyPr>
                      </wps:wsp>
                      <wps:wsp>
                        <wps:cNvPr id="9" name="Freeform 100"/>
                        <wps:cNvSpPr>
                          <a:spLocks/>
                        </wps:cNvSpPr>
                        <wps:spPr bwMode="auto">
                          <a:xfrm>
                            <a:off x="13444"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 name="T21" fmla="*/ 0 w 846823"/>
                              <a:gd name="T22" fmla="*/ 0 h 736736"/>
                              <a:gd name="T23" fmla="*/ 846823 w 846823"/>
                              <a:gd name="T24" fmla="*/ 736736 h 73673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4B183"/>
                          </a:solidFill>
                          <a:ln w="12700">
                            <a:solidFill>
                              <a:srgbClr val="FFFFFF"/>
                            </a:solidFill>
                            <a:miter lim="800000"/>
                            <a:headEnd/>
                            <a:tailEnd/>
                          </a:ln>
                        </wps:spPr>
                        <wps:txbx>
                          <w:txbxContent>
                            <w:p w14:paraId="1CD13AF2"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MS</w:t>
                              </w:r>
                            </w:p>
                            <w:p w14:paraId="21CF056C"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(1)</w:t>
                              </w:r>
                            </w:p>
                          </w:txbxContent>
                        </wps:txbx>
                        <wps:bodyPr rot="0" vert="horz" wrap="square" lIns="164338" tIns="181494" rIns="164339" bIns="181493" anchor="ctr" anchorCtr="0" upright="1">
                          <a:noAutofit/>
                        </wps:bodyPr>
                      </wps:wsp>
                      <wps:wsp>
                        <wps:cNvPr id="10" name="Rectangle 101"/>
                        <wps:cNvSpPr>
                          <a:spLocks noChangeArrowheads="1"/>
                        </wps:cNvSpPr>
                        <wps:spPr bwMode="auto">
                          <a:xfrm>
                            <a:off x="21035" y="16069"/>
                            <a:ext cx="9450" cy="5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02"/>
                        <wps:cNvSpPr>
                          <a:spLocks/>
                        </wps:cNvSpPr>
                        <wps:spPr bwMode="auto">
                          <a:xfrm>
                            <a:off x="5487" y="14375"/>
                            <a:ext cx="7367" cy="8468"/>
                          </a:xfrm>
                          <a:custGeom>
                            <a:avLst/>
                            <a:gdLst>
                              <a:gd name="T0" fmla="*/ 0 w 846823"/>
                              <a:gd name="T1" fmla="*/ 423412 h 736736"/>
                              <a:gd name="T2" fmla="*/ 160240 w 846823"/>
                              <a:gd name="T3" fmla="*/ 0 h 736736"/>
                              <a:gd name="T4" fmla="*/ 576497 w 846823"/>
                              <a:gd name="T5" fmla="*/ 0 h 736736"/>
                              <a:gd name="T6" fmla="*/ 736737 w 846823"/>
                              <a:gd name="T7" fmla="*/ 423412 h 736736"/>
                              <a:gd name="T8" fmla="*/ 576497 w 846823"/>
                              <a:gd name="T9" fmla="*/ 846824 h 736736"/>
                              <a:gd name="T10" fmla="*/ 160240 w 846823"/>
                              <a:gd name="T11" fmla="*/ 846824 h 736736"/>
                              <a:gd name="T12" fmla="*/ 0 w 846823"/>
                              <a:gd name="T13" fmla="*/ 423412 h 7367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6823" h="736736">
                                <a:moveTo>
                                  <a:pt x="423411" y="0"/>
                                </a:moveTo>
                                <a:lnTo>
                                  <a:pt x="846822" y="160240"/>
                                </a:lnTo>
                                <a:lnTo>
                                  <a:pt x="846822" y="576496"/>
                                </a:lnTo>
                                <a:lnTo>
                                  <a:pt x="423412" y="736736"/>
                                </a:lnTo>
                                <a:lnTo>
                                  <a:pt x="1" y="576496"/>
                                </a:lnTo>
                                <a:lnTo>
                                  <a:pt x="1" y="160240"/>
                                </a:lnTo>
                                <a:lnTo>
                                  <a:pt x="423411" y="0"/>
                                </a:lnTo>
                                <a:close/>
                              </a:path>
                            </a:pathLst>
                          </a:custGeom>
                          <a:solidFill>
                            <a:srgbClr val="F4B183"/>
                          </a:solidFill>
                          <a:ln w="12700">
                            <a:solidFill>
                              <a:srgbClr val="FFFFFF"/>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A90A09" id="Group 116" o:spid="_x0000_s1140" style="position:absolute;left:0;text-align:left;margin-left:336.65pt;margin-top:-436.5pt;width:270pt;height:199.05pt;z-index:251662336;mso-width-relative:margin;mso-height-relative:margin" coordsize="30485,2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">
                <v:shape id="Freeform 94" o:spid="_x0000_s1141" style="position:absolute;left:13444;width:7367;height:8468;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" adj="-11796480,,5400" path="m423411,l846822,160240r,416256l423412,736736,1,576496,1,160240,423411,xe" fillcolor="#f4b183" strokecolor="white" strokeweight="1pt">
                  <v:stroke joinstyle="miter"/>
                  <v:formulas/>
                  <v:path arrowok="t" o:connecttype="custom" o:connectlocs="0,4867;1394,0;5015,0;6409,4867;5015,9733;1394,9733;0,4867" o:connectangles="0,0,0,0,0,0,0" textboxrect="0,0,846823,736736"/>
                  <v:textbox inset="12.94pt,5.0415mm,4.56497mm,5.04147mm">
                    <w:txbxContent>
                      <w:p w14:paraId="26ACD376"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MK</w:t>
                        </w:r>
                      </w:p>
                      <w:p w14:paraId="4F391ED9"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(2)</w:t>
                        </w:r>
                      </w:p>
                    </w:txbxContent>
                  </v:textbox>
                </v:shape>
                <v:rect id="Rectangle 95" o:spid="_x0000_s1142" style="position:absolute;left:21035;top:1693;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 id="Freeform 96" o:spid="_x0000_s1143" style="position:absolute;left:5487;width:7367;height:8468;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" adj="-11796480,,5400" path="m423411,l846822,160240r,416256l423412,736736,1,576496,1,160240,423411,xe" fillcolor="#f4b183" strokecolor="white" strokeweight="1pt">
                  <v:stroke joinstyle="miter"/>
                  <v:formulas/>
                  <v:path arrowok="t" o:connecttype="custom" o:connectlocs="0,4867;1394,0;5015,0;6409,4867;5015,9733;1394,9733;0,4867" o:connectangles="0,0,0,0,0,0,0" textboxrect="0,0,846823,736736"/>
                  <v:textbox inset="9.04pt,3.66567mm,3.18914mm,3.66564mm">
                    <w:txbxContent>
                      <w:p w14:paraId="771B9196"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MPS</w:t>
                        </w:r>
                      </w:p>
                      <w:p w14:paraId="77AD1483"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(11)</w:t>
                        </w:r>
                      </w:p>
                    </w:txbxContent>
                  </v:textbox>
                </v:shape>
                <v:shape id="Freeform 97" o:spid="_x0000_s1144" style="position:absolute;left:9450;top:7187;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" adj="-11796480,,5400" path="m423411,l846822,160240r,416256l423412,736736,1,576496,1,160240,423411,xe" fillcolor="#f4b183" strokecolor="white" strokeweight="1pt">
                  <v:stroke joinstyle="miter"/>
                  <v:formulas/>
                  <v:path arrowok="t" o:connecttype="custom" o:connectlocs="0,4867;1394,0;5015,0;6409,4867;5015,9734;1394,9734;0,4867" o:connectangles="0,0,0,0,0,0,0" textboxrect="0,0,846823,736736"/>
                  <v:textbox inset="12.94pt,5.0415mm,4.56497mm,5.04147mm">
                    <w:txbxContent>
                      <w:p w14:paraId="747E1D91" w14:textId="77777777" w:rsidR="006712E0" w:rsidRPr="00CC1185" w:rsidRDefault="006712E0" w:rsidP="00047EF8">
                        <w:pPr>
                          <w:pStyle w:val="NormalWeb"/>
                          <w:spacing w:before="0" w:beforeAutospacing="0" w:after="109" w:afterAutospacing="0" w:line="216" w:lineRule="auto"/>
                          <w:jc w:val="center"/>
                          <w:rPr>
                            <w:rStyle w:val="Hyperlink"/>
                            <w:rFonts w:ascii="Arial Narrow" w:hAnsi="Arial Narrow"/>
                          </w:rPr>
                        </w:pPr>
                        <w:r w:rsidRPr="00CC1185">
                          <w:rPr>
                            <w:rFonts w:ascii="Arial Narrow" w:hAnsi="Arial Narrow" w:cstheme="minorBidi"/>
                            <w:b/>
                            <w:bCs/>
                            <w:kern w:val="24"/>
                            <w:sz w:val="26"/>
                            <w:szCs w:val="26"/>
                          </w:rPr>
                          <w:fldChar w:fldCharType="begin"/>
                        </w:r>
                        <w:r w:rsidRPr="00CC1185">
                          <w:rPr>
                            <w:rFonts w:ascii="Arial Narrow" w:hAnsi="Arial Narrow" w:cstheme="minorBidi"/>
                            <w:b/>
                            <w:bCs/>
                            <w:kern w:val="24"/>
                            <w:sz w:val="26"/>
                            <w:szCs w:val="26"/>
                          </w:rPr>
                          <w:instrText xml:space="preserve"> HYPERLINK  \l "NOK" \o "Sektor nauke, obrazovanja i kulture" </w:instrText>
                        </w:r>
                        <w:r w:rsidRPr="00CC1185">
                          <w:rPr>
                            <w:rFonts w:ascii="Arial Narrow" w:hAnsi="Arial Narrow" w:cstheme="minorBidi"/>
                            <w:b/>
                            <w:bCs/>
                            <w:kern w:val="24"/>
                            <w:sz w:val="26"/>
                            <w:szCs w:val="26"/>
                          </w:rPr>
                          <w:fldChar w:fldCharType="separate"/>
                        </w:r>
                        <w:r w:rsidRPr="00CC1185">
                          <w:rPr>
                            <w:rStyle w:val="Hyperlink"/>
                            <w:rFonts w:ascii="Arial Narrow" w:hAnsi="Arial Narrow" w:cstheme="minorBidi"/>
                            <w:bCs/>
                            <w:kern w:val="24"/>
                            <w:sz w:val="26"/>
                            <w:szCs w:val="26"/>
                          </w:rPr>
                          <w:t>NOK</w:t>
                        </w:r>
                      </w:p>
                      <w:p w14:paraId="254127EF" w14:textId="77777777" w:rsidR="006712E0" w:rsidRPr="00CC1185" w:rsidRDefault="006712E0" w:rsidP="00047EF8">
                        <w:pPr>
                          <w:pStyle w:val="NormalWeb"/>
                          <w:spacing w:before="0" w:beforeAutospacing="0" w:after="109" w:afterAutospacing="0" w:line="216" w:lineRule="auto"/>
                          <w:jc w:val="center"/>
                          <w:rPr>
                            <w:rFonts w:ascii="Arial Narrow" w:hAnsi="Arial Narrow"/>
                          </w:rPr>
                        </w:pPr>
                        <w:r w:rsidRPr="00CC1185">
                          <w:rPr>
                            <w:rStyle w:val="Hyperlink"/>
                            <w:rFonts w:ascii="Arial Narrow" w:hAnsi="Arial Narrow" w:cstheme="minorBidi"/>
                            <w:bCs/>
                            <w:kern w:val="24"/>
                            <w:sz w:val="26"/>
                            <w:szCs w:val="26"/>
                          </w:rPr>
                          <w:t>(16)</w:t>
                        </w:r>
                        <w:r w:rsidRPr="00CC1185">
                          <w:rPr>
                            <w:rFonts w:ascii="Arial Narrow" w:hAnsi="Arial Narrow" w:cstheme="minorBidi"/>
                            <w:b/>
                            <w:bCs/>
                            <w:kern w:val="24"/>
                            <w:sz w:val="26"/>
                            <w:szCs w:val="26"/>
                          </w:rPr>
                          <w:fldChar w:fldCharType="end"/>
                        </w:r>
                      </w:p>
                    </w:txbxContent>
                  </v:textbox>
                </v:shape>
                <v:rect id="Rectangle 98" o:spid="_x0000_s1145" style="position:absolute;top:8881;width:9145;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shape id="Freeform 99" o:spid="_x0000_s1146" style="position:absolute;left:17407;top:7187;width:7367;height:8469;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" adj="-11796480,,5400" path="m423411,l846822,160240r,416256l423412,736736,1,576496,1,160240,423411,xe" fillcolor="#f4b183" strokecolor="white" strokeweight="1pt">
                  <v:stroke joinstyle="miter"/>
                  <v:formulas/>
                  <v:path arrowok="t" o:connecttype="custom" o:connectlocs="0,4867;1394,0;5015,0;6409,4867;5015,9734;1394,9734;0,4867" o:connectangles="0,0,0,0,0,0,0" textboxrect="0,0,846823,736736"/>
                  <v:textbox inset="9.04pt,3.66567mm,3.18914mm,3.66564mm">
                    <w:txbxContent>
                      <w:p w14:paraId="227C6C0F"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MNA</w:t>
                        </w:r>
                      </w:p>
                      <w:p w14:paraId="1A4A4F26"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(2)</w:t>
                        </w:r>
                      </w:p>
                    </w:txbxContent>
                  </v:textbox>
                </v:shape>
                <v:shape id="Freeform 100" o:spid="_x0000_s1147" style="position:absolute;left:13444;top:14375;width:7367;height:8468;visibility:visible;mso-wrap-style:square;v-text-anchor:middle" coordsize="846823,7367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" adj="-11796480,,5400" path="m423411,l846822,160240r,416256l423412,736736,1,576496,1,160240,423411,xe" fillcolor="#f4b183" strokecolor="white" strokeweight="1pt">
                  <v:stroke joinstyle="miter"/>
                  <v:formulas/>
                  <v:path arrowok="t" o:connecttype="custom" o:connectlocs="0,4867;1394,0;5015,0;6409,4867;5015,9733;1394,9733;0,4867" o:connectangles="0,0,0,0,0,0,0" textboxrect="0,0,846823,736736"/>
                  <v:textbox inset="12.94pt,5.0415mm,4.56497mm,5.04147mm">
                    <w:txbxContent>
                      <w:p w14:paraId="1CD13AF2"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MS</w:t>
                        </w:r>
                      </w:p>
                      <w:p w14:paraId="21CF056C" w14:textId="77777777" w:rsidR="006712E0" w:rsidRPr="0006691B" w:rsidRDefault="006712E0" w:rsidP="00047EF8">
                        <w:pPr>
                          <w:pStyle w:val="NormalWeb"/>
                          <w:spacing w:before="0" w:beforeAutospacing="0" w:after="109" w:afterAutospacing="0" w:line="216" w:lineRule="auto"/>
                          <w:jc w:val="center"/>
                          <w:rPr>
                            <w:rFonts w:ascii="Arial Narrow" w:hAnsi="Arial Narrow"/>
                          </w:rPr>
                        </w:pPr>
                        <w:r w:rsidRPr="0006691B">
                          <w:rPr>
                            <w:rFonts w:ascii="Arial Narrow" w:hAnsi="Arial Narrow" w:cstheme="minorBidi"/>
                            <w:b/>
                            <w:bCs/>
                            <w:color w:val="FFFFFF" w:themeColor="light1"/>
                            <w:kern w:val="24"/>
                            <w:sz w:val="26"/>
                            <w:szCs w:val="26"/>
                          </w:rPr>
                          <w:t>(1)</w:t>
                        </w:r>
                      </w:p>
                    </w:txbxContent>
                  </v:textbox>
                </v:shape>
                <v:rect id="Rectangle 101" o:spid="_x0000_s1148" style="position:absolute;left:21035;top:16069;width:9450;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shape id="Freeform 102" o:spid="_x0000_s1149" style="position:absolute;left:5487;top:14375;width:7367;height:8468;visibility:visible;mso-wrap-style:square;v-text-anchor:middle" coordsize="846823,73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" path="m423411,l846822,160240r,416256l423412,736736,1,576496,1,160240,423411,xe" fillcolor="#f4b183" strokecolor="white" strokeweight="1pt">
                  <v:stroke joinstyle="miter"/>
                  <v:path arrowok="t" o:connecttype="custom" o:connectlocs="0,4867;1394,0;5015,0;6409,4867;5015,9733;1394,9733;0,4867" o:connectangles="0,0,0,0,0,0,0"/>
                </v:shape>
              </v:group>
            </w:pict>
          </mc:Fallback>
        </mc:AlternateContent>
      </w:r>
    </w:p>
    <w:p w14:paraId="7D7AB0E4" w14:textId="3EA47425" w:rsidR="00047EF8" w:rsidRPr="00F563CD" w:rsidRDefault="007840BE" w:rsidP="00047EF8">
      <w:pPr>
        <w:jc w:val="both"/>
        <w:rPr>
          <w:rFonts w:asciiTheme="minorHAnsi" w:hAnsiTheme="minorHAnsi"/>
          <w:sz w:val="24"/>
          <w:szCs w:val="24"/>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04320" behindDoc="0" locked="0" layoutInCell="1" allowOverlap="1" wp14:anchorId="5EF2CE4A" wp14:editId="1524C4F4">
                <wp:simplePos x="0" y="0"/>
                <wp:positionH relativeFrom="margin">
                  <wp:posOffset>-139700</wp:posOffset>
                </wp:positionH>
                <wp:positionV relativeFrom="paragraph">
                  <wp:posOffset>208280</wp:posOffset>
                </wp:positionV>
                <wp:extent cx="6791325" cy="1400175"/>
                <wp:effectExtent l="0" t="0" r="9525" b="9525"/>
                <wp:wrapNone/>
                <wp:docPr id="157" name="Rounded 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1325" cy="1400175"/>
                        </a:xfrm>
                        <a:prstGeom prst="round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14:paraId="5C59D42F" w14:textId="77777777" w:rsidR="006712E0" w:rsidRPr="0004607E" w:rsidRDefault="006712E0" w:rsidP="00047EF8">
                            <w:pPr>
                              <w:jc w:val="center"/>
                              <w:rPr>
                                <w:rFonts w:ascii="Arial Narrow" w:hAnsi="Arial Narrow"/>
                                <w:b/>
                                <w:color w:val="7F7F7F" w:themeColor="text1" w:themeTint="80"/>
                                <w:sz w:val="24"/>
                                <w:szCs w:val="24"/>
                              </w:rPr>
                            </w:pPr>
                            <w:r>
                              <w:rPr>
                                <w:rFonts w:ascii="Arial Narrow" w:hAnsi="Arial Narrow"/>
                                <w:b/>
                                <w:color w:val="7F7F7F" w:themeColor="text1" w:themeTint="80"/>
                                <w:sz w:val="24"/>
                                <w:szCs w:val="24"/>
                              </w:rPr>
                              <w:t>SEKTORSKE STRATEGIJE</w:t>
                            </w:r>
                            <w:r w:rsidRPr="00FB4FF4">
                              <w:rPr>
                                <w:rFonts w:ascii="Arial Narrow" w:hAnsi="Arial Narrow"/>
                                <w:b/>
                                <w:color w:val="7F7F7F" w:themeColor="text1" w:themeTint="80"/>
                                <w:sz w:val="24"/>
                                <w:szCs w:val="24"/>
                              </w:rPr>
                              <w:t>:</w:t>
                            </w:r>
                            <w:r>
                              <w:rPr>
                                <w:rFonts w:ascii="Arial Narrow" w:hAnsi="Arial Narrow"/>
                                <w:b/>
                                <w:color w:val="7F7F7F" w:themeColor="text1" w:themeTint="80"/>
                                <w:sz w:val="24"/>
                                <w:szCs w:val="24"/>
                              </w:rPr>
                              <w:tab/>
                            </w:r>
                            <w:r>
                              <w:rPr>
                                <w:rFonts w:ascii="Arial Narrow" w:hAnsi="Arial Narrow"/>
                                <w:b/>
                                <w:color w:val="7F7F7F" w:themeColor="text1" w:themeTint="80"/>
                                <w:sz w:val="24"/>
                                <w:szCs w:val="24"/>
                              </w:rPr>
                              <w:tab/>
                            </w:r>
                            <w:r>
                              <w:rPr>
                                <w:rFonts w:ascii="Arial Narrow" w:hAnsi="Arial Narrow"/>
                                <w:b/>
                                <w:color w:val="7F7F7F" w:themeColor="text1" w:themeTint="80"/>
                                <w:sz w:val="24"/>
                                <w:szCs w:val="24"/>
                              </w:rPr>
                              <w:tab/>
                            </w:r>
                          </w:p>
                          <w:p w14:paraId="7D2DEFCE" w14:textId="77777777" w:rsidR="006712E0" w:rsidRPr="0004607E" w:rsidRDefault="001D48BA" w:rsidP="00047EF8">
                            <w:pPr>
                              <w:pStyle w:val="ListParagraph"/>
                              <w:numPr>
                                <w:ilvl w:val="0"/>
                                <w:numId w:val="92"/>
                              </w:numPr>
                              <w:spacing w:after="0"/>
                              <w:jc w:val="both"/>
                              <w:rPr>
                                <w:rFonts w:ascii="Arial Narrow" w:hAnsi="Arial Narrow"/>
                                <w:b/>
                                <w:color w:val="7F7F7F" w:themeColor="text1" w:themeTint="80"/>
                              </w:rPr>
                            </w:pPr>
                            <w:hyperlink r:id="rId103" w:history="1">
                              <w:r w:rsidR="006712E0">
                                <w:rPr>
                                  <w:rStyle w:val="Hyperlink"/>
                                  <w:rFonts w:ascii="Arial Narrow" w:hAnsi="Arial Narrow"/>
                                  <w:color w:val="7F7F7F" w:themeColor="text1" w:themeTint="80"/>
                                </w:rPr>
                                <w:t xml:space="preserve">Strategija za razvoj sistema socijalne zaštite za starija lica </w:t>
                              </w:r>
                              <w:r w:rsidR="006712E0" w:rsidRPr="0004607E">
                                <w:rPr>
                                  <w:rStyle w:val="Hyperlink"/>
                                  <w:rFonts w:ascii="Arial Narrow" w:hAnsi="Arial Narrow"/>
                                  <w:color w:val="7F7F7F" w:themeColor="text1" w:themeTint="80"/>
                                </w:rPr>
                                <w:t>2018-2022</w:t>
                              </w:r>
                            </w:hyperlink>
                            <w:r w:rsidR="006712E0">
                              <w:rPr>
                                <w:rStyle w:val="Hyperlink"/>
                                <w:rFonts w:ascii="Arial Narrow" w:hAnsi="Arial Narrow"/>
                                <w:color w:val="7F7F7F" w:themeColor="text1" w:themeTint="80"/>
                              </w:rPr>
                              <w:t>.</w:t>
                            </w:r>
                            <w:r w:rsidR="006712E0" w:rsidRPr="0004607E">
                              <w:rPr>
                                <w:rStyle w:val="Hyperlink"/>
                                <w:rFonts w:ascii="Arial Narrow" w:hAnsi="Arial Narrow"/>
                                <w:color w:val="7F7F7F" w:themeColor="text1" w:themeTint="80"/>
                              </w:rPr>
                              <w:tab/>
                            </w:r>
                          </w:p>
                          <w:p w14:paraId="66559EC8" w14:textId="77777777" w:rsidR="006712E0" w:rsidRPr="0004607E" w:rsidRDefault="006712E0" w:rsidP="00047EF8">
                            <w:pPr>
                              <w:pStyle w:val="ListParagraph"/>
                              <w:numPr>
                                <w:ilvl w:val="0"/>
                                <w:numId w:val="92"/>
                              </w:numPr>
                              <w:spacing w:after="0"/>
                              <w:jc w:val="both"/>
                              <w:rPr>
                                <w:rFonts w:ascii="Arial Narrow" w:hAnsi="Arial Narrow"/>
                                <w:b/>
                                <w:color w:val="7F7F7F" w:themeColor="text1" w:themeTint="80"/>
                              </w:rPr>
                            </w:pPr>
                            <w:r w:rsidRPr="0004607E">
                              <w:rPr>
                                <w:rStyle w:val="Hyperlink"/>
                                <w:rFonts w:ascii="Arial Narrow" w:hAnsi="Arial Narrow"/>
                                <w:color w:val="7F7F7F" w:themeColor="text1" w:themeTint="80"/>
                              </w:rPr>
                              <w:t>Strateg</w:t>
                            </w:r>
                            <w:r>
                              <w:rPr>
                                <w:rStyle w:val="Hyperlink"/>
                                <w:rFonts w:ascii="Arial Narrow" w:hAnsi="Arial Narrow"/>
                                <w:color w:val="7F7F7F" w:themeColor="text1" w:themeTint="80"/>
                              </w:rPr>
                              <w:t>ija za razvoj socijalne i dje</w:t>
                            </w:r>
                            <w:r>
                              <w:rPr>
                                <w:rStyle w:val="Hyperlink"/>
                                <w:rFonts w:ascii="Times New Roman" w:hAnsi="Times New Roman"/>
                                <w:color w:val="7F7F7F" w:themeColor="text1" w:themeTint="80"/>
                              </w:rPr>
                              <w:t>č</w:t>
                            </w:r>
                            <w:r>
                              <w:rPr>
                                <w:rStyle w:val="Hyperlink"/>
                                <w:rFonts w:ascii="Arial Narrow" w:hAnsi="Arial Narrow"/>
                                <w:color w:val="7F7F7F" w:themeColor="text1" w:themeTint="80"/>
                              </w:rPr>
                              <w:t>ije zaštite</w:t>
                            </w:r>
                            <w:r w:rsidRPr="0004607E">
                              <w:rPr>
                                <w:rStyle w:val="Hyperlink"/>
                                <w:rFonts w:ascii="Arial Narrow" w:hAnsi="Arial Narrow"/>
                                <w:color w:val="7F7F7F" w:themeColor="text1" w:themeTint="80"/>
                              </w:rPr>
                              <w:t xml:space="preserve"> 2018-2022</w:t>
                            </w:r>
                            <w:r>
                              <w:rPr>
                                <w:rStyle w:val="Hyperlink"/>
                                <w:rFonts w:ascii="Arial Narrow" w:hAnsi="Arial Narrow"/>
                                <w:color w:val="7F7F7F" w:themeColor="text1" w:themeTint="80"/>
                              </w:rPr>
                              <w:t>.</w:t>
                            </w:r>
                          </w:p>
                          <w:p w14:paraId="7DB93CB0" w14:textId="77777777" w:rsidR="006712E0" w:rsidRPr="0004607E" w:rsidRDefault="001D48BA" w:rsidP="00047EF8">
                            <w:pPr>
                              <w:pStyle w:val="ListParagraph"/>
                              <w:numPr>
                                <w:ilvl w:val="0"/>
                                <w:numId w:val="92"/>
                              </w:numPr>
                              <w:spacing w:after="0"/>
                              <w:jc w:val="both"/>
                              <w:rPr>
                                <w:rFonts w:ascii="Arial Narrow" w:hAnsi="Arial Narrow"/>
                                <w:b/>
                                <w:color w:val="7F7F7F" w:themeColor="text1" w:themeTint="80"/>
                              </w:rPr>
                            </w:pPr>
                            <w:hyperlink r:id="rId104" w:history="1">
                              <w:r w:rsidR="006712E0">
                                <w:rPr>
                                  <w:rStyle w:val="Hyperlink"/>
                                  <w:rFonts w:ascii="Arial Narrow" w:hAnsi="Arial Narrow"/>
                                  <w:color w:val="7F7F7F" w:themeColor="text1" w:themeTint="80"/>
                                </w:rPr>
                                <w:t xml:space="preserve">Strategija za prevenciju i zaštitu djece protiv nasilja </w:t>
                              </w:r>
                              <w:r w:rsidR="006712E0" w:rsidRPr="0004607E">
                                <w:rPr>
                                  <w:rStyle w:val="Hyperlink"/>
                                  <w:rFonts w:ascii="Arial Narrow" w:hAnsi="Arial Narrow"/>
                                  <w:color w:val="7F7F7F" w:themeColor="text1" w:themeTint="80"/>
                                </w:rPr>
                                <w:t>2017-2021</w:t>
                              </w:r>
                            </w:hyperlink>
                            <w:r w:rsidR="006712E0">
                              <w:rPr>
                                <w:rStyle w:val="Hyperlink"/>
                                <w:rFonts w:ascii="Arial Narrow" w:hAnsi="Arial Narrow"/>
                                <w:color w:val="7F7F7F" w:themeColor="text1" w:themeTint="80"/>
                              </w:rPr>
                              <w:t>.</w:t>
                            </w:r>
                          </w:p>
                          <w:p w14:paraId="465A2A91" w14:textId="77777777" w:rsidR="006712E0" w:rsidRPr="009F56CA" w:rsidRDefault="001D48BA" w:rsidP="00047EF8">
                            <w:pPr>
                              <w:pStyle w:val="ListParagraph"/>
                              <w:numPr>
                                <w:ilvl w:val="0"/>
                                <w:numId w:val="92"/>
                              </w:numPr>
                              <w:spacing w:after="0"/>
                              <w:rPr>
                                <w:rFonts w:ascii="Arial Narrow" w:hAnsi="Arial Narrow"/>
                                <w:b/>
                                <w:color w:val="808080" w:themeColor="background1" w:themeShade="80"/>
                                <w:lang w:val="fr-FR"/>
                              </w:rPr>
                            </w:pPr>
                            <w:hyperlink r:id="rId105" w:history="1">
                              <w:r w:rsidR="006712E0" w:rsidRPr="009F56CA">
                                <w:rPr>
                                  <w:rStyle w:val="Hyperlink"/>
                                  <w:rFonts w:ascii="Arial Narrow" w:hAnsi="Arial Narrow"/>
                                  <w:color w:val="808080" w:themeColor="background1" w:themeShade="80"/>
                                  <w:lang w:val="fr-FR"/>
                                </w:rPr>
                                <w:t>Strategija za ostvarivanje prava djeteta 2019-2023</w:t>
                              </w:r>
                            </w:hyperlink>
                            <w:r w:rsidR="006712E0" w:rsidRPr="009F56CA">
                              <w:rPr>
                                <w:rStyle w:val="Hyperlink"/>
                                <w:rFonts w:ascii="Arial Narrow" w:hAnsi="Arial Narrow"/>
                                <w:color w:val="808080" w:themeColor="background1" w:themeShade="80"/>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2CE4A" id="Rounded Rectangle 157" o:spid="_x0000_s1150" style="position:absolute;left:0;text-align:left;margin-left:-11pt;margin-top:16.4pt;width:534.75pt;height:110.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" fillcolor="window" strokecolor="#7f7f7f" strokeweight="1pt">
                <v:stroke joinstyle="miter"/>
                <v:path arrowok="t"/>
                <v:textbox>
                  <w:txbxContent>
                    <w:p w14:paraId="5C59D42F" w14:textId="77777777" w:rsidR="006712E0" w:rsidRPr="0004607E" w:rsidRDefault="006712E0" w:rsidP="00047EF8">
                      <w:pPr>
                        <w:jc w:val="center"/>
                        <w:rPr>
                          <w:rFonts w:ascii="Arial Narrow" w:hAnsi="Arial Narrow"/>
                          <w:b/>
                          <w:color w:val="7F7F7F" w:themeColor="text1" w:themeTint="80"/>
                          <w:sz w:val="24"/>
                          <w:szCs w:val="24"/>
                        </w:rPr>
                      </w:pPr>
                      <w:r>
                        <w:rPr>
                          <w:rFonts w:ascii="Arial Narrow" w:hAnsi="Arial Narrow"/>
                          <w:b/>
                          <w:color w:val="7F7F7F" w:themeColor="text1" w:themeTint="80"/>
                          <w:sz w:val="24"/>
                          <w:szCs w:val="24"/>
                        </w:rPr>
                        <w:t>SEKTORSKE STRATEGIJE</w:t>
                      </w:r>
                      <w:r w:rsidRPr="00FB4FF4">
                        <w:rPr>
                          <w:rFonts w:ascii="Arial Narrow" w:hAnsi="Arial Narrow"/>
                          <w:b/>
                          <w:color w:val="7F7F7F" w:themeColor="text1" w:themeTint="80"/>
                          <w:sz w:val="24"/>
                          <w:szCs w:val="24"/>
                        </w:rPr>
                        <w:t>:</w:t>
                      </w:r>
                      <w:r>
                        <w:rPr>
                          <w:rFonts w:ascii="Arial Narrow" w:hAnsi="Arial Narrow"/>
                          <w:b/>
                          <w:color w:val="7F7F7F" w:themeColor="text1" w:themeTint="80"/>
                          <w:sz w:val="24"/>
                          <w:szCs w:val="24"/>
                        </w:rPr>
                        <w:tab/>
                      </w:r>
                      <w:r>
                        <w:rPr>
                          <w:rFonts w:ascii="Arial Narrow" w:hAnsi="Arial Narrow"/>
                          <w:b/>
                          <w:color w:val="7F7F7F" w:themeColor="text1" w:themeTint="80"/>
                          <w:sz w:val="24"/>
                          <w:szCs w:val="24"/>
                        </w:rPr>
                        <w:tab/>
                      </w:r>
                      <w:r>
                        <w:rPr>
                          <w:rFonts w:ascii="Arial Narrow" w:hAnsi="Arial Narrow"/>
                          <w:b/>
                          <w:color w:val="7F7F7F" w:themeColor="text1" w:themeTint="80"/>
                          <w:sz w:val="24"/>
                          <w:szCs w:val="24"/>
                        </w:rPr>
                        <w:tab/>
                      </w:r>
                    </w:p>
                    <w:p w14:paraId="7D2DEFCE" w14:textId="77777777" w:rsidR="006712E0" w:rsidRPr="0004607E" w:rsidRDefault="006712E0" w:rsidP="00047EF8">
                      <w:pPr>
                        <w:pStyle w:val="ListParagraph"/>
                        <w:numPr>
                          <w:ilvl w:val="0"/>
                          <w:numId w:val="92"/>
                        </w:numPr>
                        <w:spacing w:after="0"/>
                        <w:jc w:val="both"/>
                        <w:rPr>
                          <w:rFonts w:ascii="Arial Narrow" w:hAnsi="Arial Narrow"/>
                          <w:b/>
                          <w:color w:val="7F7F7F" w:themeColor="text1" w:themeTint="80"/>
                        </w:rPr>
                      </w:pPr>
                      <w:hyperlink r:id="rId106" w:history="1">
                        <w:r>
                          <w:rPr>
                            <w:rStyle w:val="Hyperlink"/>
                            <w:rFonts w:ascii="Arial Narrow" w:hAnsi="Arial Narrow"/>
                            <w:color w:val="7F7F7F" w:themeColor="text1" w:themeTint="80"/>
                          </w:rPr>
                          <w:t xml:space="preserve">Strategija za razvoj sistema socijalne zaštite za starija lica </w:t>
                        </w:r>
                        <w:r w:rsidRPr="0004607E">
                          <w:rPr>
                            <w:rStyle w:val="Hyperlink"/>
                            <w:rFonts w:ascii="Arial Narrow" w:hAnsi="Arial Narrow"/>
                            <w:color w:val="7F7F7F" w:themeColor="text1" w:themeTint="80"/>
                          </w:rPr>
                          <w:t>2018-2022</w:t>
                        </w:r>
                      </w:hyperlink>
                      <w:r>
                        <w:rPr>
                          <w:rStyle w:val="Hyperlink"/>
                          <w:rFonts w:ascii="Arial Narrow" w:hAnsi="Arial Narrow"/>
                          <w:color w:val="7F7F7F" w:themeColor="text1" w:themeTint="80"/>
                        </w:rPr>
                        <w:t>.</w:t>
                      </w:r>
                      <w:r w:rsidRPr="0004607E">
                        <w:rPr>
                          <w:rStyle w:val="Hyperlink"/>
                          <w:rFonts w:ascii="Arial Narrow" w:hAnsi="Arial Narrow"/>
                          <w:color w:val="7F7F7F" w:themeColor="text1" w:themeTint="80"/>
                        </w:rPr>
                        <w:tab/>
                      </w:r>
                    </w:p>
                    <w:p w14:paraId="66559EC8" w14:textId="77777777" w:rsidR="006712E0" w:rsidRPr="0004607E" w:rsidRDefault="006712E0" w:rsidP="00047EF8">
                      <w:pPr>
                        <w:pStyle w:val="ListParagraph"/>
                        <w:numPr>
                          <w:ilvl w:val="0"/>
                          <w:numId w:val="92"/>
                        </w:numPr>
                        <w:spacing w:after="0"/>
                        <w:jc w:val="both"/>
                        <w:rPr>
                          <w:rFonts w:ascii="Arial Narrow" w:hAnsi="Arial Narrow"/>
                          <w:b/>
                          <w:color w:val="7F7F7F" w:themeColor="text1" w:themeTint="80"/>
                        </w:rPr>
                      </w:pPr>
                      <w:r w:rsidRPr="0004607E">
                        <w:rPr>
                          <w:rStyle w:val="Hyperlink"/>
                          <w:rFonts w:ascii="Arial Narrow" w:hAnsi="Arial Narrow"/>
                          <w:color w:val="7F7F7F" w:themeColor="text1" w:themeTint="80"/>
                        </w:rPr>
                        <w:t>Strateg</w:t>
                      </w:r>
                      <w:r>
                        <w:rPr>
                          <w:rStyle w:val="Hyperlink"/>
                          <w:rFonts w:ascii="Arial Narrow" w:hAnsi="Arial Narrow"/>
                          <w:color w:val="7F7F7F" w:themeColor="text1" w:themeTint="80"/>
                        </w:rPr>
                        <w:t>ija za razvoj socijalne i dje</w:t>
                      </w:r>
                      <w:r>
                        <w:rPr>
                          <w:rStyle w:val="Hyperlink"/>
                          <w:rFonts w:ascii="Times New Roman" w:hAnsi="Times New Roman"/>
                          <w:color w:val="7F7F7F" w:themeColor="text1" w:themeTint="80"/>
                        </w:rPr>
                        <w:t>č</w:t>
                      </w:r>
                      <w:r>
                        <w:rPr>
                          <w:rStyle w:val="Hyperlink"/>
                          <w:rFonts w:ascii="Arial Narrow" w:hAnsi="Arial Narrow"/>
                          <w:color w:val="7F7F7F" w:themeColor="text1" w:themeTint="80"/>
                        </w:rPr>
                        <w:t>ije zaštite</w:t>
                      </w:r>
                      <w:r w:rsidRPr="0004607E">
                        <w:rPr>
                          <w:rStyle w:val="Hyperlink"/>
                          <w:rFonts w:ascii="Arial Narrow" w:hAnsi="Arial Narrow"/>
                          <w:color w:val="7F7F7F" w:themeColor="text1" w:themeTint="80"/>
                        </w:rPr>
                        <w:t xml:space="preserve"> 2018-2022</w:t>
                      </w:r>
                      <w:r>
                        <w:rPr>
                          <w:rStyle w:val="Hyperlink"/>
                          <w:rFonts w:ascii="Arial Narrow" w:hAnsi="Arial Narrow"/>
                          <w:color w:val="7F7F7F" w:themeColor="text1" w:themeTint="80"/>
                        </w:rPr>
                        <w:t>.</w:t>
                      </w:r>
                    </w:p>
                    <w:p w14:paraId="7DB93CB0" w14:textId="77777777" w:rsidR="006712E0" w:rsidRPr="0004607E" w:rsidRDefault="006712E0" w:rsidP="00047EF8">
                      <w:pPr>
                        <w:pStyle w:val="ListParagraph"/>
                        <w:numPr>
                          <w:ilvl w:val="0"/>
                          <w:numId w:val="92"/>
                        </w:numPr>
                        <w:spacing w:after="0"/>
                        <w:jc w:val="both"/>
                        <w:rPr>
                          <w:rFonts w:ascii="Arial Narrow" w:hAnsi="Arial Narrow"/>
                          <w:b/>
                          <w:color w:val="7F7F7F" w:themeColor="text1" w:themeTint="80"/>
                        </w:rPr>
                      </w:pPr>
                      <w:hyperlink r:id="rId107" w:history="1">
                        <w:r>
                          <w:rPr>
                            <w:rStyle w:val="Hyperlink"/>
                            <w:rFonts w:ascii="Arial Narrow" w:hAnsi="Arial Narrow"/>
                            <w:color w:val="7F7F7F" w:themeColor="text1" w:themeTint="80"/>
                          </w:rPr>
                          <w:t xml:space="preserve">Strategija za prevenciju i zaštitu djece protiv nasilja </w:t>
                        </w:r>
                        <w:r w:rsidRPr="0004607E">
                          <w:rPr>
                            <w:rStyle w:val="Hyperlink"/>
                            <w:rFonts w:ascii="Arial Narrow" w:hAnsi="Arial Narrow"/>
                            <w:color w:val="7F7F7F" w:themeColor="text1" w:themeTint="80"/>
                          </w:rPr>
                          <w:t>2017-2021</w:t>
                        </w:r>
                      </w:hyperlink>
                      <w:r>
                        <w:rPr>
                          <w:rStyle w:val="Hyperlink"/>
                          <w:rFonts w:ascii="Arial Narrow" w:hAnsi="Arial Narrow"/>
                          <w:color w:val="7F7F7F" w:themeColor="text1" w:themeTint="80"/>
                        </w:rPr>
                        <w:t>.</w:t>
                      </w:r>
                    </w:p>
                    <w:p w14:paraId="465A2A91" w14:textId="77777777" w:rsidR="006712E0" w:rsidRPr="009F56CA" w:rsidRDefault="006712E0" w:rsidP="00047EF8">
                      <w:pPr>
                        <w:pStyle w:val="ListParagraph"/>
                        <w:numPr>
                          <w:ilvl w:val="0"/>
                          <w:numId w:val="92"/>
                        </w:numPr>
                        <w:spacing w:after="0"/>
                        <w:rPr>
                          <w:rFonts w:ascii="Arial Narrow" w:hAnsi="Arial Narrow"/>
                          <w:b/>
                          <w:color w:val="808080" w:themeColor="background1" w:themeShade="80"/>
                          <w:lang w:val="fr-FR"/>
                        </w:rPr>
                      </w:pPr>
                      <w:hyperlink r:id="rId108" w:history="1">
                        <w:r w:rsidRPr="009F56CA">
                          <w:rPr>
                            <w:rStyle w:val="Hyperlink"/>
                            <w:rFonts w:ascii="Arial Narrow" w:hAnsi="Arial Narrow"/>
                            <w:color w:val="808080" w:themeColor="background1" w:themeShade="80"/>
                            <w:lang w:val="fr-FR"/>
                          </w:rPr>
                          <w:t>Strategija za ostvarivanje prava djeteta 2019-2023</w:t>
                        </w:r>
                      </w:hyperlink>
                      <w:r w:rsidRPr="009F56CA">
                        <w:rPr>
                          <w:rStyle w:val="Hyperlink"/>
                          <w:rFonts w:ascii="Arial Narrow" w:hAnsi="Arial Narrow"/>
                          <w:color w:val="808080" w:themeColor="background1" w:themeShade="80"/>
                          <w:lang w:val="fr-FR"/>
                        </w:rPr>
                        <w:t>.</w:t>
                      </w:r>
                    </w:p>
                  </w:txbxContent>
                </v:textbox>
                <w10:wrap anchorx="margin"/>
              </v:roundrect>
            </w:pict>
          </mc:Fallback>
        </mc:AlternateContent>
      </w:r>
    </w:p>
    <w:p w14:paraId="66E119C1" w14:textId="77777777" w:rsidR="00047EF8" w:rsidRPr="00F563CD" w:rsidRDefault="00047EF8" w:rsidP="00047EF8">
      <w:pPr>
        <w:jc w:val="both"/>
        <w:rPr>
          <w:rFonts w:asciiTheme="minorHAnsi" w:hAnsiTheme="minorHAnsi"/>
          <w:sz w:val="24"/>
          <w:szCs w:val="24"/>
        </w:rPr>
      </w:pPr>
    </w:p>
    <w:p w14:paraId="64A5F5ED" w14:textId="77777777" w:rsidR="00047EF8" w:rsidRPr="00F563CD" w:rsidRDefault="00047EF8" w:rsidP="00047EF8">
      <w:pPr>
        <w:jc w:val="both"/>
        <w:rPr>
          <w:rFonts w:asciiTheme="minorHAnsi" w:hAnsiTheme="minorHAnsi"/>
          <w:sz w:val="24"/>
          <w:szCs w:val="24"/>
        </w:rPr>
      </w:pPr>
    </w:p>
    <w:p w14:paraId="4DD865C1" w14:textId="77777777" w:rsidR="00047EF8" w:rsidRPr="00F563CD" w:rsidRDefault="00047EF8" w:rsidP="00047EF8">
      <w:pPr>
        <w:jc w:val="both"/>
        <w:rPr>
          <w:rFonts w:asciiTheme="minorHAnsi" w:hAnsiTheme="minorHAnsi"/>
          <w:sz w:val="24"/>
          <w:szCs w:val="24"/>
        </w:rPr>
      </w:pPr>
    </w:p>
    <w:p w14:paraId="01C48318" w14:textId="77777777" w:rsidR="00047EF8" w:rsidRPr="00F563CD" w:rsidRDefault="00047EF8" w:rsidP="00047EF8">
      <w:pPr>
        <w:jc w:val="both"/>
        <w:rPr>
          <w:rFonts w:asciiTheme="minorHAnsi" w:hAnsiTheme="minorHAnsi"/>
          <w:sz w:val="24"/>
          <w:szCs w:val="24"/>
        </w:rPr>
      </w:pPr>
    </w:p>
    <w:p w14:paraId="6AE5EB5C" w14:textId="77777777" w:rsidR="00047EF8" w:rsidRPr="00F563CD" w:rsidRDefault="00047EF8" w:rsidP="00047EF8">
      <w:pPr>
        <w:jc w:val="both"/>
        <w:rPr>
          <w:rFonts w:asciiTheme="minorHAnsi" w:hAnsiTheme="minorHAnsi"/>
          <w:sz w:val="24"/>
          <w:szCs w:val="24"/>
        </w:rPr>
      </w:pPr>
    </w:p>
    <w:p w14:paraId="118318BF" w14:textId="50020ED6" w:rsidR="00047EF8" w:rsidRPr="00F563CD" w:rsidRDefault="007840BE" w:rsidP="00047EF8">
      <w:pPr>
        <w:jc w:val="both"/>
        <w:rPr>
          <w:rFonts w:asciiTheme="minorHAnsi" w:hAnsiTheme="minorHAnsi"/>
          <w:sz w:val="24"/>
          <w:szCs w:val="24"/>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675648" behindDoc="0" locked="0" layoutInCell="1" allowOverlap="1" wp14:anchorId="23E0D09D" wp14:editId="5836F92D">
                <wp:simplePos x="0" y="0"/>
                <wp:positionH relativeFrom="page">
                  <wp:posOffset>1276350</wp:posOffset>
                </wp:positionH>
                <wp:positionV relativeFrom="paragraph">
                  <wp:posOffset>63500</wp:posOffset>
                </wp:positionV>
                <wp:extent cx="5638800" cy="371475"/>
                <wp:effectExtent l="0" t="0" r="0" b="0"/>
                <wp:wrapNone/>
                <wp:docPr id="23553" name="Text Box 23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371475"/>
                        </a:xfrm>
                        <a:prstGeom prst="rect">
                          <a:avLst/>
                        </a:prstGeom>
                        <a:solidFill>
                          <a:sysClr val="window" lastClr="FFFFFF"/>
                        </a:solidFill>
                        <a:ln w="6350">
                          <a:noFill/>
                        </a:ln>
                      </wps:spPr>
                      <wps:txbx>
                        <w:txbxContent>
                          <w:p w14:paraId="3C52D92D" w14:textId="77777777" w:rsidR="006712E0" w:rsidRPr="008957BD" w:rsidRDefault="006712E0" w:rsidP="00047EF8">
                            <w:pPr>
                              <w:pStyle w:val="Header"/>
                              <w:jc w:val="right"/>
                              <w:rPr>
                                <w:b/>
                                <w:color w:val="002060"/>
                                <w:spacing w:val="-20"/>
                                <w:sz w:val="30"/>
                                <w:szCs w:val="30"/>
                              </w:rPr>
                            </w:pPr>
                            <w:r>
                              <w:rPr>
                                <w:b/>
                                <w:color w:val="002060"/>
                                <w:spacing w:val="-20"/>
                                <w:sz w:val="30"/>
                                <w:szCs w:val="30"/>
                              </w:rPr>
                              <w:t xml:space="preserve">VANJSKI POSLOVI, BEZBJEDNOST I ODBRANA </w:t>
                            </w:r>
                          </w:p>
                          <w:p w14:paraId="516277D3" w14:textId="77777777" w:rsidR="006712E0" w:rsidRDefault="006712E0" w:rsidP="00047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0D09D" id="Text Box 23553" o:spid="_x0000_s1151" type="#_x0000_t202" style="position:absolute;left:0;text-align:left;margin-left:100.5pt;margin-top:5pt;width:444pt;height:29.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" fillcolor="window" stroked="f" strokeweight=".5pt">
                <v:path arrowok="t"/>
                <v:textbox>
                  <w:txbxContent>
                    <w:p w14:paraId="3C52D92D" w14:textId="77777777" w:rsidR="006712E0" w:rsidRPr="008957BD" w:rsidRDefault="006712E0" w:rsidP="00047EF8">
                      <w:pPr>
                        <w:pStyle w:val="Header"/>
                        <w:jc w:val="right"/>
                        <w:rPr>
                          <w:b/>
                          <w:color w:val="002060"/>
                          <w:spacing w:val="-20"/>
                          <w:sz w:val="30"/>
                          <w:szCs w:val="30"/>
                        </w:rPr>
                      </w:pPr>
                      <w:r>
                        <w:rPr>
                          <w:b/>
                          <w:color w:val="002060"/>
                          <w:spacing w:val="-20"/>
                          <w:sz w:val="30"/>
                          <w:szCs w:val="30"/>
                        </w:rPr>
                        <w:t xml:space="preserve">VANJSKI POSLOVI, BEZBJEDNOST I ODBRANA </w:t>
                      </w:r>
                    </w:p>
                    <w:p w14:paraId="516277D3" w14:textId="77777777" w:rsidR="006712E0" w:rsidRDefault="006712E0" w:rsidP="00047EF8"/>
                  </w:txbxContent>
                </v:textbox>
                <w10:wrap anchorx="page"/>
              </v:shape>
            </w:pict>
          </mc:Fallback>
        </mc:AlternateContent>
      </w:r>
    </w:p>
    <w:p w14:paraId="6D590637" w14:textId="1FAA12AE" w:rsidR="00047EF8" w:rsidRPr="00F563CD" w:rsidRDefault="007840BE" w:rsidP="00047EF8">
      <w:pPr>
        <w:jc w:val="both"/>
        <w:rPr>
          <w:rFonts w:asciiTheme="minorHAnsi" w:hAnsiTheme="minorHAnsi"/>
          <w:sz w:val="24"/>
          <w:szCs w:val="24"/>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05344" behindDoc="0" locked="0" layoutInCell="1" allowOverlap="1" wp14:anchorId="02AFE7D0" wp14:editId="51AAC73B">
                <wp:simplePos x="0" y="0"/>
                <wp:positionH relativeFrom="margin">
                  <wp:posOffset>-126365</wp:posOffset>
                </wp:positionH>
                <wp:positionV relativeFrom="paragraph">
                  <wp:posOffset>313055</wp:posOffset>
                </wp:positionV>
                <wp:extent cx="6838950" cy="361950"/>
                <wp:effectExtent l="0" t="0" r="0" b="0"/>
                <wp:wrapNone/>
                <wp:docPr id="158" name="Rounded 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0" cy="361950"/>
                        </a:xfrm>
                        <a:prstGeom prst="roundRect">
                          <a:avLst/>
                        </a:prstGeom>
                        <a:solidFill>
                          <a:srgbClr val="002060"/>
                        </a:solidFill>
                        <a:ln w="12700" cap="flat" cmpd="sng" algn="ctr">
                          <a:solidFill>
                            <a:srgbClr val="002060"/>
                          </a:solidFill>
                          <a:prstDash val="solid"/>
                          <a:miter lim="800000"/>
                        </a:ln>
                        <a:effectLst/>
                      </wps:spPr>
                      <wps:txbx>
                        <w:txbxContent>
                          <w:p w14:paraId="78977408" w14:textId="77777777" w:rsidR="006712E0" w:rsidRPr="004A6FD2" w:rsidRDefault="006712E0" w:rsidP="00047EF8">
                            <w:pPr>
                              <w:jc w:val="center"/>
                              <w:rPr>
                                <w:rFonts w:ascii="Arial" w:hAnsi="Arial" w:cs="Arial"/>
                                <w:b/>
                                <w:sz w:val="28"/>
                                <w:szCs w:val="28"/>
                              </w:rPr>
                            </w:pPr>
                            <w:r>
                              <w:rPr>
                                <w:rFonts w:ascii="Arial" w:hAnsi="Arial" w:cs="Arial"/>
                                <w:b/>
                                <w:sz w:val="28"/>
                                <w:szCs w:val="28"/>
                              </w:rPr>
                              <w:t>MINISTARSTVO ODBRANE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FE7D0" id="Rounded Rectangle 158" o:spid="_x0000_s1152" style="position:absolute;left:0;text-align:left;margin-left:-9.95pt;margin-top:24.65pt;width:538.5pt;height:2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" fillcolor="#002060" strokecolor="#002060" strokeweight="1pt">
                <v:stroke joinstyle="miter"/>
                <v:path arrowok="t"/>
                <v:textbox>
                  <w:txbxContent>
                    <w:p w14:paraId="78977408" w14:textId="77777777" w:rsidR="006712E0" w:rsidRPr="004A6FD2" w:rsidRDefault="006712E0" w:rsidP="00047EF8">
                      <w:pPr>
                        <w:jc w:val="center"/>
                        <w:rPr>
                          <w:rFonts w:ascii="Arial" w:hAnsi="Arial" w:cs="Arial"/>
                          <w:b/>
                          <w:sz w:val="28"/>
                          <w:szCs w:val="28"/>
                        </w:rPr>
                      </w:pPr>
                      <w:r>
                        <w:rPr>
                          <w:rFonts w:ascii="Arial" w:hAnsi="Arial" w:cs="Arial"/>
                          <w:b/>
                          <w:sz w:val="28"/>
                          <w:szCs w:val="28"/>
                        </w:rPr>
                        <w:t>MINISTARSTVO ODBRANE</w:t>
                      </w:r>
                    </w:p>
                  </w:txbxContent>
                </v:textbox>
                <w10:wrap anchorx="margin"/>
              </v:roundrect>
            </w:pict>
          </mc:Fallback>
        </mc:AlternateContent>
      </w:r>
    </w:p>
    <w:p w14:paraId="0B5059FB" w14:textId="77777777" w:rsidR="00047EF8" w:rsidRPr="00F563CD" w:rsidRDefault="00047EF8" w:rsidP="00047EF8">
      <w:pPr>
        <w:jc w:val="both"/>
        <w:rPr>
          <w:rFonts w:asciiTheme="minorHAnsi" w:hAnsiTheme="minorHAnsi"/>
          <w:sz w:val="24"/>
          <w:szCs w:val="24"/>
        </w:rPr>
      </w:pPr>
    </w:p>
    <w:p w14:paraId="2498982D" w14:textId="1634C5DD" w:rsidR="00047EF8" w:rsidRPr="00F563CD" w:rsidRDefault="007840BE" w:rsidP="00047EF8">
      <w:pPr>
        <w:jc w:val="both"/>
        <w:rPr>
          <w:rFonts w:asciiTheme="minorHAnsi" w:hAnsiTheme="minorHAnsi"/>
          <w:sz w:val="24"/>
          <w:szCs w:val="24"/>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06368" behindDoc="0" locked="0" layoutInCell="1" allowOverlap="1" wp14:anchorId="315CC2B2" wp14:editId="039F6D67">
                <wp:simplePos x="0" y="0"/>
                <wp:positionH relativeFrom="column">
                  <wp:posOffset>31750</wp:posOffset>
                </wp:positionH>
                <wp:positionV relativeFrom="paragraph">
                  <wp:posOffset>158115</wp:posOffset>
                </wp:positionV>
                <wp:extent cx="6743700" cy="819150"/>
                <wp:effectExtent l="0" t="0" r="0" b="0"/>
                <wp:wrapNone/>
                <wp:docPr id="159" name="Rounded 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819150"/>
                        </a:xfrm>
                        <a:prstGeom prst="roundRect">
                          <a:avLst/>
                        </a:prstGeom>
                        <a:solidFill>
                          <a:sysClr val="window" lastClr="FFFFFF"/>
                        </a:solidFill>
                        <a:ln w="12700" cap="flat" cmpd="sng" algn="ctr">
                          <a:solidFill>
                            <a:srgbClr val="002060"/>
                          </a:solidFill>
                          <a:prstDash val="solid"/>
                          <a:miter lim="800000"/>
                        </a:ln>
                        <a:effectLst/>
                      </wps:spPr>
                      <wps:txbx>
                        <w:txbxContent>
                          <w:p w14:paraId="16D5396F" w14:textId="77777777" w:rsidR="006712E0" w:rsidRPr="00FB4FF4" w:rsidRDefault="006712E0" w:rsidP="00047EF8">
                            <w:pPr>
                              <w:jc w:val="center"/>
                              <w:rPr>
                                <w:rFonts w:ascii="Arial Narrow" w:hAnsi="Arial Narrow"/>
                                <w:b/>
                                <w:color w:val="002060"/>
                                <w:sz w:val="24"/>
                                <w:szCs w:val="24"/>
                              </w:rPr>
                            </w:pPr>
                            <w:r>
                              <w:rPr>
                                <w:rFonts w:ascii="Arial Narrow" w:hAnsi="Arial Narrow"/>
                                <w:b/>
                                <w:color w:val="002060"/>
                                <w:sz w:val="24"/>
                                <w:szCs w:val="24"/>
                              </w:rPr>
                              <w:t>KROVNI DOKUMENTI</w:t>
                            </w:r>
                            <w:r w:rsidRPr="00FB4FF4">
                              <w:rPr>
                                <w:rFonts w:ascii="Arial Narrow" w:hAnsi="Arial Narrow"/>
                                <w:b/>
                                <w:color w:val="002060"/>
                                <w:sz w:val="24"/>
                                <w:szCs w:val="24"/>
                              </w:rPr>
                              <w:t>:</w:t>
                            </w:r>
                          </w:p>
                          <w:p w14:paraId="0D0926E7" w14:textId="77777777" w:rsidR="006712E0" w:rsidRPr="0004607E" w:rsidRDefault="001D48BA" w:rsidP="00047EF8">
                            <w:pPr>
                              <w:pStyle w:val="ListParagraph"/>
                              <w:numPr>
                                <w:ilvl w:val="0"/>
                                <w:numId w:val="93"/>
                              </w:numPr>
                              <w:spacing w:after="0" w:line="240" w:lineRule="auto"/>
                              <w:rPr>
                                <w:rStyle w:val="Hyperlink"/>
                                <w:rFonts w:ascii="Arial Narrow" w:hAnsi="Arial Narrow"/>
                                <w:b/>
                                <w:color w:val="002060"/>
                              </w:rPr>
                            </w:pPr>
                            <w:hyperlink r:id="rId109" w:history="1">
                              <w:r w:rsidR="006712E0" w:rsidRPr="0004607E">
                                <w:rPr>
                                  <w:rStyle w:val="Hyperlink"/>
                                  <w:rFonts w:ascii="Arial Narrow" w:hAnsi="Arial Narrow"/>
                                  <w:color w:val="002060"/>
                                </w:rPr>
                                <w:t>Strateg</w:t>
                              </w:r>
                              <w:r w:rsidR="006712E0">
                                <w:rPr>
                                  <w:rStyle w:val="Hyperlink"/>
                                  <w:rFonts w:ascii="Arial Narrow" w:hAnsi="Arial Narrow"/>
                                  <w:color w:val="002060"/>
                                </w:rPr>
                                <w:t>ija odbrane Crne Gore</w:t>
                              </w:r>
                            </w:hyperlink>
                          </w:p>
                          <w:p w14:paraId="33261BA6" w14:textId="77777777" w:rsidR="006712E0" w:rsidRPr="0004607E" w:rsidRDefault="006712E0" w:rsidP="00047EF8">
                            <w:pPr>
                              <w:pStyle w:val="ListParagraph"/>
                              <w:numPr>
                                <w:ilvl w:val="0"/>
                                <w:numId w:val="93"/>
                              </w:numPr>
                              <w:spacing w:after="0" w:line="240" w:lineRule="auto"/>
                              <w:rPr>
                                <w:rFonts w:ascii="Arial Narrow" w:hAnsi="Arial Narrow"/>
                                <w:b/>
                                <w:color w:val="002060"/>
                              </w:rPr>
                            </w:pPr>
                            <w:r>
                              <w:rPr>
                                <w:rStyle w:val="Hyperlink"/>
                                <w:rFonts w:ascii="Arial Narrow" w:hAnsi="Arial Narrow"/>
                                <w:color w:val="002060"/>
                              </w:rPr>
                              <w:t>Nac</w:t>
                            </w:r>
                            <w:r w:rsidRPr="0004607E">
                              <w:rPr>
                                <w:rStyle w:val="Hyperlink"/>
                                <w:rFonts w:ascii="Arial Narrow" w:hAnsi="Arial Narrow"/>
                                <w:color w:val="002060"/>
                              </w:rPr>
                              <w:t>ional</w:t>
                            </w:r>
                            <w:r>
                              <w:rPr>
                                <w:rStyle w:val="Hyperlink"/>
                                <w:rFonts w:ascii="Arial Narrow" w:hAnsi="Arial Narrow"/>
                                <w:color w:val="002060"/>
                              </w:rPr>
                              <w:t>na strategija za bezbjednost</w:t>
                            </w:r>
                            <w:r w:rsidRPr="0004607E">
                              <w:rPr>
                                <w:rStyle w:val="Hyperlink"/>
                                <w:rFonts w:ascii="Arial Narrow" w:hAnsi="Arial Narrow"/>
                                <w:color w:val="0020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CC2B2" id="Rounded Rectangle 159" o:spid="_x0000_s1153" style="position:absolute;left:0;text-align:left;margin-left:2.5pt;margin-top:12.45pt;width:531pt;height: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" fillcolor="window" strokecolor="#002060" strokeweight="1pt">
                <v:stroke joinstyle="miter"/>
                <v:path arrowok="t"/>
                <v:textbox>
                  <w:txbxContent>
                    <w:p w14:paraId="16D5396F" w14:textId="77777777" w:rsidR="006712E0" w:rsidRPr="00FB4FF4" w:rsidRDefault="006712E0" w:rsidP="00047EF8">
                      <w:pPr>
                        <w:jc w:val="center"/>
                        <w:rPr>
                          <w:rFonts w:ascii="Arial Narrow" w:hAnsi="Arial Narrow"/>
                          <w:b/>
                          <w:color w:val="002060"/>
                          <w:sz w:val="24"/>
                          <w:szCs w:val="24"/>
                        </w:rPr>
                      </w:pPr>
                      <w:r>
                        <w:rPr>
                          <w:rFonts w:ascii="Arial Narrow" w:hAnsi="Arial Narrow"/>
                          <w:b/>
                          <w:color w:val="002060"/>
                          <w:sz w:val="24"/>
                          <w:szCs w:val="24"/>
                        </w:rPr>
                        <w:t>KROVNI DOKUMENTI</w:t>
                      </w:r>
                      <w:r w:rsidRPr="00FB4FF4">
                        <w:rPr>
                          <w:rFonts w:ascii="Arial Narrow" w:hAnsi="Arial Narrow"/>
                          <w:b/>
                          <w:color w:val="002060"/>
                          <w:sz w:val="24"/>
                          <w:szCs w:val="24"/>
                        </w:rPr>
                        <w:t>:</w:t>
                      </w:r>
                    </w:p>
                    <w:p w14:paraId="0D0926E7" w14:textId="77777777" w:rsidR="006712E0" w:rsidRPr="0004607E" w:rsidRDefault="006712E0" w:rsidP="00047EF8">
                      <w:pPr>
                        <w:pStyle w:val="ListParagraph"/>
                        <w:numPr>
                          <w:ilvl w:val="0"/>
                          <w:numId w:val="93"/>
                        </w:numPr>
                        <w:spacing w:after="0" w:line="240" w:lineRule="auto"/>
                        <w:rPr>
                          <w:rStyle w:val="Hyperlink"/>
                          <w:rFonts w:ascii="Arial Narrow" w:hAnsi="Arial Narrow"/>
                          <w:b/>
                          <w:color w:val="002060"/>
                        </w:rPr>
                      </w:pPr>
                      <w:hyperlink r:id="rId110" w:history="1">
                        <w:r w:rsidRPr="0004607E">
                          <w:rPr>
                            <w:rStyle w:val="Hyperlink"/>
                            <w:rFonts w:ascii="Arial Narrow" w:hAnsi="Arial Narrow"/>
                            <w:color w:val="002060"/>
                          </w:rPr>
                          <w:t>Strateg</w:t>
                        </w:r>
                        <w:r>
                          <w:rPr>
                            <w:rStyle w:val="Hyperlink"/>
                            <w:rFonts w:ascii="Arial Narrow" w:hAnsi="Arial Narrow"/>
                            <w:color w:val="002060"/>
                          </w:rPr>
                          <w:t>ija odbrane Crne Gore</w:t>
                        </w:r>
                      </w:hyperlink>
                    </w:p>
                    <w:p w14:paraId="33261BA6" w14:textId="77777777" w:rsidR="006712E0" w:rsidRPr="0004607E" w:rsidRDefault="006712E0" w:rsidP="00047EF8">
                      <w:pPr>
                        <w:pStyle w:val="ListParagraph"/>
                        <w:numPr>
                          <w:ilvl w:val="0"/>
                          <w:numId w:val="93"/>
                        </w:numPr>
                        <w:spacing w:after="0" w:line="240" w:lineRule="auto"/>
                        <w:rPr>
                          <w:rFonts w:ascii="Arial Narrow" w:hAnsi="Arial Narrow"/>
                          <w:b/>
                          <w:color w:val="002060"/>
                        </w:rPr>
                      </w:pPr>
                      <w:r>
                        <w:rPr>
                          <w:rStyle w:val="Hyperlink"/>
                          <w:rFonts w:ascii="Arial Narrow" w:hAnsi="Arial Narrow"/>
                          <w:color w:val="002060"/>
                        </w:rPr>
                        <w:t>Nac</w:t>
                      </w:r>
                      <w:r w:rsidRPr="0004607E">
                        <w:rPr>
                          <w:rStyle w:val="Hyperlink"/>
                          <w:rFonts w:ascii="Arial Narrow" w:hAnsi="Arial Narrow"/>
                          <w:color w:val="002060"/>
                        </w:rPr>
                        <w:t>ional</w:t>
                      </w:r>
                      <w:r>
                        <w:rPr>
                          <w:rStyle w:val="Hyperlink"/>
                          <w:rFonts w:ascii="Arial Narrow" w:hAnsi="Arial Narrow"/>
                          <w:color w:val="002060"/>
                        </w:rPr>
                        <w:t>na strategija za bezbjednost</w:t>
                      </w:r>
                      <w:r w:rsidRPr="0004607E">
                        <w:rPr>
                          <w:rStyle w:val="Hyperlink"/>
                          <w:rFonts w:ascii="Arial Narrow" w:hAnsi="Arial Narrow"/>
                          <w:color w:val="002060"/>
                        </w:rPr>
                        <w:t xml:space="preserve"> </w:t>
                      </w:r>
                    </w:p>
                  </w:txbxContent>
                </v:textbox>
              </v:roundrect>
            </w:pict>
          </mc:Fallback>
        </mc:AlternateContent>
      </w:r>
    </w:p>
    <w:p w14:paraId="0D12AD59" w14:textId="77777777" w:rsidR="00047EF8" w:rsidRPr="00F563CD" w:rsidRDefault="00047EF8" w:rsidP="00047EF8">
      <w:pPr>
        <w:jc w:val="both"/>
        <w:rPr>
          <w:rFonts w:asciiTheme="minorHAnsi" w:hAnsiTheme="minorHAnsi"/>
          <w:sz w:val="24"/>
          <w:szCs w:val="24"/>
        </w:rPr>
      </w:pPr>
    </w:p>
    <w:p w14:paraId="2090EF40" w14:textId="77777777" w:rsidR="00047EF8" w:rsidRPr="00F563CD" w:rsidRDefault="00047EF8" w:rsidP="00047EF8">
      <w:pPr>
        <w:jc w:val="both"/>
        <w:rPr>
          <w:rFonts w:asciiTheme="minorHAnsi" w:hAnsiTheme="minorHAnsi"/>
          <w:sz w:val="24"/>
          <w:szCs w:val="24"/>
        </w:rPr>
      </w:pPr>
    </w:p>
    <w:p w14:paraId="73371B66" w14:textId="067FE459" w:rsidR="00047EF8" w:rsidRPr="00F563CD" w:rsidRDefault="007840BE" w:rsidP="00047EF8">
      <w:pPr>
        <w:jc w:val="both"/>
        <w:rPr>
          <w:rFonts w:asciiTheme="minorHAnsi" w:hAnsiTheme="minorHAnsi"/>
          <w:sz w:val="24"/>
          <w:szCs w:val="24"/>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07392" behindDoc="0" locked="0" layoutInCell="1" allowOverlap="1" wp14:anchorId="4EA5FFFB" wp14:editId="6A81895F">
                <wp:simplePos x="0" y="0"/>
                <wp:positionH relativeFrom="margin">
                  <wp:align>right</wp:align>
                </wp:positionH>
                <wp:positionV relativeFrom="paragraph">
                  <wp:posOffset>172720</wp:posOffset>
                </wp:positionV>
                <wp:extent cx="6781800" cy="1028700"/>
                <wp:effectExtent l="0" t="0" r="0" b="0"/>
                <wp:wrapNone/>
                <wp:docPr id="160" name="Rounded 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0" cy="1028700"/>
                        </a:xfrm>
                        <a:prstGeom prst="roundRect">
                          <a:avLst/>
                        </a:prstGeom>
                        <a:solidFill>
                          <a:sysClr val="window" lastClr="FFFFFF"/>
                        </a:solidFill>
                        <a:ln w="12700" cap="flat" cmpd="sng" algn="ctr">
                          <a:solidFill>
                            <a:srgbClr val="002060"/>
                          </a:solidFill>
                          <a:prstDash val="solid"/>
                          <a:miter lim="800000"/>
                        </a:ln>
                        <a:effectLst/>
                      </wps:spPr>
                      <wps:txbx>
                        <w:txbxContent>
                          <w:p w14:paraId="7F8B15A3" w14:textId="77777777" w:rsidR="006712E0" w:rsidRPr="00FB4FF4" w:rsidRDefault="006712E0" w:rsidP="00047EF8">
                            <w:pPr>
                              <w:jc w:val="center"/>
                              <w:rPr>
                                <w:rFonts w:ascii="Arial Narrow" w:hAnsi="Arial Narrow"/>
                                <w:b/>
                                <w:color w:val="002060"/>
                                <w:sz w:val="24"/>
                                <w:szCs w:val="24"/>
                              </w:rPr>
                            </w:pPr>
                            <w:r>
                              <w:rPr>
                                <w:rFonts w:ascii="Arial Narrow" w:hAnsi="Arial Narrow"/>
                                <w:b/>
                                <w:color w:val="002060"/>
                                <w:sz w:val="24"/>
                                <w:szCs w:val="24"/>
                              </w:rPr>
                              <w:t>SEKTORSKE</w:t>
                            </w:r>
                            <w:r w:rsidRPr="006336E7">
                              <w:rPr>
                                <w:rFonts w:ascii="Arial Narrow" w:hAnsi="Arial Narrow"/>
                                <w:b/>
                                <w:color w:val="002060"/>
                                <w:sz w:val="24"/>
                                <w:szCs w:val="24"/>
                              </w:rPr>
                              <w:t xml:space="preserve"> STRATEGI</w:t>
                            </w:r>
                            <w:r>
                              <w:rPr>
                                <w:rFonts w:ascii="Arial Narrow" w:hAnsi="Arial Narrow"/>
                                <w:b/>
                                <w:color w:val="002060"/>
                                <w:sz w:val="24"/>
                                <w:szCs w:val="24"/>
                              </w:rPr>
                              <w:t>J</w:t>
                            </w:r>
                            <w:r w:rsidRPr="006336E7">
                              <w:rPr>
                                <w:rFonts w:ascii="Arial Narrow" w:hAnsi="Arial Narrow"/>
                                <w:b/>
                                <w:color w:val="002060"/>
                                <w:sz w:val="24"/>
                                <w:szCs w:val="24"/>
                              </w:rPr>
                              <w:t>E</w:t>
                            </w:r>
                            <w:r w:rsidRPr="00FB4FF4">
                              <w:rPr>
                                <w:rFonts w:ascii="Arial Narrow" w:hAnsi="Arial Narrow"/>
                                <w:b/>
                                <w:color w:val="002060"/>
                                <w:sz w:val="24"/>
                                <w:szCs w:val="24"/>
                              </w:rPr>
                              <w:t>:</w:t>
                            </w:r>
                          </w:p>
                          <w:p w14:paraId="15CA1670" w14:textId="77777777" w:rsidR="006712E0" w:rsidRPr="00C13146" w:rsidRDefault="006712E0" w:rsidP="00047EF8">
                            <w:pPr>
                              <w:pStyle w:val="ListParagraph"/>
                              <w:numPr>
                                <w:ilvl w:val="0"/>
                                <w:numId w:val="95"/>
                              </w:numPr>
                              <w:spacing w:after="0"/>
                              <w:jc w:val="both"/>
                              <w:rPr>
                                <w:rFonts w:ascii="Arial Narrow" w:hAnsi="Arial Narrow"/>
                                <w:b/>
                                <w:color w:val="002060"/>
                              </w:rPr>
                            </w:pPr>
                            <w:r>
                              <w:rPr>
                                <w:rStyle w:val="Hyperlink"/>
                                <w:rFonts w:ascii="Arial Narrow" w:hAnsi="Arial Narrow"/>
                                <w:color w:val="002060"/>
                              </w:rPr>
                              <w:t xml:space="preserve">Pregled strateške odbrane </w:t>
                            </w:r>
                            <w:r w:rsidRPr="00C13146">
                              <w:rPr>
                                <w:rStyle w:val="Hyperlink"/>
                                <w:rFonts w:ascii="Arial Narrow" w:hAnsi="Arial Narrow"/>
                                <w:color w:val="002060"/>
                              </w:rPr>
                              <w:t>2018-2023</w:t>
                            </w:r>
                            <w:r>
                              <w:rPr>
                                <w:rStyle w:val="Hyperlink"/>
                                <w:rFonts w:ascii="Arial Narrow" w:hAnsi="Arial Narrow"/>
                                <w:color w:val="002060"/>
                              </w:rPr>
                              <w:t>.</w:t>
                            </w:r>
                          </w:p>
                          <w:p w14:paraId="04CB82DC" w14:textId="77777777" w:rsidR="006712E0" w:rsidRPr="00C13146" w:rsidRDefault="001D48BA" w:rsidP="00047EF8">
                            <w:pPr>
                              <w:pStyle w:val="ListParagraph"/>
                              <w:numPr>
                                <w:ilvl w:val="0"/>
                                <w:numId w:val="95"/>
                              </w:numPr>
                              <w:spacing w:after="0"/>
                              <w:jc w:val="both"/>
                              <w:rPr>
                                <w:rFonts w:ascii="Arial Narrow" w:hAnsi="Arial Narrow"/>
                                <w:b/>
                                <w:color w:val="002060"/>
                              </w:rPr>
                            </w:pPr>
                            <w:hyperlink r:id="rId111" w:history="1">
                              <w:r w:rsidR="006712E0">
                                <w:rPr>
                                  <w:rStyle w:val="Hyperlink"/>
                                  <w:rFonts w:ascii="Arial Narrow" w:hAnsi="Arial Narrow"/>
                                  <w:color w:val="002060"/>
                                </w:rPr>
                                <w:t>Akcioni p</w:t>
                              </w:r>
                              <w:r w:rsidR="006712E0" w:rsidRPr="00C13146">
                                <w:rPr>
                                  <w:rStyle w:val="Hyperlink"/>
                                  <w:rFonts w:ascii="Arial Narrow" w:hAnsi="Arial Narrow"/>
                                  <w:color w:val="002060"/>
                                </w:rPr>
                                <w:t>lan</w:t>
                              </w:r>
                              <w:r w:rsidR="006712E0">
                                <w:rPr>
                                  <w:rStyle w:val="Hyperlink"/>
                                  <w:rFonts w:ascii="Arial Narrow" w:hAnsi="Arial Narrow"/>
                                  <w:color w:val="002060"/>
                                </w:rPr>
                                <w:t xml:space="preserve"> za implementaciju Rezolucije Savjeta bezbjednosti Ujedinjenih nacija</w:t>
                              </w:r>
                              <w:r w:rsidR="006712E0" w:rsidRPr="00C13146">
                                <w:rPr>
                                  <w:rStyle w:val="Hyperlink"/>
                                  <w:rFonts w:ascii="Arial Narrow" w:hAnsi="Arial Narrow"/>
                                  <w:color w:val="002060"/>
                                </w:rPr>
                                <w:t xml:space="preserve"> 1325 – </w:t>
                              </w:r>
                              <w:r w:rsidR="006712E0">
                                <w:rPr>
                                  <w:rStyle w:val="Hyperlink"/>
                                  <w:rFonts w:ascii="Times New Roman" w:hAnsi="Times New Roman"/>
                                  <w:color w:val="002060"/>
                                </w:rPr>
                                <w:t>Ž</w:t>
                              </w:r>
                              <w:r w:rsidR="006712E0">
                                <w:rPr>
                                  <w:rStyle w:val="Hyperlink"/>
                                  <w:rFonts w:ascii="Arial Narrow" w:hAnsi="Arial Narrow"/>
                                  <w:color w:val="002060"/>
                                </w:rPr>
                                <w:t>ene</w:t>
                              </w:r>
                              <w:r w:rsidR="006712E0" w:rsidRPr="00C13146">
                                <w:rPr>
                                  <w:rStyle w:val="Hyperlink"/>
                                  <w:rFonts w:ascii="Arial Narrow" w:hAnsi="Arial Narrow"/>
                                  <w:color w:val="002060"/>
                                </w:rPr>
                                <w:t xml:space="preserve">, </w:t>
                              </w:r>
                              <w:r w:rsidR="006712E0">
                                <w:rPr>
                                  <w:rStyle w:val="Hyperlink"/>
                                  <w:rFonts w:ascii="Arial Narrow" w:hAnsi="Arial Narrow"/>
                                  <w:color w:val="002060"/>
                                </w:rPr>
                                <w:t>mir i bezbjednost</w:t>
                              </w:r>
                              <w:r w:rsidR="006712E0" w:rsidRPr="00C13146">
                                <w:rPr>
                                  <w:rStyle w:val="Hyperlink"/>
                                  <w:rFonts w:ascii="Arial Narrow" w:hAnsi="Arial Narrow"/>
                                  <w:color w:val="002060"/>
                                </w:rPr>
                                <w:t xml:space="preserve"> (2019-2022)</w:t>
                              </w:r>
                            </w:hyperlink>
                            <w:r w:rsidR="006712E0" w:rsidRPr="00C13146">
                              <w:rPr>
                                <w:rStyle w:val="Hyperlink"/>
                                <w:rFonts w:ascii="Arial Narrow" w:hAnsi="Arial Narrow"/>
                                <w:color w:val="00206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5FFFB" id="Rounded Rectangle 160" o:spid="_x0000_s1154" style="position:absolute;left:0;text-align:left;margin-left:482.8pt;margin-top:13.6pt;width:534pt;height:81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" fillcolor="window" strokecolor="#002060" strokeweight="1pt">
                <v:stroke joinstyle="miter"/>
                <v:path arrowok="t"/>
                <v:textbox>
                  <w:txbxContent>
                    <w:p w14:paraId="7F8B15A3" w14:textId="77777777" w:rsidR="006712E0" w:rsidRPr="00FB4FF4" w:rsidRDefault="006712E0" w:rsidP="00047EF8">
                      <w:pPr>
                        <w:jc w:val="center"/>
                        <w:rPr>
                          <w:rFonts w:ascii="Arial Narrow" w:hAnsi="Arial Narrow"/>
                          <w:b/>
                          <w:color w:val="002060"/>
                          <w:sz w:val="24"/>
                          <w:szCs w:val="24"/>
                        </w:rPr>
                      </w:pPr>
                      <w:r>
                        <w:rPr>
                          <w:rFonts w:ascii="Arial Narrow" w:hAnsi="Arial Narrow"/>
                          <w:b/>
                          <w:color w:val="002060"/>
                          <w:sz w:val="24"/>
                          <w:szCs w:val="24"/>
                        </w:rPr>
                        <w:t>SEKTORSKE</w:t>
                      </w:r>
                      <w:r w:rsidRPr="006336E7">
                        <w:rPr>
                          <w:rFonts w:ascii="Arial Narrow" w:hAnsi="Arial Narrow"/>
                          <w:b/>
                          <w:color w:val="002060"/>
                          <w:sz w:val="24"/>
                          <w:szCs w:val="24"/>
                        </w:rPr>
                        <w:t xml:space="preserve"> STRATEGI</w:t>
                      </w:r>
                      <w:r>
                        <w:rPr>
                          <w:rFonts w:ascii="Arial Narrow" w:hAnsi="Arial Narrow"/>
                          <w:b/>
                          <w:color w:val="002060"/>
                          <w:sz w:val="24"/>
                          <w:szCs w:val="24"/>
                        </w:rPr>
                        <w:t>J</w:t>
                      </w:r>
                      <w:r w:rsidRPr="006336E7">
                        <w:rPr>
                          <w:rFonts w:ascii="Arial Narrow" w:hAnsi="Arial Narrow"/>
                          <w:b/>
                          <w:color w:val="002060"/>
                          <w:sz w:val="24"/>
                          <w:szCs w:val="24"/>
                        </w:rPr>
                        <w:t>E</w:t>
                      </w:r>
                      <w:r w:rsidRPr="00FB4FF4">
                        <w:rPr>
                          <w:rFonts w:ascii="Arial Narrow" w:hAnsi="Arial Narrow"/>
                          <w:b/>
                          <w:color w:val="002060"/>
                          <w:sz w:val="24"/>
                          <w:szCs w:val="24"/>
                        </w:rPr>
                        <w:t>:</w:t>
                      </w:r>
                    </w:p>
                    <w:p w14:paraId="15CA1670" w14:textId="77777777" w:rsidR="006712E0" w:rsidRPr="00C13146" w:rsidRDefault="006712E0" w:rsidP="00047EF8">
                      <w:pPr>
                        <w:pStyle w:val="ListParagraph"/>
                        <w:numPr>
                          <w:ilvl w:val="0"/>
                          <w:numId w:val="95"/>
                        </w:numPr>
                        <w:spacing w:after="0"/>
                        <w:jc w:val="both"/>
                        <w:rPr>
                          <w:rFonts w:ascii="Arial Narrow" w:hAnsi="Arial Narrow"/>
                          <w:b/>
                          <w:color w:val="002060"/>
                        </w:rPr>
                      </w:pPr>
                      <w:r>
                        <w:rPr>
                          <w:rStyle w:val="Hyperlink"/>
                          <w:rFonts w:ascii="Arial Narrow" w:hAnsi="Arial Narrow"/>
                          <w:color w:val="002060"/>
                        </w:rPr>
                        <w:t xml:space="preserve">Pregled strateške odbrane </w:t>
                      </w:r>
                      <w:r w:rsidRPr="00C13146">
                        <w:rPr>
                          <w:rStyle w:val="Hyperlink"/>
                          <w:rFonts w:ascii="Arial Narrow" w:hAnsi="Arial Narrow"/>
                          <w:color w:val="002060"/>
                        </w:rPr>
                        <w:t>2018-2023</w:t>
                      </w:r>
                      <w:r>
                        <w:rPr>
                          <w:rStyle w:val="Hyperlink"/>
                          <w:rFonts w:ascii="Arial Narrow" w:hAnsi="Arial Narrow"/>
                          <w:color w:val="002060"/>
                        </w:rPr>
                        <w:t>.</w:t>
                      </w:r>
                    </w:p>
                    <w:p w14:paraId="04CB82DC" w14:textId="77777777" w:rsidR="006712E0" w:rsidRPr="00C13146" w:rsidRDefault="006712E0" w:rsidP="00047EF8">
                      <w:pPr>
                        <w:pStyle w:val="ListParagraph"/>
                        <w:numPr>
                          <w:ilvl w:val="0"/>
                          <w:numId w:val="95"/>
                        </w:numPr>
                        <w:spacing w:after="0"/>
                        <w:jc w:val="both"/>
                        <w:rPr>
                          <w:rFonts w:ascii="Arial Narrow" w:hAnsi="Arial Narrow"/>
                          <w:b/>
                          <w:color w:val="002060"/>
                        </w:rPr>
                      </w:pPr>
                      <w:hyperlink r:id="rId112" w:history="1">
                        <w:r>
                          <w:rPr>
                            <w:rStyle w:val="Hyperlink"/>
                            <w:rFonts w:ascii="Arial Narrow" w:hAnsi="Arial Narrow"/>
                            <w:color w:val="002060"/>
                          </w:rPr>
                          <w:t>Akcioni p</w:t>
                        </w:r>
                        <w:r w:rsidRPr="00C13146">
                          <w:rPr>
                            <w:rStyle w:val="Hyperlink"/>
                            <w:rFonts w:ascii="Arial Narrow" w:hAnsi="Arial Narrow"/>
                            <w:color w:val="002060"/>
                          </w:rPr>
                          <w:t>lan</w:t>
                        </w:r>
                        <w:r>
                          <w:rPr>
                            <w:rStyle w:val="Hyperlink"/>
                            <w:rFonts w:ascii="Arial Narrow" w:hAnsi="Arial Narrow"/>
                            <w:color w:val="002060"/>
                          </w:rPr>
                          <w:t xml:space="preserve"> za implementaciju Rezolucije Savjeta bezbjednosti Ujedinjenih nacija</w:t>
                        </w:r>
                        <w:r w:rsidRPr="00C13146">
                          <w:rPr>
                            <w:rStyle w:val="Hyperlink"/>
                            <w:rFonts w:ascii="Arial Narrow" w:hAnsi="Arial Narrow"/>
                            <w:color w:val="002060"/>
                          </w:rPr>
                          <w:t xml:space="preserve"> 1325 – </w:t>
                        </w:r>
                        <w:r>
                          <w:rPr>
                            <w:rStyle w:val="Hyperlink"/>
                            <w:rFonts w:ascii="Times New Roman" w:hAnsi="Times New Roman"/>
                            <w:color w:val="002060"/>
                          </w:rPr>
                          <w:t>Ž</w:t>
                        </w:r>
                        <w:r>
                          <w:rPr>
                            <w:rStyle w:val="Hyperlink"/>
                            <w:rFonts w:ascii="Arial Narrow" w:hAnsi="Arial Narrow"/>
                            <w:color w:val="002060"/>
                          </w:rPr>
                          <w:t>ene</w:t>
                        </w:r>
                        <w:r w:rsidRPr="00C13146">
                          <w:rPr>
                            <w:rStyle w:val="Hyperlink"/>
                            <w:rFonts w:ascii="Arial Narrow" w:hAnsi="Arial Narrow"/>
                            <w:color w:val="002060"/>
                          </w:rPr>
                          <w:t xml:space="preserve">, </w:t>
                        </w:r>
                        <w:r>
                          <w:rPr>
                            <w:rStyle w:val="Hyperlink"/>
                            <w:rFonts w:ascii="Arial Narrow" w:hAnsi="Arial Narrow"/>
                            <w:color w:val="002060"/>
                          </w:rPr>
                          <w:t>mir i bezbjednost</w:t>
                        </w:r>
                        <w:r w:rsidRPr="00C13146">
                          <w:rPr>
                            <w:rStyle w:val="Hyperlink"/>
                            <w:rFonts w:ascii="Arial Narrow" w:hAnsi="Arial Narrow"/>
                            <w:color w:val="002060"/>
                          </w:rPr>
                          <w:t xml:space="preserve"> (2019-2022)</w:t>
                        </w:r>
                      </w:hyperlink>
                      <w:r w:rsidRPr="00C13146">
                        <w:rPr>
                          <w:rStyle w:val="Hyperlink"/>
                          <w:rFonts w:ascii="Arial Narrow" w:hAnsi="Arial Narrow"/>
                          <w:color w:val="002060"/>
                        </w:rPr>
                        <w:t>°</w:t>
                      </w:r>
                    </w:p>
                  </w:txbxContent>
                </v:textbox>
                <w10:wrap anchorx="margin"/>
              </v:roundrect>
            </w:pict>
          </mc:Fallback>
        </mc:AlternateContent>
      </w:r>
    </w:p>
    <w:p w14:paraId="24231E41" w14:textId="77777777" w:rsidR="00047EF8" w:rsidRPr="00F563CD" w:rsidRDefault="00047EF8" w:rsidP="00047EF8">
      <w:pPr>
        <w:jc w:val="both"/>
        <w:rPr>
          <w:rFonts w:asciiTheme="minorHAnsi" w:hAnsiTheme="minorHAnsi"/>
          <w:sz w:val="24"/>
          <w:szCs w:val="24"/>
        </w:rPr>
      </w:pPr>
    </w:p>
    <w:p w14:paraId="724C6360" w14:textId="77777777" w:rsidR="00047EF8" w:rsidRPr="00F563CD" w:rsidRDefault="00047EF8" w:rsidP="00047EF8">
      <w:pPr>
        <w:jc w:val="both"/>
        <w:rPr>
          <w:rFonts w:asciiTheme="minorHAnsi" w:hAnsiTheme="minorHAnsi"/>
          <w:sz w:val="24"/>
          <w:szCs w:val="24"/>
        </w:rPr>
      </w:pPr>
    </w:p>
    <w:p w14:paraId="778D49D1" w14:textId="77777777" w:rsidR="00047EF8" w:rsidRPr="00F563CD" w:rsidRDefault="00047EF8" w:rsidP="00047EF8">
      <w:pPr>
        <w:jc w:val="both"/>
        <w:rPr>
          <w:rFonts w:asciiTheme="minorHAnsi" w:hAnsiTheme="minorHAnsi"/>
          <w:sz w:val="24"/>
          <w:szCs w:val="24"/>
        </w:rPr>
      </w:pPr>
    </w:p>
    <w:p w14:paraId="0255BF28" w14:textId="74A67B7D" w:rsidR="00047EF8" w:rsidRPr="00F563CD" w:rsidRDefault="007840BE" w:rsidP="00047EF8">
      <w:pPr>
        <w:jc w:val="both"/>
        <w:rPr>
          <w:rFonts w:asciiTheme="minorHAnsi" w:hAnsiTheme="minorHAnsi"/>
          <w:sz w:val="24"/>
          <w:szCs w:val="24"/>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08416" behindDoc="0" locked="0" layoutInCell="1" allowOverlap="1" wp14:anchorId="515A1E71" wp14:editId="3989C063">
                <wp:simplePos x="0" y="0"/>
                <wp:positionH relativeFrom="page">
                  <wp:posOffset>391795</wp:posOffset>
                </wp:positionH>
                <wp:positionV relativeFrom="paragraph">
                  <wp:posOffset>130810</wp:posOffset>
                </wp:positionV>
                <wp:extent cx="6758940" cy="334010"/>
                <wp:effectExtent l="0" t="0" r="3810" b="8890"/>
                <wp:wrapNone/>
                <wp:docPr id="161" name="Rounded 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8940" cy="334010"/>
                        </a:xfrm>
                        <a:prstGeom prst="roundRect">
                          <a:avLst/>
                        </a:prstGeom>
                        <a:solidFill>
                          <a:srgbClr val="002B82"/>
                        </a:solidFill>
                        <a:ln w="12700" cap="flat" cmpd="sng" algn="ctr">
                          <a:solidFill>
                            <a:srgbClr val="002B82"/>
                          </a:solidFill>
                          <a:prstDash val="solid"/>
                          <a:miter lim="800000"/>
                        </a:ln>
                        <a:effectLst/>
                      </wps:spPr>
                      <wps:txbx>
                        <w:txbxContent>
                          <w:p w14:paraId="4206752B" w14:textId="77777777" w:rsidR="006712E0" w:rsidRPr="004A6FD2" w:rsidRDefault="006712E0" w:rsidP="00047EF8">
                            <w:pPr>
                              <w:jc w:val="center"/>
                              <w:rPr>
                                <w:rFonts w:ascii="Arial" w:hAnsi="Arial" w:cs="Arial"/>
                                <w:b/>
                                <w:sz w:val="28"/>
                                <w:szCs w:val="28"/>
                              </w:rPr>
                            </w:pPr>
                            <w:r>
                              <w:rPr>
                                <w:rFonts w:ascii="Arial" w:hAnsi="Arial" w:cs="Arial"/>
                                <w:b/>
                                <w:sz w:val="28"/>
                                <w:szCs w:val="28"/>
                              </w:rPr>
                              <w:t xml:space="preserve">MINISTARSTVO VANJSKIH POSLOVA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A1E71" id="Rounded Rectangle 161" o:spid="_x0000_s1155" style="position:absolute;left:0;text-align:left;margin-left:30.85pt;margin-top:10.3pt;width:532.2pt;height:26.3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" fillcolor="#002b82" strokecolor="#002b82" strokeweight="1pt">
                <v:stroke joinstyle="miter"/>
                <v:path arrowok="t"/>
                <v:textbox>
                  <w:txbxContent>
                    <w:p w14:paraId="4206752B" w14:textId="77777777" w:rsidR="006712E0" w:rsidRPr="004A6FD2" w:rsidRDefault="006712E0" w:rsidP="00047EF8">
                      <w:pPr>
                        <w:jc w:val="center"/>
                        <w:rPr>
                          <w:rFonts w:ascii="Arial" w:hAnsi="Arial" w:cs="Arial"/>
                          <w:b/>
                          <w:sz w:val="28"/>
                          <w:szCs w:val="28"/>
                        </w:rPr>
                      </w:pPr>
                      <w:r>
                        <w:rPr>
                          <w:rFonts w:ascii="Arial" w:hAnsi="Arial" w:cs="Arial"/>
                          <w:b/>
                          <w:sz w:val="28"/>
                          <w:szCs w:val="28"/>
                        </w:rPr>
                        <w:t xml:space="preserve">MINISTARSTVO VANJSKIH POSLOVA </w:t>
                      </w:r>
                    </w:p>
                  </w:txbxContent>
                </v:textbox>
                <w10:wrap anchorx="page"/>
              </v:roundrect>
            </w:pict>
          </mc:Fallback>
        </mc:AlternateContent>
      </w:r>
    </w:p>
    <w:p w14:paraId="2E93081F" w14:textId="48702843" w:rsidR="00047EF8" w:rsidRPr="00F563CD" w:rsidRDefault="007840BE" w:rsidP="00047EF8">
      <w:pPr>
        <w:jc w:val="both"/>
        <w:rPr>
          <w:rFonts w:asciiTheme="minorHAnsi" w:hAnsiTheme="minorHAnsi"/>
          <w:sz w:val="24"/>
          <w:szCs w:val="24"/>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09440" behindDoc="0" locked="0" layoutInCell="1" allowOverlap="1" wp14:anchorId="094EC23A" wp14:editId="72CD48D6">
                <wp:simplePos x="0" y="0"/>
                <wp:positionH relativeFrom="page">
                  <wp:posOffset>391795</wp:posOffset>
                </wp:positionH>
                <wp:positionV relativeFrom="paragraph">
                  <wp:posOffset>294005</wp:posOffset>
                </wp:positionV>
                <wp:extent cx="6796405" cy="952500"/>
                <wp:effectExtent l="0" t="0" r="4445" b="0"/>
                <wp:wrapNone/>
                <wp:docPr id="162" name="Rounded 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6405" cy="952500"/>
                        </a:xfrm>
                        <a:prstGeom prst="roundRect">
                          <a:avLst/>
                        </a:prstGeom>
                        <a:solidFill>
                          <a:sysClr val="window" lastClr="FFFFFF"/>
                        </a:solidFill>
                        <a:ln w="12700" cap="flat" cmpd="sng" algn="ctr">
                          <a:solidFill>
                            <a:srgbClr val="002B82"/>
                          </a:solidFill>
                          <a:prstDash val="solid"/>
                          <a:miter lim="800000"/>
                        </a:ln>
                        <a:effectLst/>
                      </wps:spPr>
                      <wps:txbx>
                        <w:txbxContent>
                          <w:p w14:paraId="33BB87CB" w14:textId="77777777" w:rsidR="006712E0" w:rsidRPr="00FB4FF4" w:rsidRDefault="006712E0" w:rsidP="00047EF8">
                            <w:pPr>
                              <w:spacing w:after="0"/>
                              <w:rPr>
                                <w:rFonts w:ascii="Arial Narrow" w:hAnsi="Arial Narrow"/>
                                <w:b/>
                                <w:color w:val="002B82"/>
                                <w:sz w:val="24"/>
                                <w:szCs w:val="24"/>
                              </w:rPr>
                            </w:pPr>
                            <w:r w:rsidRPr="006336E7">
                              <w:rPr>
                                <w:rFonts w:ascii="Arial Narrow" w:hAnsi="Arial Narrow"/>
                                <w:b/>
                                <w:color w:val="002B82"/>
                                <w:sz w:val="24"/>
                                <w:szCs w:val="24"/>
                              </w:rPr>
                              <w:t>S</w:t>
                            </w:r>
                            <w:r>
                              <w:rPr>
                                <w:rFonts w:ascii="Arial Narrow" w:hAnsi="Arial Narrow"/>
                                <w:b/>
                                <w:color w:val="002B82"/>
                                <w:sz w:val="24"/>
                                <w:szCs w:val="24"/>
                              </w:rPr>
                              <w:t>EKTORSKE</w:t>
                            </w:r>
                            <w:r w:rsidRPr="006336E7">
                              <w:rPr>
                                <w:rFonts w:ascii="Arial Narrow" w:hAnsi="Arial Narrow"/>
                                <w:b/>
                                <w:color w:val="002B82"/>
                                <w:sz w:val="24"/>
                                <w:szCs w:val="24"/>
                              </w:rPr>
                              <w:t xml:space="preserve"> STRATEGI</w:t>
                            </w:r>
                            <w:r>
                              <w:rPr>
                                <w:rFonts w:ascii="Arial Narrow" w:hAnsi="Arial Narrow"/>
                                <w:b/>
                                <w:color w:val="002B82"/>
                                <w:sz w:val="24"/>
                                <w:szCs w:val="24"/>
                              </w:rPr>
                              <w:t>J</w:t>
                            </w:r>
                            <w:r w:rsidRPr="006336E7">
                              <w:rPr>
                                <w:rFonts w:ascii="Arial Narrow" w:hAnsi="Arial Narrow"/>
                                <w:b/>
                                <w:color w:val="002B82"/>
                                <w:sz w:val="24"/>
                                <w:szCs w:val="24"/>
                              </w:rPr>
                              <w:t>E</w:t>
                            </w:r>
                            <w:r w:rsidRPr="00FB4FF4">
                              <w:rPr>
                                <w:rFonts w:ascii="Arial Narrow" w:hAnsi="Arial Narrow"/>
                                <w:b/>
                                <w:color w:val="002B82"/>
                                <w:sz w:val="24"/>
                                <w:szCs w:val="24"/>
                              </w:rPr>
                              <w:t>:</w:t>
                            </w:r>
                            <w:r>
                              <w:rPr>
                                <w:rFonts w:ascii="Arial Narrow" w:hAnsi="Arial Narrow"/>
                                <w:b/>
                                <w:color w:val="002B82"/>
                                <w:sz w:val="24"/>
                                <w:szCs w:val="24"/>
                              </w:rPr>
                              <w:tab/>
                            </w:r>
                            <w:r>
                              <w:rPr>
                                <w:rFonts w:ascii="Arial Narrow" w:hAnsi="Arial Narrow"/>
                                <w:b/>
                                <w:color w:val="002B82"/>
                                <w:sz w:val="24"/>
                                <w:szCs w:val="24"/>
                              </w:rPr>
                              <w:tab/>
                            </w:r>
                            <w:r>
                              <w:rPr>
                                <w:rFonts w:ascii="Arial Narrow" w:hAnsi="Arial Narrow"/>
                                <w:b/>
                                <w:color w:val="002B82"/>
                                <w:sz w:val="24"/>
                                <w:szCs w:val="24"/>
                              </w:rPr>
                              <w:tab/>
                            </w:r>
                            <w:r>
                              <w:rPr>
                                <w:rFonts w:ascii="Arial Narrow" w:hAnsi="Arial Narrow"/>
                                <w:b/>
                                <w:color w:val="002B82"/>
                                <w:sz w:val="24"/>
                                <w:szCs w:val="24"/>
                              </w:rPr>
                              <w:tab/>
                            </w:r>
                            <w:r>
                              <w:rPr>
                                <w:rFonts w:ascii="Arial Narrow" w:hAnsi="Arial Narrow"/>
                                <w:b/>
                                <w:color w:val="002B82"/>
                                <w:sz w:val="24"/>
                                <w:szCs w:val="24"/>
                              </w:rPr>
                              <w:tab/>
                              <w:t>SEKTORSKI PROGRAMI:</w:t>
                            </w:r>
                          </w:p>
                          <w:p w14:paraId="3C553709" w14:textId="77777777" w:rsidR="006712E0" w:rsidRPr="007754C6" w:rsidRDefault="006712E0" w:rsidP="00047EF8">
                            <w:pPr>
                              <w:pStyle w:val="ListParagraph"/>
                              <w:numPr>
                                <w:ilvl w:val="0"/>
                                <w:numId w:val="96"/>
                              </w:numPr>
                              <w:spacing w:after="0"/>
                              <w:rPr>
                                <w:rStyle w:val="Hyperlink"/>
                                <w:rFonts w:ascii="Arial Narrow" w:hAnsi="Arial Narrow"/>
                                <w:b/>
                                <w:bCs/>
                                <w:color w:val="002060"/>
                              </w:rPr>
                            </w:pPr>
                            <w:r>
                              <w:rPr>
                                <w:rStyle w:val="Hyperlink"/>
                                <w:rFonts w:ascii="Arial Narrow" w:hAnsi="Arial Narrow"/>
                                <w:bCs/>
                                <w:color w:val="002060"/>
                              </w:rPr>
                              <w:t>Strategija za saradnju</w:t>
                            </w:r>
                            <w:r w:rsidRPr="00C30F7C">
                              <w:rPr>
                                <w:rStyle w:val="Hyperlink"/>
                                <w:rFonts w:ascii="Arial Narrow" w:hAnsi="Arial Narrow"/>
                                <w:bCs/>
                                <w:color w:val="002060"/>
                              </w:rPr>
                              <w:t xml:space="preserve"> </w:t>
                            </w:r>
                            <w:r>
                              <w:rPr>
                                <w:rStyle w:val="Hyperlink"/>
                                <w:rFonts w:ascii="Arial Narrow" w:hAnsi="Arial Narrow"/>
                                <w:bCs/>
                                <w:color w:val="002060"/>
                              </w:rPr>
                              <w:t>dijasporom</w:t>
                            </w:r>
                            <w:r w:rsidRPr="00C30F7C">
                              <w:rPr>
                                <w:rStyle w:val="Hyperlink"/>
                                <w:rFonts w:ascii="Arial Narrow" w:hAnsi="Arial Narrow"/>
                                <w:bCs/>
                                <w:color w:val="002060"/>
                              </w:rPr>
                              <w:t xml:space="preserve"> 2020-2023</w:t>
                            </w:r>
                            <w:r>
                              <w:rPr>
                                <w:rStyle w:val="Hyperlink"/>
                                <w:rFonts w:ascii="Arial Narrow" w:hAnsi="Arial Narrow"/>
                                <w:bCs/>
                                <w:color w:val="002060"/>
                              </w:rPr>
                              <w:t xml:space="preserve">                        Plan za implementaciju UPR preporuka</w:t>
                            </w:r>
                          </w:p>
                          <w:p w14:paraId="2C2D2844" w14:textId="77777777" w:rsidR="006712E0" w:rsidRPr="00FB4FF4" w:rsidRDefault="006712E0" w:rsidP="00047EF8">
                            <w:pPr>
                              <w:rPr>
                                <w:rFonts w:ascii="Arial Narrow" w:hAnsi="Arial Narrow"/>
                                <w:b/>
                                <w:color w:val="002B82"/>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EC23A" id="Rounded Rectangle 162" o:spid="_x0000_s1156" style="position:absolute;left:0;text-align:left;margin-left:30.85pt;margin-top:23.15pt;width:535.15pt;height: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" fillcolor="window" strokecolor="#002b82" strokeweight="1pt">
                <v:stroke joinstyle="miter"/>
                <v:path arrowok="t"/>
                <v:textbox>
                  <w:txbxContent>
                    <w:p w14:paraId="33BB87CB" w14:textId="77777777" w:rsidR="006712E0" w:rsidRPr="00FB4FF4" w:rsidRDefault="006712E0" w:rsidP="00047EF8">
                      <w:pPr>
                        <w:spacing w:after="0"/>
                        <w:rPr>
                          <w:rFonts w:ascii="Arial Narrow" w:hAnsi="Arial Narrow"/>
                          <w:b/>
                          <w:color w:val="002B82"/>
                          <w:sz w:val="24"/>
                          <w:szCs w:val="24"/>
                        </w:rPr>
                      </w:pPr>
                      <w:r w:rsidRPr="006336E7">
                        <w:rPr>
                          <w:rFonts w:ascii="Arial Narrow" w:hAnsi="Arial Narrow"/>
                          <w:b/>
                          <w:color w:val="002B82"/>
                          <w:sz w:val="24"/>
                          <w:szCs w:val="24"/>
                        </w:rPr>
                        <w:t>S</w:t>
                      </w:r>
                      <w:r>
                        <w:rPr>
                          <w:rFonts w:ascii="Arial Narrow" w:hAnsi="Arial Narrow"/>
                          <w:b/>
                          <w:color w:val="002B82"/>
                          <w:sz w:val="24"/>
                          <w:szCs w:val="24"/>
                        </w:rPr>
                        <w:t>EKTORSKE</w:t>
                      </w:r>
                      <w:r w:rsidRPr="006336E7">
                        <w:rPr>
                          <w:rFonts w:ascii="Arial Narrow" w:hAnsi="Arial Narrow"/>
                          <w:b/>
                          <w:color w:val="002B82"/>
                          <w:sz w:val="24"/>
                          <w:szCs w:val="24"/>
                        </w:rPr>
                        <w:t xml:space="preserve"> STRATEGI</w:t>
                      </w:r>
                      <w:r>
                        <w:rPr>
                          <w:rFonts w:ascii="Arial Narrow" w:hAnsi="Arial Narrow"/>
                          <w:b/>
                          <w:color w:val="002B82"/>
                          <w:sz w:val="24"/>
                          <w:szCs w:val="24"/>
                        </w:rPr>
                        <w:t>J</w:t>
                      </w:r>
                      <w:r w:rsidRPr="006336E7">
                        <w:rPr>
                          <w:rFonts w:ascii="Arial Narrow" w:hAnsi="Arial Narrow"/>
                          <w:b/>
                          <w:color w:val="002B82"/>
                          <w:sz w:val="24"/>
                          <w:szCs w:val="24"/>
                        </w:rPr>
                        <w:t>E</w:t>
                      </w:r>
                      <w:r w:rsidRPr="00FB4FF4">
                        <w:rPr>
                          <w:rFonts w:ascii="Arial Narrow" w:hAnsi="Arial Narrow"/>
                          <w:b/>
                          <w:color w:val="002B82"/>
                          <w:sz w:val="24"/>
                          <w:szCs w:val="24"/>
                        </w:rPr>
                        <w:t>:</w:t>
                      </w:r>
                      <w:r>
                        <w:rPr>
                          <w:rFonts w:ascii="Arial Narrow" w:hAnsi="Arial Narrow"/>
                          <w:b/>
                          <w:color w:val="002B82"/>
                          <w:sz w:val="24"/>
                          <w:szCs w:val="24"/>
                        </w:rPr>
                        <w:tab/>
                      </w:r>
                      <w:r>
                        <w:rPr>
                          <w:rFonts w:ascii="Arial Narrow" w:hAnsi="Arial Narrow"/>
                          <w:b/>
                          <w:color w:val="002B82"/>
                          <w:sz w:val="24"/>
                          <w:szCs w:val="24"/>
                        </w:rPr>
                        <w:tab/>
                      </w:r>
                      <w:r>
                        <w:rPr>
                          <w:rFonts w:ascii="Arial Narrow" w:hAnsi="Arial Narrow"/>
                          <w:b/>
                          <w:color w:val="002B82"/>
                          <w:sz w:val="24"/>
                          <w:szCs w:val="24"/>
                        </w:rPr>
                        <w:tab/>
                      </w:r>
                      <w:r>
                        <w:rPr>
                          <w:rFonts w:ascii="Arial Narrow" w:hAnsi="Arial Narrow"/>
                          <w:b/>
                          <w:color w:val="002B82"/>
                          <w:sz w:val="24"/>
                          <w:szCs w:val="24"/>
                        </w:rPr>
                        <w:tab/>
                      </w:r>
                      <w:r>
                        <w:rPr>
                          <w:rFonts w:ascii="Arial Narrow" w:hAnsi="Arial Narrow"/>
                          <w:b/>
                          <w:color w:val="002B82"/>
                          <w:sz w:val="24"/>
                          <w:szCs w:val="24"/>
                        </w:rPr>
                        <w:tab/>
                        <w:t>SEKTORSKI PROGRAMI:</w:t>
                      </w:r>
                    </w:p>
                    <w:p w14:paraId="3C553709" w14:textId="77777777" w:rsidR="006712E0" w:rsidRPr="007754C6" w:rsidRDefault="006712E0" w:rsidP="00047EF8">
                      <w:pPr>
                        <w:pStyle w:val="ListParagraph"/>
                        <w:numPr>
                          <w:ilvl w:val="0"/>
                          <w:numId w:val="96"/>
                        </w:numPr>
                        <w:spacing w:after="0"/>
                        <w:rPr>
                          <w:rStyle w:val="Hyperlink"/>
                          <w:rFonts w:ascii="Arial Narrow" w:hAnsi="Arial Narrow"/>
                          <w:b/>
                          <w:bCs/>
                          <w:color w:val="002060"/>
                        </w:rPr>
                      </w:pPr>
                      <w:r>
                        <w:rPr>
                          <w:rStyle w:val="Hyperlink"/>
                          <w:rFonts w:ascii="Arial Narrow" w:hAnsi="Arial Narrow"/>
                          <w:bCs/>
                          <w:color w:val="002060"/>
                        </w:rPr>
                        <w:t>Strategija za saradnju</w:t>
                      </w:r>
                      <w:r w:rsidRPr="00C30F7C">
                        <w:rPr>
                          <w:rStyle w:val="Hyperlink"/>
                          <w:rFonts w:ascii="Arial Narrow" w:hAnsi="Arial Narrow"/>
                          <w:bCs/>
                          <w:color w:val="002060"/>
                        </w:rPr>
                        <w:t xml:space="preserve"> </w:t>
                      </w:r>
                      <w:r>
                        <w:rPr>
                          <w:rStyle w:val="Hyperlink"/>
                          <w:rFonts w:ascii="Arial Narrow" w:hAnsi="Arial Narrow"/>
                          <w:bCs/>
                          <w:color w:val="002060"/>
                        </w:rPr>
                        <w:t>dijasporom</w:t>
                      </w:r>
                      <w:r w:rsidRPr="00C30F7C">
                        <w:rPr>
                          <w:rStyle w:val="Hyperlink"/>
                          <w:rFonts w:ascii="Arial Narrow" w:hAnsi="Arial Narrow"/>
                          <w:bCs/>
                          <w:color w:val="002060"/>
                        </w:rPr>
                        <w:t xml:space="preserve"> 2020-2023</w:t>
                      </w:r>
                      <w:r>
                        <w:rPr>
                          <w:rStyle w:val="Hyperlink"/>
                          <w:rFonts w:ascii="Arial Narrow" w:hAnsi="Arial Narrow"/>
                          <w:bCs/>
                          <w:color w:val="002060"/>
                        </w:rPr>
                        <w:t xml:space="preserve">                        Plan za implementaciju UPR preporuka</w:t>
                      </w:r>
                    </w:p>
                    <w:p w14:paraId="2C2D2844" w14:textId="77777777" w:rsidR="006712E0" w:rsidRPr="00FB4FF4" w:rsidRDefault="006712E0" w:rsidP="00047EF8">
                      <w:pPr>
                        <w:rPr>
                          <w:rFonts w:ascii="Arial Narrow" w:hAnsi="Arial Narrow"/>
                          <w:b/>
                          <w:color w:val="002B82"/>
                          <w:sz w:val="24"/>
                          <w:szCs w:val="24"/>
                        </w:rPr>
                      </w:pPr>
                    </w:p>
                  </w:txbxContent>
                </v:textbox>
                <w10:wrap anchorx="page"/>
              </v:roundrect>
            </w:pict>
          </mc:Fallback>
        </mc:AlternateContent>
      </w:r>
    </w:p>
    <w:tbl>
      <w:tblPr>
        <w:tblpPr w:leftFromText="180" w:rightFromText="180" w:vertAnchor="text" w:tblpX="5041"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47EF8" w:rsidRPr="00F563CD" w14:paraId="1D017741" w14:textId="77777777" w:rsidTr="00A239C5">
        <w:trPr>
          <w:trHeight w:val="1230"/>
        </w:trPr>
        <w:tc>
          <w:tcPr>
            <w:tcW w:w="324" w:type="dxa"/>
          </w:tcPr>
          <w:p w14:paraId="59AB55A5" w14:textId="77777777" w:rsidR="00047EF8" w:rsidRPr="00F563CD" w:rsidRDefault="00047EF8" w:rsidP="00A239C5">
            <w:pPr>
              <w:jc w:val="both"/>
              <w:rPr>
                <w:rFonts w:asciiTheme="minorHAnsi" w:hAnsiTheme="minorHAnsi"/>
                <w:sz w:val="24"/>
                <w:szCs w:val="24"/>
              </w:rPr>
            </w:pPr>
          </w:p>
        </w:tc>
      </w:tr>
    </w:tbl>
    <w:p w14:paraId="5C48CA0F" w14:textId="3EFC0932" w:rsidR="00047EF8" w:rsidRPr="00F563CD" w:rsidRDefault="00047EF8" w:rsidP="00047EF8">
      <w:pPr>
        <w:jc w:val="both"/>
        <w:rPr>
          <w:rFonts w:asciiTheme="minorHAnsi" w:hAnsiTheme="minorHAnsi"/>
          <w:sz w:val="24"/>
          <w:szCs w:val="24"/>
        </w:rPr>
      </w:pPr>
    </w:p>
    <w:p w14:paraId="6F7C8C4B" w14:textId="77777777" w:rsidR="00047EF8" w:rsidRPr="00F563CD" w:rsidRDefault="00047EF8" w:rsidP="00047EF8">
      <w:pPr>
        <w:jc w:val="both"/>
        <w:rPr>
          <w:rFonts w:asciiTheme="minorHAnsi" w:hAnsiTheme="minorHAnsi"/>
          <w:sz w:val="24"/>
          <w:szCs w:val="24"/>
        </w:rPr>
      </w:pPr>
    </w:p>
    <w:p w14:paraId="181F1A33" w14:textId="77777777" w:rsidR="00047EF8" w:rsidRPr="00F563CD" w:rsidRDefault="00047EF8" w:rsidP="00047EF8">
      <w:pPr>
        <w:jc w:val="both"/>
        <w:rPr>
          <w:rFonts w:asciiTheme="minorHAnsi" w:hAnsiTheme="minorHAnsi"/>
          <w:sz w:val="24"/>
          <w:szCs w:val="24"/>
        </w:rPr>
      </w:pPr>
    </w:p>
    <w:p w14:paraId="7C3CE13A" w14:textId="77777777" w:rsidR="00047EF8" w:rsidRPr="00F563CD" w:rsidRDefault="00047EF8" w:rsidP="00047EF8">
      <w:pPr>
        <w:jc w:val="both"/>
        <w:rPr>
          <w:rFonts w:asciiTheme="minorHAnsi" w:hAnsiTheme="minorHAnsi"/>
          <w:sz w:val="24"/>
          <w:szCs w:val="24"/>
        </w:rPr>
      </w:pPr>
    </w:p>
    <w:p w14:paraId="469971F2" w14:textId="2C1E6CFD" w:rsidR="00047EF8" w:rsidRPr="00F563CD" w:rsidRDefault="007840BE" w:rsidP="00047EF8">
      <w:pPr>
        <w:jc w:val="both"/>
        <w:rPr>
          <w:rFonts w:asciiTheme="minorHAnsi" w:hAnsiTheme="minorHAnsi"/>
          <w:sz w:val="24"/>
          <w:szCs w:val="24"/>
        </w:rPr>
      </w:pPr>
      <w:r w:rsidRPr="00F563CD">
        <w:rPr>
          <w:rFonts w:asciiTheme="minorHAnsi" w:hAnsiTheme="minorHAnsi"/>
          <w:noProof/>
          <w:color w:val="FFFFFF" w:themeColor="background1"/>
          <w:sz w:val="24"/>
          <w:szCs w:val="24"/>
          <w:u w:color="FFFFFF" w:themeColor="background1"/>
          <w:lang w:val="en-US" w:eastAsia="en-US"/>
        </w:rPr>
        <w:lastRenderedPageBreak/>
        <mc:AlternateContent>
          <mc:Choice Requires="wps">
            <w:drawing>
              <wp:anchor distT="0" distB="0" distL="114300" distR="114300" simplePos="0" relativeHeight="251710464" behindDoc="0" locked="0" layoutInCell="1" allowOverlap="1" wp14:anchorId="2D7DD123" wp14:editId="693EDFD9">
                <wp:simplePos x="0" y="0"/>
                <wp:positionH relativeFrom="margin">
                  <wp:posOffset>104775</wp:posOffset>
                </wp:positionH>
                <wp:positionV relativeFrom="paragraph">
                  <wp:posOffset>9525</wp:posOffset>
                </wp:positionV>
                <wp:extent cx="5495925" cy="657225"/>
                <wp:effectExtent l="0" t="0" r="9525" b="9525"/>
                <wp:wrapNone/>
                <wp:docPr id="163" name="Rounded 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657225"/>
                        </a:xfrm>
                        <a:prstGeom prst="roundRect">
                          <a:avLst/>
                        </a:prstGeom>
                        <a:solidFill>
                          <a:srgbClr val="0242A0"/>
                        </a:solidFill>
                        <a:ln w="12700" cap="flat" cmpd="sng" algn="ctr">
                          <a:solidFill>
                            <a:srgbClr val="0242A0"/>
                          </a:solidFill>
                          <a:prstDash val="solid"/>
                          <a:miter lim="800000"/>
                        </a:ln>
                        <a:effectLst/>
                      </wps:spPr>
                      <wps:txbx>
                        <w:txbxContent>
                          <w:p w14:paraId="39C82963" w14:textId="77777777" w:rsidR="006712E0" w:rsidRPr="004A6FD2" w:rsidRDefault="006712E0" w:rsidP="00047EF8">
                            <w:pPr>
                              <w:jc w:val="center"/>
                              <w:rPr>
                                <w:rFonts w:ascii="Arial" w:hAnsi="Arial" w:cs="Arial"/>
                                <w:b/>
                                <w:caps/>
                                <w:sz w:val="28"/>
                                <w:szCs w:val="28"/>
                              </w:rPr>
                            </w:pPr>
                            <w:r>
                              <w:rPr>
                                <w:rFonts w:ascii="Arial" w:hAnsi="Arial" w:cs="Arial"/>
                                <w:b/>
                                <w:caps/>
                                <w:sz w:val="28"/>
                                <w:szCs w:val="28"/>
                              </w:rPr>
                              <w:t xml:space="preserve">KANCELARIJA ZA EVROPSKE INTEGRACIJE I GENERALNI SEKRETARIJAT VLADE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DD123" id="Rounded Rectangle 163" o:spid="_x0000_s1157" style="position:absolute;left:0;text-align:left;margin-left:8.25pt;margin-top:.75pt;width:432.75pt;height:51.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" fillcolor="#0242a0" strokecolor="#0242a0" strokeweight="1pt">
                <v:stroke joinstyle="miter"/>
                <v:path arrowok="t"/>
                <v:textbox>
                  <w:txbxContent>
                    <w:p w14:paraId="39C82963" w14:textId="77777777" w:rsidR="006712E0" w:rsidRPr="004A6FD2" w:rsidRDefault="006712E0" w:rsidP="00047EF8">
                      <w:pPr>
                        <w:jc w:val="center"/>
                        <w:rPr>
                          <w:rFonts w:ascii="Arial" w:hAnsi="Arial" w:cs="Arial"/>
                          <w:b/>
                          <w:caps/>
                          <w:sz w:val="28"/>
                          <w:szCs w:val="28"/>
                        </w:rPr>
                      </w:pPr>
                      <w:r>
                        <w:rPr>
                          <w:rFonts w:ascii="Arial" w:hAnsi="Arial" w:cs="Arial"/>
                          <w:b/>
                          <w:caps/>
                          <w:sz w:val="28"/>
                          <w:szCs w:val="28"/>
                        </w:rPr>
                        <w:t xml:space="preserve">KANCELARIJA ZA EVROPSKE INTEGRACIJE I GENERALNI SEKRETARIJAT VLADE </w:t>
                      </w:r>
                    </w:p>
                  </w:txbxContent>
                </v:textbox>
                <w10:wrap anchorx="margin"/>
              </v:roundrect>
            </w:pict>
          </mc:Fallback>
        </mc:AlternateContent>
      </w:r>
    </w:p>
    <w:p w14:paraId="07B51EC5" w14:textId="22E684A2" w:rsidR="00047EF8" w:rsidRPr="00F563CD" w:rsidRDefault="007840BE" w:rsidP="00047EF8">
      <w:pPr>
        <w:jc w:val="both"/>
        <w:rPr>
          <w:rFonts w:asciiTheme="minorHAnsi" w:hAnsiTheme="minorHAnsi"/>
          <w:sz w:val="24"/>
          <w:szCs w:val="24"/>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11488" behindDoc="0" locked="0" layoutInCell="1" allowOverlap="1" wp14:anchorId="4ECCE9AE" wp14:editId="6FAEE079">
                <wp:simplePos x="0" y="0"/>
                <wp:positionH relativeFrom="margin">
                  <wp:posOffset>-169545</wp:posOffset>
                </wp:positionH>
                <wp:positionV relativeFrom="paragraph">
                  <wp:posOffset>-280035</wp:posOffset>
                </wp:positionV>
                <wp:extent cx="6867525" cy="733425"/>
                <wp:effectExtent l="0" t="0" r="9525" b="9525"/>
                <wp:wrapNone/>
                <wp:docPr id="164" name="Rounded 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733425"/>
                        </a:xfrm>
                        <a:prstGeom prst="roundRect">
                          <a:avLst/>
                        </a:prstGeom>
                        <a:solidFill>
                          <a:sysClr val="window" lastClr="FFFFFF"/>
                        </a:solidFill>
                        <a:ln w="12700" cap="flat" cmpd="sng" algn="ctr">
                          <a:solidFill>
                            <a:srgbClr val="0242A0"/>
                          </a:solidFill>
                          <a:prstDash val="solid"/>
                          <a:miter lim="800000"/>
                        </a:ln>
                        <a:effectLst/>
                      </wps:spPr>
                      <wps:txbx>
                        <w:txbxContent>
                          <w:p w14:paraId="4B4298C6" w14:textId="77777777" w:rsidR="006712E0" w:rsidRPr="00FB4FF4" w:rsidRDefault="006712E0" w:rsidP="00047EF8">
                            <w:pPr>
                              <w:jc w:val="center"/>
                              <w:rPr>
                                <w:rFonts w:ascii="Arial Narrow" w:hAnsi="Arial Narrow"/>
                                <w:b/>
                                <w:color w:val="0242A0"/>
                                <w:sz w:val="24"/>
                                <w:szCs w:val="24"/>
                              </w:rPr>
                            </w:pPr>
                            <w:r>
                              <w:rPr>
                                <w:rFonts w:ascii="Arial Narrow" w:hAnsi="Arial Narrow"/>
                                <w:b/>
                                <w:color w:val="0242A0"/>
                                <w:sz w:val="24"/>
                                <w:szCs w:val="24"/>
                              </w:rPr>
                              <w:t>KROVNI DOKUMENTI</w:t>
                            </w:r>
                            <w:r w:rsidRPr="00FB4FF4">
                              <w:rPr>
                                <w:rFonts w:ascii="Arial Narrow" w:hAnsi="Arial Narrow"/>
                                <w:b/>
                                <w:color w:val="0242A0"/>
                                <w:sz w:val="24"/>
                                <w:szCs w:val="24"/>
                              </w:rPr>
                              <w:t>:</w:t>
                            </w:r>
                          </w:p>
                          <w:p w14:paraId="54EBD239" w14:textId="77777777" w:rsidR="006712E0" w:rsidRPr="00FB4FF4" w:rsidRDefault="006712E0" w:rsidP="00047EF8">
                            <w:pPr>
                              <w:rPr>
                                <w:rFonts w:ascii="Arial Narrow" w:hAnsi="Arial Narrow"/>
                                <w:b/>
                                <w:color w:val="0242A0"/>
                              </w:rPr>
                            </w:pPr>
                            <w:r>
                              <w:rPr>
                                <w:rFonts w:ascii="Arial Narrow" w:hAnsi="Arial Narrow"/>
                                <w:b/>
                                <w:color w:val="0242A0"/>
                              </w:rPr>
                              <w:t>Program pristupanja Crne Gore Evropskoj uniji 2020-2022.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CE9AE" id="Rounded Rectangle 164" o:spid="_x0000_s1158" style="position:absolute;left:0;text-align:left;margin-left:-13.35pt;margin-top:-22.05pt;width:540.75pt;height:57.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" fillcolor="window" strokecolor="#0242a0" strokeweight="1pt">
                <v:stroke joinstyle="miter"/>
                <v:path arrowok="t"/>
                <v:textbox>
                  <w:txbxContent>
                    <w:p w14:paraId="4B4298C6" w14:textId="77777777" w:rsidR="006712E0" w:rsidRPr="00FB4FF4" w:rsidRDefault="006712E0" w:rsidP="00047EF8">
                      <w:pPr>
                        <w:jc w:val="center"/>
                        <w:rPr>
                          <w:rFonts w:ascii="Arial Narrow" w:hAnsi="Arial Narrow"/>
                          <w:b/>
                          <w:color w:val="0242A0"/>
                          <w:sz w:val="24"/>
                          <w:szCs w:val="24"/>
                        </w:rPr>
                      </w:pPr>
                      <w:r>
                        <w:rPr>
                          <w:rFonts w:ascii="Arial Narrow" w:hAnsi="Arial Narrow"/>
                          <w:b/>
                          <w:color w:val="0242A0"/>
                          <w:sz w:val="24"/>
                          <w:szCs w:val="24"/>
                        </w:rPr>
                        <w:t>KROVNI DOKUMENTI</w:t>
                      </w:r>
                      <w:r w:rsidRPr="00FB4FF4">
                        <w:rPr>
                          <w:rFonts w:ascii="Arial Narrow" w:hAnsi="Arial Narrow"/>
                          <w:b/>
                          <w:color w:val="0242A0"/>
                          <w:sz w:val="24"/>
                          <w:szCs w:val="24"/>
                        </w:rPr>
                        <w:t>:</w:t>
                      </w:r>
                    </w:p>
                    <w:p w14:paraId="54EBD239" w14:textId="77777777" w:rsidR="006712E0" w:rsidRPr="00FB4FF4" w:rsidRDefault="006712E0" w:rsidP="00047EF8">
                      <w:pPr>
                        <w:rPr>
                          <w:rFonts w:ascii="Arial Narrow" w:hAnsi="Arial Narrow"/>
                          <w:b/>
                          <w:color w:val="0242A0"/>
                        </w:rPr>
                      </w:pPr>
                      <w:r>
                        <w:rPr>
                          <w:rFonts w:ascii="Arial Narrow" w:hAnsi="Arial Narrow"/>
                          <w:b/>
                          <w:color w:val="0242A0"/>
                        </w:rPr>
                        <w:t>Program pristupanja Crne Gore Evropskoj uniji 2020-2022.</w:t>
                      </w:r>
                    </w:p>
                  </w:txbxContent>
                </v:textbox>
                <w10:wrap anchorx="margin"/>
              </v:roundrect>
            </w:pict>
          </mc:Fallback>
        </mc:AlternateContent>
      </w:r>
    </w:p>
    <w:p w14:paraId="4A6A147A" w14:textId="77777777" w:rsidR="00047EF8" w:rsidRPr="00F563CD" w:rsidRDefault="00047EF8" w:rsidP="00047EF8">
      <w:pPr>
        <w:jc w:val="both"/>
        <w:rPr>
          <w:rFonts w:asciiTheme="minorHAnsi" w:hAnsiTheme="minorHAnsi"/>
          <w:sz w:val="24"/>
          <w:szCs w:val="24"/>
        </w:rPr>
      </w:pPr>
    </w:p>
    <w:p w14:paraId="62A06CE7" w14:textId="35A7D828" w:rsidR="00047EF8" w:rsidRPr="00F563CD" w:rsidRDefault="007840BE" w:rsidP="00047EF8">
      <w:pPr>
        <w:jc w:val="both"/>
        <w:rPr>
          <w:rFonts w:asciiTheme="minorHAnsi" w:hAnsiTheme="minorHAnsi"/>
          <w:sz w:val="24"/>
          <w:szCs w:val="24"/>
        </w:rPr>
      </w:pPr>
      <w:r w:rsidRPr="00F563CD">
        <w:rPr>
          <w:rFonts w:asciiTheme="minorHAnsi" w:hAnsiTheme="minorHAnsi"/>
          <w:noProof/>
          <w:color w:val="FFFFFF" w:themeColor="background1"/>
          <w:sz w:val="24"/>
          <w:szCs w:val="24"/>
          <w:u w:color="FFFFFF" w:themeColor="background1"/>
          <w:lang w:val="en-US" w:eastAsia="en-US"/>
        </w:rPr>
        <mc:AlternateContent>
          <mc:Choice Requires="wps">
            <w:drawing>
              <wp:anchor distT="0" distB="0" distL="114300" distR="114300" simplePos="0" relativeHeight="251712512" behindDoc="0" locked="0" layoutInCell="1" allowOverlap="1" wp14:anchorId="262D9A5E" wp14:editId="6D281483">
                <wp:simplePos x="0" y="0"/>
                <wp:positionH relativeFrom="margin">
                  <wp:posOffset>-114300</wp:posOffset>
                </wp:positionH>
                <wp:positionV relativeFrom="paragraph">
                  <wp:posOffset>160655</wp:posOffset>
                </wp:positionV>
                <wp:extent cx="6886575" cy="742950"/>
                <wp:effectExtent l="0" t="0" r="9525" b="0"/>
                <wp:wrapNone/>
                <wp:docPr id="165" name="Rounded 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6575" cy="742950"/>
                        </a:xfrm>
                        <a:prstGeom prst="roundRect">
                          <a:avLst/>
                        </a:prstGeom>
                        <a:solidFill>
                          <a:sysClr val="window" lastClr="FFFFFF"/>
                        </a:solidFill>
                        <a:ln w="12700" cap="flat" cmpd="sng" algn="ctr">
                          <a:solidFill>
                            <a:srgbClr val="0242A0"/>
                          </a:solidFill>
                          <a:prstDash val="solid"/>
                          <a:miter lim="800000"/>
                        </a:ln>
                        <a:effectLst/>
                      </wps:spPr>
                      <wps:txbx>
                        <w:txbxContent>
                          <w:p w14:paraId="1618E9B4" w14:textId="77777777" w:rsidR="006712E0" w:rsidRPr="00FB4FF4" w:rsidRDefault="006712E0" w:rsidP="00047EF8">
                            <w:pPr>
                              <w:jc w:val="center"/>
                              <w:rPr>
                                <w:rFonts w:ascii="Arial Narrow" w:hAnsi="Arial Narrow"/>
                                <w:b/>
                                <w:color w:val="0242A0"/>
                                <w:sz w:val="24"/>
                                <w:szCs w:val="24"/>
                              </w:rPr>
                            </w:pPr>
                            <w:r>
                              <w:rPr>
                                <w:rFonts w:ascii="Arial Narrow" w:hAnsi="Arial Narrow"/>
                                <w:b/>
                                <w:color w:val="0242A0"/>
                                <w:sz w:val="24"/>
                                <w:szCs w:val="24"/>
                              </w:rPr>
                              <w:t>SEKTORSKE STRATEGIJ</w:t>
                            </w:r>
                            <w:r w:rsidRPr="00FB4FF4">
                              <w:rPr>
                                <w:rFonts w:ascii="Arial Narrow" w:hAnsi="Arial Narrow"/>
                                <w:b/>
                                <w:color w:val="0242A0"/>
                                <w:sz w:val="24"/>
                                <w:szCs w:val="24"/>
                              </w:rPr>
                              <w:t>E:</w:t>
                            </w:r>
                          </w:p>
                          <w:p w14:paraId="54CA5FF4" w14:textId="77777777" w:rsidR="006712E0" w:rsidRPr="00C30F7C" w:rsidRDefault="006712E0" w:rsidP="00047EF8">
                            <w:pPr>
                              <w:jc w:val="both"/>
                              <w:rPr>
                                <w:rStyle w:val="Hyperlink"/>
                                <w:rFonts w:ascii="Arial Narrow" w:hAnsi="Arial Narrow"/>
                                <w:b/>
                                <w:color w:val="0242A0"/>
                              </w:rPr>
                            </w:pPr>
                            <w:r>
                              <w:rPr>
                                <w:rStyle w:val="Hyperlink"/>
                                <w:rFonts w:ascii="Arial Narrow" w:hAnsi="Arial Narrow"/>
                                <w:color w:val="0242A0"/>
                              </w:rPr>
                              <w:t>Strategija informisanja javnosti o pristupanju Crne Gore Evropskoj uniji</w:t>
                            </w:r>
                            <w:r w:rsidRPr="00C30F7C">
                              <w:rPr>
                                <w:rStyle w:val="Hyperlink"/>
                                <w:rFonts w:ascii="Arial Narrow" w:hAnsi="Arial Narrow"/>
                                <w:color w:val="0242A0"/>
                              </w:rPr>
                              <w:t xml:space="preserve"> 2019-2023.</w:t>
                            </w:r>
                          </w:p>
                          <w:p w14:paraId="72CFEB01" w14:textId="77777777" w:rsidR="006712E0" w:rsidRPr="003D03EB" w:rsidRDefault="006712E0" w:rsidP="00047EF8">
                            <w:pPr>
                              <w:rPr>
                                <w:rFonts w:ascii="Arial Narrow" w:hAnsi="Arial Narrow"/>
                                <w:b/>
                                <w:color w:val="0242A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D9A5E" id="Rounded Rectangle 165" o:spid="_x0000_s1159" style="position:absolute;left:0;text-align:left;margin-left:-9pt;margin-top:12.65pt;width:542.25pt;height:5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" fillcolor="window" strokecolor="#0242a0" strokeweight="1pt">
                <v:stroke joinstyle="miter"/>
                <v:path arrowok="t"/>
                <v:textbox>
                  <w:txbxContent>
                    <w:p w14:paraId="1618E9B4" w14:textId="77777777" w:rsidR="006712E0" w:rsidRPr="00FB4FF4" w:rsidRDefault="006712E0" w:rsidP="00047EF8">
                      <w:pPr>
                        <w:jc w:val="center"/>
                        <w:rPr>
                          <w:rFonts w:ascii="Arial Narrow" w:hAnsi="Arial Narrow"/>
                          <w:b/>
                          <w:color w:val="0242A0"/>
                          <w:sz w:val="24"/>
                          <w:szCs w:val="24"/>
                        </w:rPr>
                      </w:pPr>
                      <w:r>
                        <w:rPr>
                          <w:rFonts w:ascii="Arial Narrow" w:hAnsi="Arial Narrow"/>
                          <w:b/>
                          <w:color w:val="0242A0"/>
                          <w:sz w:val="24"/>
                          <w:szCs w:val="24"/>
                        </w:rPr>
                        <w:t>SEKTORSKE STRATEGIJ</w:t>
                      </w:r>
                      <w:r w:rsidRPr="00FB4FF4">
                        <w:rPr>
                          <w:rFonts w:ascii="Arial Narrow" w:hAnsi="Arial Narrow"/>
                          <w:b/>
                          <w:color w:val="0242A0"/>
                          <w:sz w:val="24"/>
                          <w:szCs w:val="24"/>
                        </w:rPr>
                        <w:t>E:</w:t>
                      </w:r>
                    </w:p>
                    <w:p w14:paraId="54CA5FF4" w14:textId="77777777" w:rsidR="006712E0" w:rsidRPr="00C30F7C" w:rsidRDefault="006712E0" w:rsidP="00047EF8">
                      <w:pPr>
                        <w:jc w:val="both"/>
                        <w:rPr>
                          <w:rStyle w:val="Hyperlink"/>
                          <w:rFonts w:ascii="Arial Narrow" w:hAnsi="Arial Narrow"/>
                          <w:b/>
                          <w:color w:val="0242A0"/>
                        </w:rPr>
                      </w:pPr>
                      <w:r>
                        <w:rPr>
                          <w:rStyle w:val="Hyperlink"/>
                          <w:rFonts w:ascii="Arial Narrow" w:hAnsi="Arial Narrow"/>
                          <w:color w:val="0242A0"/>
                        </w:rPr>
                        <w:t>Strategija informisanja javnosti o pristupanju Crne Gore Evropskoj uniji</w:t>
                      </w:r>
                      <w:r w:rsidRPr="00C30F7C">
                        <w:rPr>
                          <w:rStyle w:val="Hyperlink"/>
                          <w:rFonts w:ascii="Arial Narrow" w:hAnsi="Arial Narrow"/>
                          <w:color w:val="0242A0"/>
                        </w:rPr>
                        <w:t xml:space="preserve"> 2019-2023.</w:t>
                      </w:r>
                    </w:p>
                    <w:p w14:paraId="72CFEB01" w14:textId="77777777" w:rsidR="006712E0" w:rsidRPr="003D03EB" w:rsidRDefault="006712E0" w:rsidP="00047EF8">
                      <w:pPr>
                        <w:rPr>
                          <w:rFonts w:ascii="Arial Narrow" w:hAnsi="Arial Narrow"/>
                          <w:b/>
                          <w:color w:val="0242A0"/>
                          <w:sz w:val="24"/>
                          <w:szCs w:val="24"/>
                        </w:rPr>
                      </w:pPr>
                    </w:p>
                  </w:txbxContent>
                </v:textbox>
                <w10:wrap anchorx="margin"/>
              </v:roundrect>
            </w:pict>
          </mc:Fallback>
        </mc:AlternateContent>
      </w:r>
    </w:p>
    <w:p w14:paraId="3F7EB8ED" w14:textId="77777777" w:rsidR="00047EF8" w:rsidRPr="00F563CD" w:rsidRDefault="00047EF8" w:rsidP="00047EF8">
      <w:pPr>
        <w:jc w:val="both"/>
        <w:rPr>
          <w:rFonts w:asciiTheme="minorHAnsi" w:hAnsiTheme="minorHAnsi" w:cs="Arial"/>
          <w:b/>
          <w:bCs/>
          <w:sz w:val="24"/>
          <w:szCs w:val="24"/>
        </w:rPr>
      </w:pPr>
    </w:p>
    <w:p w14:paraId="7B894239"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5BBE74A6"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348DEC88"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43B7EA48"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01A3B3F0"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003AA142"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644914C0"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62AE02CB"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48AE0F8B"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5897339E"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3BA4125C"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206124B9"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49CA83C1"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792D65F1"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5DACBECB" w14:textId="77777777" w:rsidR="00047EF8" w:rsidRPr="00F563CD" w:rsidRDefault="00047EF8" w:rsidP="00047EF8">
      <w:pPr>
        <w:keepNext/>
        <w:keepLines/>
        <w:spacing w:before="120" w:after="240" w:line="240" w:lineRule="auto"/>
        <w:outlineLvl w:val="1"/>
        <w:rPr>
          <w:rFonts w:asciiTheme="minorHAnsi" w:hAnsiTheme="minorHAnsi" w:cs="Arial"/>
          <w:b/>
          <w:bCs/>
          <w:sz w:val="24"/>
          <w:szCs w:val="24"/>
        </w:rPr>
      </w:pPr>
    </w:p>
    <w:p w14:paraId="47204F7B" w14:textId="77777777" w:rsidR="00047EF8" w:rsidRPr="00F563CD" w:rsidRDefault="00864F83" w:rsidP="00047EF8">
      <w:pPr>
        <w:keepNext/>
        <w:keepLines/>
        <w:spacing w:before="120" w:after="240" w:line="240" w:lineRule="auto"/>
        <w:outlineLvl w:val="1"/>
        <w:rPr>
          <w:rFonts w:asciiTheme="minorHAnsi" w:hAnsiTheme="minorHAnsi" w:cs="Arial"/>
          <w:b/>
          <w:bCs/>
          <w:sz w:val="24"/>
          <w:szCs w:val="24"/>
        </w:rPr>
      </w:pPr>
      <w:r w:rsidRPr="00F563CD">
        <w:rPr>
          <w:rFonts w:asciiTheme="minorHAnsi" w:hAnsiTheme="minorHAnsi" w:cs="Arial"/>
          <w:b/>
          <w:bCs/>
          <w:sz w:val="24"/>
          <w:szCs w:val="24"/>
        </w:rPr>
        <w:br w:type="page"/>
      </w:r>
    </w:p>
    <w:p w14:paraId="3D960471" w14:textId="77777777" w:rsidR="00047EF8" w:rsidRPr="00F563CD" w:rsidRDefault="00864F83" w:rsidP="00047EF8">
      <w:pPr>
        <w:keepNext/>
        <w:keepLines/>
        <w:spacing w:before="120" w:after="240" w:line="240" w:lineRule="auto"/>
        <w:jc w:val="both"/>
        <w:outlineLvl w:val="1"/>
        <w:rPr>
          <w:rFonts w:asciiTheme="minorHAnsi" w:hAnsiTheme="minorHAnsi" w:cs="Arial"/>
          <w:b/>
          <w:bCs/>
          <w:i/>
          <w:sz w:val="24"/>
          <w:szCs w:val="24"/>
        </w:rPr>
      </w:pPr>
      <w:bookmarkStart w:id="74" w:name="_Toc91500289"/>
      <w:r w:rsidRPr="00F563CD">
        <w:rPr>
          <w:rFonts w:asciiTheme="minorHAnsi" w:hAnsiTheme="minorHAnsi" w:cs="Arial"/>
          <w:b/>
          <w:bCs/>
          <w:i/>
          <w:sz w:val="24"/>
          <w:szCs w:val="24"/>
        </w:rPr>
        <w:lastRenderedPageBreak/>
        <w:t>Prilog 2 – Detaljna tabela sa relevantnim sektorskim strategijama i pridruženim akcionim planovima</w:t>
      </w:r>
      <w:bookmarkEnd w:id="74"/>
    </w:p>
    <w:tbl>
      <w:tblPr>
        <w:tblStyle w:val="TableGrid2"/>
        <w:tblW w:w="10260" w:type="dxa"/>
        <w:tblInd w:w="265" w:type="dxa"/>
        <w:tblLook w:val="04A0" w:firstRow="1" w:lastRow="0" w:firstColumn="1" w:lastColumn="0" w:noHBand="0" w:noVBand="1"/>
      </w:tblPr>
      <w:tblGrid>
        <w:gridCol w:w="5580"/>
        <w:gridCol w:w="4680"/>
      </w:tblGrid>
      <w:tr w:rsidR="00047EF8" w:rsidRPr="00F563CD" w14:paraId="56871D58" w14:textId="77777777" w:rsidTr="00A239C5">
        <w:tc>
          <w:tcPr>
            <w:tcW w:w="5580" w:type="dxa"/>
          </w:tcPr>
          <w:p w14:paraId="3F3525F6"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Smjernice za razvoj Crne Gore 2018 – 2021 </w:t>
            </w:r>
            <w:r w:rsidRPr="00F563CD">
              <w:rPr>
                <w:rFonts w:asciiTheme="minorHAnsi" w:eastAsia="Calibri" w:hAnsiTheme="minorHAnsi" w:cs="Arial"/>
                <w:iCs/>
                <w:vertAlign w:val="superscript"/>
              </w:rPr>
              <w:footnoteReference w:id="41"/>
            </w:r>
          </w:p>
        </w:tc>
        <w:tc>
          <w:tcPr>
            <w:tcW w:w="4680" w:type="dxa"/>
            <w:vMerge w:val="restart"/>
          </w:tcPr>
          <w:p w14:paraId="74FE3012" w14:textId="77777777" w:rsidR="00047EF8" w:rsidRPr="00F563CD" w:rsidRDefault="00047EF8" w:rsidP="00A239C5">
            <w:pPr>
              <w:spacing w:after="0" w:line="240" w:lineRule="auto"/>
              <w:jc w:val="both"/>
              <w:rPr>
                <w:rFonts w:asciiTheme="minorHAnsi" w:eastAsia="Calibri" w:hAnsiTheme="minorHAnsi" w:cs="Arial"/>
                <w:iCs/>
              </w:rPr>
            </w:pPr>
          </w:p>
        </w:tc>
      </w:tr>
      <w:tr w:rsidR="00047EF8" w:rsidRPr="00F563CD" w14:paraId="255F349B" w14:textId="77777777" w:rsidTr="00A239C5">
        <w:tc>
          <w:tcPr>
            <w:tcW w:w="5580" w:type="dxa"/>
          </w:tcPr>
          <w:p w14:paraId="187DAE16"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Nacionalna strategija za održivi razvoj do 2030. godine </w:t>
            </w:r>
            <w:r w:rsidRPr="00F563CD">
              <w:rPr>
                <w:rFonts w:asciiTheme="minorHAnsi" w:eastAsia="Calibri" w:hAnsiTheme="minorHAnsi" w:cs="Arial"/>
                <w:iCs/>
                <w:vertAlign w:val="superscript"/>
              </w:rPr>
              <w:footnoteReference w:id="42"/>
            </w:r>
          </w:p>
        </w:tc>
        <w:tc>
          <w:tcPr>
            <w:tcW w:w="4680" w:type="dxa"/>
            <w:vMerge/>
          </w:tcPr>
          <w:p w14:paraId="288C31CC" w14:textId="77777777" w:rsidR="00047EF8" w:rsidRPr="00F563CD" w:rsidRDefault="00047EF8" w:rsidP="00A239C5">
            <w:pPr>
              <w:spacing w:after="0" w:line="240" w:lineRule="auto"/>
              <w:jc w:val="both"/>
              <w:rPr>
                <w:rFonts w:asciiTheme="minorHAnsi" w:eastAsia="Calibri" w:hAnsiTheme="minorHAnsi" w:cs="Arial"/>
                <w:iCs/>
              </w:rPr>
            </w:pPr>
          </w:p>
        </w:tc>
      </w:tr>
      <w:tr w:rsidR="00047EF8" w:rsidRPr="008C3F18" w14:paraId="0A860497" w14:textId="77777777" w:rsidTr="00A239C5">
        <w:tc>
          <w:tcPr>
            <w:tcW w:w="5580" w:type="dxa"/>
          </w:tcPr>
          <w:p w14:paraId="5071DB73" w14:textId="77777777" w:rsidR="00047EF8" w:rsidRPr="00F563CD" w:rsidRDefault="00864F83" w:rsidP="00A239C5">
            <w:pPr>
              <w:spacing w:after="0" w:line="240" w:lineRule="auto"/>
              <w:jc w:val="both"/>
              <w:rPr>
                <w:rFonts w:asciiTheme="minorHAnsi" w:eastAsia="Calibri" w:hAnsiTheme="minorHAnsi" w:cs="Arial"/>
                <w:iCs/>
                <w:highlight w:val="yellow"/>
                <w:lang w:val="fr-BE"/>
              </w:rPr>
            </w:pPr>
            <w:r w:rsidRPr="00F563CD">
              <w:rPr>
                <w:rFonts w:asciiTheme="minorHAnsi" w:eastAsia="Calibri" w:hAnsiTheme="minorHAnsi" w:cs="Arial"/>
                <w:iCs/>
                <w:lang w:val="fr-BE"/>
              </w:rPr>
              <w:t xml:space="preserve">Program za pristupanje Crne Gore Evropskoj uniji 2020 – 2022 </w:t>
            </w:r>
            <w:r w:rsidRPr="00F563CD">
              <w:rPr>
                <w:rFonts w:asciiTheme="minorHAnsi" w:eastAsia="Calibri" w:hAnsiTheme="minorHAnsi" w:cs="Arial"/>
                <w:iCs/>
                <w:vertAlign w:val="superscript"/>
              </w:rPr>
              <w:footnoteReference w:id="43"/>
            </w:r>
          </w:p>
        </w:tc>
        <w:tc>
          <w:tcPr>
            <w:tcW w:w="4680" w:type="dxa"/>
            <w:vMerge/>
          </w:tcPr>
          <w:p w14:paraId="3AFCAD02" w14:textId="77777777" w:rsidR="00047EF8" w:rsidRPr="00F563CD" w:rsidRDefault="00047EF8" w:rsidP="00A239C5">
            <w:pPr>
              <w:spacing w:after="0" w:line="240" w:lineRule="auto"/>
              <w:jc w:val="both"/>
              <w:rPr>
                <w:rFonts w:asciiTheme="minorHAnsi" w:eastAsia="Calibri" w:hAnsiTheme="minorHAnsi" w:cs="Arial"/>
                <w:iCs/>
                <w:lang w:val="fr-BE"/>
              </w:rPr>
            </w:pPr>
          </w:p>
        </w:tc>
      </w:tr>
      <w:tr w:rsidR="00047EF8" w:rsidRPr="00F563CD" w14:paraId="7B698CF9" w14:textId="77777777" w:rsidTr="00A239C5">
        <w:tc>
          <w:tcPr>
            <w:tcW w:w="5580" w:type="dxa"/>
          </w:tcPr>
          <w:p w14:paraId="526AC6AF" w14:textId="77777777" w:rsidR="00047EF8" w:rsidRPr="00F563CD" w:rsidRDefault="00864F83" w:rsidP="00A239C5">
            <w:pPr>
              <w:spacing w:after="0" w:line="240" w:lineRule="auto"/>
              <w:jc w:val="both"/>
              <w:rPr>
                <w:rFonts w:asciiTheme="minorHAnsi" w:eastAsia="Calibri" w:hAnsiTheme="minorHAnsi" w:cs="Arial"/>
                <w:b/>
                <w:iCs/>
              </w:rPr>
            </w:pPr>
            <w:r w:rsidRPr="00F563CD">
              <w:rPr>
                <w:rFonts w:asciiTheme="minorHAnsi" w:eastAsia="Calibri" w:hAnsiTheme="minorHAnsi" w:cs="Arial"/>
                <w:iCs/>
              </w:rPr>
              <w:t xml:space="preserve">Strategija reforme javne uprave u Crnoj Gori 2016 – 2020. </w:t>
            </w:r>
            <w:r w:rsidRPr="00F563CD">
              <w:rPr>
                <w:rFonts w:asciiTheme="minorHAnsi" w:eastAsia="Calibri" w:hAnsiTheme="minorHAnsi" w:cs="Arial"/>
                <w:iCs/>
                <w:vertAlign w:val="superscript"/>
              </w:rPr>
              <w:footnoteReference w:id="44"/>
            </w:r>
            <w:r w:rsidRPr="00F563CD">
              <w:rPr>
                <w:rFonts w:asciiTheme="minorHAnsi" w:eastAsia="Calibri" w:hAnsiTheme="minorHAnsi" w:cs="Arial"/>
                <w:iCs/>
              </w:rPr>
              <w:t xml:space="preserve"> </w:t>
            </w:r>
          </w:p>
          <w:p w14:paraId="6554F965" w14:textId="77777777" w:rsidR="00047EF8" w:rsidRPr="00F563CD" w:rsidRDefault="00047EF8" w:rsidP="00A239C5">
            <w:pPr>
              <w:spacing w:after="0" w:line="240" w:lineRule="auto"/>
              <w:jc w:val="both"/>
              <w:rPr>
                <w:rFonts w:asciiTheme="minorHAnsi" w:eastAsia="Calibri" w:hAnsiTheme="minorHAnsi" w:cs="Arial"/>
                <w:iCs/>
              </w:rPr>
            </w:pPr>
          </w:p>
        </w:tc>
        <w:tc>
          <w:tcPr>
            <w:tcW w:w="4680" w:type="dxa"/>
          </w:tcPr>
          <w:p w14:paraId="07F07F05" w14:textId="77777777" w:rsidR="00047EF8" w:rsidRPr="00F563CD" w:rsidRDefault="00864F83" w:rsidP="00A239C5">
            <w:pPr>
              <w:numPr>
                <w:ilvl w:val="0"/>
                <w:numId w:val="39"/>
              </w:numPr>
              <w:spacing w:after="0" w:line="240" w:lineRule="auto"/>
              <w:ind w:left="77" w:hanging="180"/>
              <w:contextualSpacing/>
              <w:jc w:val="both"/>
              <w:rPr>
                <w:rFonts w:asciiTheme="minorHAnsi" w:eastAsia="Calibri" w:hAnsiTheme="minorHAnsi" w:cs="Arial"/>
                <w:iCs/>
              </w:rPr>
            </w:pPr>
            <w:r w:rsidRPr="00F563CD">
              <w:rPr>
                <w:rFonts w:asciiTheme="minorHAnsi" w:eastAsia="Calibri" w:hAnsiTheme="minorHAnsi" w:cs="Arial"/>
                <w:iCs/>
              </w:rPr>
              <w:t>Akcioni plan za implementaciju Strategije javne uprave u Crnoj Gori 2016-2020 za 2016. i 2017. godinu</w:t>
            </w:r>
          </w:p>
          <w:p w14:paraId="3045A8CD" w14:textId="77777777" w:rsidR="00047EF8" w:rsidRPr="00F563CD" w:rsidRDefault="00864F83" w:rsidP="00A239C5">
            <w:pPr>
              <w:numPr>
                <w:ilvl w:val="0"/>
                <w:numId w:val="39"/>
              </w:numPr>
              <w:spacing w:after="0" w:line="240" w:lineRule="auto"/>
              <w:ind w:left="77" w:right="78" w:hanging="180"/>
              <w:contextualSpacing/>
              <w:jc w:val="both"/>
              <w:rPr>
                <w:rFonts w:asciiTheme="minorHAnsi" w:eastAsia="Calibri" w:hAnsiTheme="minorHAnsi" w:cs="Arial"/>
                <w:iCs/>
              </w:rPr>
            </w:pPr>
            <w:r w:rsidRPr="00F563CD">
              <w:rPr>
                <w:rFonts w:asciiTheme="minorHAnsi" w:eastAsia="Calibri" w:hAnsiTheme="minorHAnsi" w:cs="Arial"/>
                <w:iCs/>
              </w:rPr>
              <w:t>Akcioni plan za implementaciju Strategije javne uprave u Crnoj Gori 2016-2020 za  period 2018 – 2020.</w:t>
            </w:r>
          </w:p>
        </w:tc>
      </w:tr>
      <w:tr w:rsidR="00047EF8" w:rsidRPr="00F563CD" w14:paraId="64ABFB11" w14:textId="77777777" w:rsidTr="00A239C5">
        <w:tc>
          <w:tcPr>
            <w:tcW w:w="5580" w:type="dxa"/>
          </w:tcPr>
          <w:p w14:paraId="1B5217C2"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Strategija reforme javne uprave u Crnoj Gori 2022 – 2026 (nacrt) </w:t>
            </w:r>
          </w:p>
        </w:tc>
        <w:tc>
          <w:tcPr>
            <w:tcW w:w="4680" w:type="dxa"/>
          </w:tcPr>
          <w:p w14:paraId="37662526" w14:textId="77777777" w:rsidR="00047EF8" w:rsidRPr="00F563CD" w:rsidRDefault="00047EF8" w:rsidP="00A239C5">
            <w:pPr>
              <w:spacing w:after="0" w:line="240" w:lineRule="auto"/>
              <w:jc w:val="both"/>
              <w:rPr>
                <w:rFonts w:asciiTheme="minorHAnsi" w:eastAsia="Calibri" w:hAnsiTheme="minorHAnsi" w:cs="Arial"/>
                <w:iCs/>
              </w:rPr>
            </w:pPr>
          </w:p>
        </w:tc>
      </w:tr>
      <w:tr w:rsidR="00047EF8" w:rsidRPr="00F563CD" w14:paraId="0AE088BA" w14:textId="77777777" w:rsidTr="00A239C5">
        <w:tc>
          <w:tcPr>
            <w:tcW w:w="5580" w:type="dxa"/>
          </w:tcPr>
          <w:p w14:paraId="34CBBA55"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Strategija razvoja informacionog društva 2020 </w:t>
            </w:r>
            <w:r w:rsidRPr="00F563CD">
              <w:rPr>
                <w:rFonts w:asciiTheme="minorHAnsi" w:eastAsia="Calibri" w:hAnsiTheme="minorHAnsi" w:cs="Arial"/>
                <w:iCs/>
                <w:vertAlign w:val="superscript"/>
              </w:rPr>
              <w:footnoteReference w:id="45"/>
            </w:r>
          </w:p>
          <w:p w14:paraId="06B80BB9" w14:textId="77777777" w:rsidR="00047EF8" w:rsidRPr="00F563CD" w:rsidRDefault="00047EF8" w:rsidP="00A239C5">
            <w:pPr>
              <w:spacing w:after="0" w:line="240" w:lineRule="auto"/>
              <w:jc w:val="both"/>
              <w:rPr>
                <w:rFonts w:asciiTheme="minorHAnsi" w:eastAsia="Calibri" w:hAnsiTheme="minorHAnsi" w:cs="Arial"/>
                <w:iCs/>
              </w:rPr>
            </w:pPr>
          </w:p>
        </w:tc>
        <w:tc>
          <w:tcPr>
            <w:tcW w:w="4680" w:type="dxa"/>
          </w:tcPr>
          <w:p w14:paraId="5DA67E90" w14:textId="77777777" w:rsidR="00047EF8" w:rsidRPr="00F563CD" w:rsidRDefault="00864F83" w:rsidP="00A239C5">
            <w:pPr>
              <w:numPr>
                <w:ilvl w:val="0"/>
                <w:numId w:val="40"/>
              </w:numPr>
              <w:spacing w:after="0" w:line="240" w:lineRule="auto"/>
              <w:ind w:left="77" w:hanging="180"/>
              <w:contextualSpacing/>
              <w:jc w:val="both"/>
              <w:rPr>
                <w:rFonts w:asciiTheme="minorHAnsi" w:eastAsia="Calibri" w:hAnsiTheme="minorHAnsi" w:cs="Arial"/>
                <w:iCs/>
              </w:rPr>
            </w:pPr>
            <w:r w:rsidRPr="00F563CD">
              <w:rPr>
                <w:rFonts w:asciiTheme="minorHAnsi" w:eastAsia="Calibri" w:hAnsiTheme="minorHAnsi" w:cs="Arial"/>
                <w:iCs/>
              </w:rPr>
              <w:t xml:space="preserve">Akcioni plan za implementaciju Strategije razvoja informacionog društva 2020. za 2018. godinu </w:t>
            </w:r>
          </w:p>
          <w:p w14:paraId="575249A8" w14:textId="77777777" w:rsidR="00047EF8" w:rsidRPr="00F563CD" w:rsidRDefault="00864F83" w:rsidP="00A239C5">
            <w:pPr>
              <w:numPr>
                <w:ilvl w:val="0"/>
                <w:numId w:val="40"/>
              </w:numPr>
              <w:spacing w:after="0" w:line="240" w:lineRule="auto"/>
              <w:ind w:left="77" w:hanging="180"/>
              <w:contextualSpacing/>
              <w:jc w:val="both"/>
              <w:rPr>
                <w:rFonts w:asciiTheme="minorHAnsi" w:eastAsia="Calibri" w:hAnsiTheme="minorHAnsi" w:cs="Arial"/>
                <w:iCs/>
              </w:rPr>
            </w:pPr>
            <w:r w:rsidRPr="00F563CD">
              <w:rPr>
                <w:rFonts w:asciiTheme="minorHAnsi" w:eastAsia="Calibri" w:hAnsiTheme="minorHAnsi" w:cs="Arial"/>
                <w:iCs/>
              </w:rPr>
              <w:t>Akcioni plan za implementaciju Strategije razvoja informacionog društva 2020. za 2019. godinu</w:t>
            </w:r>
          </w:p>
        </w:tc>
      </w:tr>
      <w:tr w:rsidR="00047EF8" w:rsidRPr="008C3F18" w14:paraId="2C1E0671" w14:textId="77777777" w:rsidTr="00A239C5">
        <w:tc>
          <w:tcPr>
            <w:tcW w:w="5580" w:type="dxa"/>
          </w:tcPr>
          <w:p w14:paraId="62EA011D" w14:textId="77777777" w:rsidR="00047EF8" w:rsidRPr="00F563CD" w:rsidRDefault="00864F83" w:rsidP="00A239C5">
            <w:pPr>
              <w:spacing w:after="0" w:line="240" w:lineRule="auto"/>
              <w:jc w:val="both"/>
              <w:rPr>
                <w:rFonts w:asciiTheme="minorHAnsi" w:eastAsia="Calibri" w:hAnsiTheme="minorHAnsi" w:cs="Arial"/>
                <w:iCs/>
                <w:lang w:val="fr-BE"/>
              </w:rPr>
            </w:pPr>
            <w:r w:rsidRPr="00F563CD">
              <w:rPr>
                <w:rFonts w:asciiTheme="minorHAnsi" w:eastAsia="Calibri" w:hAnsiTheme="minorHAnsi" w:cs="Arial"/>
                <w:iCs/>
                <w:lang w:val="fr-BE"/>
              </w:rPr>
              <w:t>Strategija za digitalnu transformaciju 2022 – 2026 (nacrt)</w:t>
            </w:r>
          </w:p>
        </w:tc>
        <w:tc>
          <w:tcPr>
            <w:tcW w:w="4680" w:type="dxa"/>
          </w:tcPr>
          <w:p w14:paraId="4639A28E" w14:textId="77777777" w:rsidR="00047EF8" w:rsidRPr="00F563CD" w:rsidRDefault="00047EF8" w:rsidP="00A239C5">
            <w:pPr>
              <w:spacing w:after="0" w:line="240" w:lineRule="auto"/>
              <w:ind w:left="77"/>
              <w:contextualSpacing/>
              <w:jc w:val="both"/>
              <w:rPr>
                <w:rFonts w:asciiTheme="minorHAnsi" w:eastAsia="Calibri" w:hAnsiTheme="minorHAnsi" w:cs="Arial"/>
                <w:iCs/>
                <w:lang w:val="fr-BE"/>
              </w:rPr>
            </w:pPr>
          </w:p>
        </w:tc>
      </w:tr>
      <w:tr w:rsidR="00047EF8" w:rsidRPr="00F563CD" w14:paraId="7F947C97" w14:textId="77777777" w:rsidTr="00A239C5">
        <w:tc>
          <w:tcPr>
            <w:tcW w:w="5580" w:type="dxa"/>
          </w:tcPr>
          <w:p w14:paraId="16E9E343"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Strategija Crne Gore za bezbjednost na internetu 2018-2021 </w:t>
            </w:r>
            <w:r w:rsidRPr="00F563CD">
              <w:rPr>
                <w:rFonts w:asciiTheme="minorHAnsi" w:eastAsia="Calibri" w:hAnsiTheme="minorHAnsi" w:cs="Arial"/>
                <w:iCs/>
                <w:vertAlign w:val="superscript"/>
              </w:rPr>
              <w:footnoteReference w:id="46"/>
            </w:r>
          </w:p>
          <w:p w14:paraId="25C03C63" w14:textId="77777777" w:rsidR="00047EF8" w:rsidRPr="00F563CD" w:rsidRDefault="00047EF8" w:rsidP="00A239C5">
            <w:pPr>
              <w:spacing w:after="0" w:line="240" w:lineRule="auto"/>
              <w:jc w:val="both"/>
              <w:rPr>
                <w:rFonts w:asciiTheme="minorHAnsi" w:eastAsia="Calibri" w:hAnsiTheme="minorHAnsi" w:cs="Arial"/>
                <w:iCs/>
              </w:rPr>
            </w:pPr>
          </w:p>
        </w:tc>
        <w:tc>
          <w:tcPr>
            <w:tcW w:w="4680" w:type="dxa"/>
          </w:tcPr>
          <w:p w14:paraId="5AD95A89" w14:textId="77777777" w:rsidR="00047EF8" w:rsidRPr="00F563CD" w:rsidRDefault="00864F83" w:rsidP="00A239C5">
            <w:pPr>
              <w:numPr>
                <w:ilvl w:val="0"/>
                <w:numId w:val="41"/>
              </w:numPr>
              <w:spacing w:after="0" w:line="240" w:lineRule="auto"/>
              <w:ind w:left="77" w:hanging="180"/>
              <w:contextualSpacing/>
              <w:jc w:val="both"/>
              <w:rPr>
                <w:rFonts w:asciiTheme="minorHAnsi" w:eastAsia="Calibri" w:hAnsiTheme="minorHAnsi" w:cs="Arial"/>
                <w:iCs/>
              </w:rPr>
            </w:pPr>
            <w:r w:rsidRPr="00F563CD">
              <w:rPr>
                <w:rFonts w:asciiTheme="minorHAnsi" w:eastAsia="Calibri" w:hAnsiTheme="minorHAnsi" w:cs="Arial"/>
                <w:iCs/>
              </w:rPr>
              <w:t>Akcioni plan za implementaciju Strategije Crne Gore za bezbjednost na internetu 2018-2021 za 2018. godinu</w:t>
            </w:r>
          </w:p>
          <w:p w14:paraId="5F7318ED" w14:textId="77777777" w:rsidR="00047EF8" w:rsidRPr="00F563CD" w:rsidRDefault="00864F83" w:rsidP="00A239C5">
            <w:pPr>
              <w:numPr>
                <w:ilvl w:val="0"/>
                <w:numId w:val="41"/>
              </w:numPr>
              <w:spacing w:after="0" w:line="240" w:lineRule="auto"/>
              <w:ind w:left="77" w:hanging="180"/>
              <w:contextualSpacing/>
              <w:jc w:val="both"/>
              <w:rPr>
                <w:rFonts w:asciiTheme="minorHAnsi" w:eastAsia="Calibri" w:hAnsiTheme="minorHAnsi" w:cs="Arial"/>
                <w:iCs/>
              </w:rPr>
            </w:pPr>
            <w:r w:rsidRPr="00F563CD">
              <w:rPr>
                <w:rFonts w:asciiTheme="minorHAnsi" w:eastAsia="Calibri" w:hAnsiTheme="minorHAnsi" w:cs="Arial"/>
                <w:iCs/>
              </w:rPr>
              <w:t>Akcioni plan za implementaciju Strategije Crne Gore za bezbjednost na internetu 2018-2021 za 2019. godinu</w:t>
            </w:r>
          </w:p>
          <w:p w14:paraId="5D903029" w14:textId="77777777" w:rsidR="00047EF8" w:rsidRPr="00F563CD" w:rsidRDefault="00864F83" w:rsidP="00A239C5">
            <w:pPr>
              <w:numPr>
                <w:ilvl w:val="0"/>
                <w:numId w:val="41"/>
              </w:numPr>
              <w:spacing w:after="0" w:line="240" w:lineRule="auto"/>
              <w:ind w:left="77" w:hanging="180"/>
              <w:contextualSpacing/>
              <w:jc w:val="both"/>
              <w:rPr>
                <w:rFonts w:asciiTheme="minorHAnsi" w:eastAsia="Calibri" w:hAnsiTheme="minorHAnsi" w:cs="Arial"/>
                <w:iCs/>
              </w:rPr>
            </w:pPr>
            <w:r w:rsidRPr="00F563CD">
              <w:rPr>
                <w:rFonts w:asciiTheme="minorHAnsi" w:eastAsia="Calibri" w:hAnsiTheme="minorHAnsi" w:cs="Arial"/>
                <w:iCs/>
              </w:rPr>
              <w:t>Akcioni plan za implementaciju Strategije Crne Gore za bezbjednost na internetu 2018-2021 za 2020. godinu</w:t>
            </w:r>
          </w:p>
        </w:tc>
      </w:tr>
      <w:tr w:rsidR="00047EF8" w:rsidRPr="00F563CD" w14:paraId="41B31ABB" w14:textId="77777777" w:rsidTr="00A239C5">
        <w:tc>
          <w:tcPr>
            <w:tcW w:w="5580" w:type="dxa"/>
          </w:tcPr>
          <w:p w14:paraId="7E7CBC0A"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Strategija za unapređenje podsticajnog okruženja za aktivnosti nevladinih organizacija 2018-2020 </w:t>
            </w:r>
            <w:r w:rsidRPr="00F563CD">
              <w:rPr>
                <w:rFonts w:asciiTheme="minorHAnsi" w:eastAsia="Calibri" w:hAnsiTheme="minorHAnsi" w:cs="Arial"/>
                <w:iCs/>
                <w:vertAlign w:val="superscript"/>
              </w:rPr>
              <w:footnoteReference w:id="47"/>
            </w:r>
          </w:p>
        </w:tc>
        <w:tc>
          <w:tcPr>
            <w:tcW w:w="4680" w:type="dxa"/>
          </w:tcPr>
          <w:p w14:paraId="1246D055"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Akcioni plan za implementaciju Strategije unapređenje podsticajnog okruženja za aktivnosti nevladinih organizacija za period 2018-2020.</w:t>
            </w:r>
          </w:p>
        </w:tc>
      </w:tr>
      <w:tr w:rsidR="00047EF8" w:rsidRPr="00F563CD" w14:paraId="0EE29CC1" w14:textId="77777777" w:rsidTr="00A239C5">
        <w:tc>
          <w:tcPr>
            <w:tcW w:w="5580" w:type="dxa"/>
          </w:tcPr>
          <w:p w14:paraId="0F154736"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Strategija za saradnju organa javne uprave i nevladinih organizacija </w:t>
            </w:r>
            <w:r w:rsidRPr="00F563CD">
              <w:rPr>
                <w:rFonts w:asciiTheme="minorHAnsi" w:eastAsia="Calibri" w:hAnsiTheme="minorHAnsi" w:cs="Arial"/>
                <w:iCs/>
              </w:rPr>
              <w:cr/>
              <w:t xml:space="preserve"> 2022-2026 (nacrt)</w:t>
            </w:r>
          </w:p>
        </w:tc>
        <w:tc>
          <w:tcPr>
            <w:tcW w:w="4680" w:type="dxa"/>
          </w:tcPr>
          <w:p w14:paraId="3E599CD6" w14:textId="77777777" w:rsidR="00047EF8" w:rsidRPr="00F563CD" w:rsidRDefault="00047EF8" w:rsidP="00A239C5">
            <w:pPr>
              <w:spacing w:after="0" w:line="240" w:lineRule="auto"/>
              <w:jc w:val="both"/>
              <w:rPr>
                <w:rFonts w:asciiTheme="minorHAnsi" w:eastAsia="Calibri" w:hAnsiTheme="minorHAnsi" w:cs="Arial"/>
                <w:iCs/>
              </w:rPr>
            </w:pPr>
          </w:p>
        </w:tc>
      </w:tr>
      <w:tr w:rsidR="00047EF8" w:rsidRPr="00F563CD" w14:paraId="76673780" w14:textId="77777777" w:rsidTr="00A239C5">
        <w:tc>
          <w:tcPr>
            <w:tcW w:w="5580" w:type="dxa"/>
          </w:tcPr>
          <w:p w14:paraId="26A457E1" w14:textId="77777777" w:rsidR="00047EF8" w:rsidRPr="00F563CD" w:rsidRDefault="00047EF8" w:rsidP="00A239C5">
            <w:pPr>
              <w:spacing w:after="0" w:line="240" w:lineRule="auto"/>
              <w:jc w:val="both"/>
              <w:rPr>
                <w:rFonts w:asciiTheme="minorHAnsi" w:eastAsia="Calibri" w:hAnsiTheme="minorHAnsi" w:cs="Arial"/>
                <w:iCs/>
              </w:rPr>
            </w:pPr>
          </w:p>
        </w:tc>
        <w:tc>
          <w:tcPr>
            <w:tcW w:w="4680" w:type="dxa"/>
          </w:tcPr>
          <w:p w14:paraId="09CC1C52"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Nacionalni akcioni plan implementaciju Inicijative Partnerstvo za otvorenu vladu 2018-2020. </w:t>
            </w:r>
            <w:r w:rsidRPr="00F563CD">
              <w:rPr>
                <w:rFonts w:asciiTheme="minorHAnsi" w:eastAsia="Calibri" w:hAnsiTheme="minorHAnsi" w:cs="Arial"/>
                <w:iCs/>
                <w:vertAlign w:val="superscript"/>
              </w:rPr>
              <w:footnoteReference w:id="48"/>
            </w:r>
          </w:p>
        </w:tc>
      </w:tr>
      <w:tr w:rsidR="00047EF8" w:rsidRPr="008C3F18" w14:paraId="620A1344" w14:textId="77777777" w:rsidTr="00A239C5">
        <w:tc>
          <w:tcPr>
            <w:tcW w:w="5580" w:type="dxa"/>
          </w:tcPr>
          <w:p w14:paraId="70C90ECD"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lastRenderedPageBreak/>
              <w:t xml:space="preserve">Program reforme upravljanja javnim finansijama (PFM) 2016 – 2020. </w:t>
            </w:r>
            <w:r w:rsidRPr="00F563CD">
              <w:rPr>
                <w:rFonts w:asciiTheme="minorHAnsi" w:eastAsia="Calibri" w:hAnsiTheme="minorHAnsi" w:cs="Arial"/>
                <w:iCs/>
                <w:vertAlign w:val="superscript"/>
              </w:rPr>
              <w:footnoteReference w:id="49"/>
            </w:r>
            <w:r w:rsidRPr="00F563CD">
              <w:rPr>
                <w:rFonts w:asciiTheme="minorHAnsi" w:eastAsia="Calibri" w:hAnsiTheme="minorHAnsi" w:cs="Arial"/>
                <w:iCs/>
              </w:rPr>
              <w:t xml:space="preserve"> </w:t>
            </w:r>
          </w:p>
        </w:tc>
        <w:tc>
          <w:tcPr>
            <w:tcW w:w="4680" w:type="dxa"/>
          </w:tcPr>
          <w:p w14:paraId="6C49BE7D" w14:textId="77777777" w:rsidR="00047EF8" w:rsidRPr="00F563CD" w:rsidRDefault="00864F83" w:rsidP="00A239C5">
            <w:pPr>
              <w:numPr>
                <w:ilvl w:val="0"/>
                <w:numId w:val="42"/>
              </w:numPr>
              <w:spacing w:after="0" w:line="240" w:lineRule="auto"/>
              <w:ind w:left="77" w:hanging="180"/>
              <w:contextualSpacing/>
              <w:jc w:val="both"/>
              <w:rPr>
                <w:rFonts w:asciiTheme="minorHAnsi" w:eastAsia="Calibri" w:hAnsiTheme="minorHAnsi" w:cs="Arial"/>
                <w:iCs/>
                <w:lang w:val="fr-BE"/>
              </w:rPr>
            </w:pPr>
            <w:r w:rsidRPr="00F563CD">
              <w:rPr>
                <w:rFonts w:asciiTheme="minorHAnsi" w:eastAsia="Calibri" w:hAnsiTheme="minorHAnsi" w:cs="Arial"/>
                <w:iCs/>
                <w:lang w:val="fr-BE"/>
              </w:rPr>
              <w:t xml:space="preserve">Akcioni plan za implementaciju Programa reforme upravljanja javnim finansijama 2016 – 2018. </w:t>
            </w:r>
          </w:p>
          <w:p w14:paraId="641DB087" w14:textId="77777777" w:rsidR="00047EF8" w:rsidRPr="00F563CD" w:rsidRDefault="00864F83" w:rsidP="00A239C5">
            <w:pPr>
              <w:numPr>
                <w:ilvl w:val="0"/>
                <w:numId w:val="42"/>
              </w:numPr>
              <w:spacing w:after="0" w:line="240" w:lineRule="auto"/>
              <w:ind w:left="77" w:hanging="180"/>
              <w:contextualSpacing/>
              <w:jc w:val="both"/>
              <w:rPr>
                <w:rFonts w:asciiTheme="minorHAnsi" w:eastAsia="Calibri" w:hAnsiTheme="minorHAnsi" w:cs="Arial"/>
                <w:iCs/>
                <w:lang w:val="fr-BE"/>
              </w:rPr>
            </w:pPr>
            <w:r w:rsidRPr="00F563CD">
              <w:rPr>
                <w:rFonts w:asciiTheme="minorHAnsi" w:eastAsia="Calibri" w:hAnsiTheme="minorHAnsi" w:cs="Arial"/>
                <w:iCs/>
                <w:lang w:val="fr-BE"/>
              </w:rPr>
              <w:t xml:space="preserve">Akcioni plan za implementaciju Programa reforme upravljanja javnim finansijama 2018 – 2020. </w:t>
            </w:r>
          </w:p>
        </w:tc>
      </w:tr>
      <w:tr w:rsidR="00047EF8" w:rsidRPr="00F563CD" w14:paraId="2BB20AF2" w14:textId="77777777" w:rsidTr="00A239C5">
        <w:tc>
          <w:tcPr>
            <w:tcW w:w="5580" w:type="dxa"/>
          </w:tcPr>
          <w:p w14:paraId="37920AF2"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Program reforme upravljanja javnim finansijama 2022 – 2025. (nacrt)</w:t>
            </w:r>
          </w:p>
        </w:tc>
        <w:tc>
          <w:tcPr>
            <w:tcW w:w="4680" w:type="dxa"/>
          </w:tcPr>
          <w:p w14:paraId="78BAA753" w14:textId="77777777" w:rsidR="00047EF8" w:rsidRPr="00F563CD" w:rsidRDefault="00047EF8" w:rsidP="00A239C5">
            <w:pPr>
              <w:spacing w:after="0" w:line="240" w:lineRule="auto"/>
              <w:jc w:val="both"/>
              <w:rPr>
                <w:rFonts w:asciiTheme="minorHAnsi" w:eastAsia="Calibri" w:hAnsiTheme="minorHAnsi" w:cs="Arial"/>
                <w:iCs/>
              </w:rPr>
            </w:pPr>
          </w:p>
        </w:tc>
      </w:tr>
      <w:tr w:rsidR="00047EF8" w:rsidRPr="00F563CD" w14:paraId="53BF3FF9" w14:textId="77777777" w:rsidTr="00A239C5">
        <w:tc>
          <w:tcPr>
            <w:tcW w:w="5580" w:type="dxa"/>
          </w:tcPr>
          <w:p w14:paraId="685AC00D"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Strategija olakšavanja trgovine u Crnoj Gori 2018-2022. </w:t>
            </w:r>
            <w:r w:rsidRPr="00F563CD">
              <w:rPr>
                <w:rFonts w:asciiTheme="minorHAnsi" w:eastAsia="Calibri" w:hAnsiTheme="minorHAnsi" w:cs="Arial"/>
                <w:iCs/>
                <w:vertAlign w:val="superscript"/>
              </w:rPr>
              <w:footnoteReference w:id="50"/>
            </w:r>
          </w:p>
        </w:tc>
        <w:tc>
          <w:tcPr>
            <w:tcW w:w="4680" w:type="dxa"/>
          </w:tcPr>
          <w:p w14:paraId="7C86A044" w14:textId="77777777" w:rsidR="00047EF8" w:rsidRPr="00F563CD" w:rsidRDefault="00864F83" w:rsidP="00A239C5">
            <w:pPr>
              <w:spacing w:after="0" w:line="240" w:lineRule="auto"/>
              <w:jc w:val="both"/>
              <w:rPr>
                <w:rFonts w:asciiTheme="minorHAnsi" w:hAnsiTheme="minorHAnsi" w:cs="Arial"/>
              </w:rPr>
            </w:pPr>
            <w:r w:rsidRPr="00F563CD">
              <w:rPr>
                <w:rFonts w:asciiTheme="minorHAnsi" w:eastAsia="Calibri" w:hAnsiTheme="minorHAnsi" w:cs="Arial"/>
                <w:iCs/>
              </w:rPr>
              <w:t>Akcioni plan za implementaciju Strategije olakšavanja trgovine u Crnoj Gori 2018-202</w:t>
            </w:r>
            <w:r w:rsidRPr="00F563CD">
              <w:rPr>
                <w:rFonts w:asciiTheme="minorHAnsi" w:hAnsiTheme="minorHAnsi" w:cs="Arial"/>
              </w:rPr>
              <w:t>2.</w:t>
            </w:r>
          </w:p>
        </w:tc>
      </w:tr>
      <w:tr w:rsidR="00047EF8" w:rsidRPr="00F563CD" w14:paraId="043EAC33" w14:textId="77777777" w:rsidTr="00A239C5">
        <w:tc>
          <w:tcPr>
            <w:tcW w:w="5580" w:type="dxa"/>
          </w:tcPr>
          <w:p w14:paraId="6B060341"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Poslovna strategija Uprave Carina Crne Gore 2019-2021. </w:t>
            </w:r>
            <w:r w:rsidRPr="00F563CD">
              <w:rPr>
                <w:rFonts w:asciiTheme="minorHAnsi" w:eastAsia="Calibri" w:hAnsiTheme="minorHAnsi" w:cs="Arial"/>
                <w:iCs/>
                <w:vertAlign w:val="superscript"/>
              </w:rPr>
              <w:footnoteReference w:id="51"/>
            </w:r>
          </w:p>
        </w:tc>
        <w:tc>
          <w:tcPr>
            <w:tcW w:w="4680" w:type="dxa"/>
          </w:tcPr>
          <w:p w14:paraId="60B7BF9C"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Akcioni plan za implementaciju Poslovne strategije Uprave Carina Crne Gore za period 2019-2021.</w:t>
            </w:r>
          </w:p>
        </w:tc>
      </w:tr>
      <w:tr w:rsidR="00047EF8" w:rsidRPr="00F563CD" w14:paraId="53DB0EFA" w14:textId="77777777" w:rsidTr="00A239C5">
        <w:tc>
          <w:tcPr>
            <w:tcW w:w="5580" w:type="dxa"/>
          </w:tcPr>
          <w:p w14:paraId="7360E2E9" w14:textId="77777777" w:rsidR="00047EF8" w:rsidRPr="00F563CD" w:rsidRDefault="00864F83" w:rsidP="00A239C5">
            <w:pPr>
              <w:spacing w:after="0" w:line="240" w:lineRule="auto"/>
              <w:jc w:val="both"/>
              <w:rPr>
                <w:rFonts w:asciiTheme="minorHAnsi" w:eastAsia="Calibri" w:hAnsiTheme="minorHAnsi" w:cs="Arial"/>
                <w:iCs/>
                <w:highlight w:val="yellow"/>
              </w:rPr>
            </w:pPr>
            <w:r w:rsidRPr="00F563CD">
              <w:rPr>
                <w:rFonts w:asciiTheme="minorHAnsi" w:eastAsia="Calibri" w:hAnsiTheme="minorHAnsi" w:cs="Arial"/>
                <w:iCs/>
              </w:rPr>
              <w:t xml:space="preserve">Strategija za razvoj sistema javnih nabavki u Crnoj Gori 2016-2020. </w:t>
            </w:r>
            <w:r w:rsidRPr="00F563CD">
              <w:rPr>
                <w:rFonts w:asciiTheme="minorHAnsi" w:eastAsia="Calibri" w:hAnsiTheme="minorHAnsi" w:cs="Arial"/>
                <w:iCs/>
                <w:vertAlign w:val="superscript"/>
              </w:rPr>
              <w:footnoteReference w:id="52"/>
            </w:r>
          </w:p>
        </w:tc>
        <w:tc>
          <w:tcPr>
            <w:tcW w:w="4680" w:type="dxa"/>
          </w:tcPr>
          <w:p w14:paraId="66EE024C"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Akcioni plan za implementaciju Strategije za razvoj sistema javnih nabavki u Crnoj Gori za period 2016-2020.</w:t>
            </w:r>
          </w:p>
        </w:tc>
      </w:tr>
      <w:tr w:rsidR="00047EF8" w:rsidRPr="00F563CD" w14:paraId="6E294883" w14:textId="77777777" w:rsidTr="00A239C5">
        <w:tc>
          <w:tcPr>
            <w:tcW w:w="5580" w:type="dxa"/>
          </w:tcPr>
          <w:p w14:paraId="15DA5FD8"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Strategija za razvoj sistema javnih nabavki u Crnoj Gori 2021-2025 (nacrt)</w:t>
            </w:r>
          </w:p>
        </w:tc>
        <w:tc>
          <w:tcPr>
            <w:tcW w:w="4680" w:type="dxa"/>
          </w:tcPr>
          <w:p w14:paraId="759B9ED5"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Akcioni plan za implementaciju Strategije za razvoj sistema javnih nabavki u Crnoj Gori za 2021. godinu (nacrt)</w:t>
            </w:r>
          </w:p>
        </w:tc>
      </w:tr>
      <w:tr w:rsidR="00047EF8" w:rsidRPr="00F563CD" w14:paraId="77DC1B23" w14:textId="77777777" w:rsidTr="00A239C5">
        <w:tc>
          <w:tcPr>
            <w:tcW w:w="5580" w:type="dxa"/>
          </w:tcPr>
          <w:p w14:paraId="40CFC299"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Strategija za razvoj zvanične statistike za period 2019-2023. </w:t>
            </w:r>
            <w:r w:rsidRPr="00F563CD">
              <w:rPr>
                <w:rFonts w:asciiTheme="minorHAnsi" w:eastAsia="Calibri" w:hAnsiTheme="minorHAnsi" w:cs="Arial"/>
                <w:iCs/>
                <w:vertAlign w:val="superscript"/>
              </w:rPr>
              <w:footnoteReference w:id="53"/>
            </w:r>
          </w:p>
        </w:tc>
        <w:tc>
          <w:tcPr>
            <w:tcW w:w="4680" w:type="dxa"/>
          </w:tcPr>
          <w:p w14:paraId="7D694EE8" w14:textId="77777777" w:rsidR="00047EF8" w:rsidRPr="00F563CD" w:rsidRDefault="00864F83" w:rsidP="00A239C5">
            <w:pPr>
              <w:numPr>
                <w:ilvl w:val="0"/>
                <w:numId w:val="43"/>
              </w:numPr>
              <w:spacing w:after="0" w:line="240" w:lineRule="auto"/>
              <w:ind w:left="156" w:hanging="180"/>
              <w:contextualSpacing/>
              <w:jc w:val="both"/>
              <w:rPr>
                <w:rFonts w:asciiTheme="minorHAnsi" w:eastAsia="Calibri" w:hAnsiTheme="minorHAnsi" w:cs="Arial"/>
                <w:iCs/>
              </w:rPr>
            </w:pPr>
            <w:r w:rsidRPr="00F563CD">
              <w:rPr>
                <w:rFonts w:asciiTheme="minorHAnsi" w:eastAsia="Calibri" w:hAnsiTheme="minorHAnsi" w:cs="Arial"/>
                <w:iCs/>
              </w:rPr>
              <w:t>Akcioni plan za implementaciju Strategije za razvoj zvanične statistike za period 2019-2020.</w:t>
            </w:r>
          </w:p>
          <w:p w14:paraId="4C0506A1" w14:textId="77777777" w:rsidR="00047EF8" w:rsidRPr="00F563CD" w:rsidRDefault="00864F83" w:rsidP="00A239C5">
            <w:pPr>
              <w:numPr>
                <w:ilvl w:val="0"/>
                <w:numId w:val="43"/>
              </w:numPr>
              <w:spacing w:after="0" w:line="240" w:lineRule="auto"/>
              <w:ind w:left="156" w:hanging="180"/>
              <w:contextualSpacing/>
              <w:jc w:val="both"/>
              <w:rPr>
                <w:rFonts w:asciiTheme="minorHAnsi" w:eastAsia="Calibri" w:hAnsiTheme="minorHAnsi" w:cs="Arial"/>
                <w:iCs/>
              </w:rPr>
            </w:pPr>
            <w:r w:rsidRPr="00F563CD">
              <w:rPr>
                <w:rFonts w:asciiTheme="minorHAnsi" w:eastAsia="Calibri" w:hAnsiTheme="minorHAnsi" w:cs="Arial"/>
                <w:iCs/>
              </w:rPr>
              <w:t>Akcioni plan za implementaciju Strategije za razvoj zvanične statistike za period 2021-2023.</w:t>
            </w:r>
          </w:p>
        </w:tc>
      </w:tr>
      <w:tr w:rsidR="00047EF8" w:rsidRPr="00F563CD" w14:paraId="71C3CA1C" w14:textId="77777777" w:rsidTr="00A239C5">
        <w:tc>
          <w:tcPr>
            <w:tcW w:w="5580" w:type="dxa"/>
          </w:tcPr>
          <w:p w14:paraId="520A06F3"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 xml:space="preserve">Program reforme ekonomije Crne Gore 2021 – 2023. </w:t>
            </w:r>
            <w:r w:rsidRPr="00F563CD">
              <w:rPr>
                <w:rFonts w:asciiTheme="minorHAnsi" w:eastAsia="Calibri" w:hAnsiTheme="minorHAnsi" w:cs="Arial"/>
                <w:iCs/>
                <w:vertAlign w:val="superscript"/>
              </w:rPr>
              <w:footnoteReference w:id="54"/>
            </w:r>
          </w:p>
        </w:tc>
        <w:tc>
          <w:tcPr>
            <w:tcW w:w="4680" w:type="dxa"/>
          </w:tcPr>
          <w:p w14:paraId="65B96E38" w14:textId="77777777" w:rsidR="00047EF8" w:rsidRPr="00F563CD" w:rsidRDefault="00864F83" w:rsidP="00A239C5">
            <w:pPr>
              <w:spacing w:after="0" w:line="240" w:lineRule="auto"/>
              <w:contextualSpacing/>
              <w:jc w:val="both"/>
              <w:rPr>
                <w:rFonts w:asciiTheme="minorHAnsi" w:eastAsia="Calibri" w:hAnsiTheme="minorHAnsi" w:cs="Arial"/>
                <w:iCs/>
              </w:rPr>
            </w:pPr>
            <w:r w:rsidRPr="00F563CD">
              <w:rPr>
                <w:rFonts w:asciiTheme="minorHAnsi" w:eastAsia="Calibri" w:hAnsiTheme="minorHAnsi" w:cs="Arial"/>
                <w:iCs/>
              </w:rPr>
              <w:t>o</w:t>
            </w:r>
            <w:r w:rsidRPr="00F563CD">
              <w:rPr>
                <w:rFonts w:asciiTheme="minorHAnsi" w:eastAsia="Calibri" w:hAnsiTheme="minorHAnsi" w:cs="Arial"/>
                <w:iCs/>
              </w:rPr>
              <w:tab/>
              <w:t xml:space="preserve"> Akcioni plan za implementaciju Strategije politike za manjine 2019-2023 za period 2019-2020.</w:t>
            </w:r>
          </w:p>
          <w:p w14:paraId="15C6414C" w14:textId="77777777" w:rsidR="00047EF8" w:rsidRPr="00F563CD" w:rsidRDefault="00864F83" w:rsidP="00A239C5">
            <w:pPr>
              <w:spacing w:after="0" w:line="240" w:lineRule="auto"/>
              <w:contextualSpacing/>
              <w:jc w:val="both"/>
              <w:rPr>
                <w:rFonts w:asciiTheme="minorHAnsi" w:eastAsia="Calibri" w:hAnsiTheme="minorHAnsi" w:cs="Arial"/>
                <w:iCs/>
              </w:rPr>
            </w:pPr>
            <w:r w:rsidRPr="00F563CD">
              <w:rPr>
                <w:rFonts w:asciiTheme="minorHAnsi" w:eastAsia="Calibri" w:hAnsiTheme="minorHAnsi" w:cs="Arial"/>
                <w:iCs/>
              </w:rPr>
              <w:t>o</w:t>
            </w:r>
            <w:r w:rsidRPr="00F563CD">
              <w:rPr>
                <w:rFonts w:asciiTheme="minorHAnsi" w:eastAsia="Calibri" w:hAnsiTheme="minorHAnsi" w:cs="Arial"/>
                <w:iCs/>
              </w:rPr>
              <w:tab/>
              <w:t xml:space="preserve"> Akcioni plan za implementaciju Strategije politike za manjine 2019-2023 za period 2021-2022.</w:t>
            </w:r>
          </w:p>
        </w:tc>
      </w:tr>
      <w:tr w:rsidR="00047EF8" w:rsidRPr="00F563CD" w14:paraId="33770BB8" w14:textId="77777777" w:rsidTr="00A239C5">
        <w:tc>
          <w:tcPr>
            <w:tcW w:w="5580" w:type="dxa"/>
          </w:tcPr>
          <w:p w14:paraId="7F2D9BA4" w14:textId="77777777" w:rsidR="00047EF8" w:rsidRPr="00F563CD" w:rsidRDefault="00864F83" w:rsidP="00A239C5">
            <w:pPr>
              <w:spacing w:after="0" w:line="240" w:lineRule="auto"/>
              <w:jc w:val="both"/>
              <w:rPr>
                <w:rFonts w:asciiTheme="minorHAnsi" w:eastAsia="Calibri" w:hAnsiTheme="minorHAnsi" w:cs="Arial"/>
                <w:iCs/>
              </w:rPr>
            </w:pPr>
            <w:r w:rsidRPr="00F563CD">
              <w:rPr>
                <w:rFonts w:asciiTheme="minorHAnsi" w:eastAsia="Calibri" w:hAnsiTheme="minorHAnsi" w:cs="Arial"/>
                <w:iCs/>
              </w:rPr>
              <w:t>Strategija reforme pravosuđa 2019-2022.</w:t>
            </w:r>
          </w:p>
        </w:tc>
        <w:tc>
          <w:tcPr>
            <w:tcW w:w="4680" w:type="dxa"/>
          </w:tcPr>
          <w:p w14:paraId="13B8CC01" w14:textId="77777777" w:rsidR="00047EF8" w:rsidRPr="00F563CD" w:rsidRDefault="00864F83" w:rsidP="00A239C5">
            <w:pPr>
              <w:spacing w:after="0" w:line="240" w:lineRule="auto"/>
              <w:contextualSpacing/>
              <w:jc w:val="both"/>
              <w:rPr>
                <w:rFonts w:asciiTheme="minorHAnsi" w:eastAsia="Calibri" w:hAnsiTheme="minorHAnsi" w:cs="Arial"/>
                <w:iCs/>
              </w:rPr>
            </w:pPr>
            <w:r w:rsidRPr="00F563CD">
              <w:rPr>
                <w:rFonts w:asciiTheme="minorHAnsi" w:eastAsia="Calibri" w:hAnsiTheme="minorHAnsi" w:cs="Arial"/>
                <w:iCs/>
              </w:rPr>
              <w:t>o</w:t>
            </w:r>
            <w:r w:rsidRPr="00F563CD">
              <w:rPr>
                <w:rFonts w:asciiTheme="minorHAnsi" w:eastAsia="Calibri" w:hAnsiTheme="minorHAnsi" w:cs="Arial"/>
                <w:iCs/>
              </w:rPr>
              <w:tab/>
              <w:t>Akcioni plan za implementaciju Strategije reforme pravosuđa 2021-2022.</w:t>
            </w:r>
          </w:p>
        </w:tc>
      </w:tr>
    </w:tbl>
    <w:p w14:paraId="79096503" w14:textId="77777777" w:rsidR="00047EF8" w:rsidRPr="00F563CD" w:rsidRDefault="00047EF8" w:rsidP="00047EF8">
      <w:pPr>
        <w:pStyle w:val="Heading2"/>
        <w:tabs>
          <w:tab w:val="left" w:pos="7498"/>
        </w:tabs>
        <w:spacing w:line="240" w:lineRule="auto"/>
        <w:jc w:val="both"/>
        <w:rPr>
          <w:rFonts w:asciiTheme="minorHAnsi" w:hAnsiTheme="minorHAnsi" w:cs="Arial"/>
          <w:smallCaps/>
          <w:color w:val="auto"/>
          <w:sz w:val="24"/>
          <w:szCs w:val="24"/>
        </w:rPr>
      </w:pPr>
    </w:p>
    <w:p w14:paraId="787515C1" w14:textId="77777777" w:rsidR="00047EF8" w:rsidRPr="00F563CD" w:rsidRDefault="00047EF8" w:rsidP="00047EF8">
      <w:pPr>
        <w:pStyle w:val="Heading2"/>
        <w:tabs>
          <w:tab w:val="left" w:pos="7498"/>
        </w:tabs>
        <w:spacing w:line="240" w:lineRule="auto"/>
        <w:jc w:val="both"/>
        <w:rPr>
          <w:rFonts w:asciiTheme="minorHAnsi" w:hAnsiTheme="minorHAnsi" w:cs="Arial"/>
          <w:smallCaps/>
          <w:color w:val="auto"/>
          <w:sz w:val="24"/>
          <w:szCs w:val="24"/>
        </w:rPr>
      </w:pPr>
    </w:p>
    <w:p w14:paraId="5F350BEA" w14:textId="166E40AB" w:rsidR="00047EF8" w:rsidRDefault="00047EF8" w:rsidP="00047EF8">
      <w:pPr>
        <w:pStyle w:val="Heading2"/>
        <w:tabs>
          <w:tab w:val="left" w:pos="7498"/>
        </w:tabs>
        <w:spacing w:line="240" w:lineRule="auto"/>
        <w:jc w:val="both"/>
        <w:rPr>
          <w:rFonts w:asciiTheme="minorHAnsi" w:hAnsiTheme="minorHAnsi" w:cs="Arial"/>
          <w:smallCaps/>
          <w:color w:val="auto"/>
          <w:sz w:val="24"/>
          <w:szCs w:val="24"/>
        </w:rPr>
      </w:pPr>
    </w:p>
    <w:p w14:paraId="1EB38A9C" w14:textId="77777777" w:rsidR="00FE2154" w:rsidRPr="00FE2154" w:rsidRDefault="00FE2154" w:rsidP="00FE2154">
      <w:bookmarkStart w:id="75" w:name="_GoBack"/>
      <w:bookmarkEnd w:id="75"/>
    </w:p>
    <w:p w14:paraId="21AF48A0" w14:textId="77777777" w:rsidR="005B4132" w:rsidRPr="005B4132" w:rsidRDefault="005B4132" w:rsidP="005B4132"/>
    <w:p w14:paraId="4504FFE1" w14:textId="39592FF7" w:rsidR="00047EF8" w:rsidRPr="00F563CD" w:rsidRDefault="00864F83" w:rsidP="00047EF8">
      <w:pPr>
        <w:pStyle w:val="Heading2"/>
        <w:tabs>
          <w:tab w:val="left" w:pos="7498"/>
        </w:tabs>
        <w:spacing w:line="240" w:lineRule="auto"/>
        <w:jc w:val="both"/>
        <w:rPr>
          <w:rFonts w:asciiTheme="minorHAnsi" w:hAnsiTheme="minorHAnsi" w:cs="Arial"/>
          <w:bCs w:val="0"/>
          <w:i/>
          <w:color w:val="auto"/>
          <w:sz w:val="24"/>
          <w:szCs w:val="24"/>
        </w:rPr>
      </w:pPr>
      <w:bookmarkStart w:id="76" w:name="_Toc91500290"/>
      <w:r w:rsidRPr="00F563CD">
        <w:rPr>
          <w:rFonts w:asciiTheme="minorHAnsi" w:hAnsiTheme="minorHAnsi" w:cs="Arial"/>
          <w:bCs w:val="0"/>
          <w:i/>
          <w:color w:val="auto"/>
          <w:sz w:val="24"/>
          <w:szCs w:val="24"/>
        </w:rPr>
        <w:lastRenderedPageBreak/>
        <w:t>Prilog</w:t>
      </w:r>
      <w:r w:rsidRPr="00F563CD">
        <w:rPr>
          <w:rFonts w:asciiTheme="minorHAnsi" w:hAnsiTheme="minorHAnsi" w:cs="Arial"/>
          <w:i/>
          <w:smallCaps/>
          <w:color w:val="auto"/>
          <w:sz w:val="24"/>
          <w:szCs w:val="24"/>
        </w:rPr>
        <w:t xml:space="preserve"> 3 </w:t>
      </w:r>
      <w:bookmarkStart w:id="77" w:name="_Toc55577646"/>
      <w:bookmarkStart w:id="78" w:name="_Toc55577647"/>
      <w:bookmarkStart w:id="79" w:name="_Toc55577658"/>
      <w:bookmarkStart w:id="80" w:name="_Toc55577659"/>
      <w:bookmarkStart w:id="81" w:name="_Toc55577660"/>
      <w:bookmarkStart w:id="82" w:name="_Toc55577661"/>
      <w:bookmarkStart w:id="83" w:name="_Toc57195424"/>
      <w:bookmarkStart w:id="84" w:name="_Toc57203748"/>
      <w:bookmarkStart w:id="85" w:name="_Toc57203946"/>
      <w:bookmarkStart w:id="86" w:name="_Toc57205761"/>
      <w:bookmarkStart w:id="87" w:name="_Toc67906844"/>
      <w:bookmarkStart w:id="88" w:name="_Toc67906845"/>
      <w:bookmarkStart w:id="89" w:name="_Toc67906846"/>
      <w:bookmarkStart w:id="90" w:name="_Toc67906847"/>
      <w:bookmarkStart w:id="91" w:name="_Toc67906848"/>
      <w:bookmarkStart w:id="92" w:name="_Toc67906849"/>
      <w:bookmarkStart w:id="93" w:name="_Toc67906850"/>
      <w:bookmarkStart w:id="94" w:name="_Toc67906851"/>
      <w:bookmarkStart w:id="95" w:name="_Toc57195446"/>
      <w:bookmarkStart w:id="96" w:name="_Toc57203770"/>
      <w:bookmarkStart w:id="97" w:name="_Toc57203968"/>
      <w:bookmarkStart w:id="98" w:name="_Toc57205783"/>
      <w:bookmarkStart w:id="99" w:name="_Toc67906865"/>
      <w:bookmarkStart w:id="100" w:name="_Toc57195447"/>
      <w:bookmarkStart w:id="101" w:name="_Toc57203771"/>
      <w:bookmarkStart w:id="102" w:name="_Toc57203969"/>
      <w:bookmarkStart w:id="103" w:name="_Toc57205784"/>
      <w:bookmarkStart w:id="104" w:name="_Toc67906866"/>
      <w:bookmarkStart w:id="105" w:name="_Toc57195448"/>
      <w:bookmarkStart w:id="106" w:name="_Toc57203772"/>
      <w:bookmarkStart w:id="107" w:name="_Toc57203970"/>
      <w:bookmarkStart w:id="108" w:name="_Toc57205785"/>
      <w:bookmarkStart w:id="109" w:name="_Toc67906867"/>
      <w:bookmarkStart w:id="110" w:name="_Toc57195449"/>
      <w:bookmarkStart w:id="111" w:name="_Toc57203773"/>
      <w:bookmarkStart w:id="112" w:name="_Toc57203971"/>
      <w:bookmarkStart w:id="113" w:name="_Toc57205786"/>
      <w:bookmarkStart w:id="114" w:name="_Toc67906868"/>
      <w:bookmarkStart w:id="115" w:name="_Toc57195450"/>
      <w:bookmarkStart w:id="116" w:name="_Toc57203774"/>
      <w:bookmarkStart w:id="117" w:name="_Toc57203972"/>
      <w:bookmarkStart w:id="118" w:name="_Toc57205787"/>
      <w:bookmarkStart w:id="119" w:name="_Toc67906869"/>
      <w:bookmarkStart w:id="120" w:name="_Toc57195451"/>
      <w:bookmarkStart w:id="121" w:name="_Toc57203775"/>
      <w:bookmarkStart w:id="122" w:name="_Toc57203973"/>
      <w:bookmarkStart w:id="123" w:name="_Toc57205788"/>
      <w:bookmarkStart w:id="124" w:name="_Toc67906870"/>
      <w:bookmarkStart w:id="125" w:name="_Toc57195452"/>
      <w:bookmarkStart w:id="126" w:name="_Toc57203776"/>
      <w:bookmarkStart w:id="127" w:name="_Toc57203974"/>
      <w:bookmarkStart w:id="128" w:name="_Toc57205789"/>
      <w:bookmarkStart w:id="129" w:name="_Toc67906871"/>
      <w:bookmarkStart w:id="130" w:name="_Toc57195453"/>
      <w:bookmarkStart w:id="131" w:name="_Toc57203777"/>
      <w:bookmarkStart w:id="132" w:name="_Toc57203975"/>
      <w:bookmarkStart w:id="133" w:name="_Toc57205790"/>
      <w:bookmarkStart w:id="134" w:name="_Toc67906872"/>
      <w:bookmarkStart w:id="135" w:name="_Toc57195454"/>
      <w:bookmarkStart w:id="136" w:name="_Toc57203778"/>
      <w:bookmarkStart w:id="137" w:name="_Toc57203976"/>
      <w:bookmarkStart w:id="138" w:name="_Toc57205791"/>
      <w:bookmarkStart w:id="139" w:name="_Toc67906873"/>
      <w:bookmarkStart w:id="140" w:name="_Toc57195455"/>
      <w:bookmarkStart w:id="141" w:name="_Toc57203779"/>
      <w:bookmarkStart w:id="142" w:name="_Toc57203977"/>
      <w:bookmarkStart w:id="143" w:name="_Toc57205792"/>
      <w:bookmarkStart w:id="144" w:name="_Toc67906874"/>
      <w:bookmarkStart w:id="145" w:name="_Toc57195456"/>
      <w:bookmarkStart w:id="146" w:name="_Toc57203780"/>
      <w:bookmarkStart w:id="147" w:name="_Toc57203978"/>
      <w:bookmarkStart w:id="148" w:name="_Toc57205793"/>
      <w:bookmarkStart w:id="149" w:name="_Toc67906875"/>
      <w:bookmarkStart w:id="150" w:name="_Toc57195461"/>
      <w:bookmarkStart w:id="151" w:name="_Toc57203785"/>
      <w:bookmarkStart w:id="152" w:name="_Toc57203983"/>
      <w:bookmarkStart w:id="153" w:name="_Toc57205798"/>
      <w:bookmarkStart w:id="154" w:name="_Toc67906879"/>
      <w:bookmarkStart w:id="155" w:name="_Toc57195462"/>
      <w:bookmarkStart w:id="156" w:name="_Toc57203786"/>
      <w:bookmarkStart w:id="157" w:name="_Toc57203984"/>
      <w:bookmarkStart w:id="158" w:name="_Toc57205799"/>
      <w:bookmarkStart w:id="159" w:name="_Toc67906880"/>
      <w:bookmarkStart w:id="160" w:name="_Toc57195463"/>
      <w:bookmarkStart w:id="161" w:name="_Toc57203787"/>
      <w:bookmarkStart w:id="162" w:name="_Toc57203985"/>
      <w:bookmarkStart w:id="163" w:name="_Toc57205800"/>
      <w:bookmarkStart w:id="164" w:name="_Toc67906881"/>
      <w:bookmarkStart w:id="165" w:name="_Toc57195464"/>
      <w:bookmarkStart w:id="166" w:name="_Toc57203788"/>
      <w:bookmarkStart w:id="167" w:name="_Toc57203986"/>
      <w:bookmarkStart w:id="168" w:name="_Toc57205801"/>
      <w:bookmarkStart w:id="169" w:name="_Toc67906882"/>
      <w:bookmarkStart w:id="170" w:name="_Toc57195465"/>
      <w:bookmarkStart w:id="171" w:name="_Toc57203789"/>
      <w:bookmarkStart w:id="172" w:name="_Toc57203987"/>
      <w:bookmarkStart w:id="173" w:name="_Toc57205802"/>
      <w:bookmarkStart w:id="174" w:name="_Toc67906883"/>
      <w:bookmarkStart w:id="175" w:name="_Toc57195466"/>
      <w:bookmarkStart w:id="176" w:name="_Toc57203790"/>
      <w:bookmarkStart w:id="177" w:name="_Toc57203988"/>
      <w:bookmarkStart w:id="178" w:name="_Toc57205803"/>
      <w:bookmarkStart w:id="179" w:name="_Toc67906884"/>
      <w:bookmarkStart w:id="180" w:name="_Toc57195467"/>
      <w:bookmarkStart w:id="181" w:name="_Toc57203791"/>
      <w:bookmarkStart w:id="182" w:name="_Toc57203989"/>
      <w:bookmarkStart w:id="183" w:name="_Toc57205804"/>
      <w:bookmarkStart w:id="184" w:name="_Toc67906885"/>
      <w:bookmarkStart w:id="185" w:name="_Toc57195468"/>
      <w:bookmarkStart w:id="186" w:name="_Toc57203792"/>
      <w:bookmarkStart w:id="187" w:name="_Toc57203990"/>
      <w:bookmarkStart w:id="188" w:name="_Toc57205805"/>
      <w:bookmarkStart w:id="189" w:name="_Toc67906886"/>
      <w:bookmarkStart w:id="190" w:name="_Toc57195469"/>
      <w:bookmarkStart w:id="191" w:name="_Toc57203793"/>
      <w:bookmarkStart w:id="192" w:name="_Toc57203991"/>
      <w:bookmarkStart w:id="193" w:name="_Toc57205806"/>
      <w:bookmarkStart w:id="194" w:name="_Toc67906887"/>
      <w:bookmarkStart w:id="195" w:name="_Toc57195470"/>
      <w:bookmarkStart w:id="196" w:name="_Toc57203794"/>
      <w:bookmarkStart w:id="197" w:name="_Toc57203992"/>
      <w:bookmarkStart w:id="198" w:name="_Toc57205807"/>
      <w:bookmarkStart w:id="199" w:name="_Toc67906888"/>
      <w:bookmarkStart w:id="200" w:name="_Toc57195471"/>
      <w:bookmarkStart w:id="201" w:name="_Toc57203795"/>
      <w:bookmarkStart w:id="202" w:name="_Toc57203993"/>
      <w:bookmarkStart w:id="203" w:name="_Toc57205808"/>
      <w:bookmarkStart w:id="204" w:name="_Toc67906889"/>
      <w:bookmarkStart w:id="205" w:name="_Toc57195472"/>
      <w:bookmarkStart w:id="206" w:name="_Toc57203796"/>
      <w:bookmarkStart w:id="207" w:name="_Toc57203994"/>
      <w:bookmarkStart w:id="208" w:name="_Toc57205809"/>
      <w:bookmarkStart w:id="209" w:name="_Toc67906890"/>
      <w:bookmarkStart w:id="210" w:name="_Toc57195473"/>
      <w:bookmarkStart w:id="211" w:name="_Toc57203797"/>
      <w:bookmarkStart w:id="212" w:name="_Toc57203995"/>
      <w:bookmarkStart w:id="213" w:name="_Toc57205810"/>
      <w:bookmarkStart w:id="214" w:name="_Toc67906891"/>
      <w:bookmarkStart w:id="215" w:name="_Toc57195474"/>
      <w:bookmarkStart w:id="216" w:name="_Toc57203798"/>
      <w:bookmarkStart w:id="217" w:name="_Toc57203996"/>
      <w:bookmarkStart w:id="218" w:name="_Toc57205811"/>
      <w:bookmarkStart w:id="219" w:name="_Toc6790689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F563CD">
        <w:rPr>
          <w:rFonts w:asciiTheme="minorHAnsi" w:hAnsiTheme="minorHAnsi" w:cs="Arial"/>
          <w:i/>
          <w:smallCaps/>
          <w:color w:val="auto"/>
          <w:sz w:val="24"/>
          <w:szCs w:val="24"/>
        </w:rPr>
        <w:t xml:space="preserve">– </w:t>
      </w:r>
      <w:r w:rsidRPr="00F563CD">
        <w:rPr>
          <w:rFonts w:asciiTheme="minorHAnsi" w:hAnsiTheme="minorHAnsi" w:cs="Arial"/>
          <w:bCs w:val="0"/>
          <w:i/>
          <w:color w:val="auto"/>
          <w:sz w:val="24"/>
          <w:szCs w:val="24"/>
        </w:rPr>
        <w:t>Lista PFM akcija koje će biti finansirane kroz 2022. sektorsku budžetsku podršku za reformu javne uprave i PFM / kroz 2023. programsku godinu</w:t>
      </w:r>
      <w:bookmarkEnd w:id="76"/>
    </w:p>
    <w:p w14:paraId="6BD94489" w14:textId="77777777" w:rsidR="00047EF8" w:rsidRPr="00F563CD" w:rsidRDefault="00047EF8" w:rsidP="00047EF8">
      <w:pPr>
        <w:spacing w:line="240" w:lineRule="auto"/>
        <w:rPr>
          <w:rFonts w:asciiTheme="minorHAnsi" w:hAnsiTheme="minorHAnsi" w:cs="Arial"/>
          <w:sz w:val="20"/>
          <w:szCs w:val="20"/>
        </w:rPr>
      </w:pPr>
    </w:p>
    <w:p w14:paraId="092727E5" w14:textId="77777777" w:rsidR="00047EF8" w:rsidRPr="00F563CD" w:rsidRDefault="00864F83" w:rsidP="00047EF8">
      <w:pPr>
        <w:spacing w:after="120" w:line="240" w:lineRule="auto"/>
        <w:jc w:val="both"/>
        <w:rPr>
          <w:rFonts w:asciiTheme="minorHAnsi" w:hAnsiTheme="minorHAnsi" w:cs="Arial"/>
          <w:b/>
          <w:i/>
          <w:sz w:val="20"/>
          <w:szCs w:val="20"/>
        </w:rPr>
      </w:pPr>
      <w:r w:rsidRPr="00F563CD">
        <w:rPr>
          <w:rFonts w:asciiTheme="minorHAnsi" w:hAnsiTheme="minorHAnsi" w:cs="Arial"/>
          <w:b/>
          <w:i/>
          <w:sz w:val="20"/>
          <w:szCs w:val="20"/>
        </w:rPr>
        <w:t xml:space="preserve">Akcija 1: Uspostavljanje sistema praćenja i osmišljavanja mjera za ublažavanje sive ekonomije i neprijavljenog rada </w:t>
      </w:r>
    </w:p>
    <w:p w14:paraId="3E3233DD" w14:textId="77777777" w:rsidR="00047EF8" w:rsidRPr="00F563CD" w:rsidRDefault="00864F83" w:rsidP="00047EF8">
      <w:pPr>
        <w:spacing w:after="120" w:line="240" w:lineRule="auto"/>
        <w:jc w:val="both"/>
        <w:rPr>
          <w:rFonts w:asciiTheme="minorHAnsi" w:hAnsiTheme="minorHAnsi" w:cs="Arial"/>
          <w:b/>
          <w:i/>
          <w:sz w:val="20"/>
          <w:szCs w:val="20"/>
        </w:rPr>
      </w:pPr>
      <w:r w:rsidRPr="00F563CD">
        <w:rPr>
          <w:rFonts w:asciiTheme="minorHAnsi" w:hAnsiTheme="minorHAnsi" w:cs="Arial"/>
          <w:b/>
          <w:i/>
          <w:sz w:val="20"/>
          <w:szCs w:val="20"/>
        </w:rPr>
        <w:t xml:space="preserve">Institucija korisnik: </w:t>
      </w:r>
      <w:r w:rsidRPr="00F563CD">
        <w:rPr>
          <w:rFonts w:asciiTheme="minorHAnsi" w:hAnsiTheme="minorHAnsi" w:cs="Arial"/>
          <w:bCs/>
          <w:i/>
          <w:sz w:val="20"/>
          <w:szCs w:val="20"/>
        </w:rPr>
        <w:t>Ministarstvo finansija i socijalnog staranja</w:t>
      </w:r>
    </w:p>
    <w:p w14:paraId="26FC7D8D" w14:textId="77777777" w:rsidR="00047EF8" w:rsidRPr="00F563CD" w:rsidRDefault="00864F83" w:rsidP="00047EF8">
      <w:pPr>
        <w:spacing w:after="120" w:line="240" w:lineRule="auto"/>
        <w:jc w:val="both"/>
        <w:rPr>
          <w:rFonts w:asciiTheme="minorHAnsi" w:hAnsiTheme="minorHAnsi" w:cs="Arial"/>
          <w:i/>
          <w:sz w:val="20"/>
          <w:szCs w:val="20"/>
        </w:rPr>
      </w:pPr>
      <w:r w:rsidRPr="00F563CD">
        <w:rPr>
          <w:rFonts w:asciiTheme="minorHAnsi" w:hAnsiTheme="minorHAnsi" w:cs="Arial"/>
          <w:b/>
          <w:i/>
          <w:sz w:val="20"/>
          <w:szCs w:val="20"/>
        </w:rPr>
        <w:t xml:space="preserve">Procijenjena vrijednost: </w:t>
      </w:r>
      <w:r w:rsidRPr="00F563CD">
        <w:rPr>
          <w:rFonts w:asciiTheme="minorHAnsi" w:hAnsiTheme="minorHAnsi" w:cs="Arial"/>
          <w:i/>
          <w:sz w:val="20"/>
          <w:szCs w:val="20"/>
        </w:rPr>
        <w:t>500.000 eura</w:t>
      </w:r>
    </w:p>
    <w:p w14:paraId="3F696303" w14:textId="77777777" w:rsidR="00047EF8" w:rsidRPr="00F563CD" w:rsidRDefault="00864F83" w:rsidP="00047EF8">
      <w:pPr>
        <w:spacing w:after="120" w:line="240" w:lineRule="auto"/>
        <w:jc w:val="both"/>
        <w:rPr>
          <w:rFonts w:asciiTheme="minorHAnsi" w:hAnsiTheme="minorHAnsi" w:cs="Arial"/>
          <w:b/>
          <w:sz w:val="20"/>
          <w:szCs w:val="20"/>
        </w:rPr>
      </w:pPr>
      <w:r w:rsidRPr="00F563CD">
        <w:rPr>
          <w:rFonts w:asciiTheme="minorHAnsi" w:hAnsiTheme="minorHAnsi" w:cs="Arial"/>
          <w:b/>
          <w:sz w:val="20"/>
          <w:szCs w:val="20"/>
        </w:rPr>
        <w:t>Opis:</w:t>
      </w:r>
    </w:p>
    <w:p w14:paraId="49084D4B" w14:textId="77777777" w:rsidR="00047EF8" w:rsidRPr="00F563CD" w:rsidRDefault="00864F83" w:rsidP="00047EF8">
      <w:pPr>
        <w:pStyle w:val="ListParagraph"/>
        <w:numPr>
          <w:ilvl w:val="0"/>
          <w:numId w:val="44"/>
        </w:numPr>
        <w:spacing w:after="120" w:line="240" w:lineRule="auto"/>
        <w:jc w:val="both"/>
        <w:rPr>
          <w:rFonts w:asciiTheme="minorHAnsi" w:hAnsiTheme="minorHAnsi" w:cs="Arial"/>
          <w:sz w:val="20"/>
          <w:szCs w:val="20"/>
        </w:rPr>
      </w:pPr>
      <w:r w:rsidRPr="00F563CD">
        <w:rPr>
          <w:rFonts w:asciiTheme="minorHAnsi" w:hAnsiTheme="minorHAnsi" w:cs="Arial"/>
          <w:sz w:val="20"/>
          <w:szCs w:val="20"/>
        </w:rPr>
        <w:t xml:space="preserve">Definisanje metodologije i modaliteta za sprovođenje periodične procjene područja i strukture sive ekonomije i neprijavljenog rada </w:t>
      </w:r>
    </w:p>
    <w:p w14:paraId="5E8A22F7" w14:textId="77777777" w:rsidR="00047EF8" w:rsidRPr="00F563CD" w:rsidRDefault="00864F83" w:rsidP="00047EF8">
      <w:pPr>
        <w:pStyle w:val="ListParagraph"/>
        <w:numPr>
          <w:ilvl w:val="0"/>
          <w:numId w:val="44"/>
        </w:numPr>
        <w:spacing w:after="120" w:line="240" w:lineRule="auto"/>
        <w:jc w:val="both"/>
        <w:rPr>
          <w:rFonts w:asciiTheme="minorHAnsi" w:hAnsiTheme="minorHAnsi" w:cs="Arial"/>
          <w:sz w:val="20"/>
          <w:szCs w:val="20"/>
        </w:rPr>
      </w:pPr>
      <w:r w:rsidRPr="00F563CD">
        <w:rPr>
          <w:rFonts w:asciiTheme="minorHAnsi" w:hAnsiTheme="minorHAnsi" w:cs="Arial"/>
          <w:sz w:val="20"/>
          <w:szCs w:val="20"/>
        </w:rPr>
        <w:t>Izgradnja kapaciteta unutar nacionalnih institucija za analizu uzroka, osmišljavanje i sprovođenje mjera za ublažavanje sive ekonomije i neprijavljenog rada</w:t>
      </w:r>
    </w:p>
    <w:p w14:paraId="746C4D12" w14:textId="77777777" w:rsidR="00047EF8" w:rsidRPr="00F563CD" w:rsidRDefault="00047EF8" w:rsidP="00047EF8">
      <w:pPr>
        <w:spacing w:after="120" w:line="240" w:lineRule="auto"/>
        <w:jc w:val="both"/>
        <w:rPr>
          <w:rFonts w:asciiTheme="minorHAnsi" w:hAnsiTheme="minorHAnsi" w:cs="Arial"/>
          <w:b/>
          <w:i/>
          <w:sz w:val="20"/>
          <w:szCs w:val="20"/>
        </w:rPr>
      </w:pPr>
    </w:p>
    <w:p w14:paraId="79D5A897" w14:textId="77777777" w:rsidR="00047EF8" w:rsidRPr="00F563CD" w:rsidRDefault="00864F83" w:rsidP="00047EF8">
      <w:pPr>
        <w:spacing w:after="120" w:line="240" w:lineRule="auto"/>
        <w:jc w:val="both"/>
        <w:rPr>
          <w:rFonts w:asciiTheme="minorHAnsi" w:hAnsiTheme="minorHAnsi" w:cs="Arial"/>
          <w:b/>
          <w:i/>
          <w:sz w:val="20"/>
          <w:szCs w:val="20"/>
        </w:rPr>
      </w:pPr>
      <w:r w:rsidRPr="00F563CD">
        <w:rPr>
          <w:rFonts w:asciiTheme="minorHAnsi" w:hAnsiTheme="minorHAnsi" w:cs="Arial"/>
          <w:b/>
          <w:i/>
          <w:sz w:val="20"/>
          <w:szCs w:val="20"/>
        </w:rPr>
        <w:t>Akcija 2. Osnaživanje institucionalnog kapaciteta Crne Gore za osmišljavanje, kontrolu i usklađivanje politike državne pomoći u skladu sa zakonima Evropske unije i najboljom praksome</w:t>
      </w:r>
    </w:p>
    <w:p w14:paraId="14B1AF34" w14:textId="77777777" w:rsidR="00047EF8" w:rsidRPr="00F563CD" w:rsidRDefault="00864F83" w:rsidP="00047EF8">
      <w:pPr>
        <w:spacing w:after="120" w:line="240" w:lineRule="auto"/>
        <w:jc w:val="both"/>
        <w:rPr>
          <w:rFonts w:asciiTheme="minorHAnsi" w:hAnsiTheme="minorHAnsi" w:cs="Arial"/>
          <w:b/>
          <w:i/>
          <w:sz w:val="20"/>
          <w:szCs w:val="20"/>
        </w:rPr>
      </w:pPr>
      <w:r w:rsidRPr="00F563CD">
        <w:rPr>
          <w:rFonts w:asciiTheme="minorHAnsi" w:hAnsiTheme="minorHAnsi" w:cs="Arial"/>
          <w:b/>
          <w:i/>
          <w:sz w:val="20"/>
          <w:szCs w:val="20"/>
        </w:rPr>
        <w:t xml:space="preserve">Institucija korisnik: </w:t>
      </w:r>
      <w:r w:rsidRPr="00F563CD">
        <w:rPr>
          <w:rFonts w:asciiTheme="minorHAnsi" w:hAnsiTheme="minorHAnsi" w:cs="Arial"/>
          <w:bCs/>
          <w:i/>
          <w:sz w:val="20"/>
          <w:szCs w:val="20"/>
        </w:rPr>
        <w:t>Ministarstvo finansija i socijalnog staranja</w:t>
      </w:r>
    </w:p>
    <w:p w14:paraId="7F9B2B96" w14:textId="77777777" w:rsidR="00047EF8" w:rsidRPr="00F563CD" w:rsidRDefault="00864F83" w:rsidP="00047EF8">
      <w:pPr>
        <w:spacing w:after="120" w:line="240" w:lineRule="auto"/>
        <w:jc w:val="both"/>
        <w:rPr>
          <w:rFonts w:asciiTheme="minorHAnsi" w:hAnsiTheme="minorHAnsi" w:cs="Arial"/>
          <w:i/>
          <w:sz w:val="20"/>
          <w:szCs w:val="20"/>
        </w:rPr>
      </w:pPr>
      <w:r w:rsidRPr="00F563CD">
        <w:rPr>
          <w:rFonts w:asciiTheme="minorHAnsi" w:hAnsiTheme="minorHAnsi" w:cs="Arial"/>
          <w:b/>
          <w:i/>
          <w:iCs/>
          <w:sz w:val="20"/>
          <w:szCs w:val="20"/>
        </w:rPr>
        <w:t>Procijenjena vrijednost</w:t>
      </w:r>
      <w:r w:rsidRPr="00F563CD">
        <w:rPr>
          <w:rFonts w:asciiTheme="minorHAnsi" w:hAnsiTheme="minorHAnsi" w:cs="Arial"/>
          <w:b/>
          <w:i/>
          <w:sz w:val="20"/>
          <w:szCs w:val="20"/>
        </w:rPr>
        <w:t xml:space="preserve">: </w:t>
      </w:r>
      <w:r w:rsidRPr="00F563CD">
        <w:rPr>
          <w:rFonts w:asciiTheme="minorHAnsi" w:hAnsiTheme="minorHAnsi" w:cs="Arial"/>
          <w:i/>
          <w:sz w:val="20"/>
          <w:szCs w:val="20"/>
        </w:rPr>
        <w:t>200.000 eura</w:t>
      </w:r>
    </w:p>
    <w:p w14:paraId="7EE4278D" w14:textId="77777777" w:rsidR="00047EF8" w:rsidRPr="00F563CD" w:rsidRDefault="00864F83" w:rsidP="00047EF8">
      <w:pPr>
        <w:spacing w:after="120" w:line="240" w:lineRule="auto"/>
        <w:jc w:val="both"/>
        <w:rPr>
          <w:rFonts w:asciiTheme="minorHAnsi" w:hAnsiTheme="minorHAnsi" w:cs="Arial"/>
          <w:b/>
          <w:sz w:val="20"/>
          <w:szCs w:val="20"/>
        </w:rPr>
      </w:pPr>
      <w:r w:rsidRPr="00F563CD">
        <w:rPr>
          <w:rFonts w:asciiTheme="minorHAnsi" w:hAnsiTheme="minorHAnsi" w:cs="Arial"/>
          <w:b/>
          <w:sz w:val="20"/>
          <w:szCs w:val="20"/>
        </w:rPr>
        <w:t>Opis:</w:t>
      </w:r>
    </w:p>
    <w:p w14:paraId="11CE5B6A" w14:textId="77777777" w:rsidR="00047EF8" w:rsidRPr="00F563CD" w:rsidRDefault="00864F83" w:rsidP="00047EF8">
      <w:pPr>
        <w:pStyle w:val="ListParagraph"/>
        <w:numPr>
          <w:ilvl w:val="0"/>
          <w:numId w:val="44"/>
        </w:numPr>
        <w:spacing w:after="120" w:line="240" w:lineRule="auto"/>
        <w:jc w:val="both"/>
        <w:rPr>
          <w:rFonts w:asciiTheme="minorHAnsi" w:hAnsiTheme="minorHAnsi" w:cs="Arial"/>
          <w:sz w:val="20"/>
          <w:szCs w:val="20"/>
        </w:rPr>
      </w:pPr>
      <w:r w:rsidRPr="00F563CD">
        <w:rPr>
          <w:rFonts w:asciiTheme="minorHAnsi" w:hAnsiTheme="minorHAnsi" w:cs="Arial"/>
          <w:sz w:val="20"/>
          <w:szCs w:val="20"/>
        </w:rPr>
        <w:t xml:space="preserve">Osnaživanje kapaciteta Ministarstva finansija i drugih institucija da osmišljavaju, kontrolišu i usklađuju politiku državne pomoći kroz obuke i razmjenu iskustva </w:t>
      </w:r>
    </w:p>
    <w:p w14:paraId="3495A97B" w14:textId="77777777" w:rsidR="00047EF8" w:rsidRPr="00F563CD" w:rsidRDefault="00864F83" w:rsidP="00047EF8">
      <w:pPr>
        <w:pStyle w:val="ListParagraph"/>
        <w:numPr>
          <w:ilvl w:val="0"/>
          <w:numId w:val="44"/>
        </w:numPr>
        <w:spacing w:after="120" w:line="240" w:lineRule="auto"/>
        <w:jc w:val="both"/>
        <w:rPr>
          <w:rFonts w:asciiTheme="minorHAnsi" w:hAnsiTheme="minorHAnsi" w:cs="Arial"/>
          <w:sz w:val="20"/>
          <w:szCs w:val="20"/>
        </w:rPr>
      </w:pPr>
      <w:r w:rsidRPr="00F563CD">
        <w:rPr>
          <w:rFonts w:asciiTheme="minorHAnsi" w:hAnsiTheme="minorHAnsi" w:cs="Arial"/>
          <w:sz w:val="20"/>
          <w:szCs w:val="20"/>
        </w:rPr>
        <w:t xml:space="preserve">Izrada internih procedura Ministarstva finansija za sprovođenje zakona i komunikacija sa drugim institucijama uključenim u državnu pomoć </w:t>
      </w:r>
    </w:p>
    <w:p w14:paraId="6C93A175" w14:textId="77777777" w:rsidR="00047EF8" w:rsidRPr="00F563CD" w:rsidRDefault="00047EF8" w:rsidP="00047EF8">
      <w:pPr>
        <w:pStyle w:val="ListParagraph"/>
        <w:spacing w:after="120" w:line="240" w:lineRule="auto"/>
        <w:ind w:left="360"/>
        <w:jc w:val="both"/>
        <w:rPr>
          <w:rFonts w:asciiTheme="minorHAnsi" w:hAnsiTheme="minorHAnsi" w:cs="Arial"/>
          <w:sz w:val="20"/>
          <w:szCs w:val="20"/>
        </w:rPr>
      </w:pPr>
    </w:p>
    <w:p w14:paraId="76A5F42C" w14:textId="77777777" w:rsidR="00047EF8" w:rsidRPr="00F563CD" w:rsidRDefault="00864F83" w:rsidP="00047EF8">
      <w:pPr>
        <w:spacing w:after="120" w:line="240" w:lineRule="auto"/>
        <w:jc w:val="both"/>
        <w:rPr>
          <w:rFonts w:asciiTheme="minorHAnsi" w:hAnsiTheme="minorHAnsi" w:cs="Arial"/>
          <w:b/>
          <w:i/>
          <w:sz w:val="20"/>
          <w:szCs w:val="20"/>
        </w:rPr>
      </w:pPr>
      <w:r w:rsidRPr="00F563CD">
        <w:rPr>
          <w:rFonts w:asciiTheme="minorHAnsi" w:hAnsiTheme="minorHAnsi" w:cs="Arial"/>
          <w:b/>
          <w:i/>
          <w:sz w:val="20"/>
          <w:szCs w:val="20"/>
        </w:rPr>
        <w:t>Akcija 3. Unapređenje upravljanja rizicima i neregularnostima</w:t>
      </w:r>
    </w:p>
    <w:p w14:paraId="579520C3" w14:textId="77777777" w:rsidR="00047EF8" w:rsidRPr="00F563CD" w:rsidRDefault="00864F83" w:rsidP="00047EF8">
      <w:pPr>
        <w:spacing w:after="120" w:line="240" w:lineRule="auto"/>
        <w:jc w:val="both"/>
        <w:rPr>
          <w:rFonts w:asciiTheme="minorHAnsi" w:hAnsiTheme="minorHAnsi" w:cs="Arial"/>
          <w:b/>
          <w:i/>
          <w:sz w:val="20"/>
          <w:szCs w:val="20"/>
        </w:rPr>
      </w:pPr>
      <w:r w:rsidRPr="00F563CD">
        <w:rPr>
          <w:rFonts w:asciiTheme="minorHAnsi" w:hAnsiTheme="minorHAnsi" w:cs="Arial"/>
          <w:b/>
          <w:i/>
          <w:sz w:val="20"/>
          <w:szCs w:val="20"/>
        </w:rPr>
        <w:t xml:space="preserve">Institucija korisnik: </w:t>
      </w:r>
      <w:r w:rsidRPr="00F563CD">
        <w:rPr>
          <w:rFonts w:asciiTheme="minorHAnsi" w:hAnsiTheme="minorHAnsi" w:cs="Arial"/>
          <w:bCs/>
          <w:i/>
          <w:sz w:val="20"/>
          <w:szCs w:val="20"/>
        </w:rPr>
        <w:t>Ministarstvo finansija i socijalnog staranja</w:t>
      </w:r>
    </w:p>
    <w:p w14:paraId="0F16BE85" w14:textId="77777777" w:rsidR="00047EF8" w:rsidRPr="00F563CD" w:rsidRDefault="00864F83" w:rsidP="00047EF8">
      <w:pPr>
        <w:spacing w:after="120" w:line="240" w:lineRule="auto"/>
        <w:jc w:val="both"/>
        <w:rPr>
          <w:rFonts w:asciiTheme="minorHAnsi" w:hAnsiTheme="minorHAnsi" w:cs="Arial"/>
          <w:i/>
          <w:sz w:val="20"/>
          <w:szCs w:val="20"/>
        </w:rPr>
      </w:pPr>
      <w:r w:rsidRPr="00F563CD">
        <w:rPr>
          <w:rFonts w:asciiTheme="minorHAnsi" w:hAnsiTheme="minorHAnsi" w:cs="Arial"/>
          <w:b/>
          <w:i/>
          <w:iCs/>
          <w:sz w:val="20"/>
          <w:szCs w:val="20"/>
        </w:rPr>
        <w:t>Procijenjena vrijednost</w:t>
      </w:r>
      <w:r w:rsidRPr="00F563CD">
        <w:rPr>
          <w:rFonts w:asciiTheme="minorHAnsi" w:hAnsiTheme="minorHAnsi" w:cs="Arial"/>
          <w:b/>
          <w:i/>
          <w:sz w:val="20"/>
          <w:szCs w:val="20"/>
        </w:rPr>
        <w:t xml:space="preserve">: </w:t>
      </w:r>
      <w:r w:rsidRPr="00F563CD">
        <w:rPr>
          <w:rFonts w:asciiTheme="minorHAnsi" w:hAnsiTheme="minorHAnsi" w:cs="Arial"/>
          <w:i/>
          <w:sz w:val="20"/>
          <w:szCs w:val="20"/>
        </w:rPr>
        <w:t>300.000 eura</w:t>
      </w:r>
    </w:p>
    <w:p w14:paraId="7697BA72" w14:textId="77777777" w:rsidR="00047EF8" w:rsidRPr="00F563CD" w:rsidRDefault="00864F83" w:rsidP="00047EF8">
      <w:pPr>
        <w:spacing w:after="120" w:line="240" w:lineRule="auto"/>
        <w:jc w:val="both"/>
        <w:rPr>
          <w:rFonts w:asciiTheme="minorHAnsi" w:hAnsiTheme="minorHAnsi" w:cs="Arial"/>
          <w:b/>
          <w:sz w:val="20"/>
          <w:szCs w:val="20"/>
        </w:rPr>
      </w:pPr>
      <w:r w:rsidRPr="00F563CD">
        <w:rPr>
          <w:rFonts w:asciiTheme="minorHAnsi" w:hAnsiTheme="minorHAnsi" w:cs="Arial"/>
          <w:b/>
          <w:sz w:val="20"/>
          <w:szCs w:val="20"/>
        </w:rPr>
        <w:t>Opis:</w:t>
      </w:r>
    </w:p>
    <w:p w14:paraId="35D8A837" w14:textId="77777777" w:rsidR="00047EF8" w:rsidRPr="00F563CD" w:rsidRDefault="00864F83" w:rsidP="00047EF8">
      <w:pPr>
        <w:pStyle w:val="ListParagraph"/>
        <w:numPr>
          <w:ilvl w:val="0"/>
          <w:numId w:val="44"/>
        </w:numPr>
        <w:spacing w:after="120" w:line="240" w:lineRule="auto"/>
        <w:jc w:val="both"/>
        <w:rPr>
          <w:rFonts w:asciiTheme="minorHAnsi" w:hAnsiTheme="minorHAnsi" w:cs="Arial"/>
          <w:sz w:val="20"/>
          <w:szCs w:val="20"/>
        </w:rPr>
      </w:pPr>
      <w:r w:rsidRPr="00F563CD">
        <w:rPr>
          <w:rFonts w:asciiTheme="minorHAnsi" w:hAnsiTheme="minorHAnsi" w:cs="Arial"/>
          <w:sz w:val="20"/>
          <w:szCs w:val="20"/>
        </w:rPr>
        <w:t xml:space="preserve">Jačanje kapaciteta nacionalnih institucija da djelotvorno procjenjuju rizike i upravljaju rizicima </w:t>
      </w:r>
    </w:p>
    <w:p w14:paraId="53BA291C" w14:textId="77777777" w:rsidR="00047EF8" w:rsidRPr="00F563CD" w:rsidRDefault="00864F83" w:rsidP="00047EF8">
      <w:pPr>
        <w:pStyle w:val="ListParagraph"/>
        <w:numPr>
          <w:ilvl w:val="0"/>
          <w:numId w:val="44"/>
        </w:numPr>
        <w:spacing w:after="120" w:line="240" w:lineRule="auto"/>
        <w:jc w:val="both"/>
        <w:rPr>
          <w:rFonts w:asciiTheme="minorHAnsi" w:hAnsiTheme="minorHAnsi" w:cs="Arial"/>
          <w:sz w:val="20"/>
          <w:szCs w:val="20"/>
        </w:rPr>
      </w:pPr>
      <w:r w:rsidRPr="00F563CD">
        <w:rPr>
          <w:rFonts w:asciiTheme="minorHAnsi" w:hAnsiTheme="minorHAnsi" w:cs="Arial"/>
          <w:sz w:val="20"/>
          <w:szCs w:val="20"/>
        </w:rPr>
        <w:t xml:space="preserve">Procjena i podrška sprovođenju sistema za identifikovanje i upravljanje neregularnostima i sumnju na prevaru u nacionalnim fondovima </w:t>
      </w:r>
    </w:p>
    <w:p w14:paraId="27C7FCED" w14:textId="77777777" w:rsidR="00047EF8" w:rsidRPr="00F563CD" w:rsidRDefault="00047EF8" w:rsidP="00047EF8">
      <w:pPr>
        <w:spacing w:after="120" w:line="240" w:lineRule="auto"/>
        <w:jc w:val="both"/>
        <w:rPr>
          <w:rFonts w:asciiTheme="minorHAnsi" w:hAnsiTheme="minorHAnsi" w:cs="Arial"/>
          <w:b/>
          <w:i/>
          <w:sz w:val="20"/>
          <w:szCs w:val="20"/>
        </w:rPr>
      </w:pPr>
    </w:p>
    <w:p w14:paraId="3E3EDD33" w14:textId="77777777" w:rsidR="00047EF8" w:rsidRPr="00F563CD" w:rsidRDefault="00864F83" w:rsidP="00047EF8">
      <w:pPr>
        <w:spacing w:after="120" w:line="240" w:lineRule="auto"/>
        <w:jc w:val="both"/>
        <w:rPr>
          <w:rFonts w:asciiTheme="minorHAnsi" w:hAnsiTheme="minorHAnsi" w:cs="Arial"/>
          <w:b/>
          <w:i/>
          <w:sz w:val="20"/>
          <w:szCs w:val="20"/>
        </w:rPr>
      </w:pPr>
      <w:r w:rsidRPr="00F563CD">
        <w:rPr>
          <w:rFonts w:asciiTheme="minorHAnsi" w:hAnsiTheme="minorHAnsi" w:cs="Arial"/>
          <w:b/>
          <w:i/>
          <w:sz w:val="20"/>
          <w:szCs w:val="20"/>
        </w:rPr>
        <w:t>Akcija 4. Jačanje kapaciteta interne revizije – revizije svrsishodnosti poslovanja</w:t>
      </w:r>
    </w:p>
    <w:p w14:paraId="0CB8C3D9" w14:textId="77777777" w:rsidR="00047EF8" w:rsidRPr="00F563CD" w:rsidRDefault="00864F83" w:rsidP="00047EF8">
      <w:pPr>
        <w:spacing w:after="120" w:line="240" w:lineRule="auto"/>
        <w:jc w:val="both"/>
        <w:rPr>
          <w:rFonts w:asciiTheme="minorHAnsi" w:hAnsiTheme="minorHAnsi" w:cs="Arial"/>
          <w:b/>
          <w:i/>
          <w:sz w:val="20"/>
          <w:szCs w:val="20"/>
        </w:rPr>
      </w:pPr>
      <w:r w:rsidRPr="00F563CD">
        <w:rPr>
          <w:rFonts w:asciiTheme="minorHAnsi" w:hAnsiTheme="minorHAnsi" w:cs="Arial"/>
          <w:b/>
          <w:i/>
          <w:sz w:val="20"/>
          <w:szCs w:val="20"/>
        </w:rPr>
        <w:t xml:space="preserve">Institucija korisnik: </w:t>
      </w:r>
      <w:r w:rsidRPr="00F563CD">
        <w:rPr>
          <w:rFonts w:asciiTheme="minorHAnsi" w:hAnsiTheme="minorHAnsi" w:cs="Arial"/>
          <w:bCs/>
          <w:i/>
          <w:sz w:val="20"/>
          <w:szCs w:val="20"/>
        </w:rPr>
        <w:t>Ministarstvo finansija i socijalnog staranja</w:t>
      </w:r>
    </w:p>
    <w:p w14:paraId="273E18E7" w14:textId="77777777" w:rsidR="00047EF8" w:rsidRPr="00F563CD" w:rsidRDefault="00864F83" w:rsidP="00047EF8">
      <w:pPr>
        <w:spacing w:after="120" w:line="240" w:lineRule="auto"/>
        <w:jc w:val="both"/>
        <w:rPr>
          <w:rFonts w:asciiTheme="minorHAnsi" w:hAnsiTheme="minorHAnsi" w:cs="Arial"/>
          <w:i/>
          <w:sz w:val="20"/>
          <w:szCs w:val="20"/>
        </w:rPr>
      </w:pPr>
      <w:r w:rsidRPr="00F563CD">
        <w:rPr>
          <w:rFonts w:asciiTheme="minorHAnsi" w:hAnsiTheme="minorHAnsi" w:cs="Arial"/>
          <w:b/>
          <w:i/>
          <w:sz w:val="20"/>
          <w:szCs w:val="20"/>
        </w:rPr>
        <w:t xml:space="preserve">Procijenjena vrijednost: </w:t>
      </w:r>
      <w:proofErr w:type="gramStart"/>
      <w:r w:rsidRPr="00F563CD">
        <w:rPr>
          <w:rFonts w:asciiTheme="minorHAnsi" w:hAnsiTheme="minorHAnsi" w:cs="Arial"/>
          <w:i/>
          <w:sz w:val="20"/>
          <w:szCs w:val="20"/>
        </w:rPr>
        <w:t>100.000  eura</w:t>
      </w:r>
      <w:proofErr w:type="gramEnd"/>
    </w:p>
    <w:p w14:paraId="144E0AD2" w14:textId="77777777" w:rsidR="00047EF8" w:rsidRPr="00F563CD" w:rsidRDefault="00864F83" w:rsidP="00047EF8">
      <w:pPr>
        <w:spacing w:after="120" w:line="240" w:lineRule="auto"/>
        <w:jc w:val="both"/>
        <w:rPr>
          <w:rFonts w:asciiTheme="minorHAnsi" w:hAnsiTheme="minorHAnsi" w:cs="Arial"/>
          <w:b/>
          <w:sz w:val="20"/>
          <w:szCs w:val="20"/>
        </w:rPr>
      </w:pPr>
      <w:r w:rsidRPr="00F563CD">
        <w:rPr>
          <w:rFonts w:asciiTheme="minorHAnsi" w:hAnsiTheme="minorHAnsi" w:cs="Arial"/>
          <w:b/>
          <w:sz w:val="20"/>
          <w:szCs w:val="20"/>
        </w:rPr>
        <w:t>Opis:</w:t>
      </w:r>
    </w:p>
    <w:p w14:paraId="1101D6E9" w14:textId="77777777" w:rsidR="00047EF8" w:rsidRPr="00F563CD" w:rsidRDefault="00864F83" w:rsidP="00047EF8">
      <w:pPr>
        <w:pStyle w:val="ListParagraph"/>
        <w:numPr>
          <w:ilvl w:val="0"/>
          <w:numId w:val="44"/>
        </w:numPr>
        <w:spacing w:after="120" w:line="240" w:lineRule="auto"/>
        <w:jc w:val="both"/>
        <w:rPr>
          <w:rFonts w:asciiTheme="minorHAnsi" w:hAnsiTheme="minorHAnsi" w:cs="Arial"/>
          <w:sz w:val="20"/>
          <w:szCs w:val="20"/>
        </w:rPr>
      </w:pPr>
      <w:r w:rsidRPr="00F563CD">
        <w:rPr>
          <w:rFonts w:asciiTheme="minorHAnsi" w:hAnsiTheme="minorHAnsi" w:cs="Arial"/>
          <w:sz w:val="20"/>
          <w:szCs w:val="20"/>
        </w:rPr>
        <w:t xml:space="preserve">Jačanje kapaciteta internih revizora za sprovođenje revizija kojima se utvrđuje odnos cijena kroz: </w:t>
      </w:r>
    </w:p>
    <w:p w14:paraId="0E9E5A1A" w14:textId="77777777" w:rsidR="00047EF8" w:rsidRPr="00F563CD" w:rsidRDefault="00864F83" w:rsidP="00047EF8">
      <w:pPr>
        <w:pStyle w:val="ListParagraph"/>
        <w:numPr>
          <w:ilvl w:val="1"/>
          <w:numId w:val="44"/>
        </w:numPr>
        <w:spacing w:after="120" w:line="240" w:lineRule="auto"/>
        <w:jc w:val="both"/>
        <w:rPr>
          <w:rFonts w:asciiTheme="minorHAnsi" w:hAnsiTheme="minorHAnsi" w:cs="Arial"/>
          <w:sz w:val="20"/>
          <w:szCs w:val="20"/>
        </w:rPr>
      </w:pPr>
      <w:r w:rsidRPr="00F563CD">
        <w:rPr>
          <w:rFonts w:asciiTheme="minorHAnsi" w:hAnsiTheme="minorHAnsi" w:cs="Arial"/>
          <w:sz w:val="20"/>
          <w:szCs w:val="20"/>
        </w:rPr>
        <w:t>obuke</w:t>
      </w:r>
    </w:p>
    <w:p w14:paraId="6BF3466C" w14:textId="77777777" w:rsidR="00047EF8" w:rsidRPr="00F563CD" w:rsidRDefault="00864F83" w:rsidP="00047EF8">
      <w:pPr>
        <w:pStyle w:val="ListParagraph"/>
        <w:numPr>
          <w:ilvl w:val="1"/>
          <w:numId w:val="44"/>
        </w:numPr>
        <w:spacing w:after="120" w:line="240" w:lineRule="auto"/>
        <w:jc w:val="both"/>
        <w:rPr>
          <w:rFonts w:asciiTheme="minorHAnsi" w:hAnsiTheme="minorHAnsi" w:cs="Arial"/>
          <w:sz w:val="20"/>
          <w:szCs w:val="20"/>
        </w:rPr>
      </w:pPr>
      <w:r w:rsidRPr="00F563CD">
        <w:rPr>
          <w:rFonts w:asciiTheme="minorHAnsi" w:hAnsiTheme="minorHAnsi" w:cs="Arial"/>
          <w:sz w:val="20"/>
          <w:szCs w:val="20"/>
        </w:rPr>
        <w:t>obuke na radnom mjestu</w:t>
      </w:r>
    </w:p>
    <w:p w14:paraId="6EE1992A" w14:textId="77777777" w:rsidR="00047EF8" w:rsidRPr="00F563CD" w:rsidRDefault="00864F83" w:rsidP="00047EF8">
      <w:pPr>
        <w:pStyle w:val="ListParagraph"/>
        <w:numPr>
          <w:ilvl w:val="1"/>
          <w:numId w:val="44"/>
        </w:numPr>
        <w:spacing w:after="120" w:line="240" w:lineRule="auto"/>
        <w:jc w:val="both"/>
        <w:rPr>
          <w:rFonts w:asciiTheme="minorHAnsi" w:hAnsiTheme="minorHAnsi" w:cs="Arial"/>
          <w:sz w:val="20"/>
          <w:szCs w:val="20"/>
        </w:rPr>
      </w:pPr>
      <w:r w:rsidRPr="00F563CD">
        <w:rPr>
          <w:rFonts w:asciiTheme="minorHAnsi" w:hAnsiTheme="minorHAnsi" w:cs="Arial"/>
          <w:sz w:val="20"/>
          <w:szCs w:val="20"/>
        </w:rPr>
        <w:t xml:space="preserve">razmjenu iskustva sa revizorima iz država članica Evropske unije </w:t>
      </w:r>
    </w:p>
    <w:p w14:paraId="5FBDCAE1" w14:textId="77777777" w:rsidR="00047EF8" w:rsidRPr="00F563CD" w:rsidRDefault="00864F83" w:rsidP="00047EF8">
      <w:pPr>
        <w:spacing w:after="120" w:line="240" w:lineRule="auto"/>
        <w:jc w:val="both"/>
        <w:rPr>
          <w:rFonts w:asciiTheme="minorHAnsi" w:hAnsiTheme="minorHAnsi" w:cs="Arial"/>
          <w:b/>
          <w:bCs/>
          <w:i/>
          <w:iCs/>
          <w:sz w:val="20"/>
          <w:szCs w:val="20"/>
        </w:rPr>
      </w:pPr>
      <w:r w:rsidRPr="00F563CD">
        <w:rPr>
          <w:rFonts w:asciiTheme="minorHAnsi" w:hAnsiTheme="minorHAnsi" w:cs="Arial"/>
          <w:b/>
          <w:bCs/>
          <w:i/>
          <w:iCs/>
          <w:sz w:val="20"/>
          <w:szCs w:val="20"/>
        </w:rPr>
        <w:t>Akcija 5. Jačanje i unapređenje sistema javnih nabavki u Crnoj Gori</w:t>
      </w:r>
    </w:p>
    <w:p w14:paraId="0F1D05DD" w14:textId="77777777" w:rsidR="00047EF8" w:rsidRPr="00F563CD" w:rsidRDefault="00864F83" w:rsidP="00047EF8">
      <w:pPr>
        <w:spacing w:after="120" w:line="240" w:lineRule="auto"/>
        <w:jc w:val="both"/>
        <w:rPr>
          <w:rFonts w:asciiTheme="minorHAnsi" w:hAnsiTheme="minorHAnsi" w:cs="Arial"/>
          <w:i/>
          <w:iCs/>
          <w:sz w:val="20"/>
          <w:szCs w:val="20"/>
        </w:rPr>
      </w:pPr>
      <w:r w:rsidRPr="00F563CD">
        <w:rPr>
          <w:rFonts w:asciiTheme="minorHAnsi" w:hAnsiTheme="minorHAnsi" w:cs="Arial"/>
          <w:b/>
          <w:i/>
          <w:sz w:val="20"/>
          <w:szCs w:val="20"/>
        </w:rPr>
        <w:t>Institucija korisnik</w:t>
      </w:r>
      <w:r w:rsidRPr="00F563CD">
        <w:rPr>
          <w:rFonts w:asciiTheme="minorHAnsi" w:hAnsiTheme="minorHAnsi" w:cs="Arial"/>
          <w:b/>
          <w:bCs/>
          <w:i/>
          <w:iCs/>
          <w:sz w:val="20"/>
          <w:szCs w:val="20"/>
        </w:rPr>
        <w:t>:</w:t>
      </w:r>
      <w:r w:rsidRPr="00F563CD">
        <w:rPr>
          <w:rFonts w:asciiTheme="minorHAnsi" w:hAnsiTheme="minorHAnsi" w:cs="Arial"/>
          <w:i/>
          <w:iCs/>
          <w:sz w:val="20"/>
          <w:szCs w:val="20"/>
        </w:rPr>
        <w:t xml:space="preserve"> </w:t>
      </w:r>
      <w:r w:rsidRPr="00F563CD">
        <w:rPr>
          <w:rFonts w:asciiTheme="minorHAnsi" w:hAnsiTheme="minorHAnsi" w:cs="Arial"/>
          <w:bCs/>
          <w:i/>
          <w:sz w:val="20"/>
          <w:szCs w:val="20"/>
        </w:rPr>
        <w:t>Ministarstvo finansija i socijalnog staranja</w:t>
      </w:r>
    </w:p>
    <w:p w14:paraId="6776A6E1" w14:textId="77777777" w:rsidR="00047EF8" w:rsidRPr="00F563CD" w:rsidRDefault="00864F83" w:rsidP="00047EF8">
      <w:pPr>
        <w:spacing w:after="120" w:line="240" w:lineRule="auto"/>
        <w:jc w:val="both"/>
        <w:rPr>
          <w:rFonts w:asciiTheme="minorHAnsi" w:hAnsiTheme="minorHAnsi" w:cs="Arial"/>
          <w:i/>
          <w:iCs/>
          <w:sz w:val="20"/>
          <w:szCs w:val="20"/>
          <w:lang w:val="fr-BE"/>
        </w:rPr>
      </w:pPr>
      <w:r w:rsidRPr="00F563CD">
        <w:rPr>
          <w:rFonts w:asciiTheme="minorHAnsi" w:hAnsiTheme="minorHAnsi" w:cs="Arial"/>
          <w:b/>
          <w:i/>
          <w:iCs/>
          <w:sz w:val="20"/>
          <w:szCs w:val="20"/>
          <w:lang w:val="fr-BE"/>
        </w:rPr>
        <w:t xml:space="preserve">Procijenjena </w:t>
      </w:r>
      <w:proofErr w:type="gramStart"/>
      <w:r w:rsidRPr="00F563CD">
        <w:rPr>
          <w:rFonts w:asciiTheme="minorHAnsi" w:hAnsiTheme="minorHAnsi" w:cs="Arial"/>
          <w:b/>
          <w:i/>
          <w:iCs/>
          <w:sz w:val="20"/>
          <w:szCs w:val="20"/>
          <w:lang w:val="fr-BE"/>
        </w:rPr>
        <w:t>vrijednost</w:t>
      </w:r>
      <w:r w:rsidRPr="00F563CD">
        <w:rPr>
          <w:rFonts w:asciiTheme="minorHAnsi" w:hAnsiTheme="minorHAnsi" w:cs="Arial"/>
          <w:b/>
          <w:bCs/>
          <w:i/>
          <w:iCs/>
          <w:sz w:val="20"/>
          <w:szCs w:val="20"/>
          <w:lang w:val="fr-BE"/>
        </w:rPr>
        <w:t>:</w:t>
      </w:r>
      <w:proofErr w:type="gramEnd"/>
      <w:r w:rsidRPr="00F563CD">
        <w:rPr>
          <w:rFonts w:asciiTheme="minorHAnsi" w:hAnsiTheme="minorHAnsi" w:cs="Arial"/>
          <w:i/>
          <w:iCs/>
          <w:sz w:val="20"/>
          <w:szCs w:val="20"/>
          <w:lang w:val="fr-BE"/>
        </w:rPr>
        <w:t xml:space="preserve"> 800.000 eura</w:t>
      </w:r>
    </w:p>
    <w:p w14:paraId="4DECFD66" w14:textId="77777777" w:rsidR="00047EF8" w:rsidRPr="00F563CD" w:rsidRDefault="00864F83" w:rsidP="00047EF8">
      <w:pPr>
        <w:widowControl w:val="0"/>
        <w:pBdr>
          <w:top w:val="nil"/>
          <w:left w:val="nil"/>
          <w:bottom w:val="nil"/>
          <w:right w:val="nil"/>
          <w:between w:val="nil"/>
        </w:pBdr>
        <w:spacing w:after="120" w:line="240" w:lineRule="auto"/>
        <w:jc w:val="both"/>
        <w:rPr>
          <w:rFonts w:asciiTheme="minorHAnsi" w:hAnsiTheme="minorHAnsi" w:cs="Arial"/>
          <w:b/>
          <w:sz w:val="20"/>
          <w:szCs w:val="20"/>
          <w:lang w:val="fr-BE"/>
        </w:rPr>
      </w:pPr>
      <w:r w:rsidRPr="00F563CD">
        <w:rPr>
          <w:rFonts w:asciiTheme="minorHAnsi" w:hAnsiTheme="minorHAnsi" w:cs="Arial"/>
          <w:sz w:val="20"/>
          <w:szCs w:val="20"/>
          <w:lang w:val="fr-BE"/>
        </w:rPr>
        <w:t xml:space="preserve">Opis </w:t>
      </w:r>
      <w:proofErr w:type="gramStart"/>
      <w:r w:rsidRPr="00F563CD">
        <w:rPr>
          <w:rFonts w:asciiTheme="minorHAnsi" w:hAnsiTheme="minorHAnsi" w:cs="Arial"/>
          <w:sz w:val="20"/>
          <w:szCs w:val="20"/>
          <w:lang w:val="fr-BE"/>
        </w:rPr>
        <w:t>akcije:</w:t>
      </w:r>
      <w:proofErr w:type="gramEnd"/>
      <w:r w:rsidRPr="00F563CD">
        <w:rPr>
          <w:rFonts w:asciiTheme="minorHAnsi" w:hAnsiTheme="minorHAnsi" w:cs="Arial"/>
          <w:b/>
          <w:sz w:val="20"/>
          <w:szCs w:val="20"/>
          <w:lang w:val="fr-BE"/>
        </w:rPr>
        <w:t xml:space="preserve"> </w:t>
      </w:r>
    </w:p>
    <w:p w14:paraId="17C20EF8" w14:textId="77777777" w:rsidR="00047EF8" w:rsidRPr="00F563CD" w:rsidRDefault="00864F83" w:rsidP="00047EF8">
      <w:pPr>
        <w:widowControl w:val="0"/>
        <w:pBdr>
          <w:top w:val="nil"/>
          <w:left w:val="nil"/>
          <w:bottom w:val="nil"/>
          <w:right w:val="nil"/>
          <w:between w:val="nil"/>
        </w:pBdr>
        <w:spacing w:after="120" w:line="240" w:lineRule="auto"/>
        <w:jc w:val="both"/>
        <w:rPr>
          <w:rFonts w:asciiTheme="minorHAnsi" w:hAnsiTheme="minorHAnsi" w:cs="Arial"/>
          <w:bCs/>
          <w:sz w:val="20"/>
          <w:szCs w:val="20"/>
          <w:u w:val="single"/>
          <w:lang w:val="fr-BE"/>
        </w:rPr>
      </w:pPr>
      <w:r w:rsidRPr="00F563CD">
        <w:rPr>
          <w:rFonts w:asciiTheme="minorHAnsi" w:hAnsiTheme="minorHAnsi" w:cs="Arial"/>
          <w:bCs/>
          <w:sz w:val="20"/>
          <w:szCs w:val="20"/>
          <w:u w:val="single"/>
          <w:lang w:val="fr-BE"/>
        </w:rPr>
        <w:lastRenderedPageBreak/>
        <w:t>Sveukupni cilj</w:t>
      </w:r>
    </w:p>
    <w:p w14:paraId="0AC4FC91" w14:textId="77777777" w:rsidR="00047EF8" w:rsidRPr="00F563CD" w:rsidRDefault="00864F83" w:rsidP="00047EF8">
      <w:pPr>
        <w:widowControl w:val="0"/>
        <w:pBdr>
          <w:top w:val="nil"/>
          <w:left w:val="nil"/>
          <w:bottom w:val="nil"/>
          <w:right w:val="nil"/>
          <w:between w:val="nil"/>
        </w:pBdr>
        <w:spacing w:after="120" w:line="240" w:lineRule="auto"/>
        <w:ind w:left="399" w:right="323"/>
        <w:jc w:val="both"/>
        <w:rPr>
          <w:rFonts w:asciiTheme="minorHAnsi" w:hAnsiTheme="minorHAnsi" w:cs="Arial"/>
          <w:sz w:val="20"/>
          <w:szCs w:val="20"/>
          <w:lang w:val="fr-BE"/>
        </w:rPr>
      </w:pPr>
      <w:r w:rsidRPr="00F563CD">
        <w:rPr>
          <w:rFonts w:asciiTheme="minorHAnsi" w:hAnsiTheme="minorHAnsi" w:cs="Arial"/>
          <w:sz w:val="20"/>
          <w:szCs w:val="20"/>
          <w:lang w:val="fr-BE"/>
        </w:rPr>
        <w:t>Bolja vrijednost za novac za crnogorsku javnost u oblasti javnih nabavki kroz zakonsko približavanje pravilima Evropske unije i najboljim međunarodnim praksama i praksama EU, na koji način će se pomoći Crnoj Gori da se pridržava svojih obaveza u okviru pristupanja Evropskoj uniji.</w:t>
      </w:r>
    </w:p>
    <w:p w14:paraId="4219EA31" w14:textId="77777777" w:rsidR="00047EF8" w:rsidRPr="00F563CD" w:rsidRDefault="00864F83" w:rsidP="00047EF8">
      <w:pPr>
        <w:widowControl w:val="0"/>
        <w:pBdr>
          <w:top w:val="nil"/>
          <w:left w:val="nil"/>
          <w:bottom w:val="nil"/>
          <w:right w:val="nil"/>
          <w:between w:val="nil"/>
        </w:pBdr>
        <w:tabs>
          <w:tab w:val="left" w:pos="932"/>
        </w:tabs>
        <w:spacing w:after="120" w:line="240" w:lineRule="auto"/>
        <w:jc w:val="both"/>
        <w:rPr>
          <w:rFonts w:asciiTheme="minorHAnsi" w:hAnsiTheme="minorHAnsi" w:cs="Arial"/>
          <w:bCs/>
          <w:sz w:val="20"/>
          <w:szCs w:val="20"/>
          <w:u w:val="single"/>
          <w:lang w:val="fr-BE"/>
        </w:rPr>
      </w:pPr>
      <w:r w:rsidRPr="00F563CD">
        <w:rPr>
          <w:rFonts w:asciiTheme="minorHAnsi" w:hAnsiTheme="minorHAnsi" w:cs="Arial"/>
          <w:bCs/>
          <w:sz w:val="20"/>
          <w:szCs w:val="20"/>
          <w:u w:val="single"/>
          <w:lang w:val="fr-BE"/>
        </w:rPr>
        <w:t>Svrha</w:t>
      </w:r>
    </w:p>
    <w:p w14:paraId="773A3762" w14:textId="77777777" w:rsidR="00047EF8" w:rsidRPr="00F563CD" w:rsidRDefault="00864F83" w:rsidP="00047EF8">
      <w:pPr>
        <w:widowControl w:val="0"/>
        <w:pBdr>
          <w:top w:val="nil"/>
          <w:left w:val="nil"/>
          <w:bottom w:val="nil"/>
          <w:right w:val="nil"/>
          <w:between w:val="nil"/>
        </w:pBdr>
        <w:spacing w:after="120" w:line="240" w:lineRule="auto"/>
        <w:ind w:left="399" w:right="321"/>
        <w:jc w:val="both"/>
        <w:rPr>
          <w:rFonts w:asciiTheme="minorHAnsi" w:hAnsiTheme="minorHAnsi" w:cs="Arial"/>
          <w:sz w:val="20"/>
          <w:szCs w:val="20"/>
          <w:lang w:val="fr-BE"/>
        </w:rPr>
      </w:pPr>
      <w:r w:rsidRPr="00F563CD">
        <w:rPr>
          <w:rFonts w:asciiTheme="minorHAnsi" w:hAnsiTheme="minorHAnsi" w:cs="Arial"/>
          <w:sz w:val="20"/>
          <w:szCs w:val="20"/>
          <w:lang w:val="fr-BE"/>
        </w:rPr>
        <w:t>Jačanje sistema javnih nabavki u Crnoj Gori i dalje usklađivanje sa standardima i praksom Evropske unije, kako bi se postigao viši nivo djelotvornosti, transparentnosti, pristupačnosti, održivosti i konkurentnosti, u skladu sa obavezama Crne Gore shodno procesu pristupanja Evropskoj uniji i relevantnim državnim planovima.</w:t>
      </w:r>
    </w:p>
    <w:p w14:paraId="0F6BA5C9" w14:textId="77777777" w:rsidR="00047EF8" w:rsidRPr="00F563CD" w:rsidRDefault="00864F83" w:rsidP="00047EF8">
      <w:pPr>
        <w:widowControl w:val="0"/>
        <w:pBdr>
          <w:top w:val="nil"/>
          <w:left w:val="nil"/>
          <w:bottom w:val="nil"/>
          <w:right w:val="nil"/>
          <w:between w:val="nil"/>
        </w:pBdr>
        <w:tabs>
          <w:tab w:val="left" w:pos="931"/>
          <w:tab w:val="left" w:pos="932"/>
        </w:tabs>
        <w:spacing w:after="120" w:line="240" w:lineRule="auto"/>
        <w:jc w:val="both"/>
        <w:rPr>
          <w:rFonts w:asciiTheme="minorHAnsi" w:hAnsiTheme="minorHAnsi" w:cs="Arial"/>
          <w:bCs/>
          <w:sz w:val="20"/>
          <w:szCs w:val="20"/>
          <w:u w:val="single"/>
          <w:lang w:val="fr-BE"/>
        </w:rPr>
      </w:pPr>
      <w:r w:rsidRPr="00F563CD">
        <w:rPr>
          <w:rFonts w:asciiTheme="minorHAnsi" w:hAnsiTheme="minorHAnsi" w:cs="Arial"/>
          <w:bCs/>
          <w:sz w:val="20"/>
          <w:szCs w:val="20"/>
          <w:u w:val="single"/>
          <w:lang w:val="fr-BE"/>
        </w:rPr>
        <w:t xml:space="preserve">Rezultati i aktivnosti koje će se sprovesti </w:t>
      </w:r>
    </w:p>
    <w:p w14:paraId="2FC3DB2D" w14:textId="77777777" w:rsidR="00047EF8" w:rsidRPr="00F563CD" w:rsidRDefault="00864F83" w:rsidP="00047EF8">
      <w:pPr>
        <w:widowControl w:val="0"/>
        <w:pBdr>
          <w:top w:val="nil"/>
          <w:left w:val="nil"/>
          <w:bottom w:val="nil"/>
          <w:right w:val="nil"/>
          <w:between w:val="nil"/>
        </w:pBdr>
        <w:spacing w:after="120" w:line="240" w:lineRule="auto"/>
        <w:ind w:left="399"/>
        <w:rPr>
          <w:rFonts w:asciiTheme="minorHAnsi" w:hAnsiTheme="minorHAnsi" w:cs="Arial"/>
          <w:sz w:val="20"/>
          <w:szCs w:val="20"/>
          <w:lang w:val="fr-BE"/>
        </w:rPr>
      </w:pPr>
      <w:r w:rsidRPr="00F563CD">
        <w:rPr>
          <w:rFonts w:asciiTheme="minorHAnsi" w:hAnsiTheme="minorHAnsi" w:cs="Arial"/>
          <w:sz w:val="20"/>
          <w:szCs w:val="20"/>
          <w:lang w:val="fr-BE"/>
        </w:rPr>
        <w:t xml:space="preserve">R </w:t>
      </w:r>
      <w:proofErr w:type="gramStart"/>
      <w:r w:rsidRPr="00F563CD">
        <w:rPr>
          <w:rFonts w:asciiTheme="minorHAnsi" w:hAnsiTheme="minorHAnsi" w:cs="Arial"/>
          <w:sz w:val="20"/>
          <w:szCs w:val="20"/>
          <w:lang w:val="fr-BE"/>
        </w:rPr>
        <w:t>1:</w:t>
      </w:r>
      <w:proofErr w:type="gramEnd"/>
      <w:r w:rsidRPr="00F563CD">
        <w:rPr>
          <w:rFonts w:asciiTheme="minorHAnsi" w:hAnsiTheme="minorHAnsi" w:cs="Arial"/>
          <w:sz w:val="20"/>
          <w:szCs w:val="20"/>
          <w:lang w:val="fr-BE"/>
        </w:rPr>
        <w:t xml:space="preserve"> Zakonsko i regulatorno približavanje zakona o javnim nabavkama standardima EU </w:t>
      </w:r>
    </w:p>
    <w:p w14:paraId="07BC07F2" w14:textId="77777777" w:rsidR="00047EF8" w:rsidRPr="00F563CD" w:rsidRDefault="00864F83" w:rsidP="00047EF8">
      <w:pPr>
        <w:pStyle w:val="Normal1"/>
        <w:numPr>
          <w:ilvl w:val="0"/>
          <w:numId w:val="50"/>
        </w:numPr>
        <w:pBdr>
          <w:top w:val="nil"/>
          <w:left w:val="nil"/>
          <w:bottom w:val="nil"/>
          <w:right w:val="nil"/>
          <w:between w:val="nil"/>
        </w:pBdr>
        <w:tabs>
          <w:tab w:val="left" w:pos="694"/>
        </w:tabs>
        <w:spacing w:after="120"/>
        <w:ind w:right="320"/>
        <w:jc w:val="both"/>
        <w:rPr>
          <w:rFonts w:asciiTheme="minorHAnsi" w:hAnsiTheme="minorHAnsi" w:cs="Arial"/>
          <w:sz w:val="20"/>
          <w:szCs w:val="20"/>
          <w:lang w:val="fr-BE"/>
        </w:rPr>
      </w:pPr>
      <w:r w:rsidRPr="00F563CD">
        <w:rPr>
          <w:rFonts w:asciiTheme="minorHAnsi" w:hAnsiTheme="minorHAnsi" w:cs="Arial"/>
          <w:sz w:val="20"/>
          <w:szCs w:val="20"/>
          <w:lang w:val="fr-BE"/>
        </w:rPr>
        <w:t>Dalje usklađivanje zakona u oblasti javnih nabavki u Crnoj Gori sa relevantnom pravnom tekovinom EU</w:t>
      </w:r>
      <w:r w:rsidRPr="00F563CD">
        <w:rPr>
          <w:rFonts w:asciiTheme="minorHAnsi" w:hAnsiTheme="minorHAnsi" w:cs="Arial"/>
          <w:i/>
          <w:sz w:val="20"/>
          <w:szCs w:val="20"/>
          <w:lang w:val="fr-BE"/>
        </w:rPr>
        <w:t xml:space="preserve"> </w:t>
      </w:r>
    </w:p>
    <w:p w14:paraId="5389840A" w14:textId="77777777" w:rsidR="00047EF8" w:rsidRPr="00F563CD" w:rsidRDefault="00864F83" w:rsidP="00047EF8">
      <w:pPr>
        <w:widowControl w:val="0"/>
        <w:pBdr>
          <w:top w:val="nil"/>
          <w:left w:val="nil"/>
          <w:bottom w:val="nil"/>
          <w:right w:val="nil"/>
          <w:between w:val="nil"/>
        </w:pBdr>
        <w:spacing w:after="120" w:line="240" w:lineRule="auto"/>
        <w:ind w:left="399"/>
        <w:rPr>
          <w:rFonts w:asciiTheme="minorHAnsi" w:hAnsiTheme="minorHAnsi" w:cs="Arial"/>
          <w:sz w:val="20"/>
          <w:szCs w:val="20"/>
        </w:rPr>
      </w:pPr>
      <w:r w:rsidRPr="00F563CD">
        <w:rPr>
          <w:rFonts w:asciiTheme="minorHAnsi" w:hAnsiTheme="minorHAnsi" w:cs="Arial"/>
          <w:sz w:val="20"/>
          <w:szCs w:val="20"/>
        </w:rPr>
        <w:t xml:space="preserve">R 2: Osnaženi institucionalni i organizacioni kapaciteti i dodatno unaprijeđen sistem elektronskih nabavki </w:t>
      </w:r>
    </w:p>
    <w:p w14:paraId="5D9B4527" w14:textId="77777777" w:rsidR="00047EF8" w:rsidRPr="00F563CD" w:rsidRDefault="00864F83" w:rsidP="00047EF8">
      <w:pPr>
        <w:pStyle w:val="ListParagraph"/>
        <w:widowControl w:val="0"/>
        <w:numPr>
          <w:ilvl w:val="0"/>
          <w:numId w:val="48"/>
        </w:numPr>
        <w:pBdr>
          <w:top w:val="nil"/>
          <w:left w:val="nil"/>
          <w:bottom w:val="nil"/>
          <w:right w:val="nil"/>
          <w:between w:val="nil"/>
        </w:pBdr>
        <w:tabs>
          <w:tab w:val="left" w:pos="791"/>
        </w:tabs>
        <w:spacing w:after="120" w:line="240" w:lineRule="auto"/>
        <w:ind w:right="323"/>
        <w:jc w:val="both"/>
        <w:rPr>
          <w:rFonts w:asciiTheme="minorHAnsi" w:hAnsiTheme="minorHAnsi" w:cs="Arial"/>
          <w:sz w:val="20"/>
          <w:szCs w:val="20"/>
        </w:rPr>
      </w:pPr>
      <w:r w:rsidRPr="00F563CD">
        <w:rPr>
          <w:rFonts w:asciiTheme="minorHAnsi" w:hAnsiTheme="minorHAnsi" w:cs="Arial"/>
          <w:sz w:val="20"/>
          <w:szCs w:val="20"/>
        </w:rPr>
        <w:t>Institucionalni razvoj, kreiranje odgovarajućeg materijala i tehničke osnove i angažovanje neophodnih ljudskih resursa, potrebnih za funkcionisanje ovlašćenog tijela za javne nabavke, kao i za nezavisni revizorni organ za zaštitu prava učesnika u postupku javnih nabavki, optimiziranje saradnje regulatornih i kontrolnih tijela u sektoru javnih nabavki i upravljanja javnim finansijama. Uspostavljanje i razvoj sistema elektronskih nabavki u skladu sa zahtjevima Evropske unije i najboljim međunarodnim praksama;</w:t>
      </w:r>
    </w:p>
    <w:p w14:paraId="28B8DAFC" w14:textId="77777777" w:rsidR="00047EF8" w:rsidRPr="00F563CD" w:rsidRDefault="00864F83" w:rsidP="00047EF8">
      <w:pPr>
        <w:pStyle w:val="ListParagraph"/>
        <w:widowControl w:val="0"/>
        <w:numPr>
          <w:ilvl w:val="0"/>
          <w:numId w:val="48"/>
        </w:numPr>
        <w:pBdr>
          <w:top w:val="nil"/>
          <w:left w:val="nil"/>
          <w:bottom w:val="nil"/>
          <w:right w:val="nil"/>
          <w:between w:val="nil"/>
        </w:pBdr>
        <w:tabs>
          <w:tab w:val="left" w:pos="791"/>
        </w:tabs>
        <w:spacing w:after="120" w:line="240" w:lineRule="auto"/>
        <w:ind w:right="323"/>
        <w:jc w:val="both"/>
        <w:rPr>
          <w:rFonts w:asciiTheme="minorHAnsi" w:hAnsiTheme="minorHAnsi" w:cs="Arial"/>
          <w:sz w:val="20"/>
          <w:szCs w:val="20"/>
        </w:rPr>
      </w:pPr>
      <w:r w:rsidRPr="00F563CD">
        <w:rPr>
          <w:rFonts w:asciiTheme="minorHAnsi" w:hAnsiTheme="minorHAnsi" w:cs="Arial"/>
          <w:sz w:val="20"/>
          <w:szCs w:val="20"/>
        </w:rPr>
        <w:t>Dalji razvoj sistema elektronskih nabavki u skladu sa zahtjevima i standardima Evropske unije i najboljih međunarodnih praksi;</w:t>
      </w:r>
    </w:p>
    <w:p w14:paraId="56B5CC03" w14:textId="77777777" w:rsidR="00047EF8" w:rsidRPr="00F563CD" w:rsidRDefault="00864F83" w:rsidP="00047EF8">
      <w:pPr>
        <w:widowControl w:val="0"/>
        <w:pBdr>
          <w:top w:val="nil"/>
          <w:left w:val="nil"/>
          <w:bottom w:val="nil"/>
          <w:right w:val="nil"/>
          <w:between w:val="nil"/>
        </w:pBdr>
        <w:spacing w:after="120" w:line="240" w:lineRule="auto"/>
        <w:ind w:left="399"/>
        <w:rPr>
          <w:rFonts w:asciiTheme="minorHAnsi" w:hAnsiTheme="minorHAnsi" w:cs="Arial"/>
          <w:sz w:val="20"/>
          <w:szCs w:val="20"/>
        </w:rPr>
      </w:pPr>
      <w:r w:rsidRPr="00F563CD">
        <w:rPr>
          <w:rFonts w:asciiTheme="minorHAnsi" w:hAnsiTheme="minorHAnsi" w:cs="Arial"/>
          <w:sz w:val="20"/>
          <w:szCs w:val="20"/>
        </w:rPr>
        <w:t>R 3: Osnaženi institucionalni i organizacioni okvir za profesionalizaciju službenika za javne nabavke i unaprijeđena komunikacija/domašaj učesnika na tržištu javnih nabavki.</w:t>
      </w:r>
    </w:p>
    <w:p w14:paraId="17608076" w14:textId="77777777" w:rsidR="00047EF8" w:rsidRPr="00F563CD" w:rsidRDefault="00864F83" w:rsidP="00047EF8">
      <w:pPr>
        <w:pStyle w:val="ListParagraph"/>
        <w:widowControl w:val="0"/>
        <w:numPr>
          <w:ilvl w:val="0"/>
          <w:numId w:val="49"/>
        </w:numPr>
        <w:pBdr>
          <w:top w:val="nil"/>
          <w:left w:val="nil"/>
          <w:bottom w:val="nil"/>
          <w:right w:val="nil"/>
          <w:between w:val="nil"/>
        </w:pBdr>
        <w:spacing w:after="120" w:line="240" w:lineRule="auto"/>
        <w:rPr>
          <w:rFonts w:asciiTheme="minorHAnsi" w:hAnsiTheme="minorHAnsi" w:cs="Arial"/>
          <w:sz w:val="20"/>
          <w:szCs w:val="20"/>
        </w:rPr>
      </w:pPr>
      <w:r w:rsidRPr="00F563CD">
        <w:rPr>
          <w:rFonts w:asciiTheme="minorHAnsi" w:hAnsiTheme="minorHAnsi" w:cs="Arial"/>
          <w:sz w:val="20"/>
          <w:szCs w:val="20"/>
        </w:rPr>
        <w:t>Razvoj sistema profesionalnog osposbljavanja stručnjaka za javne nabavke i profesionalizacija funkcije javnih nabavki;</w:t>
      </w:r>
    </w:p>
    <w:p w14:paraId="6C2CDB86" w14:textId="77777777" w:rsidR="00047EF8" w:rsidRPr="00F563CD" w:rsidRDefault="00047EF8" w:rsidP="00047EF8">
      <w:pPr>
        <w:spacing w:after="120" w:line="240" w:lineRule="auto"/>
        <w:jc w:val="both"/>
        <w:rPr>
          <w:rFonts w:asciiTheme="minorHAnsi" w:hAnsiTheme="minorHAnsi" w:cs="Arial"/>
          <w:sz w:val="20"/>
          <w:szCs w:val="20"/>
        </w:rPr>
      </w:pPr>
    </w:p>
    <w:p w14:paraId="0FEE876A" w14:textId="77777777" w:rsidR="00047EF8" w:rsidRPr="00F563CD" w:rsidRDefault="00864F83" w:rsidP="00047EF8">
      <w:pPr>
        <w:spacing w:after="120" w:line="240" w:lineRule="auto"/>
        <w:jc w:val="both"/>
        <w:rPr>
          <w:rFonts w:asciiTheme="minorHAnsi" w:hAnsiTheme="minorHAnsi" w:cs="Arial"/>
          <w:b/>
          <w:bCs/>
          <w:i/>
          <w:iCs/>
          <w:sz w:val="20"/>
          <w:szCs w:val="20"/>
        </w:rPr>
      </w:pPr>
      <w:r w:rsidRPr="00F563CD">
        <w:rPr>
          <w:rFonts w:asciiTheme="minorHAnsi" w:hAnsiTheme="minorHAnsi" w:cs="Arial"/>
          <w:b/>
          <w:bCs/>
          <w:i/>
          <w:iCs/>
          <w:sz w:val="20"/>
          <w:szCs w:val="20"/>
        </w:rPr>
        <w:t>Akcija 6. Sprovođenje cenzusa u poljoprivredi</w:t>
      </w:r>
    </w:p>
    <w:p w14:paraId="4CCD97FE" w14:textId="77777777" w:rsidR="00047EF8" w:rsidRPr="00F563CD" w:rsidRDefault="00864F83" w:rsidP="00047EF8">
      <w:pPr>
        <w:spacing w:after="120" w:line="240" w:lineRule="auto"/>
        <w:jc w:val="both"/>
        <w:rPr>
          <w:rFonts w:asciiTheme="minorHAnsi" w:hAnsiTheme="minorHAnsi" w:cs="Arial"/>
          <w:i/>
          <w:iCs/>
          <w:sz w:val="20"/>
          <w:szCs w:val="20"/>
        </w:rPr>
      </w:pPr>
      <w:r w:rsidRPr="00F563CD">
        <w:rPr>
          <w:rFonts w:asciiTheme="minorHAnsi" w:hAnsiTheme="minorHAnsi" w:cs="Arial"/>
          <w:b/>
          <w:i/>
          <w:sz w:val="20"/>
          <w:szCs w:val="20"/>
        </w:rPr>
        <w:t>Institucija korisnik</w:t>
      </w:r>
      <w:r w:rsidRPr="00F563CD">
        <w:rPr>
          <w:rFonts w:asciiTheme="minorHAnsi" w:hAnsiTheme="minorHAnsi" w:cs="Arial"/>
          <w:b/>
          <w:bCs/>
          <w:i/>
          <w:iCs/>
          <w:sz w:val="20"/>
          <w:szCs w:val="20"/>
        </w:rPr>
        <w:t>:</w:t>
      </w:r>
      <w:r w:rsidRPr="00F563CD">
        <w:rPr>
          <w:rFonts w:asciiTheme="minorHAnsi" w:hAnsiTheme="minorHAnsi" w:cs="Arial"/>
          <w:i/>
          <w:iCs/>
          <w:sz w:val="20"/>
          <w:szCs w:val="20"/>
        </w:rPr>
        <w:t xml:space="preserve"> Zavod za statistiku Crne Gore (MONSTAT)</w:t>
      </w:r>
    </w:p>
    <w:p w14:paraId="064CC4BE" w14:textId="77777777" w:rsidR="00047EF8" w:rsidRPr="00F563CD" w:rsidRDefault="00864F83" w:rsidP="00047EF8">
      <w:pPr>
        <w:spacing w:after="120" w:line="240" w:lineRule="auto"/>
        <w:jc w:val="both"/>
        <w:rPr>
          <w:rFonts w:asciiTheme="minorHAnsi" w:hAnsiTheme="minorHAnsi" w:cs="Arial"/>
          <w:i/>
          <w:iCs/>
          <w:sz w:val="20"/>
          <w:szCs w:val="20"/>
        </w:rPr>
      </w:pPr>
      <w:r w:rsidRPr="00F563CD">
        <w:rPr>
          <w:rFonts w:asciiTheme="minorHAnsi" w:hAnsiTheme="minorHAnsi" w:cs="Arial"/>
          <w:b/>
          <w:i/>
          <w:iCs/>
          <w:sz w:val="20"/>
          <w:szCs w:val="20"/>
        </w:rPr>
        <w:t>Procijenjena vrijednost</w:t>
      </w:r>
      <w:r w:rsidRPr="00F563CD">
        <w:rPr>
          <w:rFonts w:asciiTheme="minorHAnsi" w:hAnsiTheme="minorHAnsi" w:cs="Arial"/>
          <w:b/>
          <w:bCs/>
          <w:i/>
          <w:iCs/>
          <w:sz w:val="20"/>
          <w:szCs w:val="20"/>
        </w:rPr>
        <w:t>:</w:t>
      </w:r>
      <w:r w:rsidRPr="00F563CD">
        <w:rPr>
          <w:rFonts w:asciiTheme="minorHAnsi" w:hAnsiTheme="minorHAnsi" w:cs="Arial"/>
          <w:i/>
          <w:iCs/>
          <w:sz w:val="20"/>
          <w:szCs w:val="20"/>
        </w:rPr>
        <w:t xml:space="preserve"> 800.000 eura</w:t>
      </w:r>
    </w:p>
    <w:p w14:paraId="4A245BDA" w14:textId="77777777" w:rsidR="00047EF8" w:rsidRPr="00F563CD" w:rsidRDefault="00864F83" w:rsidP="00047EF8">
      <w:pPr>
        <w:spacing w:after="120" w:line="240" w:lineRule="auto"/>
        <w:jc w:val="both"/>
        <w:rPr>
          <w:rFonts w:asciiTheme="minorHAnsi" w:hAnsiTheme="minorHAnsi" w:cs="Arial"/>
          <w:sz w:val="20"/>
          <w:szCs w:val="20"/>
        </w:rPr>
      </w:pPr>
      <w:r w:rsidRPr="00F563CD">
        <w:rPr>
          <w:rFonts w:asciiTheme="minorHAnsi" w:hAnsiTheme="minorHAnsi" w:cs="Arial"/>
          <w:b/>
          <w:bCs/>
          <w:sz w:val="20"/>
          <w:szCs w:val="20"/>
        </w:rPr>
        <w:t>Opis:</w:t>
      </w:r>
      <w:r w:rsidRPr="00F563CD">
        <w:rPr>
          <w:rFonts w:asciiTheme="minorHAnsi" w:hAnsiTheme="minorHAnsi" w:cs="Arial"/>
          <w:sz w:val="20"/>
          <w:szCs w:val="20"/>
        </w:rPr>
        <w:t xml:space="preserve"> </w:t>
      </w:r>
    </w:p>
    <w:p w14:paraId="6FE4A830" w14:textId="77777777" w:rsidR="00047EF8" w:rsidRPr="00F563CD" w:rsidRDefault="00864F83" w:rsidP="00047EF8">
      <w:p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Rezultat: Statistika iz oblasti poljoprivrede usklađena sa IFS regulativom 2018/1091 koja je kreirana za usvajanje nacionalnih politika poljoprivrednog sektora koje su zasnovane na statističkim podacima</w:t>
      </w:r>
    </w:p>
    <w:p w14:paraId="32152C27" w14:textId="77777777" w:rsidR="00047EF8" w:rsidRPr="00F563CD" w:rsidRDefault="00864F83" w:rsidP="00047EF8">
      <w:p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Sprovođenje poljoprivrednog cenzusa zahtijeva brojne aktivnosti koje će unaprijediti:</w:t>
      </w:r>
    </w:p>
    <w:p w14:paraId="714BB19A" w14:textId="77777777" w:rsidR="00047EF8" w:rsidRPr="00F563CD" w:rsidRDefault="00864F83" w:rsidP="00047EF8">
      <w:pPr>
        <w:pStyle w:val="ListParagraph"/>
        <w:numPr>
          <w:ilvl w:val="0"/>
          <w:numId w:val="46"/>
        </w:num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Usvajanje nove IFS regulative 2018/1091 donosi izazove i prilagođavanja svih poljoprivrednih aktivnosti. S tim u vezi, glavna aktivnost jeste sprovođenje Poljoprivrednog cenzusa u skladu sa IFS regulativom 2018/1091</w:t>
      </w:r>
    </w:p>
    <w:p w14:paraId="7FE94E30" w14:textId="77777777" w:rsidR="00047EF8" w:rsidRPr="00F563CD" w:rsidRDefault="00864F83" w:rsidP="00047EF8">
      <w:pPr>
        <w:pStyle w:val="ListParagraph"/>
        <w:numPr>
          <w:ilvl w:val="0"/>
          <w:numId w:val="45"/>
        </w:numPr>
        <w:spacing w:after="120" w:line="240" w:lineRule="auto"/>
        <w:jc w:val="both"/>
        <w:rPr>
          <w:rFonts w:asciiTheme="minorHAnsi" w:hAnsiTheme="minorHAnsi" w:cs="Arial"/>
          <w:bCs/>
          <w:sz w:val="20"/>
          <w:szCs w:val="20"/>
          <w:lang w:val="fr-BE"/>
        </w:rPr>
      </w:pPr>
      <w:r w:rsidRPr="00F563CD">
        <w:rPr>
          <w:rFonts w:asciiTheme="minorHAnsi" w:hAnsiTheme="minorHAnsi" w:cs="Arial"/>
          <w:bCs/>
          <w:sz w:val="20"/>
          <w:szCs w:val="20"/>
          <w:lang w:val="fr-BE"/>
        </w:rPr>
        <w:t>Strukturni podaci koji će se koristiti za kreiranje poljoprivredne politike</w:t>
      </w:r>
    </w:p>
    <w:p w14:paraId="34698159" w14:textId="77777777" w:rsidR="00047EF8" w:rsidRPr="00F563CD" w:rsidRDefault="00864F83" w:rsidP="00047EF8">
      <w:pPr>
        <w:pStyle w:val="ListParagraph"/>
        <w:numPr>
          <w:ilvl w:val="0"/>
          <w:numId w:val="45"/>
        </w:num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Ažuriranje Statističkog registra poljoprivrednih preduzeća kroz administrativne izvore</w:t>
      </w:r>
    </w:p>
    <w:p w14:paraId="4E93FB30" w14:textId="77777777" w:rsidR="00047EF8" w:rsidRPr="00F563CD" w:rsidRDefault="00864F83" w:rsidP="00047EF8">
      <w:pPr>
        <w:pStyle w:val="ListParagraph"/>
        <w:numPr>
          <w:ilvl w:val="0"/>
          <w:numId w:val="45"/>
        </w:num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Obezbjeđenje Tipologije poljoprivrednih preduzeća (SO efikasnih) i drugih publikacija koje se odnose na poljoprivredu</w:t>
      </w:r>
    </w:p>
    <w:p w14:paraId="1E1841B2" w14:textId="77777777" w:rsidR="00047EF8" w:rsidRPr="00F563CD" w:rsidRDefault="00864F83" w:rsidP="00047EF8">
      <w:pPr>
        <w:pStyle w:val="ListParagraph"/>
        <w:numPr>
          <w:ilvl w:val="0"/>
          <w:numId w:val="45"/>
        </w:num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Obezbjeđenje mikro podataka poljoprivrednih preduzeća</w:t>
      </w:r>
    </w:p>
    <w:p w14:paraId="239D1AAA" w14:textId="77777777" w:rsidR="00047EF8" w:rsidRPr="00F563CD" w:rsidRDefault="00864F83" w:rsidP="00047EF8">
      <w:pPr>
        <w:pStyle w:val="ListParagraph"/>
        <w:numPr>
          <w:ilvl w:val="0"/>
          <w:numId w:val="45"/>
        </w:num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Ozbezbjeđenje reprezentativnog okvira za godišnje upitnike</w:t>
      </w:r>
    </w:p>
    <w:p w14:paraId="5D14ACCB" w14:textId="77777777" w:rsidR="00047EF8" w:rsidRPr="00F563CD" w:rsidRDefault="00864F83" w:rsidP="00047EF8">
      <w:pPr>
        <w:pStyle w:val="ListParagraph"/>
        <w:numPr>
          <w:ilvl w:val="0"/>
          <w:numId w:val="45"/>
        </w:num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Uspostavljanje i automatska upotreba svih dostupnih administrativnih registra.</w:t>
      </w:r>
    </w:p>
    <w:p w14:paraId="7D35DB0F" w14:textId="77777777" w:rsidR="00047EF8" w:rsidRPr="00F563CD" w:rsidRDefault="00047EF8" w:rsidP="00047EF8">
      <w:pPr>
        <w:spacing w:after="120" w:line="240" w:lineRule="auto"/>
        <w:jc w:val="both"/>
        <w:rPr>
          <w:rFonts w:asciiTheme="minorHAnsi" w:hAnsiTheme="minorHAnsi" w:cs="Arial"/>
          <w:sz w:val="20"/>
          <w:szCs w:val="20"/>
        </w:rPr>
      </w:pPr>
    </w:p>
    <w:p w14:paraId="1621BD32" w14:textId="77777777" w:rsidR="00047EF8" w:rsidRPr="00F563CD" w:rsidRDefault="00864F83" w:rsidP="00047EF8">
      <w:pPr>
        <w:spacing w:after="120" w:line="240" w:lineRule="auto"/>
        <w:jc w:val="both"/>
        <w:rPr>
          <w:rFonts w:asciiTheme="minorHAnsi" w:hAnsiTheme="minorHAnsi" w:cs="Arial"/>
          <w:b/>
          <w:bCs/>
          <w:i/>
          <w:iCs/>
          <w:sz w:val="20"/>
          <w:szCs w:val="20"/>
        </w:rPr>
      </w:pPr>
      <w:r w:rsidRPr="00F563CD">
        <w:rPr>
          <w:rFonts w:asciiTheme="minorHAnsi" w:hAnsiTheme="minorHAnsi" w:cs="Arial"/>
          <w:b/>
          <w:bCs/>
          <w:i/>
          <w:iCs/>
          <w:sz w:val="20"/>
          <w:szCs w:val="20"/>
        </w:rPr>
        <w:t>Akcija 7. Razvoj i koordinacija javnih politika zasnovanih na ekspertskim podacima – pouzdani, brzi i relevantni podaci iz zvanične statistike</w:t>
      </w:r>
    </w:p>
    <w:p w14:paraId="2763ECA0" w14:textId="77777777" w:rsidR="00047EF8" w:rsidRPr="00F563CD" w:rsidRDefault="00864F83" w:rsidP="00047EF8">
      <w:pPr>
        <w:spacing w:after="120" w:line="240" w:lineRule="auto"/>
        <w:jc w:val="both"/>
        <w:rPr>
          <w:rFonts w:asciiTheme="minorHAnsi" w:hAnsiTheme="minorHAnsi" w:cs="Arial"/>
          <w:i/>
          <w:iCs/>
          <w:sz w:val="20"/>
          <w:szCs w:val="20"/>
          <w:lang w:val="fr-BE"/>
        </w:rPr>
      </w:pPr>
      <w:r w:rsidRPr="00F563CD">
        <w:rPr>
          <w:rFonts w:asciiTheme="minorHAnsi" w:hAnsiTheme="minorHAnsi" w:cs="Arial"/>
          <w:b/>
          <w:i/>
          <w:sz w:val="20"/>
          <w:szCs w:val="20"/>
          <w:lang w:val="fr-BE"/>
        </w:rPr>
        <w:t xml:space="preserve">Institucija </w:t>
      </w:r>
      <w:proofErr w:type="gramStart"/>
      <w:r w:rsidRPr="00F563CD">
        <w:rPr>
          <w:rFonts w:asciiTheme="minorHAnsi" w:hAnsiTheme="minorHAnsi" w:cs="Arial"/>
          <w:b/>
          <w:i/>
          <w:sz w:val="20"/>
          <w:szCs w:val="20"/>
          <w:lang w:val="fr-BE"/>
        </w:rPr>
        <w:t>korisnik</w:t>
      </w:r>
      <w:r w:rsidRPr="00F563CD">
        <w:rPr>
          <w:rFonts w:asciiTheme="minorHAnsi" w:hAnsiTheme="minorHAnsi" w:cs="Arial"/>
          <w:b/>
          <w:bCs/>
          <w:i/>
          <w:iCs/>
          <w:sz w:val="20"/>
          <w:szCs w:val="20"/>
          <w:lang w:val="fr-BE"/>
        </w:rPr>
        <w:t>:</w:t>
      </w:r>
      <w:proofErr w:type="gramEnd"/>
      <w:r w:rsidRPr="00F563CD">
        <w:rPr>
          <w:rFonts w:asciiTheme="minorHAnsi" w:hAnsiTheme="minorHAnsi" w:cs="Arial"/>
          <w:i/>
          <w:iCs/>
          <w:sz w:val="20"/>
          <w:szCs w:val="20"/>
          <w:lang w:val="fr-BE"/>
        </w:rPr>
        <w:t xml:space="preserve"> Zavod za statistiku Crne Gore (MONSTAT)</w:t>
      </w:r>
    </w:p>
    <w:p w14:paraId="3F797836" w14:textId="77777777" w:rsidR="00047EF8" w:rsidRPr="00F563CD" w:rsidRDefault="00864F83" w:rsidP="00047EF8">
      <w:pPr>
        <w:spacing w:after="120" w:line="240" w:lineRule="auto"/>
        <w:jc w:val="both"/>
        <w:rPr>
          <w:rFonts w:asciiTheme="minorHAnsi" w:hAnsiTheme="minorHAnsi" w:cs="Arial"/>
          <w:i/>
          <w:iCs/>
          <w:sz w:val="20"/>
          <w:szCs w:val="20"/>
          <w:lang w:val="fr-BE"/>
        </w:rPr>
      </w:pPr>
      <w:r w:rsidRPr="00F563CD">
        <w:rPr>
          <w:rFonts w:asciiTheme="minorHAnsi" w:hAnsiTheme="minorHAnsi" w:cs="Arial"/>
          <w:b/>
          <w:i/>
          <w:iCs/>
          <w:sz w:val="20"/>
          <w:szCs w:val="20"/>
          <w:lang w:val="fr-BE"/>
        </w:rPr>
        <w:lastRenderedPageBreak/>
        <w:t xml:space="preserve">Procijenjena </w:t>
      </w:r>
      <w:proofErr w:type="gramStart"/>
      <w:r w:rsidRPr="00F563CD">
        <w:rPr>
          <w:rFonts w:asciiTheme="minorHAnsi" w:hAnsiTheme="minorHAnsi" w:cs="Arial"/>
          <w:b/>
          <w:i/>
          <w:iCs/>
          <w:sz w:val="20"/>
          <w:szCs w:val="20"/>
          <w:lang w:val="fr-BE"/>
        </w:rPr>
        <w:t>vrijednost</w:t>
      </w:r>
      <w:r w:rsidRPr="00F563CD">
        <w:rPr>
          <w:rFonts w:asciiTheme="minorHAnsi" w:hAnsiTheme="minorHAnsi" w:cs="Arial"/>
          <w:b/>
          <w:bCs/>
          <w:i/>
          <w:iCs/>
          <w:sz w:val="20"/>
          <w:szCs w:val="20"/>
          <w:lang w:val="fr-BE"/>
        </w:rPr>
        <w:t>:</w:t>
      </w:r>
      <w:proofErr w:type="gramEnd"/>
      <w:r w:rsidRPr="00F563CD">
        <w:rPr>
          <w:rFonts w:asciiTheme="minorHAnsi" w:hAnsiTheme="minorHAnsi" w:cs="Arial"/>
          <w:i/>
          <w:iCs/>
          <w:sz w:val="20"/>
          <w:szCs w:val="20"/>
          <w:lang w:val="fr-BE"/>
        </w:rPr>
        <w:t xml:space="preserve"> 700.000 eura</w:t>
      </w:r>
    </w:p>
    <w:p w14:paraId="32059166" w14:textId="77777777" w:rsidR="00047EF8" w:rsidRPr="00F563CD" w:rsidRDefault="00864F83" w:rsidP="00047EF8">
      <w:pPr>
        <w:spacing w:after="120" w:line="240" w:lineRule="auto"/>
        <w:jc w:val="both"/>
        <w:rPr>
          <w:rFonts w:asciiTheme="minorHAnsi" w:hAnsiTheme="minorHAnsi" w:cs="Arial"/>
          <w:bCs/>
          <w:sz w:val="20"/>
          <w:szCs w:val="20"/>
          <w:lang w:val="fr-BE"/>
        </w:rPr>
      </w:pPr>
      <w:proofErr w:type="gramStart"/>
      <w:r w:rsidRPr="00F563CD">
        <w:rPr>
          <w:rFonts w:asciiTheme="minorHAnsi" w:hAnsiTheme="minorHAnsi" w:cs="Arial"/>
          <w:b/>
          <w:bCs/>
          <w:sz w:val="20"/>
          <w:szCs w:val="20"/>
          <w:lang w:val="fr-BE"/>
        </w:rPr>
        <w:t>Opis:</w:t>
      </w:r>
      <w:proofErr w:type="gramEnd"/>
      <w:r w:rsidRPr="00F563CD">
        <w:rPr>
          <w:rFonts w:asciiTheme="minorHAnsi" w:hAnsiTheme="minorHAnsi" w:cs="Arial"/>
          <w:bCs/>
          <w:sz w:val="20"/>
          <w:szCs w:val="20"/>
          <w:lang w:val="fr-BE"/>
        </w:rPr>
        <w:t xml:space="preserve"> Razvijene i koordinisane politike zasnovane na ekspertskim dokazima – pouzdani, brzi i relevantni podaci iz zvanične statistike zahtijevaju brojne aktivnosti koje će unaprijediti: </w:t>
      </w:r>
    </w:p>
    <w:p w14:paraId="1AA7D178" w14:textId="77777777" w:rsidR="00047EF8" w:rsidRPr="00F563CD" w:rsidRDefault="00864F83" w:rsidP="00047EF8">
      <w:pPr>
        <w:pStyle w:val="ListParagraph"/>
        <w:numPr>
          <w:ilvl w:val="0"/>
          <w:numId w:val="47"/>
        </w:numPr>
        <w:spacing w:after="120" w:line="240" w:lineRule="auto"/>
        <w:jc w:val="both"/>
        <w:rPr>
          <w:rFonts w:asciiTheme="minorHAnsi" w:hAnsiTheme="minorHAnsi" w:cs="Arial"/>
          <w:bCs/>
          <w:sz w:val="20"/>
          <w:szCs w:val="20"/>
          <w:lang w:val="fr-BE"/>
        </w:rPr>
      </w:pPr>
      <w:r w:rsidRPr="00F563CD">
        <w:rPr>
          <w:rFonts w:asciiTheme="minorHAnsi" w:hAnsiTheme="minorHAnsi" w:cs="Arial"/>
          <w:bCs/>
          <w:sz w:val="20"/>
          <w:szCs w:val="20"/>
          <w:lang w:val="fr-BE"/>
        </w:rPr>
        <w:t>Usklađenost sa pravnom tekovinom Evropske unije u “Poglavlju 18 – Statistika” predstavlja produkovanje uporedive statistike sa Sistemom evropske statistike (ESS) i razvoj sistema nacionalne statistike (NSSs)</w:t>
      </w:r>
    </w:p>
    <w:p w14:paraId="331BB326" w14:textId="77777777" w:rsidR="00047EF8" w:rsidRPr="00F563CD" w:rsidRDefault="00864F83" w:rsidP="00047EF8">
      <w:pPr>
        <w:pStyle w:val="ListParagraph"/>
        <w:numPr>
          <w:ilvl w:val="0"/>
          <w:numId w:val="47"/>
        </w:numPr>
        <w:spacing w:after="120" w:line="240" w:lineRule="auto"/>
        <w:jc w:val="both"/>
        <w:rPr>
          <w:rFonts w:asciiTheme="minorHAnsi" w:hAnsiTheme="minorHAnsi" w:cs="Arial"/>
          <w:bCs/>
          <w:sz w:val="20"/>
          <w:szCs w:val="20"/>
        </w:rPr>
      </w:pPr>
      <w:r w:rsidRPr="00F563CD">
        <w:rPr>
          <w:rFonts w:asciiTheme="minorHAnsi" w:hAnsiTheme="minorHAnsi" w:cs="Arial"/>
          <w:bCs/>
          <w:sz w:val="20"/>
          <w:szCs w:val="20"/>
          <w:lang w:val="fr-BE"/>
        </w:rPr>
        <w:t xml:space="preserve">Uskladiti metodologiju prikupljanja podataka koje koriste administrativni resursi sa zahtjevima zvanične statistike, tj. </w:t>
      </w:r>
      <w:r w:rsidRPr="00F563CD">
        <w:rPr>
          <w:rFonts w:asciiTheme="minorHAnsi" w:hAnsiTheme="minorHAnsi" w:cs="Arial"/>
          <w:bCs/>
          <w:sz w:val="20"/>
          <w:szCs w:val="20"/>
        </w:rPr>
        <w:t>Standardima Evropske unije;</w:t>
      </w:r>
    </w:p>
    <w:p w14:paraId="48B48861" w14:textId="77777777" w:rsidR="00047EF8" w:rsidRPr="00F563CD" w:rsidRDefault="00864F83" w:rsidP="00047EF8">
      <w:pPr>
        <w:pStyle w:val="ListParagraph"/>
        <w:numPr>
          <w:ilvl w:val="0"/>
          <w:numId w:val="47"/>
        </w:num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Zadržati kontinuitet u pružanju usluga i proizvodnji prioritetnih statističkih domena, u skladu sa Godišnjim planom zvanične statistike;</w:t>
      </w:r>
    </w:p>
    <w:p w14:paraId="50E0C755" w14:textId="77777777" w:rsidR="00047EF8" w:rsidRPr="00F563CD" w:rsidRDefault="00864F83" w:rsidP="00047EF8">
      <w:pPr>
        <w:pStyle w:val="ListParagraph"/>
        <w:numPr>
          <w:ilvl w:val="0"/>
          <w:numId w:val="47"/>
        </w:num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Prepoznati tražnju za novim indikatorima i dinamiku objavljivanja zvanične statistike, prije svega, u domenu ekonomije i zdravstva, tako da se mogu pratiti uzroci i posljedice izazvani pandemijom COVID-19;</w:t>
      </w:r>
    </w:p>
    <w:p w14:paraId="5A4BD667" w14:textId="77777777" w:rsidR="00047EF8" w:rsidRPr="00F563CD" w:rsidRDefault="00864F83" w:rsidP="00047EF8">
      <w:pPr>
        <w:pStyle w:val="ListParagraph"/>
        <w:numPr>
          <w:ilvl w:val="0"/>
          <w:numId w:val="47"/>
        </w:num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Osigurati kontinuirano obrazovanje zaposlenih i razviti nove ljudske resurse, sa posebnim akcentom na odgovoru na izazove usljed pandemije COVID-19.</w:t>
      </w:r>
    </w:p>
    <w:p w14:paraId="2A6D150C" w14:textId="77777777" w:rsidR="00047EF8" w:rsidRPr="00F563CD" w:rsidRDefault="00864F83" w:rsidP="00047EF8">
      <w:pPr>
        <w:pStyle w:val="ListParagraph"/>
        <w:numPr>
          <w:ilvl w:val="0"/>
          <w:numId w:val="47"/>
        </w:numPr>
        <w:spacing w:after="120" w:line="240" w:lineRule="auto"/>
        <w:jc w:val="both"/>
        <w:rPr>
          <w:rFonts w:asciiTheme="minorHAnsi" w:hAnsiTheme="minorHAnsi" w:cs="Arial"/>
          <w:bCs/>
          <w:sz w:val="20"/>
          <w:szCs w:val="20"/>
        </w:rPr>
      </w:pPr>
      <w:r w:rsidRPr="00F563CD">
        <w:rPr>
          <w:rFonts w:asciiTheme="minorHAnsi" w:hAnsiTheme="minorHAnsi" w:cs="Arial"/>
          <w:bCs/>
          <w:sz w:val="20"/>
          <w:szCs w:val="20"/>
        </w:rPr>
        <w:t>Učiniti dostupnim i vidljivim sve baze podataka dostupne u sistemu zvanične statistike, na zbirnom nivou, u formatu koji je digitalno čitljiv, adekvatne za dalju analizu i kako bi se povećala transparentnost i stvorio jedinstven i jednostavan pristup skoro beskonačnim kvalitetnim podacima svim korisnicima zvanične statistike.</w:t>
      </w:r>
    </w:p>
    <w:p w14:paraId="35CD28DA" w14:textId="77777777" w:rsidR="00047EF8" w:rsidRPr="00F563CD" w:rsidRDefault="00047EF8" w:rsidP="00047EF8">
      <w:pPr>
        <w:spacing w:after="120" w:line="240" w:lineRule="auto"/>
        <w:jc w:val="both"/>
        <w:rPr>
          <w:rFonts w:asciiTheme="minorHAnsi" w:hAnsiTheme="minorHAnsi" w:cs="Arial"/>
          <w:bCs/>
          <w:sz w:val="20"/>
          <w:szCs w:val="20"/>
        </w:rPr>
      </w:pPr>
    </w:p>
    <w:p w14:paraId="1AA51594" w14:textId="77777777" w:rsidR="00047EF8" w:rsidRPr="00F563CD" w:rsidRDefault="00864F83" w:rsidP="00047EF8">
      <w:pPr>
        <w:pStyle w:val="NormalWeb"/>
        <w:shd w:val="clear" w:color="auto" w:fill="FFFFFF"/>
        <w:spacing w:before="0" w:beforeAutospacing="0" w:after="0" w:afterAutospacing="0" w:line="240" w:lineRule="auto"/>
        <w:jc w:val="both"/>
        <w:rPr>
          <w:rFonts w:asciiTheme="minorHAnsi" w:hAnsiTheme="minorHAnsi" w:cs="Arial"/>
          <w:b/>
          <w:i/>
          <w:iCs/>
          <w:sz w:val="20"/>
          <w:szCs w:val="20"/>
        </w:rPr>
      </w:pPr>
      <w:r w:rsidRPr="00F563CD">
        <w:rPr>
          <w:rFonts w:asciiTheme="minorHAnsi" w:hAnsiTheme="minorHAnsi" w:cs="Arial"/>
          <w:b/>
          <w:i/>
          <w:iCs/>
          <w:sz w:val="20"/>
          <w:szCs w:val="20"/>
        </w:rPr>
        <w:t>Akcija 8. Osnaživanje strateškog okvira, dalji razvoj revizorske metodologije i proces upravljanja revizijom u DRI</w:t>
      </w:r>
    </w:p>
    <w:p w14:paraId="4A399533" w14:textId="77777777" w:rsidR="00047EF8" w:rsidRPr="00F563CD" w:rsidRDefault="00047EF8" w:rsidP="00047EF8">
      <w:pPr>
        <w:pStyle w:val="NormalWeb"/>
        <w:shd w:val="clear" w:color="auto" w:fill="FFFFFF"/>
        <w:spacing w:before="0" w:beforeAutospacing="0" w:after="0" w:afterAutospacing="0" w:line="240" w:lineRule="auto"/>
        <w:jc w:val="both"/>
        <w:rPr>
          <w:rFonts w:asciiTheme="minorHAnsi" w:hAnsiTheme="minorHAnsi" w:cs="Arial"/>
          <w:b/>
          <w:i/>
          <w:iCs/>
          <w:sz w:val="20"/>
          <w:szCs w:val="20"/>
        </w:rPr>
      </w:pPr>
    </w:p>
    <w:p w14:paraId="1E1D957A" w14:textId="77777777" w:rsidR="00047EF8" w:rsidRPr="00F563CD" w:rsidRDefault="00864F83" w:rsidP="00047EF8">
      <w:pPr>
        <w:pStyle w:val="NormalWeb"/>
        <w:shd w:val="clear" w:color="auto" w:fill="FFFFFF"/>
        <w:spacing w:before="0" w:beforeAutospacing="0" w:after="0" w:afterAutospacing="0" w:line="240" w:lineRule="auto"/>
        <w:jc w:val="both"/>
        <w:rPr>
          <w:rFonts w:asciiTheme="minorHAnsi" w:hAnsiTheme="minorHAnsi" w:cs="Arial"/>
          <w:bCs/>
          <w:i/>
          <w:iCs/>
          <w:sz w:val="20"/>
          <w:szCs w:val="20"/>
        </w:rPr>
      </w:pPr>
      <w:r w:rsidRPr="00F563CD">
        <w:rPr>
          <w:rFonts w:asciiTheme="minorHAnsi" w:hAnsiTheme="minorHAnsi" w:cs="Arial"/>
          <w:b/>
          <w:i/>
          <w:sz w:val="20"/>
          <w:szCs w:val="20"/>
        </w:rPr>
        <w:t>Institucija korisnik</w:t>
      </w:r>
      <w:r w:rsidRPr="00F563CD">
        <w:rPr>
          <w:rFonts w:asciiTheme="minorHAnsi" w:hAnsiTheme="minorHAnsi" w:cs="Arial"/>
          <w:b/>
          <w:i/>
          <w:iCs/>
          <w:sz w:val="20"/>
          <w:szCs w:val="20"/>
        </w:rPr>
        <w:t>:</w:t>
      </w:r>
      <w:r w:rsidRPr="00F563CD">
        <w:rPr>
          <w:rFonts w:asciiTheme="minorHAnsi" w:hAnsiTheme="minorHAnsi" w:cs="Arial"/>
          <w:bCs/>
          <w:i/>
          <w:iCs/>
          <w:sz w:val="20"/>
          <w:szCs w:val="20"/>
        </w:rPr>
        <w:t xml:space="preserve"> Državna revizorska institucija</w:t>
      </w:r>
    </w:p>
    <w:p w14:paraId="6FFC3BE4" w14:textId="77777777" w:rsidR="00047EF8" w:rsidRPr="00F563CD" w:rsidRDefault="00864F83" w:rsidP="00047EF8">
      <w:pPr>
        <w:pStyle w:val="NormalWeb"/>
        <w:shd w:val="clear" w:color="auto" w:fill="FFFFFF"/>
        <w:spacing w:before="0" w:beforeAutospacing="0" w:after="0" w:afterAutospacing="0" w:line="240" w:lineRule="auto"/>
        <w:jc w:val="both"/>
        <w:rPr>
          <w:rFonts w:asciiTheme="minorHAnsi" w:hAnsiTheme="minorHAnsi" w:cs="Arial"/>
          <w:b/>
          <w:i/>
          <w:iCs/>
          <w:sz w:val="20"/>
          <w:szCs w:val="20"/>
        </w:rPr>
      </w:pPr>
      <w:r w:rsidRPr="00F563CD">
        <w:rPr>
          <w:rFonts w:asciiTheme="minorHAnsi" w:hAnsiTheme="minorHAnsi" w:cs="Arial"/>
          <w:b/>
          <w:i/>
          <w:iCs/>
          <w:sz w:val="20"/>
          <w:szCs w:val="20"/>
        </w:rPr>
        <w:t>Procijenjena vrijednost: 810.000</w:t>
      </w:r>
    </w:p>
    <w:p w14:paraId="3A927A1D" w14:textId="77777777" w:rsidR="00047EF8" w:rsidRPr="00F563CD" w:rsidRDefault="00047EF8" w:rsidP="00047EF8">
      <w:pPr>
        <w:pStyle w:val="NormalWeb"/>
        <w:shd w:val="clear" w:color="auto" w:fill="FFFFFF"/>
        <w:spacing w:before="0" w:beforeAutospacing="0" w:after="0" w:afterAutospacing="0" w:line="240" w:lineRule="auto"/>
        <w:jc w:val="both"/>
        <w:rPr>
          <w:rFonts w:asciiTheme="minorHAnsi" w:hAnsiTheme="minorHAnsi" w:cs="Arial"/>
          <w:b/>
          <w:sz w:val="20"/>
          <w:szCs w:val="20"/>
        </w:rPr>
      </w:pPr>
    </w:p>
    <w:p w14:paraId="20636DC0" w14:textId="77777777" w:rsidR="00047EF8" w:rsidRPr="00F563CD" w:rsidRDefault="00864F83" w:rsidP="00047EF8">
      <w:pPr>
        <w:pStyle w:val="NormalWeb"/>
        <w:shd w:val="clear" w:color="auto" w:fill="FFFFFF"/>
        <w:spacing w:before="0" w:beforeAutospacing="0" w:after="0" w:afterAutospacing="0" w:line="240" w:lineRule="auto"/>
        <w:jc w:val="both"/>
        <w:rPr>
          <w:rFonts w:asciiTheme="minorHAnsi" w:hAnsiTheme="minorHAnsi" w:cs="Arial"/>
          <w:b/>
          <w:sz w:val="20"/>
          <w:szCs w:val="20"/>
        </w:rPr>
      </w:pPr>
      <w:r w:rsidRPr="00F563CD">
        <w:rPr>
          <w:rFonts w:asciiTheme="minorHAnsi" w:hAnsiTheme="minorHAnsi" w:cs="Arial"/>
          <w:b/>
          <w:sz w:val="20"/>
          <w:szCs w:val="20"/>
        </w:rPr>
        <w:t>Opis:</w:t>
      </w:r>
    </w:p>
    <w:p w14:paraId="21760F9B" w14:textId="77777777" w:rsidR="00047EF8" w:rsidRPr="00F563CD" w:rsidRDefault="00864F83" w:rsidP="00047EF8">
      <w:pPr>
        <w:pStyle w:val="NormalWeb"/>
        <w:shd w:val="clear" w:color="auto" w:fill="FFFFFF"/>
        <w:spacing w:before="0" w:beforeAutospacing="0" w:after="0" w:afterAutospacing="0" w:line="240" w:lineRule="auto"/>
        <w:jc w:val="both"/>
        <w:rPr>
          <w:rFonts w:asciiTheme="minorHAnsi" w:hAnsiTheme="minorHAnsi" w:cs="Arial"/>
          <w:bCs/>
          <w:sz w:val="20"/>
          <w:szCs w:val="20"/>
        </w:rPr>
      </w:pPr>
      <w:r w:rsidRPr="00F563CD">
        <w:rPr>
          <w:rFonts w:asciiTheme="minorHAnsi" w:hAnsiTheme="minorHAnsi" w:cs="Arial"/>
          <w:bCs/>
          <w:sz w:val="20"/>
          <w:szCs w:val="20"/>
        </w:rPr>
        <w:t>Ključni rezultati predložene akcije su sljedeći:</w:t>
      </w:r>
    </w:p>
    <w:p w14:paraId="49417145" w14:textId="77777777" w:rsidR="00047EF8" w:rsidRPr="00F563CD" w:rsidRDefault="00864F83" w:rsidP="00047EF8">
      <w:pPr>
        <w:pStyle w:val="NormalWeb"/>
        <w:numPr>
          <w:ilvl w:val="0"/>
          <w:numId w:val="51"/>
        </w:numPr>
        <w:shd w:val="clear" w:color="auto" w:fill="FFFFFF"/>
        <w:spacing w:before="0" w:beforeAutospacing="0" w:after="0" w:afterAutospacing="0" w:line="240" w:lineRule="auto"/>
        <w:jc w:val="both"/>
        <w:rPr>
          <w:rFonts w:asciiTheme="minorHAnsi" w:hAnsiTheme="minorHAnsi" w:cs="Arial"/>
          <w:bCs/>
          <w:sz w:val="20"/>
          <w:szCs w:val="20"/>
        </w:rPr>
      </w:pPr>
      <w:r w:rsidRPr="00F563CD">
        <w:rPr>
          <w:rFonts w:asciiTheme="minorHAnsi" w:hAnsiTheme="minorHAnsi" w:cs="Arial"/>
          <w:bCs/>
          <w:sz w:val="20"/>
          <w:szCs w:val="20"/>
        </w:rPr>
        <w:t xml:space="preserve">Unaprijeđeni okvir strateškog planiranja </w:t>
      </w:r>
    </w:p>
    <w:p w14:paraId="6EA3343D" w14:textId="77777777" w:rsidR="00047EF8" w:rsidRPr="00F563CD" w:rsidRDefault="00864F83" w:rsidP="00047EF8">
      <w:pPr>
        <w:pStyle w:val="NormalWeb"/>
        <w:numPr>
          <w:ilvl w:val="0"/>
          <w:numId w:val="51"/>
        </w:numPr>
        <w:shd w:val="clear" w:color="auto" w:fill="FFFFFF"/>
        <w:spacing w:before="0" w:beforeAutospacing="0" w:after="0" w:afterAutospacing="0" w:line="240" w:lineRule="auto"/>
        <w:jc w:val="both"/>
        <w:rPr>
          <w:rFonts w:asciiTheme="minorHAnsi" w:hAnsiTheme="minorHAnsi" w:cs="Arial"/>
          <w:bCs/>
          <w:sz w:val="20"/>
          <w:szCs w:val="20"/>
        </w:rPr>
      </w:pPr>
      <w:r w:rsidRPr="00F563CD">
        <w:rPr>
          <w:rFonts w:asciiTheme="minorHAnsi" w:hAnsiTheme="minorHAnsi" w:cs="Arial"/>
          <w:bCs/>
          <w:sz w:val="20"/>
          <w:szCs w:val="20"/>
        </w:rPr>
        <w:t>Unaprijeđen kvalitet revizije</w:t>
      </w:r>
    </w:p>
    <w:p w14:paraId="0617EFA4" w14:textId="77777777" w:rsidR="00047EF8" w:rsidRPr="00F563CD" w:rsidRDefault="00864F83" w:rsidP="00047EF8">
      <w:pPr>
        <w:pStyle w:val="NormalWeb"/>
        <w:numPr>
          <w:ilvl w:val="0"/>
          <w:numId w:val="51"/>
        </w:numPr>
        <w:shd w:val="clear" w:color="auto" w:fill="FFFFFF"/>
        <w:spacing w:before="0" w:beforeAutospacing="0" w:after="0" w:afterAutospacing="0" w:line="240" w:lineRule="auto"/>
        <w:jc w:val="both"/>
        <w:rPr>
          <w:rFonts w:asciiTheme="minorHAnsi" w:hAnsiTheme="minorHAnsi" w:cs="Arial"/>
          <w:bCs/>
          <w:sz w:val="20"/>
          <w:szCs w:val="20"/>
        </w:rPr>
      </w:pPr>
      <w:r w:rsidRPr="00F563CD">
        <w:rPr>
          <w:rFonts w:asciiTheme="minorHAnsi" w:hAnsiTheme="minorHAnsi" w:cs="Arial"/>
          <w:bCs/>
          <w:sz w:val="20"/>
          <w:szCs w:val="20"/>
        </w:rPr>
        <w:t>Unaprijeđena efikasnost revizorskog procesa uvođenjem sistema digitalnog upravljanja revizijom.</w:t>
      </w:r>
    </w:p>
    <w:p w14:paraId="5F511435" w14:textId="77777777" w:rsidR="00047EF8" w:rsidRPr="00F563CD" w:rsidRDefault="00047EF8" w:rsidP="00047EF8">
      <w:pPr>
        <w:pStyle w:val="NormalWeb"/>
        <w:shd w:val="clear" w:color="auto" w:fill="FFFFFF"/>
        <w:spacing w:before="0" w:beforeAutospacing="0" w:after="0" w:afterAutospacing="0" w:line="240" w:lineRule="auto"/>
        <w:jc w:val="both"/>
        <w:rPr>
          <w:rFonts w:asciiTheme="minorHAnsi" w:hAnsiTheme="minorHAnsi" w:cs="Arial"/>
          <w:bCs/>
          <w:sz w:val="20"/>
          <w:szCs w:val="20"/>
        </w:rPr>
      </w:pPr>
    </w:p>
    <w:p w14:paraId="448126D8" w14:textId="77777777" w:rsidR="00047EF8" w:rsidRPr="00F563CD" w:rsidRDefault="00864F83" w:rsidP="00047EF8">
      <w:pPr>
        <w:pStyle w:val="NormalWeb"/>
        <w:shd w:val="clear" w:color="auto" w:fill="FFFFFF"/>
        <w:spacing w:before="0" w:beforeAutospacing="0" w:after="0" w:afterAutospacing="0" w:line="240" w:lineRule="auto"/>
        <w:jc w:val="both"/>
        <w:rPr>
          <w:rFonts w:asciiTheme="minorHAnsi" w:hAnsiTheme="minorHAnsi" w:cs="Arial"/>
          <w:bCs/>
          <w:sz w:val="20"/>
          <w:szCs w:val="20"/>
        </w:rPr>
      </w:pPr>
      <w:r w:rsidRPr="00F563CD">
        <w:rPr>
          <w:rFonts w:asciiTheme="minorHAnsi" w:hAnsiTheme="minorHAnsi" w:cs="Arial"/>
          <w:bCs/>
          <w:sz w:val="20"/>
          <w:szCs w:val="20"/>
        </w:rPr>
        <w:t>Državna revizorska institucija planira da razvije tri strateška dokumenta koja će doprinijeti osnaživanju strateškog procesa planiranja:</w:t>
      </w:r>
    </w:p>
    <w:p w14:paraId="29BC1465" w14:textId="77777777" w:rsidR="00047EF8" w:rsidRPr="00F563CD" w:rsidRDefault="00864F83" w:rsidP="00047EF8">
      <w:pPr>
        <w:pStyle w:val="NormalWeb"/>
        <w:numPr>
          <w:ilvl w:val="0"/>
          <w:numId w:val="52"/>
        </w:numPr>
        <w:shd w:val="clear" w:color="auto" w:fill="FFFFFF"/>
        <w:spacing w:before="0" w:beforeAutospacing="0" w:after="0" w:afterAutospacing="0" w:line="240" w:lineRule="auto"/>
        <w:jc w:val="both"/>
        <w:rPr>
          <w:rFonts w:asciiTheme="minorHAnsi" w:hAnsiTheme="minorHAnsi" w:cs="Arial"/>
          <w:bCs/>
          <w:sz w:val="20"/>
          <w:szCs w:val="20"/>
        </w:rPr>
      </w:pPr>
      <w:r w:rsidRPr="00F563CD">
        <w:rPr>
          <w:rFonts w:asciiTheme="minorHAnsi" w:hAnsiTheme="minorHAnsi" w:cs="Arial"/>
          <w:bCs/>
          <w:sz w:val="20"/>
          <w:szCs w:val="20"/>
        </w:rPr>
        <w:t>Pripremiti Strateški razvojni plan za DRI za period 2023 – 2027. i Akcioni plan za sprovođenje Strateškog razvojnog plana DRI za period 2023 – 2027;</w:t>
      </w:r>
    </w:p>
    <w:p w14:paraId="2F673E0F" w14:textId="77777777" w:rsidR="00047EF8" w:rsidRPr="00F563CD" w:rsidRDefault="00864F83" w:rsidP="00047EF8">
      <w:pPr>
        <w:pStyle w:val="NormalWeb"/>
        <w:numPr>
          <w:ilvl w:val="0"/>
          <w:numId w:val="52"/>
        </w:numPr>
        <w:shd w:val="clear" w:color="auto" w:fill="FFFFFF"/>
        <w:spacing w:before="0" w:beforeAutospacing="0" w:after="0" w:afterAutospacing="0" w:line="240" w:lineRule="auto"/>
        <w:jc w:val="both"/>
        <w:rPr>
          <w:rFonts w:asciiTheme="minorHAnsi" w:hAnsiTheme="minorHAnsi" w:cs="Arial"/>
          <w:bCs/>
          <w:sz w:val="20"/>
          <w:szCs w:val="20"/>
        </w:rPr>
      </w:pPr>
      <w:r w:rsidRPr="00F563CD">
        <w:rPr>
          <w:rFonts w:asciiTheme="minorHAnsi" w:hAnsiTheme="minorHAnsi" w:cs="Arial"/>
          <w:bCs/>
          <w:sz w:val="20"/>
          <w:szCs w:val="20"/>
        </w:rPr>
        <w:t>Pripremiti Komunikacionu strategiju DRI za period 2025 – 2029. i Akcioni plan za sprovođenje Komunikacione strategije za period 2025 – 2029;</w:t>
      </w:r>
    </w:p>
    <w:p w14:paraId="26C49759" w14:textId="77777777" w:rsidR="00047EF8" w:rsidRPr="00F563CD" w:rsidRDefault="00864F83" w:rsidP="00047EF8">
      <w:pPr>
        <w:pStyle w:val="NormalWeb"/>
        <w:numPr>
          <w:ilvl w:val="0"/>
          <w:numId w:val="52"/>
        </w:numPr>
        <w:shd w:val="clear" w:color="auto" w:fill="FFFFFF"/>
        <w:spacing w:before="0" w:beforeAutospacing="0" w:after="0" w:afterAutospacing="0" w:line="240" w:lineRule="auto"/>
        <w:jc w:val="both"/>
        <w:rPr>
          <w:rFonts w:asciiTheme="minorHAnsi" w:hAnsiTheme="minorHAnsi" w:cs="Arial"/>
          <w:bCs/>
          <w:sz w:val="20"/>
          <w:szCs w:val="20"/>
        </w:rPr>
      </w:pPr>
      <w:r w:rsidRPr="00F563CD">
        <w:rPr>
          <w:rFonts w:asciiTheme="minorHAnsi" w:hAnsiTheme="minorHAnsi" w:cs="Arial"/>
          <w:bCs/>
          <w:sz w:val="20"/>
          <w:szCs w:val="20"/>
        </w:rPr>
        <w:t>Pripremiti Strategiju upravljanja ljudskim resursima za period 2026 – 2030. i Akcioni plan za sprovođenje Strategije upravljanja ljudskim resursima za period 2026 – 2030.</w:t>
      </w:r>
    </w:p>
    <w:p w14:paraId="5EEEF943" w14:textId="77777777" w:rsidR="00047EF8" w:rsidRPr="00F563CD" w:rsidRDefault="00047EF8" w:rsidP="00047EF8">
      <w:pPr>
        <w:pStyle w:val="NormalWeb"/>
        <w:shd w:val="clear" w:color="auto" w:fill="FFFFFF"/>
        <w:spacing w:before="0" w:beforeAutospacing="0" w:after="0" w:afterAutospacing="0" w:line="240" w:lineRule="auto"/>
        <w:jc w:val="both"/>
        <w:rPr>
          <w:rFonts w:asciiTheme="minorHAnsi" w:hAnsiTheme="minorHAnsi" w:cs="Arial"/>
          <w:bCs/>
          <w:sz w:val="20"/>
          <w:szCs w:val="20"/>
        </w:rPr>
      </w:pPr>
    </w:p>
    <w:p w14:paraId="10DD6791" w14:textId="77777777" w:rsidR="00047EF8" w:rsidRPr="00F563CD" w:rsidRDefault="00864F83" w:rsidP="00047EF8">
      <w:pPr>
        <w:pStyle w:val="NormalWeb"/>
        <w:shd w:val="clear" w:color="auto" w:fill="FFFFFF"/>
        <w:spacing w:before="0" w:beforeAutospacing="0" w:after="0" w:afterAutospacing="0" w:line="240" w:lineRule="auto"/>
        <w:jc w:val="both"/>
        <w:rPr>
          <w:rFonts w:asciiTheme="minorHAnsi" w:hAnsiTheme="minorHAnsi" w:cs="Arial"/>
          <w:bCs/>
          <w:sz w:val="20"/>
          <w:szCs w:val="20"/>
        </w:rPr>
      </w:pPr>
      <w:r w:rsidRPr="00F563CD">
        <w:rPr>
          <w:rFonts w:asciiTheme="minorHAnsi" w:hAnsiTheme="minorHAnsi" w:cs="Arial"/>
          <w:bCs/>
          <w:sz w:val="20"/>
          <w:szCs w:val="20"/>
        </w:rPr>
        <w:t xml:space="preserve">Unaprijeđen kvalitet revizije osiguraće se dodatnim razvojem metodologija revizije u skladu sa izmjenama i dopunama ISSAI standard i izradom smjernica novih vrsta revizije (smjernice za reviziju EU fondova i ekološku reviziju). </w:t>
      </w:r>
    </w:p>
    <w:p w14:paraId="18DAF28E" w14:textId="77777777" w:rsidR="00047EF8" w:rsidRPr="00F563CD" w:rsidRDefault="00047EF8" w:rsidP="00047EF8">
      <w:pPr>
        <w:pStyle w:val="NormalWeb"/>
        <w:shd w:val="clear" w:color="auto" w:fill="FFFFFF"/>
        <w:spacing w:before="0" w:beforeAutospacing="0" w:after="0" w:afterAutospacing="0" w:line="240" w:lineRule="auto"/>
        <w:jc w:val="both"/>
        <w:rPr>
          <w:rFonts w:asciiTheme="minorHAnsi" w:hAnsiTheme="minorHAnsi" w:cs="Arial"/>
          <w:bCs/>
          <w:sz w:val="20"/>
          <w:szCs w:val="20"/>
        </w:rPr>
      </w:pPr>
    </w:p>
    <w:p w14:paraId="2297F300" w14:textId="77777777" w:rsidR="00047EF8" w:rsidRPr="00F563CD" w:rsidRDefault="00864F83" w:rsidP="00047EF8">
      <w:pPr>
        <w:pStyle w:val="NormalWeb"/>
        <w:shd w:val="clear" w:color="auto" w:fill="FFFFFF"/>
        <w:spacing w:before="0" w:beforeAutospacing="0" w:after="0" w:afterAutospacing="0" w:line="240" w:lineRule="auto"/>
        <w:jc w:val="both"/>
        <w:rPr>
          <w:rFonts w:asciiTheme="minorHAnsi" w:hAnsiTheme="minorHAnsi" w:cs="Arial"/>
          <w:bCs/>
          <w:sz w:val="20"/>
          <w:szCs w:val="20"/>
        </w:rPr>
      </w:pPr>
      <w:r w:rsidRPr="00F563CD">
        <w:rPr>
          <w:rFonts w:asciiTheme="minorHAnsi" w:hAnsiTheme="minorHAnsi" w:cs="Arial"/>
          <w:bCs/>
          <w:sz w:val="20"/>
          <w:szCs w:val="20"/>
        </w:rPr>
        <w:t xml:space="preserve">DRI će unaprijediti efikasnost revizorskog procesa sprovođenjem aktivnosti koja se odnosi na nabavku, razvoj i primjenu softvera za postupak upravljanja revizijom (Sistem upravljanja revizijom). </w:t>
      </w:r>
    </w:p>
    <w:p w14:paraId="3A52106E" w14:textId="77777777" w:rsidR="00047EF8" w:rsidRPr="00F563CD" w:rsidRDefault="00047EF8" w:rsidP="00047EF8">
      <w:pPr>
        <w:spacing w:after="120" w:line="240" w:lineRule="auto"/>
        <w:jc w:val="both"/>
        <w:rPr>
          <w:rFonts w:asciiTheme="minorHAnsi" w:hAnsiTheme="minorHAnsi" w:cs="Arial"/>
          <w:bCs/>
          <w:sz w:val="20"/>
          <w:szCs w:val="20"/>
        </w:rPr>
      </w:pPr>
    </w:p>
    <w:p w14:paraId="794D2619" w14:textId="77777777" w:rsidR="00047EF8" w:rsidRPr="00F563CD" w:rsidRDefault="00864F83" w:rsidP="00047EF8">
      <w:pPr>
        <w:spacing w:after="120" w:line="240" w:lineRule="auto"/>
        <w:jc w:val="both"/>
        <w:rPr>
          <w:rFonts w:asciiTheme="minorHAnsi" w:hAnsiTheme="minorHAnsi" w:cs="Arial"/>
          <w:b/>
          <w:sz w:val="24"/>
          <w:szCs w:val="24"/>
        </w:rPr>
      </w:pPr>
      <w:r w:rsidRPr="00F563CD">
        <w:rPr>
          <w:rFonts w:asciiTheme="minorHAnsi" w:hAnsiTheme="minorHAnsi" w:cs="Arial"/>
          <w:b/>
          <w:sz w:val="24"/>
          <w:szCs w:val="24"/>
        </w:rPr>
        <w:t xml:space="preserve">Prilog 4 – </w:t>
      </w:r>
      <w:r w:rsidRPr="00F563CD">
        <w:rPr>
          <w:rStyle w:val="eop"/>
          <w:rFonts w:asciiTheme="minorHAnsi" w:hAnsiTheme="minorHAnsi" w:cs="Arial"/>
          <w:b/>
          <w:sz w:val="24"/>
          <w:szCs w:val="24"/>
        </w:rPr>
        <w:t>Detaljan pregled planiranih aktivnosti shodno Tematskom prioritetu 1.5 – Fundamentalna prava</w:t>
      </w:r>
    </w:p>
    <w:p w14:paraId="1FBB7AA1" w14:textId="77777777" w:rsidR="00047EF8" w:rsidRPr="00F563CD" w:rsidRDefault="00864F83" w:rsidP="00047EF8">
      <w:pPr>
        <w:spacing w:after="120" w:line="240" w:lineRule="auto"/>
        <w:jc w:val="both"/>
        <w:rPr>
          <w:rFonts w:asciiTheme="minorHAnsi" w:hAnsiTheme="minorHAnsi" w:cs="Arial"/>
          <w:i/>
          <w:sz w:val="20"/>
          <w:szCs w:val="20"/>
          <w:u w:val="single"/>
        </w:rPr>
      </w:pPr>
      <w:r w:rsidRPr="00F563CD">
        <w:rPr>
          <w:rFonts w:asciiTheme="minorHAnsi" w:hAnsiTheme="minorHAnsi" w:cs="Arial"/>
          <w:i/>
          <w:sz w:val="20"/>
          <w:szCs w:val="20"/>
          <w:u w:val="single"/>
        </w:rPr>
        <w:t>RODNA RAVNOPRAVNOST</w:t>
      </w:r>
    </w:p>
    <w:p w14:paraId="765C3B8A" w14:textId="77777777" w:rsidR="00047EF8" w:rsidRPr="00F563CD" w:rsidRDefault="00864F83" w:rsidP="00047EF8">
      <w:pPr>
        <w:spacing w:before="240" w:after="120" w:line="240" w:lineRule="auto"/>
        <w:jc w:val="both"/>
        <w:rPr>
          <w:rFonts w:asciiTheme="minorHAnsi" w:hAnsiTheme="minorHAnsi" w:cs="Arial"/>
          <w:b/>
          <w:bCs/>
          <w:sz w:val="20"/>
          <w:szCs w:val="20"/>
        </w:rPr>
      </w:pPr>
      <w:r w:rsidRPr="00F563CD">
        <w:rPr>
          <w:rFonts w:asciiTheme="minorHAnsi" w:hAnsiTheme="minorHAnsi" w:cs="Arial"/>
          <w:b/>
          <w:bCs/>
          <w:sz w:val="20"/>
          <w:szCs w:val="20"/>
        </w:rPr>
        <w:t xml:space="preserve">Upućivanje na višestruku diskriminaciju žena </w:t>
      </w:r>
    </w:p>
    <w:p w14:paraId="4B652128" w14:textId="77777777" w:rsidR="00047EF8" w:rsidRPr="00F563CD" w:rsidRDefault="00864F83" w:rsidP="00047EF8">
      <w:pPr>
        <w:pStyle w:val="ListParagraph"/>
        <w:numPr>
          <w:ilvl w:val="0"/>
          <w:numId w:val="33"/>
        </w:numPr>
        <w:spacing w:after="0" w:line="240" w:lineRule="auto"/>
        <w:jc w:val="both"/>
        <w:rPr>
          <w:rFonts w:asciiTheme="minorHAnsi" w:hAnsiTheme="minorHAnsi" w:cs="Arial"/>
          <w:sz w:val="20"/>
          <w:szCs w:val="20"/>
        </w:rPr>
      </w:pPr>
      <w:r w:rsidRPr="00F563CD">
        <w:rPr>
          <w:rFonts w:asciiTheme="minorHAnsi" w:hAnsiTheme="minorHAnsi" w:cs="Arial"/>
          <w:sz w:val="20"/>
          <w:szCs w:val="20"/>
        </w:rPr>
        <w:t xml:space="preserve">Izgradnja kapaciteta za djelotvornu i efikasnu multistejkohldersku saradnju, </w:t>
      </w:r>
    </w:p>
    <w:p w14:paraId="01B5D779" w14:textId="77777777" w:rsidR="00047EF8" w:rsidRPr="00F563CD" w:rsidRDefault="00864F83" w:rsidP="00047EF8">
      <w:pPr>
        <w:pStyle w:val="ListParagraph"/>
        <w:numPr>
          <w:ilvl w:val="0"/>
          <w:numId w:val="33"/>
        </w:numPr>
        <w:spacing w:after="0" w:line="240" w:lineRule="auto"/>
        <w:jc w:val="both"/>
        <w:rPr>
          <w:rFonts w:asciiTheme="minorHAnsi" w:hAnsiTheme="minorHAnsi" w:cs="Arial"/>
          <w:sz w:val="20"/>
          <w:szCs w:val="20"/>
        </w:rPr>
      </w:pPr>
      <w:r w:rsidRPr="00F563CD">
        <w:rPr>
          <w:rFonts w:asciiTheme="minorHAnsi" w:hAnsiTheme="minorHAnsi" w:cs="Arial"/>
          <w:sz w:val="20"/>
          <w:szCs w:val="20"/>
        </w:rPr>
        <w:t>Razvoj mehanizama implementacije i podzakonskih akata koji povećavaju zaštitu ljudskih prava, rodnu ravnopravnost i osnaživanje žena</w:t>
      </w:r>
    </w:p>
    <w:p w14:paraId="3817EB90" w14:textId="77777777" w:rsidR="00047EF8" w:rsidRPr="00F563CD" w:rsidRDefault="00864F83" w:rsidP="00047EF8">
      <w:pPr>
        <w:pStyle w:val="ListParagraph"/>
        <w:numPr>
          <w:ilvl w:val="0"/>
          <w:numId w:val="33"/>
        </w:numPr>
        <w:spacing w:after="0" w:line="240" w:lineRule="auto"/>
        <w:jc w:val="both"/>
        <w:rPr>
          <w:rFonts w:asciiTheme="minorHAnsi" w:hAnsiTheme="minorHAnsi" w:cs="Arial"/>
          <w:sz w:val="20"/>
          <w:szCs w:val="20"/>
        </w:rPr>
      </w:pPr>
      <w:r w:rsidRPr="00F563CD">
        <w:rPr>
          <w:rFonts w:asciiTheme="minorHAnsi" w:hAnsiTheme="minorHAnsi" w:cs="Arial"/>
          <w:sz w:val="20"/>
          <w:szCs w:val="20"/>
        </w:rPr>
        <w:lastRenderedPageBreak/>
        <w:t>Kampanja za podizanje svijesti i rad na zagovaranju sa aktivistima za ženska prava, medijima i predstavnicima akademske zajednice</w:t>
      </w:r>
    </w:p>
    <w:p w14:paraId="08B4CC69" w14:textId="77777777" w:rsidR="00047EF8" w:rsidRPr="00F563CD" w:rsidRDefault="00864F83" w:rsidP="00047EF8">
      <w:pPr>
        <w:pStyle w:val="ListParagraph"/>
        <w:numPr>
          <w:ilvl w:val="0"/>
          <w:numId w:val="33"/>
        </w:numPr>
        <w:spacing w:after="0"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 xml:space="preserve">Tehnologija protiv diskriminacije – sajam znanja i inovacija  </w:t>
      </w:r>
    </w:p>
    <w:p w14:paraId="1B127B23" w14:textId="77777777" w:rsidR="00047EF8" w:rsidRPr="00F563CD" w:rsidRDefault="00864F83" w:rsidP="00047EF8">
      <w:pPr>
        <w:pStyle w:val="ListParagraph"/>
        <w:numPr>
          <w:ilvl w:val="0"/>
          <w:numId w:val="33"/>
        </w:numPr>
        <w:spacing w:after="0"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Uvođenje Rodnih studija na Univerzitetu Crne Gore</w:t>
      </w:r>
    </w:p>
    <w:p w14:paraId="2F0AC0E3" w14:textId="77777777" w:rsidR="00047EF8" w:rsidRPr="00F563CD" w:rsidRDefault="00047EF8" w:rsidP="00047EF8">
      <w:pPr>
        <w:pStyle w:val="ListParagraph"/>
        <w:spacing w:after="0" w:line="240" w:lineRule="auto"/>
        <w:jc w:val="both"/>
        <w:rPr>
          <w:rFonts w:asciiTheme="minorHAnsi" w:hAnsiTheme="minorHAnsi" w:cs="Arial"/>
          <w:sz w:val="20"/>
          <w:szCs w:val="20"/>
          <w:lang w:val="fr-BE"/>
        </w:rPr>
      </w:pPr>
    </w:p>
    <w:p w14:paraId="4A968FC4" w14:textId="77777777" w:rsidR="00047EF8" w:rsidRPr="00F563CD" w:rsidRDefault="00864F83" w:rsidP="00047EF8">
      <w:pPr>
        <w:spacing w:before="240" w:after="120" w:line="240" w:lineRule="auto"/>
        <w:jc w:val="both"/>
        <w:rPr>
          <w:rFonts w:asciiTheme="minorHAnsi" w:hAnsiTheme="minorHAnsi" w:cs="Arial"/>
          <w:sz w:val="20"/>
          <w:szCs w:val="20"/>
          <w:u w:val="single"/>
          <w:lang w:val="fr-BE"/>
        </w:rPr>
      </w:pPr>
      <w:r w:rsidRPr="00F563CD">
        <w:rPr>
          <w:rFonts w:asciiTheme="minorHAnsi" w:hAnsiTheme="minorHAnsi" w:cs="Arial"/>
          <w:sz w:val="20"/>
          <w:szCs w:val="20"/>
          <w:u w:val="single"/>
          <w:lang w:val="fr-BE"/>
        </w:rPr>
        <w:t>INTEGRACIJA ROMA</w:t>
      </w:r>
    </w:p>
    <w:p w14:paraId="0D16411A" w14:textId="77777777" w:rsidR="00047EF8" w:rsidRPr="00F563CD" w:rsidRDefault="00864F83" w:rsidP="00047EF8">
      <w:pPr>
        <w:spacing w:before="240" w:after="120" w:line="240" w:lineRule="auto"/>
        <w:jc w:val="both"/>
        <w:rPr>
          <w:rFonts w:asciiTheme="minorHAnsi" w:hAnsiTheme="minorHAnsi" w:cs="Arial"/>
          <w:sz w:val="20"/>
          <w:szCs w:val="20"/>
          <w:lang w:val="fr-BE"/>
        </w:rPr>
      </w:pPr>
      <w:r w:rsidRPr="00F563CD">
        <w:rPr>
          <w:rFonts w:asciiTheme="minorHAnsi" w:hAnsiTheme="minorHAnsi" w:cs="Arial"/>
          <w:b/>
          <w:sz w:val="20"/>
          <w:szCs w:val="20"/>
          <w:lang w:val="fr-BE"/>
        </w:rPr>
        <w:t xml:space="preserve">Organizovati radionice o suzbijanju diskriminacije i anticiganizma </w:t>
      </w:r>
      <w:r w:rsidRPr="00F563CD">
        <w:rPr>
          <w:rFonts w:asciiTheme="minorHAnsi" w:hAnsiTheme="minorHAnsi" w:cs="Arial"/>
          <w:sz w:val="20"/>
          <w:szCs w:val="20"/>
          <w:lang w:val="fr-BE"/>
        </w:rPr>
        <w:t xml:space="preserve">za državne službenike i službenike lokalnih samouprava, kao i za predstavnike </w:t>
      </w:r>
      <w:proofErr w:type="gramStart"/>
      <w:r w:rsidRPr="00F563CD">
        <w:rPr>
          <w:rFonts w:asciiTheme="minorHAnsi" w:hAnsiTheme="minorHAnsi" w:cs="Arial"/>
          <w:sz w:val="20"/>
          <w:szCs w:val="20"/>
          <w:lang w:val="fr-BE"/>
        </w:rPr>
        <w:t>medija;</w:t>
      </w:r>
      <w:proofErr w:type="gramEnd"/>
    </w:p>
    <w:p w14:paraId="29CC2F54" w14:textId="77777777" w:rsidR="00047EF8" w:rsidRPr="00F563CD" w:rsidRDefault="00864F83" w:rsidP="00047EF8">
      <w:pPr>
        <w:pStyle w:val="ListParagraph"/>
        <w:numPr>
          <w:ilvl w:val="0"/>
          <w:numId w:val="35"/>
        </w:numPr>
        <w:spacing w:before="240" w:after="120" w:line="240" w:lineRule="auto"/>
        <w:jc w:val="both"/>
        <w:rPr>
          <w:rFonts w:asciiTheme="minorHAnsi" w:hAnsiTheme="minorHAnsi" w:cs="Arial"/>
          <w:sz w:val="20"/>
          <w:szCs w:val="20"/>
          <w:lang w:val="fr-BE"/>
        </w:rPr>
      </w:pPr>
      <w:r w:rsidRPr="00F563CD">
        <w:rPr>
          <w:rFonts w:asciiTheme="minorHAnsi" w:hAnsiTheme="minorHAnsi" w:cs="Arial"/>
          <w:b/>
          <w:sz w:val="20"/>
          <w:szCs w:val="20"/>
          <w:lang w:val="fr-BE"/>
        </w:rPr>
        <w:t xml:space="preserve"> Sačininjavanje i štampa dvojezičnih udžbenika </w:t>
      </w:r>
      <w:r w:rsidRPr="00F563CD">
        <w:rPr>
          <w:rFonts w:asciiTheme="minorHAnsi" w:hAnsiTheme="minorHAnsi" w:cs="Arial"/>
          <w:sz w:val="20"/>
          <w:szCs w:val="20"/>
          <w:lang w:val="fr-BE"/>
        </w:rPr>
        <w:t xml:space="preserve">(romsko-crnogorski i albansko-crnogorski) i njihova distribucija učenicima za romske zajednice. Takođe, prilagoditi digitalnu aplikaciju za učenje crnogorskog jezika romskoj populaciji, koja bi bila pokrenuta tokom perioda angažovanja </w:t>
      </w:r>
      <w:proofErr w:type="gramStart"/>
      <w:r w:rsidRPr="00F563CD">
        <w:rPr>
          <w:rFonts w:asciiTheme="minorHAnsi" w:hAnsiTheme="minorHAnsi" w:cs="Arial"/>
          <w:sz w:val="20"/>
          <w:szCs w:val="20"/>
          <w:lang w:val="fr-BE"/>
        </w:rPr>
        <w:t>Saradnika;</w:t>
      </w:r>
      <w:proofErr w:type="gramEnd"/>
    </w:p>
    <w:p w14:paraId="19407BCA" w14:textId="77777777" w:rsidR="00047EF8" w:rsidRPr="00F563CD" w:rsidRDefault="00864F83" w:rsidP="00047EF8">
      <w:pPr>
        <w:pStyle w:val="ListParagraph"/>
        <w:numPr>
          <w:ilvl w:val="0"/>
          <w:numId w:val="35"/>
        </w:numPr>
        <w:spacing w:before="240" w:after="120"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 xml:space="preserve"> </w:t>
      </w:r>
      <w:r w:rsidRPr="00F563CD">
        <w:rPr>
          <w:rFonts w:asciiTheme="minorHAnsi" w:hAnsiTheme="minorHAnsi" w:cs="Arial"/>
          <w:b/>
          <w:sz w:val="20"/>
          <w:szCs w:val="20"/>
          <w:lang w:val="fr-BE"/>
        </w:rPr>
        <w:t xml:space="preserve">Sačiniti spisak svih domaćinstava romske populacije </w:t>
      </w:r>
      <w:r w:rsidRPr="00F563CD">
        <w:rPr>
          <w:rFonts w:asciiTheme="minorHAnsi" w:hAnsiTheme="minorHAnsi" w:cs="Arial"/>
          <w:sz w:val="20"/>
          <w:szCs w:val="20"/>
          <w:lang w:val="fr-BE"/>
        </w:rPr>
        <w:t>koja nemaju pristup vodosnabdijevanju niti kanalizacionom sistemu, i sačiniti plan za rješavanje ovog problema.</w:t>
      </w:r>
    </w:p>
    <w:p w14:paraId="59D9B8CB" w14:textId="77777777" w:rsidR="00047EF8" w:rsidRPr="00F563CD" w:rsidRDefault="00047EF8" w:rsidP="00047EF8">
      <w:pPr>
        <w:pStyle w:val="ListParagraph"/>
        <w:spacing w:after="0" w:line="240" w:lineRule="auto"/>
        <w:jc w:val="both"/>
        <w:rPr>
          <w:rFonts w:asciiTheme="minorHAnsi" w:hAnsiTheme="minorHAnsi" w:cs="Arial"/>
          <w:sz w:val="20"/>
          <w:szCs w:val="20"/>
          <w:lang w:val="fr-BE"/>
        </w:rPr>
      </w:pPr>
    </w:p>
    <w:p w14:paraId="1093175F" w14:textId="77777777" w:rsidR="00047EF8" w:rsidRPr="00F563CD" w:rsidRDefault="00864F83" w:rsidP="00047EF8">
      <w:pPr>
        <w:spacing w:line="240" w:lineRule="auto"/>
        <w:jc w:val="both"/>
        <w:rPr>
          <w:rFonts w:asciiTheme="minorHAnsi" w:hAnsiTheme="minorHAnsi" w:cs="Arial"/>
          <w:sz w:val="20"/>
          <w:szCs w:val="20"/>
          <w:u w:val="single"/>
          <w:lang w:val="fr-BE"/>
        </w:rPr>
      </w:pPr>
      <w:r w:rsidRPr="00F563CD">
        <w:rPr>
          <w:rFonts w:asciiTheme="minorHAnsi" w:hAnsiTheme="minorHAnsi" w:cs="Arial"/>
          <w:sz w:val="20"/>
          <w:szCs w:val="20"/>
          <w:u w:val="single"/>
          <w:lang w:val="fr-BE"/>
        </w:rPr>
        <w:t>PRAVA MANJINA</w:t>
      </w:r>
    </w:p>
    <w:p w14:paraId="75F43FE5" w14:textId="77777777" w:rsidR="00047EF8" w:rsidRPr="00F563CD" w:rsidRDefault="00864F83" w:rsidP="00047EF8">
      <w:pPr>
        <w:spacing w:line="240" w:lineRule="auto"/>
        <w:jc w:val="both"/>
        <w:rPr>
          <w:rFonts w:asciiTheme="minorHAnsi" w:hAnsiTheme="minorHAnsi" w:cs="Arial"/>
          <w:sz w:val="20"/>
          <w:szCs w:val="20"/>
          <w:lang w:val="fr-BE"/>
        </w:rPr>
      </w:pPr>
      <w:r w:rsidRPr="00F563CD">
        <w:rPr>
          <w:rFonts w:asciiTheme="minorHAnsi" w:hAnsiTheme="minorHAnsi" w:cs="Arial"/>
          <w:b/>
          <w:sz w:val="20"/>
          <w:szCs w:val="20"/>
          <w:lang w:val="fr-BE"/>
        </w:rPr>
        <w:t xml:space="preserve">Sprovesti istraživanje kako bi se sakupili podaci za pripremu Informacije o zastupljenosti manjinskih naroda i drugih nacionalnih manjina </w:t>
      </w:r>
      <w:r w:rsidRPr="00F563CD">
        <w:rPr>
          <w:rFonts w:asciiTheme="minorHAnsi" w:hAnsiTheme="minorHAnsi" w:cs="Arial"/>
          <w:sz w:val="20"/>
          <w:szCs w:val="20"/>
          <w:lang w:val="fr-BE"/>
        </w:rPr>
        <w:t>u državnim tijelima, organima državne uprave, službama Predsjednika Crne Gore, Skupštine Crne Gore, Vlade Crne Gore, sudovima, državnom tužilaštvu i lokalnim samoupravama.</w:t>
      </w:r>
    </w:p>
    <w:p w14:paraId="364430B9" w14:textId="77777777" w:rsidR="00047EF8" w:rsidRPr="00F563CD" w:rsidRDefault="00864F83" w:rsidP="00047EF8">
      <w:pPr>
        <w:pStyle w:val="ListParagraph"/>
        <w:numPr>
          <w:ilvl w:val="0"/>
          <w:numId w:val="34"/>
        </w:numPr>
        <w:spacing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Da bi se postigao ovaj cilj, neophodno prikupiti podatke o nacionalnoj strukturi zaposlenih, tako da bismo u našem budućem radu mogli imati osnovu za sprovođenje pomenute ustavne i zakonske garancije. Ovo istraživanje bi se sprovelo u saradnji sa Upravom za kadrove, što zahtijeva određene finansijske resurse.</w:t>
      </w:r>
    </w:p>
    <w:p w14:paraId="710DFED9" w14:textId="77777777" w:rsidR="00047EF8" w:rsidRPr="00F563CD" w:rsidRDefault="00047EF8" w:rsidP="00047EF8">
      <w:pPr>
        <w:pStyle w:val="ListParagraph"/>
        <w:spacing w:line="240" w:lineRule="auto"/>
        <w:ind w:left="360"/>
        <w:jc w:val="both"/>
        <w:rPr>
          <w:rFonts w:asciiTheme="minorHAnsi" w:hAnsiTheme="minorHAnsi" w:cs="Arial"/>
          <w:sz w:val="20"/>
          <w:szCs w:val="20"/>
          <w:lang w:val="fr-BE"/>
        </w:rPr>
      </w:pPr>
    </w:p>
    <w:p w14:paraId="40F6BC46" w14:textId="77777777" w:rsidR="00047EF8" w:rsidRPr="00F563CD" w:rsidRDefault="00864F83" w:rsidP="00047EF8">
      <w:pPr>
        <w:pStyle w:val="ListParagraph"/>
        <w:numPr>
          <w:ilvl w:val="0"/>
          <w:numId w:val="34"/>
        </w:numPr>
        <w:spacing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Organizovanje seta okruglih stolova da bi se promovisao strateški i zakonodavni okvir u oblasti ljudskih prava. Okrugli stolovi bi bili održani u većini crnogorskih gradova za predstavnike civilnog i javnog sektora. Takođe, javnost bi bila veoma dobro informisana o ovim događajima putem medija. Nakon završetka projekta, uradiće se publikacija u kojoj će se rezimirati prethodni rad našeg odjeljenja i prethodne aktivnosti.</w:t>
      </w:r>
    </w:p>
    <w:p w14:paraId="54A1A391" w14:textId="77777777" w:rsidR="00047EF8" w:rsidRPr="00F563CD" w:rsidRDefault="00047EF8" w:rsidP="00047EF8">
      <w:pPr>
        <w:pStyle w:val="ListParagraph"/>
        <w:spacing w:line="240" w:lineRule="auto"/>
        <w:ind w:left="644"/>
        <w:jc w:val="both"/>
        <w:rPr>
          <w:rFonts w:asciiTheme="minorHAnsi" w:hAnsiTheme="minorHAnsi" w:cs="Arial"/>
          <w:sz w:val="20"/>
          <w:szCs w:val="20"/>
          <w:lang w:val="fr-BE"/>
        </w:rPr>
      </w:pPr>
    </w:p>
    <w:p w14:paraId="580CDF38" w14:textId="77777777" w:rsidR="00047EF8" w:rsidRPr="00F563CD" w:rsidRDefault="00864F83" w:rsidP="00047EF8">
      <w:pPr>
        <w:spacing w:line="240" w:lineRule="auto"/>
        <w:jc w:val="both"/>
        <w:rPr>
          <w:rFonts w:asciiTheme="minorHAnsi" w:hAnsiTheme="minorHAnsi" w:cs="Arial"/>
          <w:sz w:val="20"/>
          <w:szCs w:val="20"/>
          <w:u w:val="single"/>
          <w:lang w:val="fr-BE"/>
        </w:rPr>
      </w:pPr>
      <w:r w:rsidRPr="00F563CD">
        <w:rPr>
          <w:rFonts w:asciiTheme="minorHAnsi" w:hAnsiTheme="minorHAnsi" w:cs="Arial"/>
          <w:sz w:val="20"/>
          <w:szCs w:val="20"/>
          <w:u w:val="single"/>
          <w:lang w:val="fr-BE"/>
        </w:rPr>
        <w:t>LICA SA INVALIDITETOM</w:t>
      </w:r>
    </w:p>
    <w:p w14:paraId="00DC569E" w14:textId="77777777" w:rsidR="00047EF8" w:rsidRPr="00F563CD" w:rsidRDefault="00864F83" w:rsidP="00047EF8">
      <w:pPr>
        <w:spacing w:after="160" w:line="240" w:lineRule="auto"/>
        <w:jc w:val="both"/>
        <w:rPr>
          <w:rFonts w:asciiTheme="minorHAnsi" w:hAnsiTheme="minorHAnsi" w:cs="Arial"/>
          <w:sz w:val="20"/>
          <w:szCs w:val="20"/>
          <w:lang w:val="fr-BE"/>
        </w:rPr>
      </w:pPr>
      <w:r w:rsidRPr="00F563CD">
        <w:rPr>
          <w:rFonts w:asciiTheme="minorHAnsi" w:hAnsiTheme="minorHAnsi" w:cs="Arial"/>
          <w:b/>
          <w:sz w:val="20"/>
          <w:szCs w:val="20"/>
          <w:lang w:val="fr-BE"/>
        </w:rPr>
        <w:t xml:space="preserve">Objava nove Strategije za zaštitu lica sa invaliditetom </w:t>
      </w:r>
      <w:r w:rsidRPr="00F563CD">
        <w:rPr>
          <w:rFonts w:asciiTheme="minorHAnsi" w:hAnsiTheme="minorHAnsi" w:cs="Arial"/>
          <w:sz w:val="20"/>
          <w:szCs w:val="20"/>
          <w:lang w:val="fr-BE"/>
        </w:rPr>
        <w:t xml:space="preserve">u audio </w:t>
      </w:r>
      <w:proofErr w:type="gramStart"/>
      <w:r w:rsidRPr="00F563CD">
        <w:rPr>
          <w:rFonts w:asciiTheme="minorHAnsi" w:hAnsiTheme="minorHAnsi" w:cs="Arial"/>
          <w:sz w:val="20"/>
          <w:szCs w:val="20"/>
          <w:lang w:val="fr-BE"/>
        </w:rPr>
        <w:t>formatu;</w:t>
      </w:r>
      <w:proofErr w:type="gramEnd"/>
    </w:p>
    <w:p w14:paraId="1FF394C3" w14:textId="77777777" w:rsidR="00047EF8" w:rsidRPr="00F563CD" w:rsidRDefault="00864F83" w:rsidP="00047EF8">
      <w:pPr>
        <w:pStyle w:val="ListParagraph"/>
        <w:numPr>
          <w:ilvl w:val="0"/>
          <w:numId w:val="97"/>
        </w:numPr>
        <w:spacing w:after="160" w:line="240" w:lineRule="auto"/>
        <w:jc w:val="both"/>
        <w:rPr>
          <w:rFonts w:asciiTheme="minorHAnsi" w:hAnsiTheme="minorHAnsi" w:cs="Arial"/>
          <w:sz w:val="20"/>
          <w:szCs w:val="20"/>
          <w:lang w:val="fr-BE"/>
        </w:rPr>
      </w:pPr>
      <w:r w:rsidRPr="00F563CD">
        <w:rPr>
          <w:rFonts w:asciiTheme="minorHAnsi" w:hAnsiTheme="minorHAnsi" w:cs="Arial"/>
          <w:sz w:val="20"/>
          <w:szCs w:val="20"/>
          <w:lang w:val="fr-BE"/>
        </w:rPr>
        <w:t>Prevod i publikovanje Strategije za zaštitu lica sa invaliditetom na engleskom jeziku i na jeziku nacionalnih manjima (albanski jezik)</w:t>
      </w:r>
    </w:p>
    <w:p w14:paraId="5E9EBA81" w14:textId="77777777" w:rsidR="00047EF8" w:rsidRPr="00F563CD" w:rsidRDefault="00047EF8" w:rsidP="00047EF8">
      <w:pPr>
        <w:pStyle w:val="ListParagraph"/>
        <w:spacing w:after="160" w:line="240" w:lineRule="auto"/>
        <w:ind w:left="644"/>
        <w:jc w:val="both"/>
        <w:rPr>
          <w:rFonts w:asciiTheme="minorHAnsi" w:hAnsiTheme="minorHAnsi" w:cs="Arial"/>
          <w:sz w:val="20"/>
          <w:szCs w:val="20"/>
          <w:lang w:val="fr-BE"/>
        </w:rPr>
      </w:pPr>
    </w:p>
    <w:p w14:paraId="0A65DF04" w14:textId="77777777" w:rsidR="00047EF8" w:rsidRPr="00F563CD" w:rsidRDefault="00864F83" w:rsidP="00047EF8">
      <w:pPr>
        <w:spacing w:after="160" w:line="240" w:lineRule="auto"/>
        <w:jc w:val="both"/>
        <w:rPr>
          <w:rFonts w:asciiTheme="minorHAnsi" w:hAnsiTheme="minorHAnsi" w:cs="Arial"/>
          <w:sz w:val="20"/>
          <w:szCs w:val="20"/>
          <w:u w:val="single"/>
        </w:rPr>
      </w:pPr>
      <w:r w:rsidRPr="00F563CD">
        <w:rPr>
          <w:rFonts w:asciiTheme="minorHAnsi" w:hAnsiTheme="minorHAnsi" w:cs="Arial"/>
          <w:sz w:val="20"/>
          <w:szCs w:val="20"/>
          <w:u w:val="single"/>
        </w:rPr>
        <w:t>LGBTI</w:t>
      </w:r>
    </w:p>
    <w:p w14:paraId="012946B8" w14:textId="77777777" w:rsidR="00047EF8" w:rsidRPr="00F563CD" w:rsidRDefault="00864F83" w:rsidP="00047EF8">
      <w:pPr>
        <w:pStyle w:val="ListParagraph"/>
        <w:numPr>
          <w:ilvl w:val="0"/>
          <w:numId w:val="97"/>
        </w:numPr>
        <w:tabs>
          <w:tab w:val="left" w:pos="720"/>
        </w:tabs>
        <w:spacing w:line="240" w:lineRule="auto"/>
        <w:jc w:val="both"/>
        <w:rPr>
          <w:rFonts w:asciiTheme="minorHAnsi" w:hAnsiTheme="minorHAnsi" w:cs="Arial"/>
          <w:sz w:val="20"/>
          <w:szCs w:val="20"/>
        </w:rPr>
      </w:pPr>
      <w:r w:rsidRPr="00F563CD">
        <w:rPr>
          <w:rFonts w:asciiTheme="minorHAnsi" w:hAnsiTheme="minorHAnsi" w:cs="Arial"/>
          <w:sz w:val="20"/>
          <w:szCs w:val="20"/>
        </w:rPr>
        <w:t xml:space="preserve">Stručna podrška i razmjena iskustva, unapređenje kompetentnosti i znanja kako bi se pripremio i usvojio Zakon o legalnom priznavanju pols.  </w:t>
      </w:r>
    </w:p>
    <w:p w14:paraId="278A9F0B" w14:textId="77777777" w:rsidR="00047EF8" w:rsidRPr="00F563CD" w:rsidRDefault="00864F83" w:rsidP="00047EF8">
      <w:pPr>
        <w:spacing w:before="240" w:after="120" w:line="240" w:lineRule="auto"/>
        <w:jc w:val="both"/>
        <w:rPr>
          <w:rFonts w:asciiTheme="minorHAnsi" w:hAnsiTheme="minorHAnsi" w:cs="Arial"/>
          <w:sz w:val="20"/>
          <w:szCs w:val="20"/>
          <w:u w:val="single"/>
        </w:rPr>
      </w:pPr>
      <w:r w:rsidRPr="00F563CD">
        <w:rPr>
          <w:rFonts w:asciiTheme="minorHAnsi" w:hAnsiTheme="minorHAnsi" w:cs="Arial"/>
          <w:sz w:val="20"/>
          <w:szCs w:val="20"/>
          <w:u w:val="single"/>
        </w:rPr>
        <w:t>RODNA RAVNOPRAVNOST</w:t>
      </w:r>
    </w:p>
    <w:p w14:paraId="0C042432" w14:textId="77777777" w:rsidR="00047EF8" w:rsidRPr="00F563CD" w:rsidRDefault="00864F83" w:rsidP="00047EF8">
      <w:pPr>
        <w:spacing w:before="240" w:after="120" w:line="240" w:lineRule="auto"/>
        <w:jc w:val="both"/>
        <w:rPr>
          <w:rFonts w:asciiTheme="minorHAnsi" w:hAnsiTheme="minorHAnsi" w:cs="Arial"/>
          <w:sz w:val="20"/>
          <w:szCs w:val="20"/>
          <w:u w:val="single"/>
        </w:rPr>
      </w:pPr>
      <w:r w:rsidRPr="00F563CD">
        <w:rPr>
          <w:rFonts w:asciiTheme="minorHAnsi" w:hAnsiTheme="minorHAnsi" w:cs="Arial"/>
          <w:b/>
          <w:sz w:val="20"/>
          <w:szCs w:val="20"/>
        </w:rPr>
        <w:t>Osnaženi kapaciteti javne uprave za integraciju načela rodne ravnopravnosti</w:t>
      </w:r>
    </w:p>
    <w:p w14:paraId="15ED3DD0" w14:textId="77777777" w:rsidR="00047EF8" w:rsidRPr="00F563CD" w:rsidRDefault="00864F83" w:rsidP="00047EF8">
      <w:pPr>
        <w:pStyle w:val="ListParagraph"/>
        <w:numPr>
          <w:ilvl w:val="0"/>
          <w:numId w:val="36"/>
        </w:numPr>
        <w:spacing w:after="0" w:line="240" w:lineRule="auto"/>
        <w:jc w:val="both"/>
        <w:rPr>
          <w:rFonts w:asciiTheme="minorHAnsi" w:hAnsiTheme="minorHAnsi" w:cs="Arial"/>
          <w:sz w:val="20"/>
          <w:szCs w:val="20"/>
        </w:rPr>
      </w:pPr>
      <w:r w:rsidRPr="00F563CD">
        <w:rPr>
          <w:rFonts w:asciiTheme="minorHAnsi" w:hAnsiTheme="minorHAnsi" w:cs="Arial"/>
          <w:sz w:val="20"/>
          <w:szCs w:val="20"/>
        </w:rPr>
        <w:t>Sprovesti analizu za identifikovanje prioritetnih rodnih jazova za neposrednu intervenciju</w:t>
      </w:r>
    </w:p>
    <w:p w14:paraId="496913C4" w14:textId="77777777" w:rsidR="00047EF8" w:rsidRPr="00F563CD" w:rsidRDefault="00864F83" w:rsidP="00047EF8">
      <w:pPr>
        <w:pStyle w:val="ListParagraph"/>
        <w:numPr>
          <w:ilvl w:val="0"/>
          <w:numId w:val="36"/>
        </w:numPr>
        <w:spacing w:after="0" w:line="240" w:lineRule="auto"/>
        <w:jc w:val="both"/>
        <w:rPr>
          <w:rFonts w:asciiTheme="minorHAnsi" w:hAnsiTheme="minorHAnsi" w:cs="Arial"/>
          <w:sz w:val="20"/>
          <w:szCs w:val="20"/>
        </w:rPr>
      </w:pPr>
      <w:r w:rsidRPr="00F563CD">
        <w:rPr>
          <w:rFonts w:asciiTheme="minorHAnsi" w:hAnsiTheme="minorHAnsi" w:cs="Arial"/>
          <w:sz w:val="20"/>
          <w:szCs w:val="20"/>
        </w:rPr>
        <w:t>Razviti programme osposobljavanja i mentorsku podršku za identifikovane intervencije</w:t>
      </w:r>
    </w:p>
    <w:p w14:paraId="5F281510" w14:textId="77777777" w:rsidR="00047EF8" w:rsidRPr="00F563CD" w:rsidRDefault="00864F83" w:rsidP="00047EF8">
      <w:pPr>
        <w:pStyle w:val="ListParagraph"/>
        <w:numPr>
          <w:ilvl w:val="0"/>
          <w:numId w:val="36"/>
        </w:numPr>
        <w:spacing w:after="0" w:line="240" w:lineRule="auto"/>
        <w:jc w:val="both"/>
        <w:rPr>
          <w:rFonts w:asciiTheme="minorHAnsi" w:hAnsiTheme="minorHAnsi" w:cs="Arial"/>
          <w:sz w:val="20"/>
          <w:szCs w:val="20"/>
        </w:rPr>
      </w:pPr>
      <w:r w:rsidRPr="00F563CD">
        <w:rPr>
          <w:rFonts w:asciiTheme="minorHAnsi" w:hAnsiTheme="minorHAnsi" w:cs="Arial"/>
          <w:sz w:val="20"/>
          <w:szCs w:val="20"/>
        </w:rPr>
        <w:t xml:space="preserve">Razviti integrisani sistem onlajn razmjene informacija i platforme za učenje za integrisanje načela rodne ravnopravnosti u javnoj upravi </w:t>
      </w:r>
    </w:p>
    <w:p w14:paraId="1FBCFAA7" w14:textId="77777777" w:rsidR="00047EF8" w:rsidRPr="00F563CD" w:rsidRDefault="00864F83" w:rsidP="00047EF8">
      <w:pPr>
        <w:pStyle w:val="ListParagraph"/>
        <w:numPr>
          <w:ilvl w:val="0"/>
          <w:numId w:val="36"/>
        </w:numPr>
        <w:spacing w:after="0" w:line="240" w:lineRule="auto"/>
        <w:jc w:val="both"/>
        <w:rPr>
          <w:rFonts w:asciiTheme="minorHAnsi" w:hAnsiTheme="minorHAnsi" w:cs="Arial"/>
          <w:sz w:val="20"/>
          <w:szCs w:val="20"/>
        </w:rPr>
      </w:pPr>
      <w:r w:rsidRPr="00F563CD">
        <w:rPr>
          <w:rFonts w:asciiTheme="minorHAnsi" w:hAnsiTheme="minorHAnsi" w:cs="Arial"/>
          <w:sz w:val="20"/>
          <w:szCs w:val="20"/>
        </w:rPr>
        <w:t xml:space="preserve">Osmisliti i sprovesti obavezne programme osposobljavanja o </w:t>
      </w:r>
      <w:proofErr w:type="gramStart"/>
      <w:r w:rsidRPr="00F563CD">
        <w:rPr>
          <w:rFonts w:asciiTheme="minorHAnsi" w:hAnsiTheme="minorHAnsi" w:cs="Arial"/>
          <w:sz w:val="20"/>
          <w:szCs w:val="20"/>
        </w:rPr>
        <w:t>integrisanju  načela</w:t>
      </w:r>
      <w:proofErr w:type="gramEnd"/>
      <w:r w:rsidRPr="00F563CD">
        <w:rPr>
          <w:rFonts w:asciiTheme="minorHAnsi" w:hAnsiTheme="minorHAnsi" w:cs="Arial"/>
          <w:sz w:val="20"/>
          <w:szCs w:val="20"/>
        </w:rPr>
        <w:t xml:space="preserve"> rodne ravnopravnosti i praćenju njegovih efekata na sve zaposlene u javnoj upravi </w:t>
      </w:r>
    </w:p>
    <w:p w14:paraId="2FE8AB77" w14:textId="77777777" w:rsidR="00047EF8" w:rsidRPr="00F563CD" w:rsidRDefault="00864F83" w:rsidP="00047EF8">
      <w:pPr>
        <w:pStyle w:val="ListParagraph"/>
        <w:numPr>
          <w:ilvl w:val="0"/>
          <w:numId w:val="36"/>
        </w:numPr>
        <w:spacing w:after="0" w:line="240" w:lineRule="auto"/>
        <w:jc w:val="both"/>
        <w:rPr>
          <w:rFonts w:asciiTheme="minorHAnsi" w:hAnsiTheme="minorHAnsi" w:cs="Arial"/>
          <w:sz w:val="20"/>
          <w:szCs w:val="20"/>
        </w:rPr>
      </w:pPr>
      <w:r w:rsidRPr="00F563CD">
        <w:rPr>
          <w:rFonts w:asciiTheme="minorHAnsi" w:hAnsiTheme="minorHAnsi" w:cs="Arial"/>
          <w:sz w:val="20"/>
          <w:szCs w:val="20"/>
        </w:rPr>
        <w:t>Osmisliti i sprovesti obuku za medije da postanu bolji korektivni faktor u suzbijanju strukturnih nejednakosti.</w:t>
      </w:r>
    </w:p>
    <w:p w14:paraId="0C06C30F" w14:textId="77777777" w:rsidR="00047EF8" w:rsidRPr="00F563CD" w:rsidRDefault="00047EF8" w:rsidP="00047EF8">
      <w:pPr>
        <w:spacing w:after="0" w:line="240" w:lineRule="auto"/>
        <w:jc w:val="both"/>
        <w:rPr>
          <w:rFonts w:asciiTheme="minorHAnsi" w:hAnsiTheme="minorHAnsi" w:cs="Arial"/>
          <w:sz w:val="20"/>
          <w:szCs w:val="20"/>
        </w:rPr>
      </w:pPr>
    </w:p>
    <w:p w14:paraId="7A75CD38" w14:textId="77777777" w:rsidR="00047EF8" w:rsidRPr="00F563CD" w:rsidRDefault="00864F83" w:rsidP="00047EF8">
      <w:pPr>
        <w:spacing w:after="0" w:line="240" w:lineRule="auto"/>
        <w:jc w:val="both"/>
        <w:rPr>
          <w:rFonts w:asciiTheme="minorHAnsi" w:hAnsiTheme="minorHAnsi" w:cs="Arial"/>
          <w:sz w:val="20"/>
          <w:szCs w:val="20"/>
        </w:rPr>
      </w:pPr>
      <w:r w:rsidRPr="00F563CD">
        <w:rPr>
          <w:rFonts w:asciiTheme="minorHAnsi" w:hAnsiTheme="minorHAnsi" w:cs="Arial"/>
          <w:b/>
          <w:sz w:val="20"/>
          <w:szCs w:val="20"/>
        </w:rPr>
        <w:t>Osnivanje Fonda za ubrzavanje rodne ravnopravnosti za podršku razvoju kapaciteta za rodnu ravnopravnost, za pilotiranje i testiranje inovativnih ideja i inicijativa, za omogućavanje implementacije prioritetnih zabrinutosti iz nacionalnog Akcionog plana za rodnu ravnopravnost</w:t>
      </w:r>
      <w:r w:rsidRPr="00F563CD">
        <w:rPr>
          <w:rFonts w:asciiTheme="minorHAnsi" w:hAnsiTheme="minorHAnsi" w:cs="Arial"/>
          <w:sz w:val="20"/>
          <w:szCs w:val="20"/>
        </w:rPr>
        <w:t xml:space="preserve"> (Uspostavljanje Centra za istraživanje, promociju i obrazovanje za rodnu ravnopravnost)     </w:t>
      </w:r>
    </w:p>
    <w:p w14:paraId="144ED515" w14:textId="77777777" w:rsidR="00047EF8" w:rsidRPr="00F563CD" w:rsidRDefault="00047EF8" w:rsidP="00047EF8">
      <w:pPr>
        <w:spacing w:after="0" w:line="240" w:lineRule="auto"/>
        <w:jc w:val="both"/>
        <w:rPr>
          <w:rFonts w:asciiTheme="minorHAnsi" w:hAnsiTheme="minorHAnsi" w:cs="Arial"/>
          <w:sz w:val="20"/>
          <w:szCs w:val="20"/>
        </w:rPr>
      </w:pPr>
    </w:p>
    <w:p w14:paraId="2F51444C" w14:textId="77777777" w:rsidR="00047EF8" w:rsidRPr="00F563CD" w:rsidRDefault="00864F83" w:rsidP="00047EF8">
      <w:pPr>
        <w:pStyle w:val="ListParagraph"/>
        <w:numPr>
          <w:ilvl w:val="0"/>
          <w:numId w:val="36"/>
        </w:numPr>
        <w:spacing w:after="0" w:line="240" w:lineRule="auto"/>
        <w:jc w:val="both"/>
        <w:rPr>
          <w:rFonts w:asciiTheme="minorHAnsi" w:hAnsiTheme="minorHAnsi" w:cs="Arial"/>
          <w:sz w:val="20"/>
          <w:szCs w:val="20"/>
        </w:rPr>
      </w:pPr>
      <w:r w:rsidRPr="00F563CD">
        <w:rPr>
          <w:rFonts w:asciiTheme="minorHAnsi" w:hAnsiTheme="minorHAnsi" w:cs="Arial"/>
          <w:sz w:val="20"/>
          <w:szCs w:val="20"/>
        </w:rPr>
        <w:t>Izrada studije izvodljivosti o osnivanju Centra za istraživanje, promociju i obrazovanje za rodnu ravnopravnost</w:t>
      </w:r>
    </w:p>
    <w:p w14:paraId="5BB5DDE4" w14:textId="77777777" w:rsidR="00047EF8" w:rsidRPr="00F563CD" w:rsidRDefault="00864F83" w:rsidP="00047EF8">
      <w:pPr>
        <w:pStyle w:val="ListParagraph"/>
        <w:numPr>
          <w:ilvl w:val="0"/>
          <w:numId w:val="36"/>
        </w:numPr>
        <w:spacing w:after="0" w:line="240" w:lineRule="auto"/>
        <w:jc w:val="both"/>
        <w:rPr>
          <w:rFonts w:asciiTheme="minorHAnsi" w:hAnsiTheme="minorHAnsi" w:cs="Arial"/>
          <w:sz w:val="20"/>
          <w:szCs w:val="20"/>
        </w:rPr>
      </w:pPr>
      <w:r w:rsidRPr="00F563CD">
        <w:rPr>
          <w:rFonts w:asciiTheme="minorHAnsi" w:hAnsiTheme="minorHAnsi" w:cs="Arial"/>
          <w:sz w:val="20"/>
          <w:szCs w:val="20"/>
        </w:rPr>
        <w:t>Razviti operativni priručnik za Centar za istraživanje, promociju i obrazovanje za rodnu ravnopravnost sa sistemom finansiranja i izgledima za održivost</w:t>
      </w:r>
    </w:p>
    <w:p w14:paraId="6B0E5C33" w14:textId="77777777" w:rsidR="00047EF8" w:rsidRPr="00F563CD" w:rsidRDefault="00864F83" w:rsidP="00047EF8">
      <w:pPr>
        <w:pStyle w:val="ListParagraph"/>
        <w:numPr>
          <w:ilvl w:val="0"/>
          <w:numId w:val="36"/>
        </w:numPr>
        <w:spacing w:after="0" w:line="240" w:lineRule="auto"/>
        <w:jc w:val="both"/>
        <w:rPr>
          <w:rFonts w:asciiTheme="minorHAnsi" w:hAnsiTheme="minorHAnsi" w:cs="Arial"/>
          <w:sz w:val="20"/>
          <w:szCs w:val="20"/>
        </w:rPr>
      </w:pPr>
      <w:r w:rsidRPr="00F563CD">
        <w:rPr>
          <w:rFonts w:asciiTheme="minorHAnsi" w:hAnsiTheme="minorHAnsi" w:cs="Arial"/>
          <w:sz w:val="20"/>
          <w:szCs w:val="20"/>
        </w:rPr>
        <w:t>Kreirati programsku šemu za Centar za istraživanje, promociju i obrazovanje za rodnu ravnopravnost za pilotiranje i testiranje inovativnih ideja i inicijativa</w:t>
      </w:r>
    </w:p>
    <w:p w14:paraId="20F411B5" w14:textId="77777777" w:rsidR="00047EF8" w:rsidRPr="00F563CD" w:rsidRDefault="00047EF8" w:rsidP="00047EF8">
      <w:pPr>
        <w:spacing w:after="0" w:line="240" w:lineRule="auto"/>
        <w:jc w:val="both"/>
        <w:rPr>
          <w:rFonts w:asciiTheme="minorHAnsi" w:hAnsiTheme="minorHAnsi" w:cs="Arial"/>
          <w:sz w:val="20"/>
          <w:szCs w:val="20"/>
        </w:rPr>
      </w:pPr>
    </w:p>
    <w:p w14:paraId="4E5805EC" w14:textId="77777777" w:rsidR="00047EF8" w:rsidRPr="00F563CD" w:rsidRDefault="00864F83" w:rsidP="00047EF8">
      <w:pPr>
        <w:spacing w:after="0" w:line="240" w:lineRule="auto"/>
        <w:jc w:val="both"/>
        <w:rPr>
          <w:rFonts w:asciiTheme="minorHAnsi" w:hAnsiTheme="minorHAnsi" w:cs="Arial"/>
          <w:sz w:val="20"/>
          <w:szCs w:val="20"/>
          <w:u w:val="single"/>
        </w:rPr>
      </w:pPr>
      <w:r w:rsidRPr="00F563CD">
        <w:rPr>
          <w:rFonts w:asciiTheme="minorHAnsi" w:hAnsiTheme="minorHAnsi" w:cs="Arial"/>
          <w:sz w:val="20"/>
          <w:szCs w:val="20"/>
          <w:u w:val="single"/>
        </w:rPr>
        <w:t>INTEGRACIJA ROMA</w:t>
      </w:r>
    </w:p>
    <w:p w14:paraId="21E81F47" w14:textId="77777777" w:rsidR="00047EF8" w:rsidRPr="00F563CD" w:rsidRDefault="00864F83" w:rsidP="00047EF8">
      <w:pPr>
        <w:pStyle w:val="ListParagraph"/>
        <w:numPr>
          <w:ilvl w:val="0"/>
          <w:numId w:val="97"/>
        </w:numPr>
        <w:spacing w:before="240" w:after="120" w:line="240" w:lineRule="auto"/>
        <w:jc w:val="both"/>
        <w:rPr>
          <w:rFonts w:asciiTheme="minorHAnsi" w:hAnsiTheme="minorHAnsi" w:cs="Arial"/>
          <w:sz w:val="20"/>
          <w:szCs w:val="20"/>
        </w:rPr>
      </w:pPr>
      <w:r w:rsidRPr="00F563CD">
        <w:rPr>
          <w:rFonts w:asciiTheme="minorHAnsi" w:hAnsiTheme="minorHAnsi" w:cs="Arial"/>
          <w:sz w:val="20"/>
          <w:szCs w:val="20"/>
        </w:rPr>
        <w:t>Angažovati projektnog asistenta na dvije godine za nastavu za učenike iz romske zajednice prvog, drugog i trećeg razreda osnovne škole kako bi prevazišli jezičku barijeru;</w:t>
      </w:r>
    </w:p>
    <w:p w14:paraId="6104B9E3" w14:textId="77777777" w:rsidR="00047EF8" w:rsidRPr="00F563CD" w:rsidRDefault="00864F83" w:rsidP="00047EF8">
      <w:pPr>
        <w:pStyle w:val="ListParagraph"/>
        <w:numPr>
          <w:ilvl w:val="0"/>
          <w:numId w:val="97"/>
        </w:numPr>
        <w:spacing w:before="240" w:after="120" w:line="240" w:lineRule="auto"/>
        <w:jc w:val="both"/>
        <w:rPr>
          <w:rFonts w:asciiTheme="minorHAnsi" w:hAnsiTheme="minorHAnsi" w:cs="Arial"/>
          <w:sz w:val="20"/>
          <w:szCs w:val="20"/>
        </w:rPr>
      </w:pPr>
      <w:r w:rsidRPr="00F563CD">
        <w:rPr>
          <w:rFonts w:asciiTheme="minorHAnsi" w:hAnsiTheme="minorHAnsi" w:cs="Arial"/>
          <w:sz w:val="20"/>
          <w:szCs w:val="20"/>
        </w:rPr>
        <w:t>Organizovati profesionalno osposobljavanje odraslih članova romske zajednice sa licenciranom organizacijom za deficitarna zanimanja i njihovo zapošljavanje na projektnoj osnovi na period od šest mjeseci;</w:t>
      </w:r>
    </w:p>
    <w:p w14:paraId="0D5C242B" w14:textId="77777777" w:rsidR="00047EF8" w:rsidRPr="00F563CD" w:rsidRDefault="00864F83" w:rsidP="00047EF8">
      <w:pPr>
        <w:pStyle w:val="ListParagraph"/>
        <w:numPr>
          <w:ilvl w:val="0"/>
          <w:numId w:val="97"/>
        </w:numPr>
        <w:spacing w:before="240" w:after="120" w:line="240" w:lineRule="auto"/>
        <w:jc w:val="both"/>
        <w:rPr>
          <w:rFonts w:asciiTheme="minorHAnsi" w:hAnsiTheme="minorHAnsi" w:cs="Arial"/>
          <w:sz w:val="20"/>
          <w:szCs w:val="20"/>
        </w:rPr>
      </w:pPr>
      <w:r w:rsidRPr="00F563CD">
        <w:rPr>
          <w:rFonts w:asciiTheme="minorHAnsi" w:hAnsiTheme="minorHAnsi" w:cs="Arial"/>
          <w:sz w:val="20"/>
          <w:szCs w:val="20"/>
        </w:rPr>
        <w:t>U saradnji sa lokalnim samoupravama, povezati domaćinstva romske zajednice na mrežu vodosnabdijevanja, izgraditi javne fontane gdje nema zakonskih uslova za pristup vodi iz vodosnabdijevajuće mreže i povezati stambene zgrade na javni kanalizacioni sistem.</w:t>
      </w:r>
    </w:p>
    <w:p w14:paraId="22E42BE9" w14:textId="77777777" w:rsidR="00047EF8" w:rsidRPr="00F563CD" w:rsidRDefault="00047EF8" w:rsidP="00047EF8">
      <w:pPr>
        <w:pStyle w:val="ListParagraph"/>
        <w:spacing w:before="240" w:after="120" w:line="240" w:lineRule="auto"/>
        <w:ind w:left="360"/>
        <w:jc w:val="both"/>
        <w:rPr>
          <w:rFonts w:asciiTheme="minorHAnsi" w:hAnsiTheme="minorHAnsi" w:cs="Arial"/>
          <w:sz w:val="20"/>
          <w:szCs w:val="20"/>
        </w:rPr>
      </w:pPr>
    </w:p>
    <w:p w14:paraId="26755C84" w14:textId="77777777" w:rsidR="00047EF8" w:rsidRPr="00F563CD" w:rsidRDefault="00864F83" w:rsidP="00047EF8">
      <w:pPr>
        <w:spacing w:line="240" w:lineRule="auto"/>
        <w:jc w:val="both"/>
        <w:rPr>
          <w:rFonts w:asciiTheme="minorHAnsi" w:hAnsiTheme="minorHAnsi" w:cs="Arial"/>
          <w:b/>
          <w:sz w:val="20"/>
          <w:szCs w:val="20"/>
        </w:rPr>
      </w:pPr>
      <w:r w:rsidRPr="00F563CD">
        <w:rPr>
          <w:rFonts w:asciiTheme="minorHAnsi" w:hAnsiTheme="minorHAnsi" w:cs="Arial"/>
          <w:b/>
          <w:sz w:val="20"/>
          <w:szCs w:val="20"/>
        </w:rPr>
        <w:t>Promovisanje multikulturalizma kroz podsticanje kulturne kreativnosti</w:t>
      </w:r>
    </w:p>
    <w:p w14:paraId="7F6B09BE" w14:textId="77777777" w:rsidR="00047EF8" w:rsidRPr="00F563CD" w:rsidRDefault="00864F83" w:rsidP="00047EF8">
      <w:pPr>
        <w:spacing w:line="240" w:lineRule="auto"/>
        <w:jc w:val="both"/>
        <w:rPr>
          <w:rFonts w:asciiTheme="minorHAnsi" w:hAnsiTheme="minorHAnsi" w:cs="Arial"/>
          <w:sz w:val="20"/>
          <w:szCs w:val="20"/>
        </w:rPr>
      </w:pPr>
      <w:r w:rsidRPr="00F563CD">
        <w:rPr>
          <w:rFonts w:asciiTheme="minorHAnsi" w:hAnsiTheme="minorHAnsi" w:cs="Arial"/>
          <w:sz w:val="20"/>
          <w:szCs w:val="20"/>
        </w:rPr>
        <w:t>Projektna ideja bi obuhvatala sljedeće aktivnosti:</w:t>
      </w:r>
    </w:p>
    <w:p w14:paraId="4861BD67" w14:textId="77777777" w:rsidR="00047EF8" w:rsidRPr="00F563CD" w:rsidRDefault="00864F83" w:rsidP="00047EF8">
      <w:pPr>
        <w:pStyle w:val="ListParagraph"/>
        <w:numPr>
          <w:ilvl w:val="0"/>
          <w:numId w:val="98"/>
        </w:numPr>
        <w:spacing w:line="240" w:lineRule="auto"/>
        <w:jc w:val="both"/>
        <w:rPr>
          <w:rFonts w:asciiTheme="minorHAnsi" w:hAnsiTheme="minorHAnsi" w:cs="Arial"/>
          <w:sz w:val="20"/>
          <w:szCs w:val="20"/>
        </w:rPr>
      </w:pPr>
      <w:r w:rsidRPr="00F563CD">
        <w:rPr>
          <w:rFonts w:asciiTheme="minorHAnsi" w:hAnsiTheme="minorHAnsi" w:cs="Arial"/>
          <w:sz w:val="20"/>
          <w:szCs w:val="20"/>
        </w:rPr>
        <w:t>Izradu filma ili dokumentarca na temu očuvanja identiteta, razvoja naiconalnih ili etničkih neobičnosti manjinskih naroda i ostalih nacionalnih manjina i njihovih članova u oblasti nacionalnog, kulturnog, jezičkog i vjerskog identiteta;</w:t>
      </w:r>
    </w:p>
    <w:p w14:paraId="68ABEA2A" w14:textId="77777777" w:rsidR="00047EF8" w:rsidRPr="00F563CD" w:rsidRDefault="00864F83" w:rsidP="00047EF8">
      <w:pPr>
        <w:pStyle w:val="ListParagraph"/>
        <w:numPr>
          <w:ilvl w:val="0"/>
          <w:numId w:val="98"/>
        </w:numPr>
        <w:spacing w:line="240" w:lineRule="auto"/>
        <w:jc w:val="both"/>
        <w:rPr>
          <w:rFonts w:asciiTheme="minorHAnsi" w:hAnsiTheme="minorHAnsi" w:cs="Arial"/>
          <w:sz w:val="20"/>
          <w:szCs w:val="20"/>
        </w:rPr>
      </w:pPr>
      <w:r w:rsidRPr="00F563CD">
        <w:rPr>
          <w:rFonts w:asciiTheme="minorHAnsi" w:hAnsiTheme="minorHAnsi" w:cs="Arial"/>
          <w:sz w:val="20"/>
          <w:szCs w:val="20"/>
        </w:rPr>
        <w:t>Kao dio ove aktivnosti, za potrebe izrade filma, tehnička podrška bi bila neophodna da bi se organizovalo takmičenje za najbolji scenario, da se angažuju producent i mladi glumci;</w:t>
      </w:r>
    </w:p>
    <w:p w14:paraId="26432D9E" w14:textId="77777777" w:rsidR="00047EF8" w:rsidRPr="00F563CD" w:rsidRDefault="00864F83" w:rsidP="00047EF8">
      <w:pPr>
        <w:pStyle w:val="ListParagraph"/>
        <w:numPr>
          <w:ilvl w:val="0"/>
          <w:numId w:val="98"/>
        </w:numPr>
        <w:spacing w:line="240" w:lineRule="auto"/>
        <w:jc w:val="both"/>
        <w:rPr>
          <w:rFonts w:asciiTheme="minorHAnsi" w:hAnsiTheme="minorHAnsi" w:cs="Arial"/>
          <w:sz w:val="20"/>
          <w:szCs w:val="20"/>
        </w:rPr>
      </w:pPr>
      <w:r w:rsidRPr="00F563CD">
        <w:rPr>
          <w:rFonts w:asciiTheme="minorHAnsi" w:hAnsiTheme="minorHAnsi" w:cs="Arial"/>
          <w:sz w:val="20"/>
          <w:szCs w:val="20"/>
        </w:rPr>
        <w:t>Promovisati kulturu manjinskih naroda putem produkcije emisija o kulturi manjinskih naroda (dvojezično);</w:t>
      </w:r>
    </w:p>
    <w:p w14:paraId="7A39D080" w14:textId="77777777" w:rsidR="00047EF8" w:rsidRPr="00F563CD" w:rsidRDefault="00864F83" w:rsidP="00047EF8">
      <w:pPr>
        <w:pStyle w:val="ListParagraph"/>
        <w:numPr>
          <w:ilvl w:val="0"/>
          <w:numId w:val="98"/>
        </w:numPr>
        <w:spacing w:line="240" w:lineRule="auto"/>
        <w:jc w:val="both"/>
        <w:rPr>
          <w:rFonts w:asciiTheme="minorHAnsi" w:hAnsiTheme="minorHAnsi" w:cs="Arial"/>
          <w:sz w:val="20"/>
          <w:szCs w:val="20"/>
        </w:rPr>
      </w:pPr>
      <w:r w:rsidRPr="00F563CD">
        <w:rPr>
          <w:rFonts w:asciiTheme="minorHAnsi" w:hAnsiTheme="minorHAnsi" w:cs="Arial"/>
          <w:sz w:val="20"/>
          <w:szCs w:val="20"/>
        </w:rPr>
        <w:t>Srednjeročno istraživanje o nivou diskriminacije lica sa invaliditetom u svim oblastima;</w:t>
      </w:r>
    </w:p>
    <w:p w14:paraId="1700B0FE" w14:textId="77777777" w:rsidR="00047EF8" w:rsidRPr="00F563CD" w:rsidRDefault="00864F83" w:rsidP="00047EF8">
      <w:pPr>
        <w:pStyle w:val="ListParagraph"/>
        <w:numPr>
          <w:ilvl w:val="0"/>
          <w:numId w:val="98"/>
        </w:numPr>
        <w:spacing w:line="240" w:lineRule="auto"/>
        <w:jc w:val="both"/>
        <w:rPr>
          <w:rFonts w:asciiTheme="minorHAnsi" w:hAnsiTheme="minorHAnsi" w:cs="Arial"/>
          <w:sz w:val="20"/>
          <w:szCs w:val="20"/>
        </w:rPr>
      </w:pPr>
      <w:r w:rsidRPr="00F563CD">
        <w:rPr>
          <w:rFonts w:asciiTheme="minorHAnsi" w:hAnsiTheme="minorHAnsi" w:cs="Arial"/>
          <w:sz w:val="20"/>
          <w:szCs w:val="20"/>
        </w:rPr>
        <w:t>Ekspertska podrška za pripremu izvještaja o sprovođenju Akcionog plana za 2022. godinu;</w:t>
      </w:r>
    </w:p>
    <w:p w14:paraId="1092C8BB" w14:textId="77777777" w:rsidR="00047EF8" w:rsidRPr="00F563CD" w:rsidRDefault="00864F83" w:rsidP="00047EF8">
      <w:pPr>
        <w:pStyle w:val="ListParagraph"/>
        <w:numPr>
          <w:ilvl w:val="0"/>
          <w:numId w:val="98"/>
        </w:numPr>
        <w:spacing w:line="240" w:lineRule="auto"/>
        <w:jc w:val="both"/>
        <w:rPr>
          <w:rFonts w:asciiTheme="minorHAnsi" w:hAnsiTheme="minorHAnsi" w:cs="Arial"/>
          <w:sz w:val="20"/>
          <w:szCs w:val="20"/>
        </w:rPr>
      </w:pPr>
      <w:r w:rsidRPr="00F563CD">
        <w:rPr>
          <w:rFonts w:asciiTheme="minorHAnsi" w:hAnsiTheme="minorHAnsi" w:cs="Arial"/>
          <w:sz w:val="20"/>
          <w:szCs w:val="20"/>
        </w:rPr>
        <w:t>Ekspertska podrška u evaluaciji sprovođenja Strategije za unapređenje kvaliteta života LGBTI lica u Crnoj Gori za period 2019-2023, koja će služiti kao osnova za mjerenje postignutog napretka i definisanje ciljeva i mjera nove Strategije;</w:t>
      </w:r>
    </w:p>
    <w:p w14:paraId="6A2B7A35" w14:textId="77777777" w:rsidR="00047EF8" w:rsidRPr="00F563CD" w:rsidRDefault="00864F83" w:rsidP="00047EF8">
      <w:pPr>
        <w:pStyle w:val="ListParagraph"/>
        <w:numPr>
          <w:ilvl w:val="0"/>
          <w:numId w:val="98"/>
        </w:numPr>
        <w:spacing w:line="240" w:lineRule="auto"/>
        <w:jc w:val="both"/>
        <w:rPr>
          <w:rFonts w:asciiTheme="minorHAnsi" w:hAnsiTheme="minorHAnsi" w:cs="Arial"/>
          <w:sz w:val="20"/>
          <w:szCs w:val="20"/>
        </w:rPr>
      </w:pPr>
      <w:r w:rsidRPr="00F563CD">
        <w:rPr>
          <w:rFonts w:asciiTheme="minorHAnsi" w:hAnsiTheme="minorHAnsi" w:cs="Arial"/>
          <w:sz w:val="20"/>
          <w:szCs w:val="20"/>
        </w:rPr>
        <w:t>Unapređenje znanja i ekspertize crnogorskih institucija odgovornih za sprovođenje zakona o legalnom priznavanju pola na osnovu samo-određivanja, razmjene iskustva i uporedne prakse, kao i obrazovanje i medijske kampanje u cilju bolje implementacije.</w:t>
      </w:r>
    </w:p>
    <w:p w14:paraId="20FC4003" w14:textId="77777777" w:rsidR="00047EF8" w:rsidRPr="00F563CD" w:rsidRDefault="00047EF8" w:rsidP="00047EF8">
      <w:pPr>
        <w:rPr>
          <w:rFonts w:asciiTheme="minorHAnsi" w:hAnsiTheme="minorHAnsi"/>
        </w:rPr>
      </w:pPr>
    </w:p>
    <w:p w14:paraId="08307721" w14:textId="77777777" w:rsidR="00047EF8" w:rsidRPr="00F563CD" w:rsidRDefault="00047EF8" w:rsidP="00047EF8">
      <w:pPr>
        <w:pStyle w:val="ListParagraph"/>
        <w:spacing w:line="240" w:lineRule="auto"/>
        <w:ind w:left="360"/>
        <w:jc w:val="both"/>
        <w:rPr>
          <w:rFonts w:asciiTheme="minorHAnsi" w:hAnsiTheme="minorHAnsi" w:cs="Arial"/>
          <w:sz w:val="20"/>
          <w:szCs w:val="20"/>
        </w:rPr>
      </w:pPr>
    </w:p>
    <w:p w14:paraId="4656DDC4" w14:textId="77777777" w:rsidR="00655307" w:rsidRPr="00F563CD" w:rsidRDefault="00655307">
      <w:pPr>
        <w:rPr>
          <w:rFonts w:asciiTheme="minorHAnsi" w:hAnsiTheme="minorHAnsi"/>
        </w:rPr>
      </w:pPr>
    </w:p>
    <w:sectPr w:rsidR="00655307" w:rsidRPr="00F563CD" w:rsidSect="00A239C5">
      <w:headerReference w:type="even" r:id="rId113"/>
      <w:headerReference w:type="default" r:id="rId114"/>
      <w:footerReference w:type="even" r:id="rId115"/>
      <w:footerReference w:type="default" r:id="rId116"/>
      <w:headerReference w:type="first" r:id="rId117"/>
      <w:footerReference w:type="first" r:id="rId118"/>
      <w:pgSz w:w="11906" w:h="16838" w:code="9"/>
      <w:pgMar w:top="992" w:right="709" w:bottom="709" w:left="567"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0AC2" w14:textId="77777777" w:rsidR="001D48BA" w:rsidRDefault="001D48BA" w:rsidP="00047EF8">
      <w:pPr>
        <w:spacing w:after="0" w:line="240" w:lineRule="auto"/>
      </w:pPr>
      <w:r>
        <w:separator/>
      </w:r>
    </w:p>
  </w:endnote>
  <w:endnote w:type="continuationSeparator" w:id="0">
    <w:p w14:paraId="50E2A5FF" w14:textId="77777777" w:rsidR="001D48BA" w:rsidRDefault="001D48BA" w:rsidP="0004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Microsoft YaHei"/>
    <w:panose1 w:val="00000000000000000000"/>
    <w:charset w:val="86"/>
    <w:family w:val="auto"/>
    <w:notTrueType/>
    <w:pitch w:val="default"/>
    <w:sig w:usb0="00000007" w:usb1="080F0000" w:usb2="00000010" w:usb3="00000000" w:csb0="0006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112527"/>
      <w:docPartObj>
        <w:docPartGallery w:val="Page Numbers (Bottom of Page)"/>
        <w:docPartUnique/>
      </w:docPartObj>
    </w:sdtPr>
    <w:sdtEndPr>
      <w:rPr>
        <w:noProof/>
      </w:rPr>
    </w:sdtEndPr>
    <w:sdtContent>
      <w:p w14:paraId="2B6FA570" w14:textId="614C858C" w:rsidR="006712E0" w:rsidRDefault="006712E0" w:rsidP="00A239C5">
        <w:pPr>
          <w:pStyle w:val="Footer"/>
          <w:ind w:right="-260"/>
          <w:jc w:val="right"/>
        </w:pPr>
        <w:r>
          <w:fldChar w:fldCharType="begin"/>
        </w:r>
        <w:r>
          <w:instrText xml:space="preserve"> PAGE   \* MERGEFORMAT </w:instrText>
        </w:r>
        <w:r>
          <w:fldChar w:fldCharType="separate"/>
        </w:r>
        <w:r w:rsidR="00FE2154">
          <w:rPr>
            <w:noProof/>
          </w:rPr>
          <w:t>39</w:t>
        </w:r>
        <w:r>
          <w:rPr>
            <w:noProof/>
          </w:rPr>
          <w:fldChar w:fldCharType="end"/>
        </w:r>
      </w:p>
    </w:sdtContent>
  </w:sdt>
  <w:p w14:paraId="752A71BB" w14:textId="77777777" w:rsidR="006712E0" w:rsidRDefault="006712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F052" w14:textId="77777777" w:rsidR="006712E0" w:rsidRDefault="006712E0">
    <w:pPr>
      <w:pStyle w:val="Footer"/>
    </w:pPr>
  </w:p>
  <w:p w14:paraId="622B5AD2" w14:textId="77777777" w:rsidR="006712E0" w:rsidRDefault="006712E0"/>
  <w:p w14:paraId="34480CBF" w14:textId="77777777" w:rsidR="006712E0" w:rsidRDefault="006712E0"/>
  <w:p w14:paraId="4B1DC8CA" w14:textId="77777777" w:rsidR="006712E0" w:rsidRDefault="006712E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4408454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0D4A1F91" w14:textId="35DD94B9" w:rsidR="006712E0" w:rsidRDefault="006712E0" w:rsidP="00A239C5">
            <w:pPr>
              <w:pStyle w:val="Footer"/>
              <w:tabs>
                <w:tab w:val="left" w:pos="9291"/>
                <w:tab w:val="right" w:pos="10466"/>
              </w:tabs>
              <w:rPr>
                <w:b/>
                <w:bCs/>
                <w:sz w:val="20"/>
                <w:szCs w:val="20"/>
              </w:rPr>
            </w:pPr>
            <w:r>
              <w:rPr>
                <w:sz w:val="20"/>
                <w:szCs w:val="20"/>
              </w:rPr>
              <w:tab/>
            </w:r>
            <w:r>
              <w:rPr>
                <w:sz w:val="20"/>
                <w:szCs w:val="20"/>
              </w:rPr>
              <w:tab/>
            </w:r>
            <w:r>
              <w:rPr>
                <w:sz w:val="20"/>
                <w:szCs w:val="20"/>
              </w:rPr>
              <w:tab/>
            </w:r>
            <w:r>
              <w:rPr>
                <w:sz w:val="20"/>
                <w:szCs w:val="20"/>
              </w:rPr>
              <w:tab/>
              <w:t>Strana</w:t>
            </w:r>
            <w:r w:rsidRPr="006F28CF">
              <w:rPr>
                <w:sz w:val="20"/>
                <w:szCs w:val="20"/>
              </w:rPr>
              <w:t xml:space="preserve"> </w:t>
            </w:r>
            <w:r w:rsidRPr="006F28CF">
              <w:rPr>
                <w:b/>
                <w:bCs/>
                <w:sz w:val="20"/>
                <w:szCs w:val="20"/>
              </w:rPr>
              <w:fldChar w:fldCharType="begin"/>
            </w:r>
            <w:r w:rsidRPr="006F28CF">
              <w:rPr>
                <w:b/>
                <w:bCs/>
                <w:sz w:val="20"/>
                <w:szCs w:val="20"/>
              </w:rPr>
              <w:instrText xml:space="preserve"> PAGE </w:instrText>
            </w:r>
            <w:r w:rsidRPr="006F28CF">
              <w:rPr>
                <w:b/>
                <w:bCs/>
                <w:sz w:val="20"/>
                <w:szCs w:val="20"/>
              </w:rPr>
              <w:fldChar w:fldCharType="separate"/>
            </w:r>
            <w:r w:rsidR="00FE2154">
              <w:rPr>
                <w:b/>
                <w:bCs/>
                <w:noProof/>
                <w:sz w:val="20"/>
                <w:szCs w:val="20"/>
              </w:rPr>
              <w:t>126</w:t>
            </w:r>
            <w:r w:rsidRPr="006F28CF">
              <w:rPr>
                <w:b/>
                <w:bCs/>
                <w:sz w:val="20"/>
                <w:szCs w:val="20"/>
              </w:rPr>
              <w:fldChar w:fldCharType="end"/>
            </w:r>
            <w:r>
              <w:rPr>
                <w:sz w:val="20"/>
                <w:szCs w:val="20"/>
              </w:rPr>
              <w:t xml:space="preserve"> od</w:t>
            </w:r>
            <w:r w:rsidRPr="006F28CF">
              <w:rPr>
                <w:sz w:val="20"/>
                <w:szCs w:val="20"/>
              </w:rPr>
              <w:t xml:space="preserve"> </w:t>
            </w:r>
            <w:r w:rsidRPr="006F28CF">
              <w:rPr>
                <w:b/>
                <w:bCs/>
                <w:sz w:val="20"/>
                <w:szCs w:val="20"/>
              </w:rPr>
              <w:fldChar w:fldCharType="begin"/>
            </w:r>
            <w:r w:rsidRPr="006F28CF">
              <w:rPr>
                <w:b/>
                <w:bCs/>
                <w:sz w:val="20"/>
                <w:szCs w:val="20"/>
              </w:rPr>
              <w:instrText xml:space="preserve"> NUMPAGES  </w:instrText>
            </w:r>
            <w:r w:rsidRPr="006F28CF">
              <w:rPr>
                <w:b/>
                <w:bCs/>
                <w:sz w:val="20"/>
                <w:szCs w:val="20"/>
              </w:rPr>
              <w:fldChar w:fldCharType="separate"/>
            </w:r>
            <w:r w:rsidR="00FE2154">
              <w:rPr>
                <w:b/>
                <w:bCs/>
                <w:noProof/>
                <w:sz w:val="20"/>
                <w:szCs w:val="20"/>
              </w:rPr>
              <w:t>129</w:t>
            </w:r>
            <w:r w:rsidRPr="006F28CF">
              <w:rPr>
                <w:b/>
                <w:bCs/>
                <w:sz w:val="20"/>
                <w:szCs w:val="20"/>
              </w:rPr>
              <w:fldChar w:fldCharType="end"/>
            </w:r>
          </w:p>
          <w:p w14:paraId="6FA9B412" w14:textId="77777777" w:rsidR="006712E0" w:rsidRPr="004E7B0D" w:rsidRDefault="001D48BA" w:rsidP="00A239C5">
            <w:pPr>
              <w:pStyle w:val="Footer"/>
              <w:tabs>
                <w:tab w:val="left" w:pos="9291"/>
                <w:tab w:val="right" w:pos="10466"/>
              </w:tabs>
              <w:spacing w:before="0"/>
              <w:ind w:left="-851" w:right="-851"/>
              <w:rPr>
                <w:sz w:val="20"/>
                <w:szCs w:val="20"/>
              </w:rPr>
            </w:pPr>
          </w:p>
        </w:sdtContent>
      </w:sdt>
    </w:sdtContent>
  </w:sdt>
  <w:p w14:paraId="5C6E11CB" w14:textId="77777777" w:rsidR="006712E0" w:rsidRDefault="006712E0"/>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1BBD" w14:textId="77777777" w:rsidR="006712E0" w:rsidRDefault="006712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B9610" w14:textId="77777777" w:rsidR="001D48BA" w:rsidRDefault="001D48BA" w:rsidP="00047EF8">
      <w:pPr>
        <w:spacing w:after="0" w:line="240" w:lineRule="auto"/>
      </w:pPr>
      <w:r>
        <w:separator/>
      </w:r>
    </w:p>
  </w:footnote>
  <w:footnote w:type="continuationSeparator" w:id="0">
    <w:p w14:paraId="049200E2" w14:textId="77777777" w:rsidR="001D48BA" w:rsidRDefault="001D48BA" w:rsidP="00047EF8">
      <w:pPr>
        <w:spacing w:after="0" w:line="240" w:lineRule="auto"/>
      </w:pPr>
      <w:r>
        <w:continuationSeparator/>
      </w:r>
    </w:p>
  </w:footnote>
  <w:footnote w:id="1">
    <w:p w14:paraId="6343C458" w14:textId="77777777" w:rsidR="006712E0" w:rsidRPr="006917F3" w:rsidRDefault="006712E0" w:rsidP="0086044A">
      <w:pPr>
        <w:pStyle w:val="FootnoteText"/>
      </w:pPr>
      <w:r>
        <w:rPr>
          <w:rStyle w:val="FootnoteReference"/>
        </w:rPr>
        <w:footnoteRef/>
      </w:r>
      <w:r>
        <w:t xml:space="preserve"> </w:t>
      </w:r>
      <w:r w:rsidRPr="006F7E9D">
        <w:rPr>
          <w:sz w:val="16"/>
          <w:szCs w:val="16"/>
        </w:rPr>
        <w:t>Online Service Index - OSI, E-Participation Index, Global Open Data Index</w:t>
      </w:r>
    </w:p>
  </w:footnote>
  <w:footnote w:id="2">
    <w:p w14:paraId="39D042FB" w14:textId="77777777" w:rsidR="006712E0" w:rsidRPr="00FC0993" w:rsidRDefault="006712E0" w:rsidP="00FE2154">
      <w:pPr>
        <w:pStyle w:val="FootnoteText"/>
        <w:rPr>
          <w:sz w:val="16"/>
          <w:szCs w:val="16"/>
        </w:rPr>
      </w:pPr>
      <w:r>
        <w:rPr>
          <w:rStyle w:val="FootnoteReference"/>
        </w:rPr>
        <w:footnoteRef/>
      </w:r>
      <w:r w:rsidRPr="00FC0993">
        <w:t xml:space="preserve"> </w:t>
      </w:r>
      <w:r>
        <w:t xml:space="preserve">            </w:t>
      </w:r>
      <w:r>
        <w:rPr>
          <w:sz w:val="16"/>
          <w:szCs w:val="16"/>
        </w:rPr>
        <w:t xml:space="preserve"> Operativni ciljevi </w:t>
      </w:r>
      <w:r w:rsidRPr="00FC0993">
        <w:rPr>
          <w:sz w:val="16"/>
          <w:szCs w:val="16"/>
        </w:rPr>
        <w:t xml:space="preserve">Strategije: uspostavljanje kontinuiranog dijaloga sa korisnicima podataka </w:t>
      </w:r>
      <w:r>
        <w:rPr>
          <w:sz w:val="16"/>
          <w:szCs w:val="16"/>
        </w:rPr>
        <w:t>i razvoj partnerstava; edukacija</w:t>
      </w:r>
      <w:r w:rsidRPr="00FC0993">
        <w:rPr>
          <w:sz w:val="16"/>
          <w:szCs w:val="16"/>
        </w:rPr>
        <w:t xml:space="preserve"> stati</w:t>
      </w:r>
      <w:r>
        <w:rPr>
          <w:sz w:val="16"/>
          <w:szCs w:val="16"/>
        </w:rPr>
        <w:t xml:space="preserve">stičara kao naučnika koji rade sa </w:t>
      </w:r>
      <w:r w:rsidRPr="00FC0993">
        <w:rPr>
          <w:sz w:val="16"/>
          <w:szCs w:val="16"/>
        </w:rPr>
        <w:t>podacima</w:t>
      </w:r>
      <w:r>
        <w:rPr>
          <w:sz w:val="16"/>
          <w:szCs w:val="16"/>
        </w:rPr>
        <w:t>; dalje usklađivanje i inovacija</w:t>
      </w:r>
      <w:r w:rsidRPr="00FC0993">
        <w:rPr>
          <w:sz w:val="16"/>
          <w:szCs w:val="16"/>
        </w:rPr>
        <w:t xml:space="preserve"> zvanične statistike sa međunarodnim standardima/preporukama; kreiranje novi</w:t>
      </w:r>
      <w:r>
        <w:rPr>
          <w:sz w:val="16"/>
          <w:szCs w:val="16"/>
        </w:rPr>
        <w:t>h izvora podataka za izradu  zvanične statistike; dalja</w:t>
      </w:r>
      <w:r w:rsidRPr="00FC0993">
        <w:rPr>
          <w:sz w:val="16"/>
          <w:szCs w:val="16"/>
        </w:rPr>
        <w:t xml:space="preserve"> prim</w:t>
      </w:r>
      <w:r>
        <w:rPr>
          <w:sz w:val="16"/>
          <w:szCs w:val="16"/>
        </w:rPr>
        <w:t>jenu Kodeksa kvaliteta zvanične statistike</w:t>
      </w:r>
      <w:r w:rsidRPr="00FC0993">
        <w:rPr>
          <w:sz w:val="16"/>
          <w:szCs w:val="16"/>
        </w:rPr>
        <w:t>; razvoj IT integrisanog sistema za prikupljanje, obradu, objavljivanje i dokumentovanje rezultata zvanične statistike; razvo</w:t>
      </w:r>
      <w:r>
        <w:rPr>
          <w:sz w:val="16"/>
          <w:szCs w:val="16"/>
        </w:rPr>
        <w:t>j diseminacije</w:t>
      </w:r>
      <w:r w:rsidRPr="00FC0993">
        <w:rPr>
          <w:sz w:val="16"/>
          <w:szCs w:val="16"/>
        </w:rPr>
        <w:t xml:space="preserve"> i komunikacije podataka u skladu sa potrebama digitalnog društva</w:t>
      </w:r>
    </w:p>
  </w:footnote>
  <w:footnote w:id="3">
    <w:p w14:paraId="05A656F4" w14:textId="77777777" w:rsidR="006712E0" w:rsidRPr="006E6249" w:rsidRDefault="006712E0" w:rsidP="0086044A">
      <w:pPr>
        <w:pStyle w:val="FootnoteText"/>
      </w:pPr>
      <w:r>
        <w:rPr>
          <w:rStyle w:val="FootnoteReference"/>
        </w:rPr>
        <w:footnoteRef/>
      </w:r>
      <w:r w:rsidRPr="006E6249">
        <w:t xml:space="preserve"> </w:t>
      </w:r>
      <w:r w:rsidRPr="001637C3">
        <w:rPr>
          <w:rStyle w:val="Hyperlink"/>
          <w:sz w:val="14"/>
          <w:szCs w:val="14"/>
        </w:rPr>
        <w:t>https</w:t>
      </w:r>
      <w:r w:rsidRPr="006E6249">
        <w:rPr>
          <w:rStyle w:val="Hyperlink"/>
          <w:sz w:val="14"/>
          <w:szCs w:val="14"/>
        </w:rPr>
        <w:t>://</w:t>
      </w:r>
      <w:r w:rsidRPr="001637C3">
        <w:rPr>
          <w:rStyle w:val="Hyperlink"/>
          <w:sz w:val="14"/>
          <w:szCs w:val="14"/>
        </w:rPr>
        <w:t>www</w:t>
      </w:r>
      <w:r w:rsidRPr="006E6249">
        <w:rPr>
          <w:rStyle w:val="Hyperlink"/>
          <w:sz w:val="14"/>
          <w:szCs w:val="14"/>
        </w:rPr>
        <w:t>.</w:t>
      </w:r>
      <w:r w:rsidRPr="001637C3">
        <w:rPr>
          <w:rStyle w:val="Hyperlink"/>
          <w:sz w:val="14"/>
          <w:szCs w:val="14"/>
        </w:rPr>
        <w:t>eu</w:t>
      </w:r>
      <w:r w:rsidRPr="006E6249">
        <w:rPr>
          <w:rStyle w:val="Hyperlink"/>
          <w:sz w:val="14"/>
          <w:szCs w:val="14"/>
        </w:rPr>
        <w:t>.</w:t>
      </w:r>
      <w:r w:rsidRPr="001637C3">
        <w:rPr>
          <w:rStyle w:val="Hyperlink"/>
          <w:sz w:val="14"/>
          <w:szCs w:val="14"/>
        </w:rPr>
        <w:t>me</w:t>
      </w:r>
      <w:r w:rsidRPr="006E6249">
        <w:rPr>
          <w:rStyle w:val="Hyperlink"/>
          <w:sz w:val="14"/>
          <w:szCs w:val="14"/>
        </w:rPr>
        <w:t>/</w:t>
      </w:r>
      <w:r w:rsidRPr="001637C3">
        <w:rPr>
          <w:rStyle w:val="Hyperlink"/>
          <w:sz w:val="14"/>
          <w:szCs w:val="14"/>
        </w:rPr>
        <w:t>biblioteka</w:t>
      </w:r>
      <w:r w:rsidRPr="006E6249">
        <w:rPr>
          <w:rStyle w:val="Hyperlink"/>
          <w:sz w:val="14"/>
          <w:szCs w:val="14"/>
        </w:rPr>
        <w:t>/#1585-1685-</w:t>
      </w:r>
      <w:r w:rsidRPr="001637C3">
        <w:rPr>
          <w:rStyle w:val="Hyperlink"/>
          <w:sz w:val="14"/>
          <w:szCs w:val="14"/>
        </w:rPr>
        <w:t>strategije</w:t>
      </w:r>
      <w:r w:rsidRPr="006E6249">
        <w:rPr>
          <w:rStyle w:val="Hyperlink"/>
          <w:sz w:val="14"/>
          <w:szCs w:val="14"/>
        </w:rPr>
        <w:t>-</w:t>
      </w:r>
      <w:r w:rsidRPr="001637C3">
        <w:rPr>
          <w:rStyle w:val="Hyperlink"/>
          <w:sz w:val="14"/>
          <w:szCs w:val="14"/>
        </w:rPr>
        <w:t>informisanja</w:t>
      </w:r>
      <w:r w:rsidRPr="006E6249">
        <w:rPr>
          <w:rStyle w:val="Hyperlink"/>
          <w:sz w:val="14"/>
          <w:szCs w:val="14"/>
        </w:rPr>
        <w:t>-</w:t>
      </w:r>
      <w:r w:rsidRPr="001637C3">
        <w:rPr>
          <w:rStyle w:val="Hyperlink"/>
          <w:sz w:val="14"/>
          <w:szCs w:val="14"/>
        </w:rPr>
        <w:t>javnosti</w:t>
      </w:r>
      <w:r w:rsidRPr="006E6249">
        <w:rPr>
          <w:rStyle w:val="Hyperlink"/>
          <w:sz w:val="14"/>
          <w:szCs w:val="14"/>
        </w:rPr>
        <w:t>-</w:t>
      </w:r>
      <w:r w:rsidRPr="001637C3">
        <w:rPr>
          <w:rStyle w:val="Hyperlink"/>
          <w:sz w:val="14"/>
          <w:szCs w:val="14"/>
        </w:rPr>
        <w:t>o</w:t>
      </w:r>
      <w:r w:rsidRPr="006E6249">
        <w:rPr>
          <w:rStyle w:val="Hyperlink"/>
          <w:sz w:val="14"/>
          <w:szCs w:val="14"/>
        </w:rPr>
        <w:t>-</w:t>
      </w:r>
      <w:r w:rsidRPr="001637C3">
        <w:rPr>
          <w:rStyle w:val="Hyperlink"/>
          <w:sz w:val="14"/>
          <w:szCs w:val="14"/>
        </w:rPr>
        <w:t>pristupanju</w:t>
      </w:r>
      <w:r w:rsidRPr="006E6249">
        <w:rPr>
          <w:rStyle w:val="Hyperlink"/>
          <w:sz w:val="14"/>
          <w:szCs w:val="14"/>
        </w:rPr>
        <w:t>-</w:t>
      </w:r>
      <w:r w:rsidRPr="001637C3">
        <w:rPr>
          <w:rStyle w:val="Hyperlink"/>
          <w:sz w:val="14"/>
          <w:szCs w:val="14"/>
        </w:rPr>
        <w:t>crne</w:t>
      </w:r>
      <w:r w:rsidRPr="006E6249">
        <w:rPr>
          <w:rStyle w:val="Hyperlink"/>
          <w:sz w:val="14"/>
          <w:szCs w:val="14"/>
        </w:rPr>
        <w:t>-</w:t>
      </w:r>
      <w:r w:rsidRPr="001637C3">
        <w:rPr>
          <w:rStyle w:val="Hyperlink"/>
          <w:sz w:val="14"/>
          <w:szCs w:val="14"/>
        </w:rPr>
        <w:t>gore</w:t>
      </w:r>
      <w:r w:rsidRPr="006E6249">
        <w:rPr>
          <w:rStyle w:val="Hyperlink"/>
          <w:sz w:val="14"/>
          <w:szCs w:val="14"/>
        </w:rPr>
        <w:t>-</w:t>
      </w:r>
      <w:r w:rsidRPr="001637C3">
        <w:rPr>
          <w:rStyle w:val="Hyperlink"/>
          <w:sz w:val="14"/>
          <w:szCs w:val="14"/>
        </w:rPr>
        <w:t>evropskoj</w:t>
      </w:r>
      <w:r w:rsidRPr="006E6249">
        <w:rPr>
          <w:rStyle w:val="Hyperlink"/>
          <w:sz w:val="14"/>
          <w:szCs w:val="14"/>
        </w:rPr>
        <w:t>-</w:t>
      </w:r>
      <w:r w:rsidRPr="001637C3">
        <w:rPr>
          <w:rStyle w:val="Hyperlink"/>
          <w:sz w:val="14"/>
          <w:szCs w:val="14"/>
        </w:rPr>
        <w:t>uniji</w:t>
      </w:r>
    </w:p>
  </w:footnote>
  <w:footnote w:id="4">
    <w:p w14:paraId="596271DB" w14:textId="77777777" w:rsidR="006712E0" w:rsidRPr="008F3D6F" w:rsidRDefault="006712E0" w:rsidP="0086044A">
      <w:pPr>
        <w:pStyle w:val="FootnoteText"/>
        <w:rPr>
          <w:sz w:val="14"/>
          <w:szCs w:val="14"/>
        </w:rPr>
      </w:pPr>
      <w:r>
        <w:rPr>
          <w:rStyle w:val="FootnoteReference"/>
        </w:rPr>
        <w:footnoteRef/>
      </w:r>
      <w:r w:rsidRPr="008F3D6F">
        <w:t xml:space="preserve"> </w:t>
      </w:r>
      <w:hyperlink r:id="rId1" w:history="1">
        <w:r w:rsidRPr="002951B9">
          <w:rPr>
            <w:rStyle w:val="Hyperlink"/>
            <w:sz w:val="14"/>
            <w:szCs w:val="14"/>
          </w:rPr>
          <w:t>https</w:t>
        </w:r>
        <w:r w:rsidRPr="008F3D6F">
          <w:rPr>
            <w:rStyle w:val="Hyperlink"/>
            <w:sz w:val="14"/>
            <w:szCs w:val="14"/>
          </w:rPr>
          <w:t>://</w:t>
        </w:r>
        <w:r w:rsidRPr="002951B9">
          <w:rPr>
            <w:rStyle w:val="Hyperlink"/>
            <w:sz w:val="14"/>
            <w:szCs w:val="14"/>
          </w:rPr>
          <w:t>ec</w:t>
        </w:r>
        <w:r w:rsidRPr="008F3D6F">
          <w:rPr>
            <w:rStyle w:val="Hyperlink"/>
            <w:sz w:val="14"/>
            <w:szCs w:val="14"/>
          </w:rPr>
          <w:t>.</w:t>
        </w:r>
        <w:r w:rsidRPr="002951B9">
          <w:rPr>
            <w:rStyle w:val="Hyperlink"/>
            <w:sz w:val="14"/>
            <w:szCs w:val="14"/>
          </w:rPr>
          <w:t>europa</w:t>
        </w:r>
        <w:r w:rsidRPr="008F3D6F">
          <w:rPr>
            <w:rStyle w:val="Hyperlink"/>
            <w:sz w:val="14"/>
            <w:szCs w:val="14"/>
          </w:rPr>
          <w:t>.</w:t>
        </w:r>
        <w:r w:rsidRPr="002951B9">
          <w:rPr>
            <w:rStyle w:val="Hyperlink"/>
            <w:sz w:val="14"/>
            <w:szCs w:val="14"/>
          </w:rPr>
          <w:t>eu</w:t>
        </w:r>
        <w:r w:rsidRPr="008F3D6F">
          <w:rPr>
            <w:rStyle w:val="Hyperlink"/>
            <w:sz w:val="14"/>
            <w:szCs w:val="14"/>
          </w:rPr>
          <w:t>/</w:t>
        </w:r>
        <w:r w:rsidRPr="002951B9">
          <w:rPr>
            <w:rStyle w:val="Hyperlink"/>
            <w:sz w:val="14"/>
            <w:szCs w:val="14"/>
          </w:rPr>
          <w:t>neighbourhood</w:t>
        </w:r>
        <w:r w:rsidRPr="008F3D6F">
          <w:rPr>
            <w:rStyle w:val="Hyperlink"/>
            <w:sz w:val="14"/>
            <w:szCs w:val="14"/>
          </w:rPr>
          <w:t>-</w:t>
        </w:r>
        <w:r w:rsidRPr="002951B9">
          <w:rPr>
            <w:rStyle w:val="Hyperlink"/>
            <w:sz w:val="14"/>
            <w:szCs w:val="14"/>
          </w:rPr>
          <w:t>enlargement</w:t>
        </w:r>
        <w:r w:rsidRPr="008F3D6F">
          <w:rPr>
            <w:rStyle w:val="Hyperlink"/>
            <w:sz w:val="14"/>
            <w:szCs w:val="14"/>
          </w:rPr>
          <w:t>/</w:t>
        </w:r>
        <w:r w:rsidRPr="002951B9">
          <w:rPr>
            <w:rStyle w:val="Hyperlink"/>
            <w:sz w:val="14"/>
            <w:szCs w:val="14"/>
          </w:rPr>
          <w:t>sites</w:t>
        </w:r>
        <w:r w:rsidRPr="008F3D6F">
          <w:rPr>
            <w:rStyle w:val="Hyperlink"/>
            <w:sz w:val="14"/>
            <w:szCs w:val="14"/>
          </w:rPr>
          <w:t>/</w:t>
        </w:r>
        <w:r w:rsidRPr="002951B9">
          <w:rPr>
            <w:rStyle w:val="Hyperlink"/>
            <w:sz w:val="14"/>
            <w:szCs w:val="14"/>
          </w:rPr>
          <w:t>near</w:t>
        </w:r>
        <w:r w:rsidRPr="008F3D6F">
          <w:rPr>
            <w:rStyle w:val="Hyperlink"/>
            <w:sz w:val="14"/>
            <w:szCs w:val="14"/>
          </w:rPr>
          <w:t>/</w:t>
        </w:r>
        <w:r w:rsidRPr="002951B9">
          <w:rPr>
            <w:rStyle w:val="Hyperlink"/>
            <w:sz w:val="14"/>
            <w:szCs w:val="14"/>
          </w:rPr>
          <w:t>files</w:t>
        </w:r>
        <w:r w:rsidRPr="008F3D6F">
          <w:rPr>
            <w:rStyle w:val="Hyperlink"/>
            <w:sz w:val="14"/>
            <w:szCs w:val="14"/>
          </w:rPr>
          <w:t>/</w:t>
        </w:r>
        <w:r w:rsidRPr="002951B9">
          <w:rPr>
            <w:rStyle w:val="Hyperlink"/>
            <w:sz w:val="14"/>
            <w:szCs w:val="14"/>
          </w:rPr>
          <w:t>communication</w:t>
        </w:r>
        <w:r w:rsidRPr="008F3D6F">
          <w:rPr>
            <w:rStyle w:val="Hyperlink"/>
            <w:sz w:val="14"/>
            <w:szCs w:val="14"/>
          </w:rPr>
          <w:t>_</w:t>
        </w:r>
        <w:r w:rsidRPr="002951B9">
          <w:rPr>
            <w:rStyle w:val="Hyperlink"/>
            <w:sz w:val="14"/>
            <w:szCs w:val="14"/>
          </w:rPr>
          <w:t>on</w:t>
        </w:r>
        <w:r w:rsidRPr="008F3D6F">
          <w:rPr>
            <w:rStyle w:val="Hyperlink"/>
            <w:sz w:val="14"/>
            <w:szCs w:val="14"/>
          </w:rPr>
          <w:t>_</w:t>
        </w:r>
        <w:r w:rsidRPr="002951B9">
          <w:rPr>
            <w:rStyle w:val="Hyperlink"/>
            <w:sz w:val="14"/>
            <w:szCs w:val="14"/>
          </w:rPr>
          <w:t>wb</w:t>
        </w:r>
        <w:r w:rsidRPr="008F3D6F">
          <w:rPr>
            <w:rStyle w:val="Hyperlink"/>
            <w:sz w:val="14"/>
            <w:szCs w:val="14"/>
          </w:rPr>
          <w:t>_</w:t>
        </w:r>
        <w:r w:rsidRPr="002951B9">
          <w:rPr>
            <w:rStyle w:val="Hyperlink"/>
            <w:sz w:val="14"/>
            <w:szCs w:val="14"/>
          </w:rPr>
          <w:t>economic</w:t>
        </w:r>
        <w:r w:rsidRPr="008F3D6F">
          <w:rPr>
            <w:rStyle w:val="Hyperlink"/>
            <w:sz w:val="14"/>
            <w:szCs w:val="14"/>
          </w:rPr>
          <w:t>_</w:t>
        </w:r>
        <w:r w:rsidRPr="002951B9">
          <w:rPr>
            <w:rStyle w:val="Hyperlink"/>
            <w:sz w:val="14"/>
            <w:szCs w:val="14"/>
          </w:rPr>
          <w:t>and</w:t>
        </w:r>
        <w:r w:rsidRPr="008F3D6F">
          <w:rPr>
            <w:rStyle w:val="Hyperlink"/>
            <w:sz w:val="14"/>
            <w:szCs w:val="14"/>
          </w:rPr>
          <w:t>_</w:t>
        </w:r>
        <w:r w:rsidRPr="002951B9">
          <w:rPr>
            <w:rStyle w:val="Hyperlink"/>
            <w:sz w:val="14"/>
            <w:szCs w:val="14"/>
          </w:rPr>
          <w:t>investment</w:t>
        </w:r>
        <w:r w:rsidRPr="008F3D6F">
          <w:rPr>
            <w:rStyle w:val="Hyperlink"/>
            <w:sz w:val="14"/>
            <w:szCs w:val="14"/>
          </w:rPr>
          <w:t>_</w:t>
        </w:r>
        <w:r w:rsidRPr="002951B9">
          <w:rPr>
            <w:rStyle w:val="Hyperlink"/>
            <w:sz w:val="14"/>
            <w:szCs w:val="14"/>
          </w:rPr>
          <w:t>plan</w:t>
        </w:r>
        <w:r w:rsidRPr="008F3D6F">
          <w:rPr>
            <w:rStyle w:val="Hyperlink"/>
            <w:sz w:val="14"/>
            <w:szCs w:val="14"/>
          </w:rPr>
          <w:t>_</w:t>
        </w:r>
        <w:r w:rsidRPr="002951B9">
          <w:rPr>
            <w:rStyle w:val="Hyperlink"/>
            <w:sz w:val="14"/>
            <w:szCs w:val="14"/>
          </w:rPr>
          <w:t>october</w:t>
        </w:r>
        <w:r w:rsidRPr="008F3D6F">
          <w:rPr>
            <w:rStyle w:val="Hyperlink"/>
            <w:sz w:val="14"/>
            <w:szCs w:val="14"/>
          </w:rPr>
          <w:t>_2020_</w:t>
        </w:r>
        <w:r w:rsidRPr="002951B9">
          <w:rPr>
            <w:rStyle w:val="Hyperlink"/>
            <w:sz w:val="14"/>
            <w:szCs w:val="14"/>
          </w:rPr>
          <w:t>en</w:t>
        </w:r>
        <w:r w:rsidRPr="008F3D6F">
          <w:rPr>
            <w:rStyle w:val="Hyperlink"/>
            <w:sz w:val="14"/>
            <w:szCs w:val="14"/>
          </w:rPr>
          <w:t>.</w:t>
        </w:r>
        <w:r w:rsidRPr="002951B9">
          <w:rPr>
            <w:rStyle w:val="Hyperlink"/>
            <w:sz w:val="14"/>
            <w:szCs w:val="14"/>
          </w:rPr>
          <w:t>pdf</w:t>
        </w:r>
      </w:hyperlink>
    </w:p>
    <w:p w14:paraId="30B6C6A3" w14:textId="77777777" w:rsidR="006712E0" w:rsidRPr="008F3D6F" w:rsidRDefault="006712E0" w:rsidP="0086044A">
      <w:pPr>
        <w:pStyle w:val="FootnoteText"/>
      </w:pPr>
    </w:p>
  </w:footnote>
  <w:footnote w:id="5">
    <w:p w14:paraId="6EEF1A27" w14:textId="77777777" w:rsidR="006712E0" w:rsidRPr="00DD33B9" w:rsidRDefault="006712E0" w:rsidP="0086044A">
      <w:pPr>
        <w:pStyle w:val="FootnoteText"/>
        <w:ind w:left="0" w:firstLine="0"/>
      </w:pPr>
      <w:r w:rsidRPr="002951B9">
        <w:rPr>
          <w:rStyle w:val="FootnoteReference"/>
          <w:sz w:val="14"/>
          <w:szCs w:val="14"/>
        </w:rPr>
        <w:footnoteRef/>
      </w:r>
      <w:hyperlink r:id="rId2" w:history="1">
        <w:r w:rsidRPr="002951B9">
          <w:rPr>
            <w:rStyle w:val="Hyperlink"/>
            <w:sz w:val="14"/>
            <w:szCs w:val="14"/>
          </w:rPr>
          <w:t>https://eur-lex.europa.eu/legal-content/EN/TXT/PDF/?uri=CELEX:52010DC0245&amp;from=en</w:t>
        </w:r>
      </w:hyperlink>
    </w:p>
  </w:footnote>
  <w:footnote w:id="6">
    <w:p w14:paraId="65CB3A2F" w14:textId="77777777" w:rsidR="006712E0" w:rsidRPr="00DD33B9" w:rsidRDefault="006712E0" w:rsidP="0086044A">
      <w:pPr>
        <w:pStyle w:val="FootnoteText"/>
        <w:ind w:left="0" w:firstLine="0"/>
      </w:pPr>
      <w:r w:rsidRPr="002951B9">
        <w:rPr>
          <w:rStyle w:val="FootnoteReference"/>
          <w:sz w:val="14"/>
          <w:szCs w:val="14"/>
        </w:rPr>
        <w:footnoteRef/>
      </w:r>
      <w:hyperlink r:id="rId3" w:history="1">
        <w:r w:rsidRPr="002951B9">
          <w:rPr>
            <w:rStyle w:val="Hyperlink"/>
            <w:sz w:val="14"/>
            <w:szCs w:val="14"/>
          </w:rPr>
          <w:t>https</w:t>
        </w:r>
        <w:r w:rsidRPr="00DD33B9">
          <w:rPr>
            <w:rStyle w:val="Hyperlink"/>
            <w:sz w:val="14"/>
            <w:szCs w:val="14"/>
          </w:rPr>
          <w:t>://</w:t>
        </w:r>
        <w:r w:rsidRPr="002951B9">
          <w:rPr>
            <w:rStyle w:val="Hyperlink"/>
            <w:sz w:val="14"/>
            <w:szCs w:val="14"/>
          </w:rPr>
          <w:t>eur</w:t>
        </w:r>
        <w:r w:rsidRPr="00DD33B9">
          <w:rPr>
            <w:rStyle w:val="Hyperlink"/>
            <w:sz w:val="14"/>
            <w:szCs w:val="14"/>
          </w:rPr>
          <w:t>-</w:t>
        </w:r>
        <w:r w:rsidRPr="002951B9">
          <w:rPr>
            <w:rStyle w:val="Hyperlink"/>
            <w:sz w:val="14"/>
            <w:szCs w:val="14"/>
          </w:rPr>
          <w:t>lex</w:t>
        </w:r>
        <w:r w:rsidRPr="00DD33B9">
          <w:rPr>
            <w:rStyle w:val="Hyperlink"/>
            <w:sz w:val="14"/>
            <w:szCs w:val="14"/>
          </w:rPr>
          <w:t>.</w:t>
        </w:r>
        <w:r w:rsidRPr="002951B9">
          <w:rPr>
            <w:rStyle w:val="Hyperlink"/>
            <w:sz w:val="14"/>
            <w:szCs w:val="14"/>
          </w:rPr>
          <w:t>europa</w:t>
        </w:r>
        <w:r w:rsidRPr="00DD33B9">
          <w:rPr>
            <w:rStyle w:val="Hyperlink"/>
            <w:sz w:val="14"/>
            <w:szCs w:val="14"/>
          </w:rPr>
          <w:t>.</w:t>
        </w:r>
        <w:r w:rsidRPr="002951B9">
          <w:rPr>
            <w:rStyle w:val="Hyperlink"/>
            <w:sz w:val="14"/>
            <w:szCs w:val="14"/>
          </w:rPr>
          <w:t>eu</w:t>
        </w:r>
        <w:r w:rsidRPr="00DD33B9">
          <w:rPr>
            <w:rStyle w:val="Hyperlink"/>
            <w:sz w:val="14"/>
            <w:szCs w:val="14"/>
          </w:rPr>
          <w:t>/</w:t>
        </w:r>
        <w:r w:rsidRPr="002951B9">
          <w:rPr>
            <w:rStyle w:val="Hyperlink"/>
            <w:sz w:val="14"/>
            <w:szCs w:val="14"/>
          </w:rPr>
          <w:t>legal</w:t>
        </w:r>
        <w:r w:rsidRPr="00DD33B9">
          <w:rPr>
            <w:rStyle w:val="Hyperlink"/>
            <w:sz w:val="14"/>
            <w:szCs w:val="14"/>
          </w:rPr>
          <w:t>-</w:t>
        </w:r>
        <w:r w:rsidRPr="002951B9">
          <w:rPr>
            <w:rStyle w:val="Hyperlink"/>
            <w:sz w:val="14"/>
            <w:szCs w:val="14"/>
          </w:rPr>
          <w:t>content</w:t>
        </w:r>
        <w:r w:rsidRPr="00DD33B9">
          <w:rPr>
            <w:rStyle w:val="Hyperlink"/>
            <w:sz w:val="14"/>
            <w:szCs w:val="14"/>
          </w:rPr>
          <w:t>/</w:t>
        </w:r>
        <w:r w:rsidRPr="002951B9">
          <w:rPr>
            <w:rStyle w:val="Hyperlink"/>
            <w:sz w:val="14"/>
            <w:szCs w:val="14"/>
          </w:rPr>
          <w:t>EN</w:t>
        </w:r>
        <w:r w:rsidRPr="00DD33B9">
          <w:rPr>
            <w:rStyle w:val="Hyperlink"/>
            <w:sz w:val="14"/>
            <w:szCs w:val="14"/>
          </w:rPr>
          <w:t>/</w:t>
        </w:r>
        <w:r w:rsidRPr="002951B9">
          <w:rPr>
            <w:rStyle w:val="Hyperlink"/>
            <w:sz w:val="14"/>
            <w:szCs w:val="14"/>
          </w:rPr>
          <w:t>TXT</w:t>
        </w:r>
        <w:r w:rsidRPr="00DD33B9">
          <w:rPr>
            <w:rStyle w:val="Hyperlink"/>
            <w:sz w:val="14"/>
            <w:szCs w:val="14"/>
          </w:rPr>
          <w:t>/?</w:t>
        </w:r>
        <w:r w:rsidRPr="002951B9">
          <w:rPr>
            <w:rStyle w:val="Hyperlink"/>
            <w:sz w:val="14"/>
            <w:szCs w:val="14"/>
          </w:rPr>
          <w:t>uri</w:t>
        </w:r>
        <w:r w:rsidRPr="00DD33B9">
          <w:rPr>
            <w:rStyle w:val="Hyperlink"/>
            <w:sz w:val="14"/>
            <w:szCs w:val="14"/>
          </w:rPr>
          <w:t>=</w:t>
        </w:r>
        <w:r w:rsidRPr="002951B9">
          <w:rPr>
            <w:rStyle w:val="Hyperlink"/>
            <w:sz w:val="14"/>
            <w:szCs w:val="14"/>
          </w:rPr>
          <w:t>celex</w:t>
        </w:r>
        <w:r w:rsidRPr="00DD33B9">
          <w:rPr>
            <w:rStyle w:val="Hyperlink"/>
            <w:sz w:val="14"/>
            <w:szCs w:val="14"/>
          </w:rPr>
          <w:t>%3</w:t>
        </w:r>
        <w:r w:rsidRPr="002951B9">
          <w:rPr>
            <w:rStyle w:val="Hyperlink"/>
            <w:sz w:val="14"/>
            <w:szCs w:val="14"/>
          </w:rPr>
          <w:t>A</w:t>
        </w:r>
        <w:r w:rsidRPr="00DD33B9">
          <w:rPr>
            <w:rStyle w:val="Hyperlink"/>
            <w:sz w:val="14"/>
            <w:szCs w:val="14"/>
          </w:rPr>
          <w:t>52015</w:t>
        </w:r>
        <w:r w:rsidRPr="002951B9">
          <w:rPr>
            <w:rStyle w:val="Hyperlink"/>
            <w:sz w:val="14"/>
            <w:szCs w:val="14"/>
          </w:rPr>
          <w:t>DC</w:t>
        </w:r>
        <w:r w:rsidRPr="00DD33B9">
          <w:rPr>
            <w:rStyle w:val="Hyperlink"/>
            <w:sz w:val="14"/>
            <w:szCs w:val="14"/>
          </w:rPr>
          <w:t>0192</w:t>
        </w:r>
      </w:hyperlink>
    </w:p>
  </w:footnote>
  <w:footnote w:id="7">
    <w:p w14:paraId="40840C31" w14:textId="77777777" w:rsidR="006712E0" w:rsidRPr="007F5483" w:rsidRDefault="006712E0" w:rsidP="0086044A">
      <w:pPr>
        <w:pStyle w:val="FootnoteText"/>
      </w:pPr>
      <w:r>
        <w:rPr>
          <w:rStyle w:val="FootnoteReference"/>
        </w:rPr>
        <w:footnoteRef/>
      </w:r>
      <w:r w:rsidRPr="007F5483">
        <w:t xml:space="preserve"> </w:t>
      </w:r>
      <w:hyperlink r:id="rId4" w:history="1">
        <w:r w:rsidRPr="002951B9">
          <w:rPr>
            <w:rStyle w:val="Hyperlink"/>
            <w:sz w:val="14"/>
            <w:szCs w:val="14"/>
          </w:rPr>
          <w:t>https</w:t>
        </w:r>
        <w:r w:rsidRPr="007F5483">
          <w:rPr>
            <w:rStyle w:val="Hyperlink"/>
            <w:sz w:val="14"/>
            <w:szCs w:val="14"/>
          </w:rPr>
          <w:t>://</w:t>
        </w:r>
        <w:r w:rsidRPr="002951B9">
          <w:rPr>
            <w:rStyle w:val="Hyperlink"/>
            <w:sz w:val="14"/>
            <w:szCs w:val="14"/>
          </w:rPr>
          <w:t>ec</w:t>
        </w:r>
        <w:r w:rsidRPr="007F5483">
          <w:rPr>
            <w:rStyle w:val="Hyperlink"/>
            <w:sz w:val="14"/>
            <w:szCs w:val="14"/>
          </w:rPr>
          <w:t>.</w:t>
        </w:r>
        <w:r w:rsidRPr="002951B9">
          <w:rPr>
            <w:rStyle w:val="Hyperlink"/>
            <w:sz w:val="14"/>
            <w:szCs w:val="14"/>
          </w:rPr>
          <w:t>europa</w:t>
        </w:r>
        <w:r w:rsidRPr="007F5483">
          <w:rPr>
            <w:rStyle w:val="Hyperlink"/>
            <w:sz w:val="14"/>
            <w:szCs w:val="14"/>
          </w:rPr>
          <w:t>.</w:t>
        </w:r>
        <w:r w:rsidRPr="002951B9">
          <w:rPr>
            <w:rStyle w:val="Hyperlink"/>
            <w:sz w:val="14"/>
            <w:szCs w:val="14"/>
          </w:rPr>
          <w:t>eu</w:t>
        </w:r>
        <w:r w:rsidRPr="007F5483">
          <w:rPr>
            <w:rStyle w:val="Hyperlink"/>
            <w:sz w:val="14"/>
            <w:szCs w:val="14"/>
          </w:rPr>
          <w:t>/</w:t>
        </w:r>
        <w:r w:rsidRPr="002951B9">
          <w:rPr>
            <w:rStyle w:val="Hyperlink"/>
            <w:sz w:val="14"/>
            <w:szCs w:val="14"/>
          </w:rPr>
          <w:t>info</w:t>
        </w:r>
        <w:r w:rsidRPr="007F5483">
          <w:rPr>
            <w:rStyle w:val="Hyperlink"/>
            <w:sz w:val="14"/>
            <w:szCs w:val="14"/>
          </w:rPr>
          <w:t>/</w:t>
        </w:r>
        <w:r w:rsidRPr="002951B9">
          <w:rPr>
            <w:rStyle w:val="Hyperlink"/>
            <w:sz w:val="14"/>
            <w:szCs w:val="14"/>
          </w:rPr>
          <w:t>sites</w:t>
        </w:r>
        <w:r w:rsidRPr="007F5483">
          <w:rPr>
            <w:rStyle w:val="Hyperlink"/>
            <w:sz w:val="14"/>
            <w:szCs w:val="14"/>
          </w:rPr>
          <w:t>/</w:t>
        </w:r>
        <w:r w:rsidRPr="002951B9">
          <w:rPr>
            <w:rStyle w:val="Hyperlink"/>
            <w:sz w:val="14"/>
            <w:szCs w:val="14"/>
          </w:rPr>
          <w:t>info</w:t>
        </w:r>
        <w:r w:rsidRPr="007F5483">
          <w:rPr>
            <w:rStyle w:val="Hyperlink"/>
            <w:sz w:val="14"/>
            <w:szCs w:val="14"/>
          </w:rPr>
          <w:t>/</w:t>
        </w:r>
        <w:r w:rsidRPr="002951B9">
          <w:rPr>
            <w:rStyle w:val="Hyperlink"/>
            <w:sz w:val="14"/>
            <w:szCs w:val="14"/>
          </w:rPr>
          <w:t>files</w:t>
        </w:r>
        <w:r w:rsidRPr="007F5483">
          <w:rPr>
            <w:rStyle w:val="Hyperlink"/>
            <w:sz w:val="14"/>
            <w:szCs w:val="14"/>
          </w:rPr>
          <w:t>/</w:t>
        </w:r>
        <w:r w:rsidRPr="002951B9">
          <w:rPr>
            <w:rStyle w:val="Hyperlink"/>
            <w:sz w:val="14"/>
            <w:szCs w:val="14"/>
          </w:rPr>
          <w:t>communication</w:t>
        </w:r>
        <w:r w:rsidRPr="007F5483">
          <w:rPr>
            <w:rStyle w:val="Hyperlink"/>
            <w:sz w:val="14"/>
            <w:szCs w:val="14"/>
          </w:rPr>
          <w:t>-</w:t>
        </w:r>
        <w:r w:rsidRPr="002951B9">
          <w:rPr>
            <w:rStyle w:val="Hyperlink"/>
            <w:sz w:val="14"/>
            <w:szCs w:val="14"/>
          </w:rPr>
          <w:t>credible</w:t>
        </w:r>
        <w:r w:rsidRPr="007F5483">
          <w:rPr>
            <w:rStyle w:val="Hyperlink"/>
            <w:sz w:val="14"/>
            <w:szCs w:val="14"/>
          </w:rPr>
          <w:t>-</w:t>
        </w:r>
        <w:r w:rsidRPr="002951B9">
          <w:rPr>
            <w:rStyle w:val="Hyperlink"/>
            <w:sz w:val="14"/>
            <w:szCs w:val="14"/>
          </w:rPr>
          <w:t>enlargement</w:t>
        </w:r>
        <w:r w:rsidRPr="007F5483">
          <w:rPr>
            <w:rStyle w:val="Hyperlink"/>
            <w:sz w:val="14"/>
            <w:szCs w:val="14"/>
          </w:rPr>
          <w:t>-</w:t>
        </w:r>
        <w:r w:rsidRPr="002951B9">
          <w:rPr>
            <w:rStyle w:val="Hyperlink"/>
            <w:sz w:val="14"/>
            <w:szCs w:val="14"/>
          </w:rPr>
          <w:t>perspective</w:t>
        </w:r>
        <w:r w:rsidRPr="007F5483">
          <w:rPr>
            <w:rStyle w:val="Hyperlink"/>
            <w:sz w:val="14"/>
            <w:szCs w:val="14"/>
          </w:rPr>
          <w:t>-</w:t>
        </w:r>
        <w:r w:rsidRPr="002951B9">
          <w:rPr>
            <w:rStyle w:val="Hyperlink"/>
            <w:sz w:val="14"/>
            <w:szCs w:val="14"/>
          </w:rPr>
          <w:t>western</w:t>
        </w:r>
        <w:r w:rsidRPr="007F5483">
          <w:rPr>
            <w:rStyle w:val="Hyperlink"/>
            <w:sz w:val="14"/>
            <w:szCs w:val="14"/>
          </w:rPr>
          <w:t>-</w:t>
        </w:r>
        <w:r w:rsidRPr="002951B9">
          <w:rPr>
            <w:rStyle w:val="Hyperlink"/>
            <w:sz w:val="14"/>
            <w:szCs w:val="14"/>
          </w:rPr>
          <w:t>balkans</w:t>
        </w:r>
        <w:r w:rsidRPr="007F5483">
          <w:rPr>
            <w:rStyle w:val="Hyperlink"/>
            <w:sz w:val="14"/>
            <w:szCs w:val="14"/>
          </w:rPr>
          <w:t>_</w:t>
        </w:r>
        <w:r w:rsidRPr="002951B9">
          <w:rPr>
            <w:rStyle w:val="Hyperlink"/>
            <w:sz w:val="14"/>
            <w:szCs w:val="14"/>
          </w:rPr>
          <w:t>en</w:t>
        </w:r>
        <w:r w:rsidRPr="007F5483">
          <w:rPr>
            <w:rStyle w:val="Hyperlink"/>
            <w:sz w:val="14"/>
            <w:szCs w:val="14"/>
          </w:rPr>
          <w:t>.</w:t>
        </w:r>
        <w:r w:rsidRPr="002951B9">
          <w:rPr>
            <w:rStyle w:val="Hyperlink"/>
            <w:sz w:val="14"/>
            <w:szCs w:val="14"/>
          </w:rPr>
          <w:t>pdf</w:t>
        </w:r>
      </w:hyperlink>
    </w:p>
  </w:footnote>
  <w:footnote w:id="8">
    <w:p w14:paraId="24D49BF4" w14:textId="77777777" w:rsidR="006712E0" w:rsidRPr="007F5483" w:rsidRDefault="006712E0" w:rsidP="0086044A">
      <w:pPr>
        <w:pStyle w:val="FootnoteText"/>
        <w:ind w:left="0" w:firstLine="0"/>
      </w:pPr>
      <w:r>
        <w:rPr>
          <w:rStyle w:val="FootnoteReference"/>
        </w:rPr>
        <w:footnoteRef/>
      </w:r>
      <w:hyperlink r:id="rId5" w:history="1">
        <w:r w:rsidRPr="002951B9">
          <w:rPr>
            <w:rStyle w:val="Hyperlink"/>
            <w:sz w:val="14"/>
            <w:szCs w:val="14"/>
          </w:rPr>
          <w:t>https</w:t>
        </w:r>
        <w:r w:rsidRPr="007F5483">
          <w:rPr>
            <w:rStyle w:val="Hyperlink"/>
            <w:sz w:val="14"/>
            <w:szCs w:val="14"/>
          </w:rPr>
          <w:t>://</w:t>
        </w:r>
        <w:r w:rsidRPr="002951B9">
          <w:rPr>
            <w:rStyle w:val="Hyperlink"/>
            <w:sz w:val="14"/>
            <w:szCs w:val="14"/>
          </w:rPr>
          <w:t>eur</w:t>
        </w:r>
        <w:r w:rsidRPr="007F5483">
          <w:rPr>
            <w:rStyle w:val="Hyperlink"/>
            <w:sz w:val="14"/>
            <w:szCs w:val="14"/>
          </w:rPr>
          <w:t>-</w:t>
        </w:r>
        <w:r w:rsidRPr="002951B9">
          <w:rPr>
            <w:rStyle w:val="Hyperlink"/>
            <w:sz w:val="14"/>
            <w:szCs w:val="14"/>
          </w:rPr>
          <w:t>lex</w:t>
        </w:r>
        <w:r w:rsidRPr="007F5483">
          <w:rPr>
            <w:rStyle w:val="Hyperlink"/>
            <w:sz w:val="14"/>
            <w:szCs w:val="14"/>
          </w:rPr>
          <w:t>.</w:t>
        </w:r>
        <w:r w:rsidRPr="002951B9">
          <w:rPr>
            <w:rStyle w:val="Hyperlink"/>
            <w:sz w:val="14"/>
            <w:szCs w:val="14"/>
          </w:rPr>
          <w:t>europa</w:t>
        </w:r>
        <w:r w:rsidRPr="007F5483">
          <w:rPr>
            <w:rStyle w:val="Hyperlink"/>
            <w:sz w:val="14"/>
            <w:szCs w:val="14"/>
          </w:rPr>
          <w:t>.</w:t>
        </w:r>
        <w:r w:rsidRPr="002951B9">
          <w:rPr>
            <w:rStyle w:val="Hyperlink"/>
            <w:sz w:val="14"/>
            <w:szCs w:val="14"/>
          </w:rPr>
          <w:t>eu</w:t>
        </w:r>
        <w:r w:rsidRPr="007F5483">
          <w:rPr>
            <w:rStyle w:val="Hyperlink"/>
            <w:sz w:val="14"/>
            <w:szCs w:val="14"/>
          </w:rPr>
          <w:t>/</w:t>
        </w:r>
        <w:r w:rsidRPr="002951B9">
          <w:rPr>
            <w:rStyle w:val="Hyperlink"/>
            <w:sz w:val="14"/>
            <w:szCs w:val="14"/>
          </w:rPr>
          <w:t>legal</w:t>
        </w:r>
        <w:r w:rsidRPr="007F5483">
          <w:rPr>
            <w:rStyle w:val="Hyperlink"/>
            <w:sz w:val="14"/>
            <w:szCs w:val="14"/>
          </w:rPr>
          <w:t>-</w:t>
        </w:r>
        <w:r w:rsidRPr="002951B9">
          <w:rPr>
            <w:rStyle w:val="Hyperlink"/>
            <w:sz w:val="14"/>
            <w:szCs w:val="14"/>
          </w:rPr>
          <w:t>content</w:t>
        </w:r>
        <w:r w:rsidRPr="007F5483">
          <w:rPr>
            <w:rStyle w:val="Hyperlink"/>
            <w:sz w:val="14"/>
            <w:szCs w:val="14"/>
          </w:rPr>
          <w:t>/</w:t>
        </w:r>
        <w:r w:rsidRPr="002951B9">
          <w:rPr>
            <w:rStyle w:val="Hyperlink"/>
            <w:sz w:val="14"/>
            <w:szCs w:val="14"/>
          </w:rPr>
          <w:t>EN</w:t>
        </w:r>
        <w:r w:rsidRPr="007F5483">
          <w:rPr>
            <w:rStyle w:val="Hyperlink"/>
            <w:sz w:val="14"/>
            <w:szCs w:val="14"/>
          </w:rPr>
          <w:t>/</w:t>
        </w:r>
        <w:r w:rsidRPr="002951B9">
          <w:rPr>
            <w:rStyle w:val="Hyperlink"/>
            <w:sz w:val="14"/>
            <w:szCs w:val="14"/>
          </w:rPr>
          <w:t>TXT</w:t>
        </w:r>
        <w:r w:rsidRPr="007F5483">
          <w:rPr>
            <w:rStyle w:val="Hyperlink"/>
            <w:sz w:val="14"/>
            <w:szCs w:val="14"/>
          </w:rPr>
          <w:t>/</w:t>
        </w:r>
        <w:r w:rsidRPr="002951B9">
          <w:rPr>
            <w:rStyle w:val="Hyperlink"/>
            <w:sz w:val="14"/>
            <w:szCs w:val="14"/>
          </w:rPr>
          <w:t>PDF</w:t>
        </w:r>
        <w:r w:rsidRPr="007F5483">
          <w:rPr>
            <w:rStyle w:val="Hyperlink"/>
            <w:sz w:val="14"/>
            <w:szCs w:val="14"/>
          </w:rPr>
          <w:t>/?</w:t>
        </w:r>
        <w:r w:rsidRPr="002951B9">
          <w:rPr>
            <w:rStyle w:val="Hyperlink"/>
            <w:sz w:val="14"/>
            <w:szCs w:val="14"/>
          </w:rPr>
          <w:t>uri</w:t>
        </w:r>
        <w:r w:rsidRPr="007F5483">
          <w:rPr>
            <w:rStyle w:val="Hyperlink"/>
            <w:sz w:val="14"/>
            <w:szCs w:val="14"/>
          </w:rPr>
          <w:t>=</w:t>
        </w:r>
        <w:r w:rsidRPr="002951B9">
          <w:rPr>
            <w:rStyle w:val="Hyperlink"/>
            <w:sz w:val="14"/>
            <w:szCs w:val="14"/>
          </w:rPr>
          <w:t>CELEX</w:t>
        </w:r>
        <w:r w:rsidRPr="007F5483">
          <w:rPr>
            <w:rStyle w:val="Hyperlink"/>
            <w:sz w:val="14"/>
            <w:szCs w:val="14"/>
          </w:rPr>
          <w:t>:52014</w:t>
        </w:r>
        <w:r w:rsidRPr="002951B9">
          <w:rPr>
            <w:rStyle w:val="Hyperlink"/>
            <w:sz w:val="14"/>
            <w:szCs w:val="14"/>
          </w:rPr>
          <w:t>DC</w:t>
        </w:r>
        <w:r w:rsidRPr="007F5483">
          <w:rPr>
            <w:rStyle w:val="Hyperlink"/>
            <w:sz w:val="14"/>
            <w:szCs w:val="14"/>
          </w:rPr>
          <w:t>0700&amp;</w:t>
        </w:r>
        <w:r w:rsidRPr="002951B9">
          <w:rPr>
            <w:rStyle w:val="Hyperlink"/>
            <w:sz w:val="14"/>
            <w:szCs w:val="14"/>
          </w:rPr>
          <w:t>from</w:t>
        </w:r>
        <w:r w:rsidRPr="007F5483">
          <w:rPr>
            <w:rStyle w:val="Hyperlink"/>
            <w:sz w:val="14"/>
            <w:szCs w:val="14"/>
          </w:rPr>
          <w:t>=</w:t>
        </w:r>
        <w:r w:rsidRPr="002951B9">
          <w:rPr>
            <w:rStyle w:val="Hyperlink"/>
            <w:sz w:val="14"/>
            <w:szCs w:val="14"/>
          </w:rPr>
          <w:t>en</w:t>
        </w:r>
      </w:hyperlink>
    </w:p>
  </w:footnote>
  <w:footnote w:id="9">
    <w:p w14:paraId="0B6FA58D" w14:textId="77777777" w:rsidR="006712E0" w:rsidRPr="005664DE" w:rsidRDefault="006712E0" w:rsidP="0086044A">
      <w:pPr>
        <w:pStyle w:val="FootnoteText"/>
      </w:pPr>
      <w:r>
        <w:rPr>
          <w:rStyle w:val="FootnoteReference"/>
        </w:rPr>
        <w:footnoteRef/>
      </w:r>
      <w:r w:rsidRPr="005664DE">
        <w:t xml:space="preserve"> </w:t>
      </w:r>
      <w:hyperlink r:id="rId6" w:history="1">
        <w:r w:rsidRPr="005A4B9C">
          <w:rPr>
            <w:rStyle w:val="Hyperlink"/>
            <w:sz w:val="16"/>
            <w:szCs w:val="16"/>
          </w:rPr>
          <w:t>https</w:t>
        </w:r>
        <w:r w:rsidRPr="005664DE">
          <w:rPr>
            <w:rStyle w:val="Hyperlink"/>
            <w:sz w:val="16"/>
            <w:szCs w:val="16"/>
          </w:rPr>
          <w:t>://</w:t>
        </w:r>
        <w:r w:rsidRPr="005A4B9C">
          <w:rPr>
            <w:rStyle w:val="Hyperlink"/>
            <w:sz w:val="16"/>
            <w:szCs w:val="16"/>
          </w:rPr>
          <w:t>ec</w:t>
        </w:r>
        <w:r w:rsidRPr="005664DE">
          <w:rPr>
            <w:rStyle w:val="Hyperlink"/>
            <w:sz w:val="16"/>
            <w:szCs w:val="16"/>
          </w:rPr>
          <w:t>.</w:t>
        </w:r>
        <w:r w:rsidRPr="005A4B9C">
          <w:rPr>
            <w:rStyle w:val="Hyperlink"/>
            <w:sz w:val="16"/>
            <w:szCs w:val="16"/>
          </w:rPr>
          <w:t>europa</w:t>
        </w:r>
        <w:r w:rsidRPr="005664DE">
          <w:rPr>
            <w:rStyle w:val="Hyperlink"/>
            <w:sz w:val="16"/>
            <w:szCs w:val="16"/>
          </w:rPr>
          <w:t>.</w:t>
        </w:r>
        <w:r w:rsidRPr="005A4B9C">
          <w:rPr>
            <w:rStyle w:val="Hyperlink"/>
            <w:sz w:val="16"/>
            <w:szCs w:val="16"/>
          </w:rPr>
          <w:t>eu</w:t>
        </w:r>
        <w:r w:rsidRPr="005664DE">
          <w:rPr>
            <w:rStyle w:val="Hyperlink"/>
            <w:sz w:val="16"/>
            <w:szCs w:val="16"/>
          </w:rPr>
          <w:t>/</w:t>
        </w:r>
        <w:r w:rsidRPr="005A4B9C">
          <w:rPr>
            <w:rStyle w:val="Hyperlink"/>
            <w:sz w:val="16"/>
            <w:szCs w:val="16"/>
          </w:rPr>
          <w:t>commission</w:t>
        </w:r>
        <w:r w:rsidRPr="005664DE">
          <w:rPr>
            <w:rStyle w:val="Hyperlink"/>
            <w:sz w:val="16"/>
            <w:szCs w:val="16"/>
          </w:rPr>
          <w:t>/</w:t>
        </w:r>
        <w:r w:rsidRPr="005A4B9C">
          <w:rPr>
            <w:rStyle w:val="Hyperlink"/>
            <w:sz w:val="16"/>
            <w:szCs w:val="16"/>
          </w:rPr>
          <w:t>presscorner</w:t>
        </w:r>
        <w:r w:rsidRPr="005664DE">
          <w:rPr>
            <w:rStyle w:val="Hyperlink"/>
            <w:sz w:val="16"/>
            <w:szCs w:val="16"/>
          </w:rPr>
          <w:t>/</w:t>
        </w:r>
        <w:r w:rsidRPr="005A4B9C">
          <w:rPr>
            <w:rStyle w:val="Hyperlink"/>
            <w:sz w:val="16"/>
            <w:szCs w:val="16"/>
          </w:rPr>
          <w:t>detail</w:t>
        </w:r>
        <w:r w:rsidRPr="005664DE">
          <w:rPr>
            <w:rStyle w:val="Hyperlink"/>
            <w:sz w:val="16"/>
            <w:szCs w:val="16"/>
          </w:rPr>
          <w:t>/</w:t>
        </w:r>
        <w:r w:rsidRPr="005A4B9C">
          <w:rPr>
            <w:rStyle w:val="Hyperlink"/>
            <w:sz w:val="16"/>
            <w:szCs w:val="16"/>
          </w:rPr>
          <w:t>en</w:t>
        </w:r>
        <w:r w:rsidRPr="005664DE">
          <w:rPr>
            <w:rStyle w:val="Hyperlink"/>
            <w:sz w:val="16"/>
            <w:szCs w:val="16"/>
          </w:rPr>
          <w:t>/</w:t>
        </w:r>
        <w:r w:rsidRPr="005A4B9C">
          <w:rPr>
            <w:rStyle w:val="Hyperlink"/>
            <w:sz w:val="16"/>
            <w:szCs w:val="16"/>
          </w:rPr>
          <w:t>qanda</w:t>
        </w:r>
        <w:r w:rsidRPr="005664DE">
          <w:rPr>
            <w:rStyle w:val="Hyperlink"/>
            <w:sz w:val="16"/>
            <w:szCs w:val="16"/>
          </w:rPr>
          <w:t>_21_5279</w:t>
        </w:r>
      </w:hyperlink>
    </w:p>
  </w:footnote>
  <w:footnote w:id="10">
    <w:p w14:paraId="552ED7C1" w14:textId="77777777" w:rsidR="006712E0" w:rsidRPr="0009237F" w:rsidRDefault="006712E0" w:rsidP="0086044A">
      <w:pPr>
        <w:pStyle w:val="FootnoteText"/>
        <w:ind w:left="0" w:firstLine="0"/>
        <w:rPr>
          <w:sz w:val="14"/>
          <w:szCs w:val="14"/>
        </w:rPr>
      </w:pPr>
      <w:r w:rsidRPr="002951B9">
        <w:rPr>
          <w:rStyle w:val="FootnoteReference"/>
          <w:sz w:val="14"/>
          <w:szCs w:val="14"/>
        </w:rPr>
        <w:footnoteRef/>
      </w:r>
      <w:hyperlink r:id="rId7" w:history="1">
        <w:r w:rsidRPr="002951B9">
          <w:rPr>
            <w:rStyle w:val="Hyperlink"/>
            <w:sz w:val="14"/>
            <w:szCs w:val="14"/>
          </w:rPr>
          <w:t>https</w:t>
        </w:r>
        <w:r w:rsidRPr="0009237F">
          <w:rPr>
            <w:rStyle w:val="Hyperlink"/>
            <w:sz w:val="14"/>
            <w:szCs w:val="14"/>
          </w:rPr>
          <w:t>://</w:t>
        </w:r>
        <w:r w:rsidRPr="002951B9">
          <w:rPr>
            <w:rStyle w:val="Hyperlink"/>
            <w:sz w:val="14"/>
            <w:szCs w:val="14"/>
          </w:rPr>
          <w:t>eur</w:t>
        </w:r>
        <w:r w:rsidRPr="0009237F">
          <w:rPr>
            <w:rStyle w:val="Hyperlink"/>
            <w:sz w:val="14"/>
            <w:szCs w:val="14"/>
          </w:rPr>
          <w:t>-</w:t>
        </w:r>
        <w:r w:rsidRPr="002951B9">
          <w:rPr>
            <w:rStyle w:val="Hyperlink"/>
            <w:sz w:val="14"/>
            <w:szCs w:val="14"/>
          </w:rPr>
          <w:t>lex</w:t>
        </w:r>
        <w:r w:rsidRPr="0009237F">
          <w:rPr>
            <w:rStyle w:val="Hyperlink"/>
            <w:sz w:val="14"/>
            <w:szCs w:val="14"/>
          </w:rPr>
          <w:t>.</w:t>
        </w:r>
        <w:r w:rsidRPr="002951B9">
          <w:rPr>
            <w:rStyle w:val="Hyperlink"/>
            <w:sz w:val="14"/>
            <w:szCs w:val="14"/>
          </w:rPr>
          <w:t>europa</w:t>
        </w:r>
        <w:r w:rsidRPr="0009237F">
          <w:rPr>
            <w:rStyle w:val="Hyperlink"/>
            <w:sz w:val="14"/>
            <w:szCs w:val="14"/>
          </w:rPr>
          <w:t>.</w:t>
        </w:r>
        <w:r w:rsidRPr="002951B9">
          <w:rPr>
            <w:rStyle w:val="Hyperlink"/>
            <w:sz w:val="14"/>
            <w:szCs w:val="14"/>
          </w:rPr>
          <w:t>eu</w:t>
        </w:r>
        <w:r w:rsidRPr="0009237F">
          <w:rPr>
            <w:rStyle w:val="Hyperlink"/>
            <w:sz w:val="14"/>
            <w:szCs w:val="14"/>
          </w:rPr>
          <w:t>/</w:t>
        </w:r>
        <w:r w:rsidRPr="002951B9">
          <w:rPr>
            <w:rStyle w:val="Hyperlink"/>
            <w:sz w:val="14"/>
            <w:szCs w:val="14"/>
          </w:rPr>
          <w:t>legal</w:t>
        </w:r>
        <w:r w:rsidRPr="0009237F">
          <w:rPr>
            <w:rStyle w:val="Hyperlink"/>
            <w:sz w:val="14"/>
            <w:szCs w:val="14"/>
          </w:rPr>
          <w:t>-</w:t>
        </w:r>
        <w:r w:rsidRPr="002951B9">
          <w:rPr>
            <w:rStyle w:val="Hyperlink"/>
            <w:sz w:val="14"/>
            <w:szCs w:val="14"/>
          </w:rPr>
          <w:t>content</w:t>
        </w:r>
        <w:r w:rsidRPr="0009237F">
          <w:rPr>
            <w:rStyle w:val="Hyperlink"/>
            <w:sz w:val="14"/>
            <w:szCs w:val="14"/>
          </w:rPr>
          <w:t>/</w:t>
        </w:r>
        <w:r w:rsidRPr="002951B9">
          <w:rPr>
            <w:rStyle w:val="Hyperlink"/>
            <w:sz w:val="14"/>
            <w:szCs w:val="14"/>
          </w:rPr>
          <w:t>EN</w:t>
        </w:r>
        <w:r w:rsidRPr="0009237F">
          <w:rPr>
            <w:rStyle w:val="Hyperlink"/>
            <w:sz w:val="14"/>
            <w:szCs w:val="14"/>
          </w:rPr>
          <w:t>/</w:t>
        </w:r>
        <w:r w:rsidRPr="002951B9">
          <w:rPr>
            <w:rStyle w:val="Hyperlink"/>
            <w:sz w:val="14"/>
            <w:szCs w:val="14"/>
          </w:rPr>
          <w:t>TXT</w:t>
        </w:r>
        <w:r w:rsidRPr="0009237F">
          <w:rPr>
            <w:rStyle w:val="Hyperlink"/>
            <w:sz w:val="14"/>
            <w:szCs w:val="14"/>
          </w:rPr>
          <w:t>/</w:t>
        </w:r>
        <w:r w:rsidRPr="002951B9">
          <w:rPr>
            <w:rStyle w:val="Hyperlink"/>
            <w:sz w:val="14"/>
            <w:szCs w:val="14"/>
          </w:rPr>
          <w:t>HTML</w:t>
        </w:r>
        <w:r w:rsidRPr="0009237F">
          <w:rPr>
            <w:rStyle w:val="Hyperlink"/>
            <w:sz w:val="14"/>
            <w:szCs w:val="14"/>
          </w:rPr>
          <w:t>/?</w:t>
        </w:r>
        <w:r w:rsidRPr="002951B9">
          <w:rPr>
            <w:rStyle w:val="Hyperlink"/>
            <w:sz w:val="14"/>
            <w:szCs w:val="14"/>
          </w:rPr>
          <w:t>uri</w:t>
        </w:r>
        <w:r w:rsidRPr="0009237F">
          <w:rPr>
            <w:rStyle w:val="Hyperlink"/>
            <w:sz w:val="14"/>
            <w:szCs w:val="14"/>
          </w:rPr>
          <w:t>=</w:t>
        </w:r>
        <w:r w:rsidRPr="002951B9">
          <w:rPr>
            <w:rStyle w:val="Hyperlink"/>
            <w:sz w:val="14"/>
            <w:szCs w:val="14"/>
          </w:rPr>
          <w:t>LEGISSUM</w:t>
        </w:r>
        <w:r w:rsidRPr="0009237F">
          <w:rPr>
            <w:rStyle w:val="Hyperlink"/>
            <w:sz w:val="14"/>
            <w:szCs w:val="14"/>
          </w:rPr>
          <w:t>:4314909</w:t>
        </w:r>
      </w:hyperlink>
    </w:p>
    <w:p w14:paraId="0117F689" w14:textId="77777777" w:rsidR="006712E0" w:rsidRPr="0009237F" w:rsidRDefault="006712E0" w:rsidP="0086044A">
      <w:pPr>
        <w:pStyle w:val="FootnoteText"/>
      </w:pPr>
    </w:p>
  </w:footnote>
  <w:footnote w:id="11">
    <w:p w14:paraId="0F599D12" w14:textId="77777777" w:rsidR="006712E0" w:rsidRPr="00323519" w:rsidRDefault="006712E0" w:rsidP="00323519">
      <w:pPr>
        <w:pStyle w:val="FootnoteText"/>
        <w:spacing w:line="240" w:lineRule="auto"/>
        <w:jc w:val="both"/>
        <w:rPr>
          <w:rFonts w:asciiTheme="minorHAnsi" w:hAnsiTheme="minorHAnsi"/>
          <w:sz w:val="16"/>
          <w:szCs w:val="16"/>
        </w:rPr>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Poslednji sastanak PAR SG je održan 18. oktobra 2021.</w:t>
      </w:r>
    </w:p>
  </w:footnote>
  <w:footnote w:id="12">
    <w:p w14:paraId="6B661AEF" w14:textId="77777777" w:rsidR="00323519" w:rsidRDefault="006712E0" w:rsidP="00323519">
      <w:pPr>
        <w:spacing w:after="0" w:line="240" w:lineRule="auto"/>
        <w:jc w:val="both"/>
        <w:rPr>
          <w:rFonts w:asciiTheme="minorHAnsi" w:hAnsiTheme="minorHAnsi"/>
          <w:sz w:val="16"/>
          <w:szCs w:val="16"/>
        </w:rPr>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w:t>
      </w:r>
      <w:r w:rsidRPr="00323519">
        <w:rPr>
          <w:rFonts w:asciiTheme="minorHAnsi" w:hAnsiTheme="minorHAnsi"/>
          <w:b/>
          <w:sz w:val="16"/>
          <w:szCs w:val="16"/>
        </w:rPr>
        <w:t>Strategija trgovinskih olakšica Crne Gore 2018-2022</w:t>
      </w:r>
      <w:r w:rsidRPr="00323519">
        <w:rPr>
          <w:rFonts w:asciiTheme="minorHAnsi" w:hAnsiTheme="minorHAnsi"/>
          <w:sz w:val="16"/>
          <w:szCs w:val="16"/>
        </w:rPr>
        <w:t xml:space="preserve"> u skladu je sa uslovima da Crna Gora uskladi svoje carinsko zakonodavstvo, demonstrira implementaciju i sprovođenje kapaciteta i pristup zajedničkim kompjuterizovanim carinskim sistemima EU, predviđenim pregovaračkim poglavljem 29 – Carinska unija. Jedno od strukturnih pitanja u crnogorskoj ekonomiji koje je identifikovalo nekoliko ESP vezano je za -usku izvoznu bazu zemlje i nizak stepen diversifikacije izvoza, za koji se tvrdi da doprinosi visokom spoljnotrgovinom deficitu Crne Gore, kao i niskom nivou dodatne vrijednosti u proizvodnji. U cilju prevazilaženja te prepreke i ostvarivanja strateškog cilja razvoja, ERP obavezuje Crnu Goru na reformu trgovinskih olakšica. Ciljevi </w:t>
      </w:r>
      <w:r w:rsidRPr="00323519">
        <w:rPr>
          <w:rFonts w:asciiTheme="minorHAnsi" w:hAnsiTheme="minorHAnsi"/>
          <w:b/>
          <w:sz w:val="16"/>
          <w:szCs w:val="16"/>
        </w:rPr>
        <w:t>Poslovne strategije Uprave carina 2019. – 2021.</w:t>
      </w:r>
      <w:r w:rsidRPr="00323519">
        <w:rPr>
          <w:rFonts w:asciiTheme="minorHAnsi" w:hAnsiTheme="minorHAnsi"/>
          <w:sz w:val="16"/>
          <w:szCs w:val="16"/>
        </w:rPr>
        <w:t xml:space="preserve"> su povezani sa razvojem informacionih sistema u skladu sa nacionalnim zakonodavstvom usklađenim sa pravnom tekovinom EU, zaštitom društva, bezbjednošću i olakšavanjem međunarodne trgovine, uključujući pojednostavljenje i usklađivanje carinskih procedura kao i efikasno i djelotvorno prikupljanje prihoda.</w:t>
      </w:r>
    </w:p>
    <w:p w14:paraId="69B65355" w14:textId="77777777" w:rsidR="00323519" w:rsidRDefault="00323519" w:rsidP="00323519">
      <w:pPr>
        <w:spacing w:after="0" w:line="240" w:lineRule="auto"/>
        <w:jc w:val="both"/>
        <w:rPr>
          <w:rFonts w:asciiTheme="minorHAnsi" w:hAnsiTheme="minorHAnsi"/>
          <w:sz w:val="16"/>
          <w:szCs w:val="16"/>
        </w:rPr>
      </w:pPr>
    </w:p>
    <w:p w14:paraId="73230FAE" w14:textId="77777777" w:rsidR="00323519" w:rsidRDefault="006712E0" w:rsidP="00323519">
      <w:pPr>
        <w:spacing w:after="0" w:line="240" w:lineRule="auto"/>
        <w:jc w:val="both"/>
        <w:rPr>
          <w:rFonts w:asciiTheme="minorHAnsi" w:hAnsiTheme="minorHAnsi"/>
          <w:sz w:val="16"/>
          <w:szCs w:val="16"/>
        </w:rPr>
      </w:pPr>
      <w:r w:rsidRPr="00323519">
        <w:rPr>
          <w:rFonts w:asciiTheme="minorHAnsi" w:hAnsiTheme="minorHAnsi"/>
          <w:sz w:val="16"/>
          <w:szCs w:val="16"/>
        </w:rPr>
        <w:t xml:space="preserve">Dalje usklađivanje sa zakonodavstvom EU i jačanje kapaciteta u oblasti finansijskih usluga, uključujući nadzor osiguranja, nadzor banaka i hartija od vrijednosti, su predviđeni </w:t>
      </w:r>
      <w:r w:rsidRPr="00323519">
        <w:rPr>
          <w:rFonts w:asciiTheme="minorHAnsi" w:hAnsiTheme="minorHAnsi"/>
          <w:b/>
          <w:sz w:val="16"/>
          <w:szCs w:val="16"/>
        </w:rPr>
        <w:t>Programom pristupanja Crne Gore EU 2018.-2022.</w:t>
      </w:r>
      <w:r w:rsidRPr="00323519">
        <w:rPr>
          <w:rFonts w:asciiTheme="minorHAnsi" w:hAnsiTheme="minorHAnsi"/>
          <w:sz w:val="16"/>
          <w:szCs w:val="16"/>
        </w:rPr>
        <w:t xml:space="preserve"> u okviru pregovora i ispunjavanja odrednica za zatvaranje u Poglavlju 9 – Finansijske usluge. Dalje reforme su neophodne da bi se pružile stabilne, sigurne i efikasne finansijske usluge i obezbijedila koherentnost i doslijednost između različitih političkih oblasti. </w:t>
      </w:r>
    </w:p>
    <w:p w14:paraId="286ACEAD" w14:textId="77777777" w:rsidR="00323519" w:rsidRDefault="00323519" w:rsidP="00323519">
      <w:pPr>
        <w:spacing w:after="0" w:line="240" w:lineRule="auto"/>
        <w:jc w:val="both"/>
        <w:rPr>
          <w:rFonts w:asciiTheme="minorHAnsi" w:hAnsiTheme="minorHAnsi"/>
          <w:sz w:val="16"/>
          <w:szCs w:val="16"/>
        </w:rPr>
      </w:pPr>
    </w:p>
    <w:p w14:paraId="656FB8A0" w14:textId="3B8996CB" w:rsidR="006712E0" w:rsidRPr="00323519" w:rsidRDefault="006712E0" w:rsidP="00323519">
      <w:pPr>
        <w:spacing w:after="0" w:line="240" w:lineRule="auto"/>
        <w:jc w:val="both"/>
        <w:rPr>
          <w:rFonts w:asciiTheme="minorHAnsi" w:hAnsiTheme="minorHAnsi"/>
          <w:sz w:val="16"/>
          <w:szCs w:val="16"/>
        </w:rPr>
      </w:pPr>
      <w:r w:rsidRPr="00323519">
        <w:rPr>
          <w:rFonts w:asciiTheme="minorHAnsi" w:hAnsiTheme="minorHAnsi"/>
          <w:sz w:val="16"/>
          <w:szCs w:val="16"/>
        </w:rPr>
        <w:t xml:space="preserve">Prioriteti daljeg razvoja kapaciteta u oblasti finansijskih usluga u skladu su sa </w:t>
      </w:r>
      <w:r w:rsidRPr="00323519">
        <w:rPr>
          <w:rFonts w:asciiTheme="minorHAnsi" w:hAnsiTheme="minorHAnsi"/>
          <w:b/>
          <w:sz w:val="16"/>
          <w:szCs w:val="16"/>
        </w:rPr>
        <w:t>Strategijom za Zapadni Balkan</w:t>
      </w:r>
      <w:r w:rsidRPr="00323519">
        <w:rPr>
          <w:rFonts w:asciiTheme="minorHAnsi" w:hAnsiTheme="minorHAnsi"/>
          <w:sz w:val="16"/>
          <w:szCs w:val="16"/>
        </w:rPr>
        <w:t xml:space="preserve">, koja, pored ostalih prioriteta, naglašava "suštinska pitanja kao što su vladavina prava, osnovna prava, jačanje demokratskih institucija, reforma javne uprave, kao i ekonomski razvoj i konkurentnost" kao ključni prioriteti u procesu proširenja, kao i ekonomski razvoj i konkurentnost" kao ključni prioriteti u procesu proširenja, kao i </w:t>
      </w:r>
      <w:r w:rsidRPr="00323519">
        <w:rPr>
          <w:rFonts w:asciiTheme="minorHAnsi" w:hAnsiTheme="minorHAnsi"/>
          <w:b/>
          <w:sz w:val="16"/>
          <w:szCs w:val="16"/>
        </w:rPr>
        <w:t>Sporazum o stabilizaciji i pridruživanju</w:t>
      </w:r>
      <w:r w:rsidRPr="00323519">
        <w:rPr>
          <w:rFonts w:asciiTheme="minorHAnsi" w:hAnsiTheme="minorHAnsi"/>
          <w:sz w:val="16"/>
          <w:szCs w:val="16"/>
        </w:rPr>
        <w:t xml:space="preserve"> </w:t>
      </w:r>
      <w:r w:rsidRPr="00323519">
        <w:rPr>
          <w:rFonts w:asciiTheme="minorHAnsi" w:hAnsiTheme="minorHAnsi"/>
          <w:b/>
          <w:sz w:val="16"/>
          <w:szCs w:val="16"/>
        </w:rPr>
        <w:t>(SAA)</w:t>
      </w:r>
      <w:r w:rsidRPr="00323519">
        <w:rPr>
          <w:rFonts w:asciiTheme="minorHAnsi" w:hAnsiTheme="minorHAnsi"/>
          <w:sz w:val="16"/>
          <w:szCs w:val="16"/>
        </w:rPr>
        <w:t xml:space="preserve"> u kojem se navodi, prema članu 72, da će Crna Gora obezbijediti kompatibilnost postojećih i budućih zakona sa pravnom tekovinom Zajednice, kao i njihovu pravilnu implementaciju i sprovođenje, a u skladu sa </w:t>
      </w:r>
      <w:r w:rsidRPr="00323519">
        <w:rPr>
          <w:rFonts w:asciiTheme="minorHAnsi" w:hAnsiTheme="minorHAnsi"/>
          <w:b/>
          <w:sz w:val="16"/>
          <w:szCs w:val="16"/>
        </w:rPr>
        <w:t>Strategijom 2020. za pametni, održivi i inkluzivan rast</w:t>
      </w:r>
      <w:r w:rsidRPr="00323519">
        <w:rPr>
          <w:rFonts w:asciiTheme="minorHAnsi" w:hAnsiTheme="minorHAnsi"/>
          <w:sz w:val="16"/>
          <w:szCs w:val="16"/>
        </w:rPr>
        <w:t xml:space="preserve">.  </w:t>
      </w:r>
      <w:r w:rsidRPr="00323519">
        <w:rPr>
          <w:rFonts w:asciiTheme="minorHAnsi" w:hAnsiTheme="minorHAnsi"/>
          <w:b/>
          <w:sz w:val="16"/>
          <w:szCs w:val="16"/>
        </w:rPr>
        <w:t>Program ekonomskih reformi</w:t>
      </w:r>
      <w:r w:rsidRPr="00323519">
        <w:rPr>
          <w:rFonts w:asciiTheme="minorHAnsi" w:hAnsiTheme="minorHAnsi"/>
          <w:sz w:val="16"/>
          <w:szCs w:val="16"/>
        </w:rPr>
        <w:t xml:space="preserve"> (ERP) definiše da bi cilj strateškog razvoja Crne Gore, a to je održiv i inkluzivan rast koji će doprinijeti smanjenju jaza u razvoju zemlje u odnosu na prosjek EU i povećanju kvalitetnog života svih njenih građana, mogao da se ostvari kroz realizaciju mjera ekonomske politike usmjerenih na jačanje makroekonomske stabilnosti </w:t>
      </w:r>
      <w:proofErr w:type="gramStart"/>
      <w:r w:rsidRPr="00323519">
        <w:rPr>
          <w:rFonts w:asciiTheme="minorHAnsi" w:hAnsiTheme="minorHAnsi"/>
          <w:sz w:val="16"/>
          <w:szCs w:val="16"/>
        </w:rPr>
        <w:t>zemlje,  posebno</w:t>
      </w:r>
      <w:proofErr w:type="gramEnd"/>
      <w:r w:rsidRPr="00323519">
        <w:rPr>
          <w:rFonts w:asciiTheme="minorHAnsi" w:hAnsiTheme="minorHAnsi"/>
          <w:sz w:val="16"/>
          <w:szCs w:val="16"/>
        </w:rPr>
        <w:t xml:space="preserve"> konsolidaciju javnih finansija i povećanje stabilnosti finansijskog sektora.                   </w:t>
      </w:r>
    </w:p>
    <w:p w14:paraId="0A0AC285" w14:textId="77777777" w:rsidR="006712E0" w:rsidRPr="00323519" w:rsidRDefault="006712E0" w:rsidP="00323519">
      <w:pPr>
        <w:spacing w:after="0" w:line="240" w:lineRule="auto"/>
        <w:jc w:val="both"/>
        <w:rPr>
          <w:rFonts w:asciiTheme="minorHAnsi" w:hAnsiTheme="minorHAnsi"/>
          <w:sz w:val="16"/>
          <w:szCs w:val="16"/>
        </w:rPr>
      </w:pPr>
    </w:p>
    <w:p w14:paraId="53F8E84A" w14:textId="77777777" w:rsidR="00323519" w:rsidRDefault="006712E0" w:rsidP="00323519">
      <w:pPr>
        <w:spacing w:after="0" w:line="240" w:lineRule="auto"/>
        <w:jc w:val="both"/>
        <w:rPr>
          <w:rFonts w:asciiTheme="minorHAnsi" w:hAnsiTheme="minorHAnsi"/>
          <w:sz w:val="16"/>
          <w:szCs w:val="16"/>
        </w:rPr>
      </w:pPr>
      <w:r w:rsidRPr="00323519">
        <w:rPr>
          <w:rFonts w:asciiTheme="minorHAnsi" w:hAnsiTheme="minorHAnsi"/>
          <w:sz w:val="16"/>
          <w:szCs w:val="16"/>
        </w:rPr>
        <w:t xml:space="preserve">EU </w:t>
      </w:r>
      <w:r w:rsidRPr="00323519">
        <w:rPr>
          <w:rFonts w:asciiTheme="minorHAnsi" w:hAnsiTheme="minorHAnsi"/>
          <w:b/>
          <w:sz w:val="16"/>
          <w:szCs w:val="16"/>
        </w:rPr>
        <w:t>Evropska strategija podataka</w:t>
      </w:r>
      <w:r w:rsidRPr="00323519">
        <w:rPr>
          <w:rFonts w:asciiTheme="minorHAnsi" w:hAnsiTheme="minorHAnsi"/>
          <w:sz w:val="16"/>
          <w:szCs w:val="16"/>
        </w:rPr>
        <w:t xml:space="preserve"> objavljena u februaru 2021. godine, fokusirana je na vrijednost podataka i njihov značaj za ekonomiju i društvo. Cilj ove strategije je stvaranje jedinstvenog evropskog prostora podataka - istinskog jedinstvenog tržišta podataka, otvorenog za podatke iz cijelog sveta, kojima bi kompanije imale lak pristup gotovo beskonačnoj količini visokokvalitetnih podataka, što bi podstaklo rast i konkuretnost. Relativno nizak stepen digitalizacije Crne Gore i korišćenje ICT-a u poslovne svrhe, rezultira sistemom zvanične statistike Crne Gore čiji su podaci dostupni sa značajnim protokom vremena od trenutka pojave fenomena koji prikazuju. Globalne krize (finansijske, migrantske, COVID 19) pokazale su da je za njihovo efikasno rješavanje neophodno imati podatke u praktično realnom vremenu, što je praktično nemoguće bez visokog stepena digitalizacije društva.  Stoga bi digitalizacija Crne Gore u periodu 2021-2025. trebalo da stvori nove mogućnosti za sistem zvanične statistike Crne Gore kroz stvaranje jedinstvenog centra podataka, kojim bi upravljao MONSTAT, a bio bi otvoren i služio analitičkim potrebama privatnog, javnog, naučnoistraživačnog sektora Crne Gore i šire.</w:t>
      </w:r>
      <w:r w:rsidR="00323519" w:rsidRPr="00323519">
        <w:rPr>
          <w:rFonts w:asciiTheme="minorHAnsi" w:hAnsiTheme="minorHAnsi"/>
          <w:sz w:val="16"/>
          <w:szCs w:val="16"/>
        </w:rPr>
        <w:t xml:space="preserve">   </w:t>
      </w:r>
    </w:p>
    <w:p w14:paraId="623E6DE5" w14:textId="2A63DBED" w:rsidR="006712E0" w:rsidRPr="00323519" w:rsidRDefault="00323519" w:rsidP="00323519">
      <w:pPr>
        <w:spacing w:after="0" w:line="240" w:lineRule="auto"/>
        <w:jc w:val="both"/>
        <w:rPr>
          <w:rFonts w:asciiTheme="minorHAnsi" w:hAnsiTheme="minorHAnsi"/>
          <w:sz w:val="16"/>
          <w:szCs w:val="16"/>
        </w:rPr>
      </w:pPr>
      <w:r w:rsidRPr="00323519">
        <w:rPr>
          <w:rFonts w:asciiTheme="minorHAnsi" w:hAnsiTheme="minorHAnsi"/>
          <w:sz w:val="16"/>
          <w:szCs w:val="16"/>
        </w:rPr>
        <w:t xml:space="preserve">                      </w:t>
      </w:r>
    </w:p>
  </w:footnote>
  <w:footnote w:id="13">
    <w:p w14:paraId="100ADC76" w14:textId="0D60523C" w:rsidR="006712E0" w:rsidRDefault="006712E0" w:rsidP="00323519">
      <w:pPr>
        <w:pStyle w:val="FootnoteText"/>
        <w:spacing w:line="240" w:lineRule="auto"/>
        <w:jc w:val="both"/>
        <w:rPr>
          <w:rFonts w:asciiTheme="minorHAnsi" w:hAnsiTheme="minorHAnsi"/>
          <w:sz w:val="16"/>
          <w:szCs w:val="16"/>
        </w:rPr>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MPADSM je preuzelo nadležnosti prethodnog Ministarstva za javnu upravu i djelimično od Ministarstva </w:t>
      </w:r>
      <w:r w:rsidR="00323519">
        <w:rPr>
          <w:rFonts w:asciiTheme="minorHAnsi" w:hAnsiTheme="minorHAnsi"/>
          <w:sz w:val="16"/>
          <w:szCs w:val="16"/>
        </w:rPr>
        <w:t>culture</w:t>
      </w:r>
    </w:p>
    <w:p w14:paraId="75045DB6" w14:textId="77777777" w:rsidR="00323519" w:rsidRPr="00323519" w:rsidRDefault="00323519" w:rsidP="00323519">
      <w:pPr>
        <w:pStyle w:val="FootnoteText"/>
        <w:spacing w:line="240" w:lineRule="auto"/>
        <w:jc w:val="both"/>
        <w:rPr>
          <w:rFonts w:asciiTheme="minorHAnsi" w:hAnsiTheme="minorHAnsi"/>
          <w:sz w:val="16"/>
          <w:szCs w:val="16"/>
        </w:rPr>
      </w:pPr>
    </w:p>
  </w:footnote>
  <w:footnote w:id="14">
    <w:p w14:paraId="0BB84E6C" w14:textId="77777777" w:rsidR="006712E0" w:rsidRPr="00F11773" w:rsidRDefault="006712E0" w:rsidP="00323519">
      <w:pPr>
        <w:pStyle w:val="FootnoteText"/>
        <w:spacing w:line="240" w:lineRule="auto"/>
        <w:jc w:val="both"/>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MFSW je preuzelo nadležnosti prethodnog Ministarstva finansija sa dodatim ovlašćenjima u oblasti socijalne zaštite od prethodnog Ministarstva rada i socijalnog staranja</w:t>
      </w:r>
      <w:r>
        <w:rPr>
          <w:rFonts w:asciiTheme="minorHAnsi" w:hAnsiTheme="minorHAnsi"/>
          <w:sz w:val="14"/>
          <w:szCs w:val="14"/>
        </w:rPr>
        <w:t xml:space="preserve"> </w:t>
      </w:r>
    </w:p>
  </w:footnote>
  <w:footnote w:id="15">
    <w:p w14:paraId="38A53783" w14:textId="77777777" w:rsidR="006712E0" w:rsidRPr="00A43F73" w:rsidRDefault="006712E0" w:rsidP="0086044A">
      <w:pPr>
        <w:pStyle w:val="FootnoteText"/>
      </w:pPr>
      <w:r>
        <w:rPr>
          <w:rStyle w:val="FootnoteReference"/>
        </w:rPr>
        <w:footnoteRef/>
      </w:r>
      <w:r>
        <w:t xml:space="preserve"> </w:t>
      </w:r>
      <w:r>
        <w:rPr>
          <w:sz w:val="14"/>
          <w:szCs w:val="14"/>
        </w:rPr>
        <w:t>NV</w:t>
      </w:r>
      <w:r w:rsidRPr="00F0598A">
        <w:rPr>
          <w:sz w:val="14"/>
          <w:szCs w:val="14"/>
        </w:rPr>
        <w:t>O Inst</w:t>
      </w:r>
      <w:r>
        <w:rPr>
          <w:sz w:val="14"/>
          <w:szCs w:val="14"/>
        </w:rPr>
        <w:t>itut Alternativa i NV</w:t>
      </w:r>
      <w:r w:rsidRPr="00F0598A">
        <w:rPr>
          <w:sz w:val="14"/>
          <w:szCs w:val="14"/>
        </w:rPr>
        <w:t>O Cent</w:t>
      </w:r>
      <w:r>
        <w:rPr>
          <w:sz w:val="14"/>
          <w:szCs w:val="14"/>
        </w:rPr>
        <w:t>a</w:t>
      </w:r>
      <w:r w:rsidRPr="00F0598A">
        <w:rPr>
          <w:sz w:val="14"/>
          <w:szCs w:val="14"/>
        </w:rPr>
        <w:t>r</w:t>
      </w:r>
      <w:r>
        <w:rPr>
          <w:sz w:val="14"/>
          <w:szCs w:val="14"/>
        </w:rPr>
        <w:t xml:space="preserve"> za demokratsku tranziciju </w:t>
      </w:r>
    </w:p>
  </w:footnote>
  <w:footnote w:id="16">
    <w:p w14:paraId="43CFD386" w14:textId="0D441451" w:rsidR="006712E0" w:rsidRPr="00323519" w:rsidRDefault="006712E0" w:rsidP="00323519">
      <w:pPr>
        <w:spacing w:after="0" w:line="240" w:lineRule="auto"/>
        <w:jc w:val="both"/>
        <w:rPr>
          <w:rFonts w:asciiTheme="minorHAnsi" w:hAnsiTheme="minorHAnsi"/>
          <w:sz w:val="16"/>
          <w:szCs w:val="16"/>
        </w:rPr>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Statistički sistem obuhvata slijedeće proizvođače zvanične statistike: Centralnu banku Crne Gore, Ministarstvo finansija, Ministarstvo nauke, Poresku upravu Crne Gore, Upravu carina Crne Gore, Zavod za javno zdravlje Crne Gore, Komisiju za tržište kapitala, Fond za penzijsko i invalidsko osiguranje i Fond za zdravstveno osiguranje</w:t>
      </w:r>
      <w:r w:rsidR="00323519" w:rsidRPr="00323519">
        <w:rPr>
          <w:rFonts w:asciiTheme="minorHAnsi" w:hAnsiTheme="minorHAnsi"/>
          <w:sz w:val="16"/>
          <w:szCs w:val="16"/>
        </w:rPr>
        <w:t xml:space="preserve">                     </w:t>
      </w:r>
    </w:p>
  </w:footnote>
  <w:footnote w:id="17">
    <w:p w14:paraId="16F283EA" w14:textId="77777777" w:rsidR="006712E0" w:rsidRPr="00982D8C" w:rsidRDefault="006712E0" w:rsidP="00323519">
      <w:pPr>
        <w:pStyle w:val="FootnoteText"/>
        <w:spacing w:line="240" w:lineRule="auto"/>
        <w:jc w:val="both"/>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Komisija za zaštitu prava u postupcima javnih nabavki, Inspektorat za javne nabavke, Državna revizorska institucija uključujući pravosudne i tužilačke institucije</w:t>
      </w:r>
      <w:r w:rsidRPr="00982D8C">
        <w:rPr>
          <w:sz w:val="16"/>
          <w:szCs w:val="16"/>
        </w:rPr>
        <w:t xml:space="preserve">                    </w:t>
      </w:r>
    </w:p>
  </w:footnote>
  <w:footnote w:id="18">
    <w:p w14:paraId="70BB5F61" w14:textId="77777777" w:rsidR="006712E0" w:rsidRPr="00323519" w:rsidRDefault="006712E0" w:rsidP="00323519">
      <w:pPr>
        <w:pStyle w:val="FootnoteText"/>
        <w:spacing w:line="240" w:lineRule="auto"/>
        <w:jc w:val="both"/>
        <w:rPr>
          <w:rFonts w:asciiTheme="minorHAnsi" w:hAnsiTheme="minorHAnsi"/>
          <w:sz w:val="16"/>
          <w:szCs w:val="16"/>
        </w:rPr>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w:t>
      </w:r>
      <w:hyperlink r:id="rId8" w:history="1">
        <w:r w:rsidRPr="00323519">
          <w:rPr>
            <w:rStyle w:val="Hyperlink"/>
            <w:rFonts w:asciiTheme="minorHAnsi" w:hAnsiTheme="minorHAnsi"/>
            <w:sz w:val="16"/>
            <w:szCs w:val="16"/>
          </w:rPr>
          <w:t>https://ec.europa.eu/eu2020/pdf/COMPLET%20EN%20BARROSO%20%20%20007%20-%20Europe%202020%20-%20EN%20version.pdf</w:t>
        </w:r>
      </w:hyperlink>
    </w:p>
  </w:footnote>
  <w:footnote w:id="19">
    <w:p w14:paraId="5F46EEFE" w14:textId="77777777" w:rsidR="006712E0" w:rsidRPr="00323519" w:rsidRDefault="006712E0" w:rsidP="00323519">
      <w:pPr>
        <w:spacing w:after="0" w:line="240" w:lineRule="auto"/>
        <w:jc w:val="both"/>
        <w:rPr>
          <w:rFonts w:asciiTheme="minorHAnsi" w:hAnsiTheme="minorHAnsi"/>
          <w:sz w:val="16"/>
          <w:szCs w:val="16"/>
        </w:rPr>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Član 10 "Jednak pristup zapošljavanju" prepoznaje da "državni službenik ili zaposleni stupaju na zaposlenje na osnovu javnog obavještenja. Pozicije državnih službenika su pod jednakim uslovima dostupne svim kandidatima. Prilikom izbora kandidata, uzimaju se u obzir                 </w:t>
      </w:r>
    </w:p>
    <w:p w14:paraId="3F4B6FB3" w14:textId="77777777" w:rsidR="006712E0" w:rsidRPr="00323519" w:rsidRDefault="006712E0" w:rsidP="00323519">
      <w:pPr>
        <w:spacing w:after="0" w:line="240" w:lineRule="auto"/>
        <w:jc w:val="both"/>
        <w:rPr>
          <w:rFonts w:asciiTheme="minorHAnsi" w:hAnsiTheme="minorHAnsi"/>
          <w:sz w:val="16"/>
          <w:szCs w:val="16"/>
        </w:rPr>
      </w:pPr>
      <w:r w:rsidRPr="00323519">
        <w:rPr>
          <w:rFonts w:asciiTheme="minorHAnsi" w:hAnsiTheme="minorHAnsi"/>
          <w:sz w:val="16"/>
          <w:szCs w:val="16"/>
        </w:rPr>
        <w:t xml:space="preserve"> profesionalne kvalifikacije, znanja, vještine, prethodno radno iskustvo, kao i rezultat postignutih u radu i rezultati postignutih na potrebnom testu sposobnosti". </w:t>
      </w:r>
    </w:p>
    <w:p w14:paraId="4C08EF4F" w14:textId="77777777" w:rsidR="006712E0" w:rsidRPr="00D407F9" w:rsidRDefault="006712E0" w:rsidP="0086044A">
      <w:pPr>
        <w:pStyle w:val="FootnoteText"/>
      </w:pPr>
    </w:p>
  </w:footnote>
  <w:footnote w:id="20">
    <w:p w14:paraId="0DD175E8" w14:textId="77777777" w:rsidR="006712E0" w:rsidRPr="0003121E" w:rsidRDefault="006712E0" w:rsidP="0086044A">
      <w:pPr>
        <w:spacing w:after="0" w:line="180" w:lineRule="auto"/>
        <w:rPr>
          <w:sz w:val="16"/>
          <w:szCs w:val="16"/>
        </w:rPr>
      </w:pPr>
      <w:r>
        <w:rPr>
          <w:rStyle w:val="FootnoteReference"/>
        </w:rPr>
        <w:footnoteRef/>
      </w:r>
      <w:r>
        <w:t xml:space="preserve"> </w:t>
      </w:r>
      <w:r w:rsidRPr="000C4A55">
        <w:rPr>
          <w:sz w:val="16"/>
          <w:szCs w:val="16"/>
        </w:rPr>
        <w:t xml:space="preserve">Relevantne </w:t>
      </w:r>
      <w:r>
        <w:rPr>
          <w:sz w:val="16"/>
          <w:szCs w:val="16"/>
        </w:rPr>
        <w:t>aktivnosti koje bi sačinjavale BS program za di</w:t>
      </w:r>
      <w:r w:rsidRPr="000C4A55">
        <w:rPr>
          <w:sz w:val="16"/>
          <w:szCs w:val="16"/>
        </w:rPr>
        <w:t xml:space="preserve">o vezan za PFM </w:t>
      </w:r>
      <w:r>
        <w:rPr>
          <w:sz w:val="16"/>
          <w:szCs w:val="16"/>
        </w:rPr>
        <w:t xml:space="preserve">su date </w:t>
      </w:r>
      <w:r w:rsidRPr="000C4A55">
        <w:rPr>
          <w:sz w:val="16"/>
          <w:szCs w:val="16"/>
        </w:rPr>
        <w:t>u Aneksu ovog dokumenta.</w:t>
      </w:r>
      <w:r w:rsidRPr="00F2606F">
        <w:rPr>
          <w:sz w:val="16"/>
          <w:szCs w:val="16"/>
        </w:rPr>
        <w:t xml:space="preserve"> </w:t>
      </w:r>
    </w:p>
    <w:p w14:paraId="37A4EE58" w14:textId="77777777" w:rsidR="006712E0" w:rsidRPr="005F52D3" w:rsidRDefault="006712E0" w:rsidP="0086044A">
      <w:pPr>
        <w:pStyle w:val="FootnoteText"/>
      </w:pPr>
    </w:p>
  </w:footnote>
  <w:footnote w:id="21">
    <w:p w14:paraId="7AB54B3D" w14:textId="77777777" w:rsidR="006712E0" w:rsidRPr="00813618" w:rsidRDefault="006712E0" w:rsidP="00047EF8">
      <w:pPr>
        <w:ind w:left="720" w:hanging="720"/>
        <w:jc w:val="both"/>
        <w:rPr>
          <w:sz w:val="18"/>
          <w:szCs w:val="18"/>
          <w:lang w:val="uz-Cyrl-UZ"/>
        </w:rPr>
      </w:pPr>
      <w:r w:rsidRPr="000C3326">
        <w:rPr>
          <w:sz w:val="14"/>
          <w:szCs w:val="14"/>
        </w:rPr>
        <w:footnoteRef/>
      </w:r>
      <w:r w:rsidRPr="00813618">
        <w:rPr>
          <w:sz w:val="14"/>
          <w:szCs w:val="14"/>
          <w:lang w:val="uz-Cyrl-UZ"/>
        </w:rPr>
        <w:t xml:space="preserve"> </w:t>
      </w:r>
      <w:hyperlink r:id="rId9" w:history="1">
        <w:r w:rsidRPr="00E7530F">
          <w:rPr>
            <w:rStyle w:val="Hyperlink"/>
            <w:rFonts w:eastAsia="Calibri" w:cs="Calibri"/>
            <w:sz w:val="18"/>
            <w:szCs w:val="18"/>
          </w:rPr>
          <w:t>https</w:t>
        </w:r>
        <w:r w:rsidRPr="00813618">
          <w:rPr>
            <w:rStyle w:val="Hyperlink"/>
            <w:rFonts w:eastAsia="Calibri" w:cs="Calibri"/>
            <w:sz w:val="18"/>
            <w:szCs w:val="18"/>
            <w:lang w:val="uz-Cyrl-UZ"/>
          </w:rPr>
          <w:t>://</w:t>
        </w:r>
        <w:r w:rsidRPr="00E7530F">
          <w:rPr>
            <w:rStyle w:val="Hyperlink"/>
            <w:rFonts w:eastAsia="Calibri" w:cs="Calibri"/>
            <w:sz w:val="18"/>
            <w:szCs w:val="18"/>
          </w:rPr>
          <w:t>mrt</w:t>
        </w:r>
        <w:r w:rsidRPr="00813618">
          <w:rPr>
            <w:rStyle w:val="Hyperlink"/>
            <w:rFonts w:eastAsia="Calibri" w:cs="Calibri"/>
            <w:sz w:val="18"/>
            <w:szCs w:val="18"/>
            <w:lang w:val="uz-Cyrl-UZ"/>
          </w:rPr>
          <w:t>.</w:t>
        </w:r>
        <w:r w:rsidRPr="00E7530F">
          <w:rPr>
            <w:rStyle w:val="Hyperlink"/>
            <w:rFonts w:eastAsia="Calibri" w:cs="Calibri"/>
            <w:sz w:val="18"/>
            <w:szCs w:val="18"/>
          </w:rPr>
          <w:t>gov</w:t>
        </w:r>
        <w:r w:rsidRPr="00813618">
          <w:rPr>
            <w:rStyle w:val="Hyperlink"/>
            <w:rFonts w:eastAsia="Calibri" w:cs="Calibri"/>
            <w:sz w:val="18"/>
            <w:szCs w:val="18"/>
            <w:lang w:val="uz-Cyrl-UZ"/>
          </w:rPr>
          <w:t>.</w:t>
        </w:r>
        <w:r w:rsidRPr="00E7530F">
          <w:rPr>
            <w:rStyle w:val="Hyperlink"/>
            <w:rFonts w:eastAsia="Calibri" w:cs="Calibri"/>
            <w:sz w:val="18"/>
            <w:szCs w:val="18"/>
          </w:rPr>
          <w:t>me</w:t>
        </w:r>
        <w:r w:rsidRPr="00813618">
          <w:rPr>
            <w:rStyle w:val="Hyperlink"/>
            <w:rFonts w:eastAsia="Calibri" w:cs="Calibri"/>
            <w:sz w:val="18"/>
            <w:szCs w:val="18"/>
            <w:lang w:val="uz-Cyrl-UZ"/>
          </w:rPr>
          <w:t>/</w:t>
        </w:r>
        <w:r w:rsidRPr="00E7530F">
          <w:rPr>
            <w:rStyle w:val="Hyperlink"/>
            <w:rFonts w:eastAsia="Calibri" w:cs="Calibri"/>
            <w:sz w:val="18"/>
            <w:szCs w:val="18"/>
          </w:rPr>
          <w:t>en</w:t>
        </w:r>
        <w:r w:rsidRPr="00813618">
          <w:rPr>
            <w:rStyle w:val="Hyperlink"/>
            <w:rFonts w:eastAsia="Calibri" w:cs="Calibri"/>
            <w:sz w:val="18"/>
            <w:szCs w:val="18"/>
            <w:lang w:val="uz-Cyrl-UZ"/>
          </w:rPr>
          <w:t>/</w:t>
        </w:r>
        <w:r w:rsidRPr="00E7530F">
          <w:rPr>
            <w:rStyle w:val="Hyperlink"/>
            <w:rFonts w:eastAsia="Calibri" w:cs="Calibri"/>
            <w:sz w:val="18"/>
            <w:szCs w:val="18"/>
          </w:rPr>
          <w:t>ministry</w:t>
        </w:r>
        <w:r w:rsidRPr="00813618">
          <w:rPr>
            <w:rStyle w:val="Hyperlink"/>
            <w:rFonts w:eastAsia="Calibri" w:cs="Calibri"/>
            <w:sz w:val="18"/>
            <w:szCs w:val="18"/>
            <w:lang w:val="uz-Cyrl-UZ"/>
          </w:rPr>
          <w:t>/174209/</w:t>
        </w:r>
        <w:r w:rsidRPr="00E7530F">
          <w:rPr>
            <w:rStyle w:val="Hyperlink"/>
            <w:rFonts w:eastAsia="Calibri" w:cs="Calibri"/>
            <w:sz w:val="18"/>
            <w:szCs w:val="18"/>
          </w:rPr>
          <w:t>National</w:t>
        </w:r>
        <w:r w:rsidRPr="00813618">
          <w:rPr>
            <w:rStyle w:val="Hyperlink"/>
            <w:rFonts w:eastAsia="Calibri" w:cs="Calibri"/>
            <w:sz w:val="18"/>
            <w:szCs w:val="18"/>
            <w:lang w:val="uz-Cyrl-UZ"/>
          </w:rPr>
          <w:t>-</w:t>
        </w:r>
        <w:r w:rsidRPr="00E7530F">
          <w:rPr>
            <w:rStyle w:val="Hyperlink"/>
            <w:rFonts w:eastAsia="Calibri" w:cs="Calibri"/>
            <w:sz w:val="18"/>
            <w:szCs w:val="18"/>
          </w:rPr>
          <w:t>Strategy</w:t>
        </w:r>
        <w:r w:rsidRPr="00813618">
          <w:rPr>
            <w:rStyle w:val="Hyperlink"/>
            <w:rFonts w:eastAsia="Calibri" w:cs="Calibri"/>
            <w:sz w:val="18"/>
            <w:szCs w:val="18"/>
            <w:lang w:val="uz-Cyrl-UZ"/>
          </w:rPr>
          <w:t>-</w:t>
        </w:r>
        <w:r w:rsidRPr="00E7530F">
          <w:rPr>
            <w:rStyle w:val="Hyperlink"/>
            <w:rFonts w:eastAsia="Calibri" w:cs="Calibri"/>
            <w:sz w:val="18"/>
            <w:szCs w:val="18"/>
          </w:rPr>
          <w:t>for</w:t>
        </w:r>
        <w:r w:rsidRPr="00813618">
          <w:rPr>
            <w:rStyle w:val="Hyperlink"/>
            <w:rFonts w:eastAsia="Calibri" w:cs="Calibri"/>
            <w:sz w:val="18"/>
            <w:szCs w:val="18"/>
            <w:lang w:val="uz-Cyrl-UZ"/>
          </w:rPr>
          <w:t>-</w:t>
        </w:r>
        <w:r w:rsidRPr="00E7530F">
          <w:rPr>
            <w:rStyle w:val="Hyperlink"/>
            <w:rFonts w:eastAsia="Calibri" w:cs="Calibri"/>
            <w:sz w:val="18"/>
            <w:szCs w:val="18"/>
          </w:rPr>
          <w:t>Sustainable</w:t>
        </w:r>
        <w:r w:rsidRPr="00813618">
          <w:rPr>
            <w:rStyle w:val="Hyperlink"/>
            <w:rFonts w:eastAsia="Calibri" w:cs="Calibri"/>
            <w:sz w:val="18"/>
            <w:szCs w:val="18"/>
            <w:lang w:val="uz-Cyrl-UZ"/>
          </w:rPr>
          <w:t>-</w:t>
        </w:r>
        <w:r w:rsidRPr="00E7530F">
          <w:rPr>
            <w:rStyle w:val="Hyperlink"/>
            <w:rFonts w:eastAsia="Calibri" w:cs="Calibri"/>
            <w:sz w:val="18"/>
            <w:szCs w:val="18"/>
          </w:rPr>
          <w:t>Development</w:t>
        </w:r>
        <w:r w:rsidRPr="00813618">
          <w:rPr>
            <w:rStyle w:val="Hyperlink"/>
            <w:rFonts w:eastAsia="Calibri" w:cs="Calibri"/>
            <w:sz w:val="18"/>
            <w:szCs w:val="18"/>
            <w:lang w:val="uz-Cyrl-UZ"/>
          </w:rPr>
          <w:t>-</w:t>
        </w:r>
        <w:r w:rsidRPr="00E7530F">
          <w:rPr>
            <w:rStyle w:val="Hyperlink"/>
            <w:rFonts w:eastAsia="Calibri" w:cs="Calibri"/>
            <w:sz w:val="18"/>
            <w:szCs w:val="18"/>
          </w:rPr>
          <w:t>by</w:t>
        </w:r>
        <w:r w:rsidRPr="00813618">
          <w:rPr>
            <w:rStyle w:val="Hyperlink"/>
            <w:rFonts w:eastAsia="Calibri" w:cs="Calibri"/>
            <w:sz w:val="18"/>
            <w:szCs w:val="18"/>
            <w:lang w:val="uz-Cyrl-UZ"/>
          </w:rPr>
          <w:t>-2030-</w:t>
        </w:r>
        <w:r w:rsidRPr="00E7530F">
          <w:rPr>
            <w:rStyle w:val="Hyperlink"/>
            <w:rFonts w:eastAsia="Calibri" w:cs="Calibri"/>
            <w:sz w:val="18"/>
            <w:szCs w:val="18"/>
          </w:rPr>
          <w:t>NSSD</w:t>
        </w:r>
        <w:r w:rsidRPr="00813618">
          <w:rPr>
            <w:rStyle w:val="Hyperlink"/>
            <w:rFonts w:eastAsia="Calibri" w:cs="Calibri"/>
            <w:sz w:val="18"/>
            <w:szCs w:val="18"/>
            <w:lang w:val="uz-Cyrl-UZ"/>
          </w:rPr>
          <w:t>.</w:t>
        </w:r>
        <w:r w:rsidRPr="00E7530F">
          <w:rPr>
            <w:rStyle w:val="Hyperlink"/>
            <w:rFonts w:eastAsia="Calibri" w:cs="Calibri"/>
            <w:sz w:val="18"/>
            <w:szCs w:val="18"/>
          </w:rPr>
          <w:t>html</w:t>
        </w:r>
      </w:hyperlink>
      <w:r w:rsidRPr="00813618">
        <w:rPr>
          <w:rFonts w:eastAsia="Calibri" w:cs="Calibri"/>
          <w:sz w:val="18"/>
          <w:szCs w:val="18"/>
          <w:lang w:val="uz-Cyrl-UZ"/>
        </w:rPr>
        <w:t xml:space="preserve"> </w:t>
      </w:r>
    </w:p>
  </w:footnote>
  <w:footnote w:id="22">
    <w:p w14:paraId="18145893" w14:textId="77777777" w:rsidR="006712E0" w:rsidRPr="00323519" w:rsidRDefault="006712E0" w:rsidP="00323519">
      <w:pPr>
        <w:pStyle w:val="FootnoteText"/>
        <w:spacing w:line="240" w:lineRule="auto"/>
        <w:jc w:val="both"/>
        <w:rPr>
          <w:rFonts w:asciiTheme="minorHAnsi" w:hAnsiTheme="minorHAnsi"/>
          <w:sz w:val="16"/>
          <w:szCs w:val="16"/>
          <w:lang w:val="uz-Cyrl-UZ"/>
        </w:rPr>
      </w:pPr>
      <w:r w:rsidRPr="00323519">
        <w:rPr>
          <w:rStyle w:val="FootnoteReference"/>
          <w:rFonts w:asciiTheme="minorHAnsi" w:hAnsiTheme="minorHAnsi"/>
          <w:sz w:val="16"/>
          <w:szCs w:val="16"/>
        </w:rPr>
        <w:footnoteRef/>
      </w:r>
      <w:r w:rsidRPr="00323519">
        <w:rPr>
          <w:rFonts w:asciiTheme="minorHAnsi" w:hAnsiTheme="minorHAnsi"/>
          <w:sz w:val="16"/>
          <w:szCs w:val="16"/>
          <w:lang w:val="uz-Cyrl-UZ"/>
        </w:rPr>
        <w:t xml:space="preserve"> </w:t>
      </w:r>
      <w:hyperlink r:id="rId10" w:history="1">
        <w:r w:rsidRPr="00323519">
          <w:rPr>
            <w:rStyle w:val="Hyperlink"/>
            <w:rFonts w:asciiTheme="minorHAnsi" w:hAnsiTheme="minorHAnsi"/>
            <w:sz w:val="16"/>
            <w:szCs w:val="16"/>
            <w:lang w:val="uz-Cyrl-UZ"/>
          </w:rPr>
          <w:t>https://mps.gov.me/biblioteka/strategije</w:t>
        </w:r>
      </w:hyperlink>
      <w:r w:rsidRPr="00323519">
        <w:rPr>
          <w:rFonts w:asciiTheme="minorHAnsi" w:hAnsiTheme="minorHAnsi"/>
          <w:sz w:val="16"/>
          <w:szCs w:val="16"/>
          <w:lang w:val="uz-Cyrl-UZ"/>
        </w:rPr>
        <w:t xml:space="preserve"> </w:t>
      </w:r>
    </w:p>
  </w:footnote>
  <w:footnote w:id="23">
    <w:p w14:paraId="5F96CB27" w14:textId="77777777" w:rsidR="006712E0" w:rsidRPr="00323519" w:rsidRDefault="006712E0" w:rsidP="00323519">
      <w:pPr>
        <w:pStyle w:val="FootnoteText"/>
        <w:spacing w:line="240" w:lineRule="auto"/>
        <w:jc w:val="both"/>
        <w:rPr>
          <w:rFonts w:asciiTheme="minorHAnsi" w:hAnsiTheme="minorHAnsi"/>
          <w:sz w:val="16"/>
          <w:szCs w:val="16"/>
        </w:rPr>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w:t>
      </w:r>
      <w:r w:rsidRPr="00323519">
        <w:rPr>
          <w:rFonts w:asciiTheme="minorHAnsi" w:eastAsia="Calibri" w:hAnsiTheme="minorHAnsi" w:cs="Calibri"/>
          <w:sz w:val="16"/>
          <w:szCs w:val="16"/>
        </w:rPr>
        <w:t xml:space="preserve">Decembar 2019. godine, </w:t>
      </w:r>
      <w:hyperlink r:id="rId11">
        <w:r w:rsidRPr="00323519">
          <w:rPr>
            <w:rStyle w:val="Hyperlink"/>
            <w:rFonts w:asciiTheme="minorHAnsi" w:hAnsiTheme="minorHAnsi"/>
            <w:sz w:val="16"/>
            <w:szCs w:val="16"/>
          </w:rPr>
          <w:t>https://mps.gov.me/biblioteka/strategije</w:t>
        </w:r>
      </w:hyperlink>
      <w:r w:rsidRPr="00323519">
        <w:rPr>
          <w:rStyle w:val="Hyperlink"/>
          <w:rFonts w:asciiTheme="minorHAnsi" w:hAnsiTheme="minorHAnsi"/>
          <w:sz w:val="16"/>
          <w:szCs w:val="16"/>
        </w:rPr>
        <w:t xml:space="preserve"> </w:t>
      </w:r>
    </w:p>
  </w:footnote>
  <w:footnote w:id="24">
    <w:p w14:paraId="36FC8982" w14:textId="77777777" w:rsidR="006712E0" w:rsidRPr="00CE45DF" w:rsidRDefault="006712E0" w:rsidP="00323519">
      <w:pPr>
        <w:spacing w:after="0" w:line="240" w:lineRule="auto"/>
        <w:jc w:val="both"/>
        <w:rPr>
          <w:rFonts w:asciiTheme="minorHAnsi" w:hAnsiTheme="minorHAnsi"/>
          <w:sz w:val="16"/>
          <w:szCs w:val="16"/>
        </w:rPr>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Predlog Evropske unije (</w:t>
      </w:r>
      <w:r w:rsidRPr="00323519">
        <w:rPr>
          <w:rFonts w:asciiTheme="minorHAnsi" w:eastAsia="Calibri" w:hAnsiTheme="minorHAnsi" w:cs="Calibri"/>
          <w:sz w:val="16"/>
          <w:szCs w:val="16"/>
        </w:rPr>
        <w:t xml:space="preserve">Position paper) za period nakon 2020. godine, o politikama obrazovanja i osposobljavanja koje organizuje Evropsko udruženje za stručno obrazovanje i osposobljavanje u saradnji sa VET4EU2, </w:t>
      </w:r>
      <w:hyperlink r:id="rId12">
        <w:r w:rsidRPr="00323519">
          <w:rPr>
            <w:rStyle w:val="Hyperlink"/>
            <w:rFonts w:asciiTheme="minorHAnsi" w:hAnsiTheme="minorHAnsi"/>
            <w:sz w:val="16"/>
            <w:szCs w:val="16"/>
          </w:rPr>
          <w:t>https://ec.europa.eu/education/policies/eu-policy-in-the-field-of-vocational-education-and-training-vet_en</w:t>
        </w:r>
      </w:hyperlink>
      <w:r w:rsidRPr="00323519">
        <w:rPr>
          <w:rFonts w:asciiTheme="minorHAnsi" w:eastAsia="Calibri" w:hAnsiTheme="minorHAnsi" w:cs="Calibri"/>
          <w:sz w:val="16"/>
          <w:szCs w:val="16"/>
        </w:rPr>
        <w:t xml:space="preserve">; </w:t>
      </w:r>
      <w:r w:rsidRPr="00323519">
        <w:rPr>
          <w:rFonts w:asciiTheme="minorHAnsi" w:hAnsiTheme="minorHAnsi"/>
          <w:sz w:val="16"/>
          <w:szCs w:val="16"/>
        </w:rPr>
        <w:t xml:space="preserve"> </w:t>
      </w:r>
      <w:r w:rsidRPr="00323519">
        <w:rPr>
          <w:rFonts w:asciiTheme="minorHAnsi" w:eastAsia="Calibri" w:hAnsiTheme="minorHAnsi" w:cs="Calibri"/>
          <w:sz w:val="16"/>
          <w:szCs w:val="16"/>
        </w:rPr>
        <w:t xml:space="preserve">VET Ekspertska konferencija o stručnom obrazovanju i osposobljavanju: "Budućnost stručnog obrazovanja i osposobljavanja u Evropi", austrijsko predsjedavanje Savjetom Evropske unije, jul 2018. godine; Kakva je budućnost stručnog obrazovanja i osposobljavanja u Evropi? </w:t>
      </w:r>
      <w:hyperlink r:id="rId13">
        <w:r w:rsidRPr="00323519">
          <w:rPr>
            <w:rStyle w:val="Hyperlink"/>
            <w:rFonts w:asciiTheme="minorHAnsi" w:hAnsiTheme="minorHAnsi"/>
            <w:sz w:val="16"/>
            <w:szCs w:val="16"/>
          </w:rPr>
          <w:t>https://www.cedefop.europa.eu/files/9133_en.pdf</w:t>
        </w:r>
      </w:hyperlink>
      <w:r w:rsidRPr="00CE45DF">
        <w:rPr>
          <w:rFonts w:asciiTheme="minorHAnsi" w:eastAsia="Calibri" w:hAnsiTheme="minorHAnsi" w:cs="Calibri"/>
          <w:sz w:val="16"/>
          <w:szCs w:val="16"/>
        </w:rPr>
        <w:t xml:space="preserve"> </w:t>
      </w:r>
    </w:p>
  </w:footnote>
  <w:footnote w:id="25">
    <w:p w14:paraId="1134211D" w14:textId="77777777" w:rsidR="006712E0" w:rsidRDefault="006712E0" w:rsidP="00047EF8">
      <w:pPr>
        <w:pStyle w:val="FootnoteText"/>
      </w:pPr>
      <w:r w:rsidRPr="00CE45DF">
        <w:rPr>
          <w:rStyle w:val="FootnoteReference"/>
          <w:rFonts w:asciiTheme="minorHAnsi" w:hAnsiTheme="minorHAnsi"/>
        </w:rPr>
        <w:footnoteRef/>
      </w:r>
      <w:r w:rsidRPr="00CE45DF">
        <w:rPr>
          <w:rFonts w:asciiTheme="minorHAnsi" w:hAnsiTheme="minorHAnsi"/>
        </w:rPr>
        <w:t xml:space="preserve"> </w:t>
      </w:r>
      <w:r w:rsidRPr="00CE45DF">
        <w:rPr>
          <w:rFonts w:asciiTheme="minorHAnsi" w:eastAsia="Calibri" w:hAnsiTheme="minorHAnsi" w:cs="Calibri"/>
          <w:sz w:val="16"/>
          <w:szCs w:val="16"/>
        </w:rPr>
        <w:t>Decem</w:t>
      </w:r>
      <w:r>
        <w:rPr>
          <w:rFonts w:asciiTheme="minorHAnsi" w:eastAsia="Calibri" w:hAnsiTheme="minorHAnsi" w:cs="Calibri"/>
          <w:sz w:val="16"/>
          <w:szCs w:val="16"/>
        </w:rPr>
        <w:t xml:space="preserve">bar </w:t>
      </w:r>
      <w:r w:rsidRPr="00CE45DF">
        <w:rPr>
          <w:rFonts w:asciiTheme="minorHAnsi" w:eastAsia="Calibri" w:hAnsiTheme="minorHAnsi" w:cs="Calibri"/>
          <w:sz w:val="16"/>
          <w:szCs w:val="16"/>
        </w:rPr>
        <w:t>2016</w:t>
      </w:r>
      <w:r>
        <w:rPr>
          <w:rFonts w:asciiTheme="minorHAnsi" w:eastAsia="Calibri" w:hAnsiTheme="minorHAnsi" w:cs="Calibri"/>
          <w:sz w:val="16"/>
          <w:szCs w:val="16"/>
        </w:rPr>
        <w:t>. godine</w:t>
      </w:r>
      <w:r w:rsidRPr="00CE45DF">
        <w:rPr>
          <w:rFonts w:asciiTheme="minorHAnsi" w:eastAsia="Calibri" w:hAnsiTheme="minorHAnsi" w:cs="Calibri"/>
          <w:sz w:val="16"/>
          <w:szCs w:val="16"/>
        </w:rPr>
        <w:t xml:space="preserve">, </w:t>
      </w:r>
      <w:hyperlink r:id="rId14">
        <w:r w:rsidRPr="00CE45DF">
          <w:rPr>
            <w:rStyle w:val="Hyperlink"/>
            <w:rFonts w:asciiTheme="minorHAnsi" w:hAnsiTheme="minorHAnsi"/>
            <w:sz w:val="16"/>
            <w:szCs w:val="16"/>
          </w:rPr>
          <w:t>https://mps.gov.me/biblioteka/strategije</w:t>
        </w:r>
      </w:hyperlink>
    </w:p>
  </w:footnote>
  <w:footnote w:id="26">
    <w:p w14:paraId="17E703B2" w14:textId="77777777" w:rsidR="006712E0" w:rsidRPr="00323519" w:rsidRDefault="006712E0" w:rsidP="00323519">
      <w:pPr>
        <w:autoSpaceDE w:val="0"/>
        <w:autoSpaceDN w:val="0"/>
        <w:adjustRightInd w:val="0"/>
        <w:spacing w:after="0" w:line="240" w:lineRule="auto"/>
        <w:jc w:val="both"/>
        <w:rPr>
          <w:rFonts w:asciiTheme="minorHAnsi" w:hAnsiTheme="minorHAnsi" w:cstheme="minorHAnsi"/>
          <w:sz w:val="16"/>
          <w:szCs w:val="16"/>
        </w:rPr>
      </w:pPr>
      <w:r w:rsidRPr="00323519">
        <w:rPr>
          <w:rStyle w:val="FootnoteReference"/>
          <w:rFonts w:asciiTheme="minorHAnsi" w:hAnsiTheme="minorHAnsi" w:cstheme="minorHAnsi"/>
          <w:sz w:val="16"/>
          <w:szCs w:val="16"/>
        </w:rPr>
        <w:footnoteRef/>
      </w:r>
      <w:r w:rsidRPr="00323519">
        <w:rPr>
          <w:rFonts w:asciiTheme="minorHAnsi" w:hAnsiTheme="minorHAnsi" w:cstheme="minorHAnsi"/>
          <w:sz w:val="16"/>
          <w:szCs w:val="16"/>
        </w:rPr>
        <w:t xml:space="preserve"> 0% do 700 EUR bruto zarada; 9% od 700-1000 EUR bruto zarada; 15% preko 1000 EUR bruto zarada</w:t>
      </w:r>
    </w:p>
  </w:footnote>
  <w:footnote w:id="27">
    <w:p w14:paraId="148572F2" w14:textId="77777777" w:rsidR="006712E0" w:rsidRPr="00323519" w:rsidRDefault="006712E0" w:rsidP="00047EF8">
      <w:pPr>
        <w:pStyle w:val="FootnoteText"/>
        <w:rPr>
          <w:sz w:val="16"/>
          <w:szCs w:val="16"/>
        </w:rPr>
      </w:pPr>
      <w:r w:rsidRPr="00323519">
        <w:rPr>
          <w:rStyle w:val="FootnoteReference"/>
          <w:sz w:val="16"/>
          <w:szCs w:val="16"/>
        </w:rPr>
        <w:footnoteRef/>
      </w:r>
      <w:r w:rsidRPr="00323519">
        <w:rPr>
          <w:sz w:val="16"/>
          <w:szCs w:val="16"/>
        </w:rPr>
        <w:t xml:space="preserve"> ETF studija o vještinama za pametnu specijalizaciju u </w:t>
      </w:r>
      <w:hyperlink r:id="rId15" w:history="1">
        <w:r w:rsidRPr="00323519">
          <w:rPr>
            <w:rStyle w:val="Hyperlink"/>
            <w:sz w:val="16"/>
            <w:szCs w:val="16"/>
          </w:rPr>
          <w:t>Crnoj</w:t>
        </w:r>
      </w:hyperlink>
      <w:r w:rsidRPr="00323519">
        <w:rPr>
          <w:rStyle w:val="Hyperlink"/>
          <w:sz w:val="16"/>
          <w:szCs w:val="16"/>
        </w:rPr>
        <w:t xml:space="preserve"> Gori</w:t>
      </w:r>
    </w:p>
  </w:footnote>
  <w:footnote w:id="28">
    <w:p w14:paraId="5E9778FE" w14:textId="77777777" w:rsidR="006712E0" w:rsidRPr="00323519" w:rsidRDefault="006712E0" w:rsidP="00323519">
      <w:pPr>
        <w:pStyle w:val="FootnoteText"/>
        <w:spacing w:line="240" w:lineRule="auto"/>
        <w:ind w:left="180" w:hanging="180"/>
        <w:jc w:val="both"/>
        <w:rPr>
          <w:rFonts w:asciiTheme="minorHAnsi" w:hAnsiTheme="minorHAnsi"/>
          <w:sz w:val="16"/>
          <w:szCs w:val="16"/>
        </w:rPr>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Saopštenje Evropske komisije upućeno Evropskom parlamentu, Savjetu, Evropskom ekonomskom i socijalnom komitetu i Komitetu regiona, Ekonomski i investicioni plan za Zapadni Balkan, Brisel, 6.10.2020, </w:t>
      </w:r>
      <w:proofErr w:type="gramStart"/>
      <w:r w:rsidRPr="00323519">
        <w:rPr>
          <w:rFonts w:asciiTheme="minorHAnsi" w:hAnsiTheme="minorHAnsi"/>
          <w:sz w:val="16"/>
          <w:szCs w:val="16"/>
        </w:rPr>
        <w:t>COM(</w:t>
      </w:r>
      <w:proofErr w:type="gramEnd"/>
      <w:r w:rsidRPr="00323519">
        <w:rPr>
          <w:rFonts w:asciiTheme="minorHAnsi" w:hAnsiTheme="minorHAnsi"/>
          <w:sz w:val="16"/>
          <w:szCs w:val="16"/>
        </w:rPr>
        <w:t>2020) 641 konačna verzija</w:t>
      </w:r>
    </w:p>
  </w:footnote>
  <w:footnote w:id="29">
    <w:p w14:paraId="74098242" w14:textId="77777777" w:rsidR="006712E0" w:rsidRDefault="006712E0" w:rsidP="00323519">
      <w:pPr>
        <w:pStyle w:val="FootnoteText"/>
        <w:spacing w:line="240" w:lineRule="auto"/>
        <w:jc w:val="both"/>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Saopštenje – Vjerodostojna perspektiva proširenja za Zapadni Balkan i pojačano angažovanje EU na Zapadnom Balkanu, Strazbur, 6.2.2018 COM (2018) 65 konačna verzija</w:t>
      </w:r>
    </w:p>
  </w:footnote>
  <w:footnote w:id="30">
    <w:p w14:paraId="2BD723F3" w14:textId="243F07A5" w:rsidR="006712E0" w:rsidRPr="00323519" w:rsidRDefault="006712E0" w:rsidP="00323519">
      <w:pPr>
        <w:pStyle w:val="FootnoteText"/>
        <w:jc w:val="both"/>
        <w:rPr>
          <w:rFonts w:asciiTheme="minorHAnsi" w:hAnsiTheme="minorHAnsi"/>
          <w:sz w:val="16"/>
          <w:szCs w:val="16"/>
        </w:rPr>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w:t>
      </w:r>
      <w:hyperlink r:id="rId16" w:history="1">
        <w:r w:rsidR="00323519" w:rsidRPr="007C57D3">
          <w:rPr>
            <w:rStyle w:val="Hyperlink"/>
            <w:rFonts w:asciiTheme="minorHAnsi" w:hAnsiTheme="minorHAnsi"/>
            <w:sz w:val="16"/>
            <w:szCs w:val="16"/>
          </w:rPr>
          <w:t>https://eur-lex.europa.eu/legal-content/EN/TXT/PDF/?uri=CELEX:32018H0604(01)&amp;from=EN</w:t>
        </w:r>
      </w:hyperlink>
      <w:r w:rsidR="00323519">
        <w:rPr>
          <w:rFonts w:asciiTheme="minorHAnsi" w:hAnsiTheme="minorHAnsi"/>
          <w:sz w:val="16"/>
          <w:szCs w:val="16"/>
        </w:rPr>
        <w:t xml:space="preserve"> </w:t>
      </w:r>
    </w:p>
  </w:footnote>
  <w:footnote w:id="31">
    <w:p w14:paraId="778AF26C" w14:textId="77777777" w:rsidR="006712E0" w:rsidRPr="00323519" w:rsidRDefault="006712E0" w:rsidP="00047EF8">
      <w:pPr>
        <w:pStyle w:val="FootnoteText"/>
        <w:rPr>
          <w:rFonts w:asciiTheme="minorHAnsi" w:hAnsiTheme="minorHAnsi"/>
          <w:sz w:val="16"/>
          <w:szCs w:val="16"/>
        </w:rPr>
      </w:pPr>
      <w:r w:rsidRPr="00323519">
        <w:rPr>
          <w:rStyle w:val="FootnoteReference"/>
          <w:rFonts w:asciiTheme="minorHAnsi" w:hAnsiTheme="minorHAnsi"/>
          <w:sz w:val="16"/>
          <w:szCs w:val="16"/>
        </w:rPr>
        <w:footnoteRef/>
      </w:r>
      <w:r w:rsidRPr="00323519">
        <w:rPr>
          <w:rFonts w:asciiTheme="minorHAnsi" w:hAnsiTheme="minorHAnsi"/>
          <w:sz w:val="16"/>
          <w:szCs w:val="16"/>
        </w:rPr>
        <w:t xml:space="preserve"> </w:t>
      </w:r>
      <w:proofErr w:type="gramStart"/>
      <w:r w:rsidRPr="00323519">
        <w:rPr>
          <w:rFonts w:asciiTheme="minorHAnsi" w:hAnsiTheme="minorHAnsi"/>
          <w:sz w:val="16"/>
          <w:szCs w:val="16"/>
        </w:rPr>
        <w:t>C(</w:t>
      </w:r>
      <w:proofErr w:type="gramEnd"/>
      <w:r w:rsidRPr="00323519">
        <w:rPr>
          <w:rFonts w:asciiTheme="minorHAnsi" w:hAnsiTheme="minorHAnsi"/>
          <w:sz w:val="16"/>
          <w:szCs w:val="16"/>
        </w:rPr>
        <w:t>2021) 1372 of 4 March 2021</w:t>
      </w:r>
    </w:p>
  </w:footnote>
  <w:footnote w:id="32">
    <w:p w14:paraId="28830E93" w14:textId="77777777" w:rsidR="006712E0" w:rsidRPr="00323519" w:rsidRDefault="006712E0" w:rsidP="00047EF8">
      <w:pPr>
        <w:pStyle w:val="FootnoteText"/>
        <w:ind w:left="90" w:hanging="90"/>
        <w:rPr>
          <w:rFonts w:asciiTheme="minorHAnsi" w:hAnsiTheme="minorHAnsi"/>
          <w:b/>
        </w:rPr>
      </w:pPr>
      <w:r w:rsidRPr="00323519">
        <w:rPr>
          <w:rStyle w:val="FootnoteReference"/>
          <w:rFonts w:asciiTheme="minorHAnsi" w:hAnsiTheme="minorHAnsi"/>
          <w:sz w:val="14"/>
          <w:szCs w:val="14"/>
        </w:rPr>
        <w:footnoteRef/>
      </w:r>
      <w:r w:rsidRPr="00323519">
        <w:rPr>
          <w:rFonts w:asciiTheme="minorHAnsi" w:hAnsiTheme="minorHAnsi"/>
        </w:rPr>
        <w:t xml:space="preserve"> </w:t>
      </w:r>
      <w:r w:rsidRPr="00323519">
        <w:rPr>
          <w:rFonts w:asciiTheme="minorHAnsi" w:hAnsiTheme="minorHAnsi"/>
          <w:sz w:val="14"/>
        </w:rPr>
        <w:t>Uredba (EU) br. 1301/2013 Evropskog parlamenta i Savjeta od 17. decembra 2013. o Evropskom fondu za regionalni razvoj i o posebnim odredbama o cilju „Ulaganje za rast i radna mjesta” te stavljanju van snage Uredbe (EZ) br. 1080/2006</w:t>
      </w:r>
    </w:p>
  </w:footnote>
  <w:footnote w:id="33">
    <w:p w14:paraId="46D2E243" w14:textId="77777777" w:rsidR="006712E0" w:rsidRPr="00651C28" w:rsidRDefault="006712E0" w:rsidP="00047EF8">
      <w:pPr>
        <w:pStyle w:val="FootnoteText"/>
        <w:rPr>
          <w:sz w:val="16"/>
          <w:szCs w:val="16"/>
          <w:lang w:val="bs-Latn-BA"/>
        </w:rPr>
      </w:pPr>
      <w:r w:rsidRPr="00651C28">
        <w:rPr>
          <w:rStyle w:val="FootnoteReference"/>
          <w:sz w:val="16"/>
          <w:szCs w:val="16"/>
          <w:lang w:val="bs-Latn-BA"/>
        </w:rPr>
        <w:footnoteRef/>
      </w:r>
      <w:r w:rsidRPr="00651C28">
        <w:rPr>
          <w:sz w:val="16"/>
          <w:szCs w:val="16"/>
          <w:lang w:val="bs-Latn-BA"/>
        </w:rPr>
        <w:t xml:space="preserve"> </w:t>
      </w:r>
      <w:r w:rsidRPr="00651C28">
        <w:rPr>
          <w:sz w:val="16"/>
          <w:szCs w:val="16"/>
          <w:lang w:val="bs-Latn-BA"/>
        </w:rPr>
        <w:t>„Službeni list Crne Gore“, br. 54/2018 od 31. jula 2018. godine, koji je stupio na snagu 8. avgusta 2018. godine</w:t>
      </w:r>
    </w:p>
  </w:footnote>
  <w:footnote w:id="34">
    <w:p w14:paraId="233EFB69" w14:textId="77777777" w:rsidR="006712E0" w:rsidRPr="00323519" w:rsidRDefault="006712E0" w:rsidP="00323519">
      <w:pPr>
        <w:pStyle w:val="FootnoteText"/>
        <w:spacing w:line="240" w:lineRule="auto"/>
        <w:ind w:left="0" w:firstLine="0"/>
        <w:jc w:val="both"/>
        <w:rPr>
          <w:rFonts w:asciiTheme="minorHAnsi" w:hAnsiTheme="minorHAnsi"/>
          <w:sz w:val="16"/>
          <w:szCs w:val="16"/>
          <w:lang w:val="bs-Latn-BA"/>
        </w:rPr>
      </w:pPr>
      <w:r w:rsidRPr="00323519">
        <w:rPr>
          <w:rStyle w:val="FootnoteReference"/>
          <w:rFonts w:asciiTheme="minorHAnsi" w:hAnsiTheme="minorHAnsi"/>
          <w:sz w:val="16"/>
          <w:szCs w:val="16"/>
          <w:lang w:val="bs-Latn-BA"/>
        </w:rPr>
        <w:footnoteRef/>
      </w:r>
      <w:r w:rsidRPr="00323519">
        <w:rPr>
          <w:rFonts w:asciiTheme="minorHAnsi" w:hAnsiTheme="minorHAnsi"/>
          <w:sz w:val="16"/>
          <w:szCs w:val="16"/>
          <w:lang w:val="bs-Latn-BA"/>
        </w:rPr>
        <w:t xml:space="preserve"> </w:t>
      </w:r>
      <w:r w:rsidRPr="00323519">
        <w:rPr>
          <w:rFonts w:asciiTheme="minorHAnsi" w:hAnsiTheme="minorHAnsi"/>
          <w:sz w:val="16"/>
          <w:szCs w:val="16"/>
          <w:lang w:val="bs-Latn-BA"/>
        </w:rPr>
        <w:t>„Politike razvoja ljudskog kapitala u Crnoj Gori“ (</w:t>
      </w:r>
      <w:r w:rsidRPr="00323519">
        <w:rPr>
          <w:rFonts w:asciiTheme="minorHAnsi" w:eastAsia="Calibri" w:hAnsiTheme="minorHAnsi" w:cs="Calibri"/>
          <w:i/>
          <w:sz w:val="16"/>
          <w:szCs w:val="16"/>
          <w:lang w:val="bs-Latn-BA"/>
        </w:rPr>
        <w:t>Policies for human capital development in Montenegr</w:t>
      </w:r>
      <w:r w:rsidRPr="00323519">
        <w:rPr>
          <w:rFonts w:asciiTheme="minorHAnsi" w:eastAsia="Calibri" w:hAnsiTheme="minorHAnsi" w:cs="Calibri"/>
          <w:sz w:val="16"/>
          <w:szCs w:val="16"/>
          <w:lang w:val="bs-Latn-BA"/>
        </w:rPr>
        <w:t>o), procjena Evropske fondacije za obuke (ETF) sa sjedištem u Torinu iz 2019. godine</w:t>
      </w:r>
    </w:p>
  </w:footnote>
  <w:footnote w:id="35">
    <w:p w14:paraId="423FA12B" w14:textId="77777777" w:rsidR="006712E0" w:rsidRPr="00651C28" w:rsidRDefault="006712E0" w:rsidP="00323519">
      <w:pPr>
        <w:pStyle w:val="FootnoteText"/>
        <w:spacing w:line="240" w:lineRule="auto"/>
        <w:jc w:val="both"/>
        <w:rPr>
          <w:sz w:val="16"/>
          <w:szCs w:val="16"/>
          <w:lang w:val="bs-Latn-BA"/>
        </w:rPr>
      </w:pPr>
      <w:r w:rsidRPr="00323519">
        <w:rPr>
          <w:rStyle w:val="FootnoteReference"/>
          <w:rFonts w:asciiTheme="minorHAnsi" w:hAnsiTheme="minorHAnsi"/>
          <w:sz w:val="16"/>
          <w:szCs w:val="16"/>
          <w:lang w:val="bs-Latn-BA"/>
        </w:rPr>
        <w:footnoteRef/>
      </w:r>
      <w:r w:rsidRPr="00323519">
        <w:rPr>
          <w:rFonts w:asciiTheme="minorHAnsi" w:hAnsiTheme="minorHAnsi"/>
          <w:sz w:val="16"/>
          <w:szCs w:val="16"/>
          <w:lang w:val="bs-Latn-BA"/>
        </w:rPr>
        <w:t xml:space="preserve"> </w:t>
      </w:r>
      <w:hyperlink r:id="rId17">
        <w:r w:rsidRPr="00323519">
          <w:rPr>
            <w:rStyle w:val="Hyperlink"/>
            <w:rFonts w:asciiTheme="minorHAnsi" w:eastAsia="Calibri" w:hAnsiTheme="minorHAnsi" w:cs="Calibri"/>
            <w:sz w:val="16"/>
            <w:szCs w:val="16"/>
            <w:lang w:val="bs-Latn-BA"/>
          </w:rPr>
          <w:t>https://eacea.ec.europa.eu/national-policies/eurydice/content/montenegro_en</w:t>
        </w:r>
      </w:hyperlink>
    </w:p>
  </w:footnote>
  <w:footnote w:id="36">
    <w:p w14:paraId="1E16C70A" w14:textId="77777777" w:rsidR="006712E0" w:rsidRPr="00651C28" w:rsidRDefault="006712E0" w:rsidP="00047EF8">
      <w:pPr>
        <w:pStyle w:val="FootnoteText"/>
        <w:rPr>
          <w:sz w:val="16"/>
          <w:szCs w:val="16"/>
          <w:lang w:val="bs-Latn-BA"/>
        </w:rPr>
      </w:pPr>
      <w:r w:rsidRPr="00651C28">
        <w:rPr>
          <w:rStyle w:val="FootnoteReference"/>
          <w:sz w:val="16"/>
          <w:szCs w:val="16"/>
        </w:rPr>
        <w:footnoteRef/>
      </w:r>
      <w:r w:rsidRPr="00651C28">
        <w:rPr>
          <w:sz w:val="16"/>
          <w:szCs w:val="16"/>
        </w:rPr>
        <w:t xml:space="preserve"> </w:t>
      </w:r>
      <w:r w:rsidRPr="00651C28">
        <w:rPr>
          <w:sz w:val="16"/>
          <w:szCs w:val="16"/>
          <w:lang w:val="bs-Latn-BA"/>
        </w:rPr>
        <w:t>Deklaracija iz Inčena (</w:t>
      </w:r>
      <w:r w:rsidRPr="00651C28">
        <w:rPr>
          <w:i/>
          <w:sz w:val="16"/>
          <w:szCs w:val="16"/>
          <w:lang w:val="bs-Latn-BA"/>
        </w:rPr>
        <w:t>Incheon Declaration</w:t>
      </w:r>
      <w:r w:rsidRPr="00651C28">
        <w:rPr>
          <w:sz w:val="16"/>
          <w:szCs w:val="16"/>
          <w:lang w:val="bs-Latn-BA"/>
        </w:rPr>
        <w:t>) iz 2016. godine</w:t>
      </w:r>
    </w:p>
  </w:footnote>
  <w:footnote w:id="37">
    <w:p w14:paraId="6ADE8AFE" w14:textId="77777777" w:rsidR="006712E0" w:rsidRPr="00323519" w:rsidRDefault="006712E0" w:rsidP="00323519">
      <w:pPr>
        <w:pStyle w:val="FootnoteText"/>
        <w:spacing w:line="240" w:lineRule="auto"/>
        <w:jc w:val="both"/>
        <w:rPr>
          <w:rFonts w:asciiTheme="minorHAnsi" w:hAnsiTheme="minorHAnsi"/>
          <w:sz w:val="16"/>
          <w:szCs w:val="16"/>
          <w:lang w:val="bs-Latn-BA"/>
        </w:rPr>
      </w:pPr>
      <w:r w:rsidRPr="00323519">
        <w:rPr>
          <w:rStyle w:val="FootnoteReference"/>
          <w:rFonts w:asciiTheme="minorHAnsi" w:hAnsiTheme="minorHAnsi"/>
          <w:sz w:val="16"/>
          <w:szCs w:val="16"/>
          <w:lang w:val="bs-Latn-BA"/>
        </w:rPr>
        <w:footnoteRef/>
      </w:r>
      <w:r w:rsidRPr="00323519">
        <w:rPr>
          <w:rFonts w:asciiTheme="minorHAnsi" w:hAnsiTheme="minorHAnsi"/>
          <w:sz w:val="16"/>
          <w:szCs w:val="16"/>
          <w:lang w:val="bs-Latn-BA"/>
        </w:rPr>
        <w:t xml:space="preserve"> </w:t>
      </w:r>
      <w:r w:rsidRPr="00323519">
        <w:rPr>
          <w:rFonts w:asciiTheme="minorHAnsi" w:hAnsiTheme="minorHAnsi"/>
          <w:sz w:val="16"/>
          <w:szCs w:val="16"/>
          <w:lang w:val="bs-Latn-BA"/>
        </w:rPr>
        <w:t xml:space="preserve">2018/C 189/01, od </w:t>
      </w:r>
      <w:r w:rsidRPr="00323519">
        <w:rPr>
          <w:rFonts w:asciiTheme="minorHAnsi" w:eastAsia="Arial" w:hAnsiTheme="minorHAnsi" w:cs="Arial"/>
          <w:sz w:val="16"/>
          <w:szCs w:val="16"/>
          <w:lang w:val="bs-Latn-BA"/>
        </w:rPr>
        <w:t>22. maja 2018. godine</w:t>
      </w:r>
    </w:p>
  </w:footnote>
  <w:footnote w:id="38">
    <w:p w14:paraId="76873399" w14:textId="77777777" w:rsidR="006712E0" w:rsidRPr="00323519" w:rsidRDefault="006712E0" w:rsidP="00323519">
      <w:pPr>
        <w:pStyle w:val="FootnoteText"/>
        <w:spacing w:line="240" w:lineRule="auto"/>
        <w:jc w:val="both"/>
        <w:rPr>
          <w:rFonts w:asciiTheme="minorHAnsi" w:hAnsiTheme="minorHAnsi"/>
          <w:sz w:val="16"/>
          <w:szCs w:val="16"/>
          <w:lang w:val="bs-Latn-BA"/>
        </w:rPr>
      </w:pPr>
      <w:r w:rsidRPr="00323519">
        <w:rPr>
          <w:rStyle w:val="FootnoteReference"/>
          <w:rFonts w:asciiTheme="minorHAnsi" w:hAnsiTheme="minorHAnsi"/>
          <w:sz w:val="16"/>
          <w:szCs w:val="16"/>
          <w:lang w:val="bs-Latn-BA"/>
        </w:rPr>
        <w:footnoteRef/>
      </w:r>
      <w:r w:rsidRPr="00323519">
        <w:rPr>
          <w:rFonts w:asciiTheme="minorHAnsi" w:hAnsiTheme="minorHAnsi"/>
          <w:sz w:val="16"/>
          <w:szCs w:val="16"/>
          <w:lang w:val="bs-Latn-BA"/>
        </w:rPr>
        <w:t xml:space="preserve"> </w:t>
      </w:r>
      <w:r w:rsidRPr="00323519">
        <w:rPr>
          <w:rFonts w:asciiTheme="minorHAnsi" w:hAnsiTheme="minorHAnsi"/>
          <w:sz w:val="16"/>
          <w:szCs w:val="16"/>
          <w:lang w:val="bs-Latn-BA"/>
        </w:rPr>
        <w:t>2020/C 417/01,</w:t>
      </w:r>
      <w:r w:rsidRPr="00323519">
        <w:rPr>
          <w:rFonts w:asciiTheme="minorHAnsi" w:eastAsia="Calibri" w:hAnsiTheme="minorHAnsi"/>
          <w:sz w:val="16"/>
          <w:szCs w:val="16"/>
          <w:lang w:val="bs-Latn-BA"/>
        </w:rPr>
        <w:t xml:space="preserve"> od 24. novembra 2020. godine</w:t>
      </w:r>
    </w:p>
  </w:footnote>
  <w:footnote w:id="39">
    <w:p w14:paraId="3BD36234" w14:textId="77777777" w:rsidR="006712E0" w:rsidRPr="00323519" w:rsidRDefault="006712E0" w:rsidP="00323519">
      <w:pPr>
        <w:pStyle w:val="FootnoteText"/>
        <w:spacing w:line="240" w:lineRule="auto"/>
        <w:jc w:val="both"/>
        <w:rPr>
          <w:rFonts w:asciiTheme="minorHAnsi" w:hAnsiTheme="minorHAnsi"/>
          <w:sz w:val="16"/>
          <w:szCs w:val="16"/>
          <w:lang w:val="bs-Latn-BA"/>
        </w:rPr>
      </w:pPr>
      <w:r w:rsidRPr="00323519">
        <w:rPr>
          <w:rStyle w:val="FootnoteReference"/>
          <w:rFonts w:asciiTheme="minorHAnsi" w:hAnsiTheme="minorHAnsi"/>
          <w:sz w:val="16"/>
          <w:szCs w:val="16"/>
          <w:lang w:val="bs-Latn-BA"/>
        </w:rPr>
        <w:footnoteRef/>
      </w:r>
      <w:r w:rsidRPr="00323519">
        <w:rPr>
          <w:rFonts w:asciiTheme="minorHAnsi" w:hAnsiTheme="minorHAnsi"/>
          <w:sz w:val="16"/>
          <w:szCs w:val="16"/>
          <w:lang w:val="bs-Latn-BA"/>
        </w:rPr>
        <w:t xml:space="preserve"> </w:t>
      </w:r>
      <w:r w:rsidRPr="00323519">
        <w:rPr>
          <w:rFonts w:asciiTheme="minorHAnsi" w:eastAsia="Arial" w:hAnsiTheme="minorHAnsi" w:cs="Arial"/>
          <w:sz w:val="16"/>
          <w:szCs w:val="16"/>
          <w:lang w:val="bs-Latn-BA"/>
        </w:rPr>
        <w:t>2019/C 189/04</w:t>
      </w:r>
    </w:p>
  </w:footnote>
  <w:footnote w:id="40">
    <w:p w14:paraId="376B34D7" w14:textId="77777777" w:rsidR="006712E0" w:rsidRPr="00651C28" w:rsidRDefault="006712E0" w:rsidP="00323519">
      <w:pPr>
        <w:pStyle w:val="FootnoteText"/>
        <w:spacing w:line="240" w:lineRule="auto"/>
        <w:jc w:val="both"/>
        <w:rPr>
          <w:rFonts w:asciiTheme="minorHAnsi" w:hAnsiTheme="minorHAnsi"/>
          <w:sz w:val="16"/>
          <w:szCs w:val="16"/>
          <w:lang w:val="bs-Latn-BA"/>
        </w:rPr>
      </w:pPr>
      <w:r w:rsidRPr="00323519">
        <w:rPr>
          <w:rStyle w:val="FootnoteReference"/>
          <w:rFonts w:asciiTheme="minorHAnsi" w:hAnsiTheme="minorHAnsi"/>
          <w:sz w:val="16"/>
          <w:szCs w:val="16"/>
          <w:lang w:val="bs-Latn-BA"/>
        </w:rPr>
        <w:footnoteRef/>
      </w:r>
      <w:r w:rsidRPr="00323519">
        <w:rPr>
          <w:rFonts w:asciiTheme="minorHAnsi" w:hAnsiTheme="minorHAnsi"/>
          <w:sz w:val="16"/>
          <w:szCs w:val="16"/>
          <w:lang w:val="bs-Latn-BA"/>
        </w:rPr>
        <w:t xml:space="preserve"> </w:t>
      </w:r>
      <w:r w:rsidRPr="00323519">
        <w:rPr>
          <w:rFonts w:asciiTheme="minorHAnsi" w:eastAsia="Arial" w:hAnsiTheme="minorHAnsi" w:cs="Arial"/>
          <w:sz w:val="16"/>
          <w:szCs w:val="16"/>
          <w:lang w:val="bs-Latn-BA"/>
        </w:rPr>
        <w:t>COM(2017) 247</w:t>
      </w:r>
    </w:p>
  </w:footnote>
  <w:footnote w:id="41">
    <w:p w14:paraId="26D6EEAE"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18" w:history="1">
        <w:r w:rsidRPr="002951B9">
          <w:rPr>
            <w:rStyle w:val="Hyperlink"/>
            <w:sz w:val="14"/>
            <w:szCs w:val="14"/>
          </w:rPr>
          <w:t>file:///D:/Korisnicki%20podaci/Downloads/Montenegro%20Development%20Directions%202018-2021.pdf</w:t>
        </w:r>
      </w:hyperlink>
      <w:r w:rsidRPr="002951B9">
        <w:rPr>
          <w:sz w:val="14"/>
          <w:szCs w:val="14"/>
        </w:rPr>
        <w:t xml:space="preserve"> </w:t>
      </w:r>
    </w:p>
  </w:footnote>
  <w:footnote w:id="42">
    <w:p w14:paraId="1E8F4322"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19" w:history="1">
        <w:r w:rsidRPr="002951B9">
          <w:rPr>
            <w:rStyle w:val="Hyperlink"/>
            <w:sz w:val="14"/>
            <w:szCs w:val="14"/>
          </w:rPr>
          <w:t>http://www.nssd2030.gov.me/animations/MORTuvod-zakljucak/NSSD2030.pdf</w:t>
        </w:r>
      </w:hyperlink>
      <w:r w:rsidRPr="002951B9">
        <w:rPr>
          <w:sz w:val="14"/>
          <w:szCs w:val="14"/>
        </w:rPr>
        <w:t xml:space="preserve"> </w:t>
      </w:r>
    </w:p>
  </w:footnote>
  <w:footnote w:id="43">
    <w:p w14:paraId="790F327C" w14:textId="77777777" w:rsidR="006712E0" w:rsidRPr="002951B9" w:rsidRDefault="006712E0" w:rsidP="00047EF8">
      <w:pPr>
        <w:pStyle w:val="FootnoteText"/>
        <w:rPr>
          <w:sz w:val="14"/>
          <w:szCs w:val="14"/>
        </w:rPr>
      </w:pPr>
      <w:r w:rsidRPr="002951B9">
        <w:rPr>
          <w:rStyle w:val="FootnoteReference"/>
          <w:sz w:val="14"/>
          <w:szCs w:val="14"/>
        </w:rPr>
        <w:footnoteRef/>
      </w:r>
      <w:r w:rsidRPr="002951B9">
        <w:rPr>
          <w:sz w:val="14"/>
          <w:szCs w:val="14"/>
        </w:rPr>
        <w:t xml:space="preserve"> </w:t>
      </w:r>
      <w:hyperlink r:id="rId20" w:history="1">
        <w:r w:rsidRPr="002951B9">
          <w:rPr>
            <w:rStyle w:val="Hyperlink"/>
            <w:sz w:val="14"/>
            <w:szCs w:val="14"/>
          </w:rPr>
          <w:t>https://www.kei.gov.me/ResourceManager/FileDownload.aspx?rid=399773&amp;rType=2&amp;file=6%20II%2020%20Usvojeni%20PPCG%202020-2022.pdf</w:t>
        </w:r>
      </w:hyperlink>
      <w:r w:rsidRPr="002951B9">
        <w:rPr>
          <w:sz w:val="14"/>
          <w:szCs w:val="14"/>
        </w:rPr>
        <w:t xml:space="preserve"> </w:t>
      </w:r>
    </w:p>
  </w:footnote>
  <w:footnote w:id="44">
    <w:p w14:paraId="5710B5A8" w14:textId="77777777" w:rsidR="006712E0" w:rsidRPr="002951B9" w:rsidRDefault="006712E0" w:rsidP="00047EF8">
      <w:pPr>
        <w:pStyle w:val="FootnoteText"/>
        <w:rPr>
          <w:sz w:val="14"/>
          <w:szCs w:val="14"/>
          <w:lang w:val="en-US"/>
        </w:rPr>
      </w:pPr>
      <w:r w:rsidRPr="002951B9">
        <w:rPr>
          <w:rStyle w:val="FootnoteReference"/>
          <w:sz w:val="14"/>
          <w:szCs w:val="14"/>
        </w:rPr>
        <w:footnoteRef/>
      </w:r>
      <w:hyperlink r:id="rId21" w:history="1">
        <w:r w:rsidRPr="002951B9">
          <w:rPr>
            <w:rStyle w:val="Hyperlink"/>
            <w:sz w:val="14"/>
            <w:szCs w:val="14"/>
          </w:rPr>
          <w:t>file:///D:/Korisnicki%20podaci/Downloads/PUBLIC%20ADMINISTRATION%20REFORM%20STRATEGY%20IN%20MONTENEGRO%202016-2020%20(4).pdf</w:t>
        </w:r>
      </w:hyperlink>
      <w:r w:rsidRPr="002951B9">
        <w:rPr>
          <w:sz w:val="14"/>
          <w:szCs w:val="14"/>
        </w:rPr>
        <w:t xml:space="preserve"> </w:t>
      </w:r>
    </w:p>
  </w:footnote>
  <w:footnote w:id="45">
    <w:p w14:paraId="3715DC8D"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22" w:history="1">
        <w:r w:rsidRPr="002951B9">
          <w:rPr>
            <w:rStyle w:val="Hyperlink"/>
            <w:sz w:val="14"/>
            <w:szCs w:val="14"/>
          </w:rPr>
          <w:t>file:///D:/Korisnicki%20podaci/Downloads/StrategijaMID_finalENG%20(1).pdf</w:t>
        </w:r>
      </w:hyperlink>
      <w:r w:rsidRPr="002951B9">
        <w:rPr>
          <w:sz w:val="14"/>
          <w:szCs w:val="14"/>
        </w:rPr>
        <w:t xml:space="preserve"> </w:t>
      </w:r>
    </w:p>
  </w:footnote>
  <w:footnote w:id="46">
    <w:p w14:paraId="5CBAE3FD"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23" w:history="1">
        <w:r w:rsidRPr="002951B9">
          <w:rPr>
            <w:rStyle w:val="Hyperlink"/>
            <w:sz w:val="14"/>
            <w:szCs w:val="14"/>
          </w:rPr>
          <w:t>file:///D:/Korisnicki%20podaci/Downloads/Cyber%20Security%20Strategy%20of%20Montenegro%202018-2021%20eng.pdf</w:t>
        </w:r>
      </w:hyperlink>
      <w:r w:rsidRPr="002951B9">
        <w:rPr>
          <w:sz w:val="14"/>
          <w:szCs w:val="14"/>
        </w:rPr>
        <w:t xml:space="preserve">  </w:t>
      </w:r>
    </w:p>
  </w:footnote>
  <w:footnote w:id="47">
    <w:p w14:paraId="08C947CA"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24" w:history="1">
        <w:r w:rsidRPr="002951B9">
          <w:rPr>
            <w:rStyle w:val="Hyperlink"/>
            <w:sz w:val="14"/>
            <w:szCs w:val="14"/>
          </w:rPr>
          <w:t>file:///D:/Korisnicki%20podaci/Downloads/Strategija%20unapre%C4%91enja%20podsticajnog%20okru%C5%BEenja%20%202018-20120.pdf</w:t>
        </w:r>
      </w:hyperlink>
      <w:r w:rsidRPr="002951B9">
        <w:rPr>
          <w:sz w:val="14"/>
          <w:szCs w:val="14"/>
        </w:rPr>
        <w:t xml:space="preserve"> </w:t>
      </w:r>
    </w:p>
  </w:footnote>
  <w:footnote w:id="48">
    <w:p w14:paraId="2CD3D2EC"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25" w:history="1">
        <w:r w:rsidRPr="002951B9">
          <w:rPr>
            <w:rStyle w:val="Hyperlink"/>
            <w:sz w:val="14"/>
            <w:szCs w:val="14"/>
          </w:rPr>
          <w:t>https://www.otvorenauprava.me/wp-content/uploads/2018/12/NAP-engl.pdf</w:t>
        </w:r>
      </w:hyperlink>
      <w:r w:rsidRPr="002951B9">
        <w:rPr>
          <w:sz w:val="14"/>
          <w:szCs w:val="14"/>
        </w:rPr>
        <w:t xml:space="preserve"> </w:t>
      </w:r>
    </w:p>
  </w:footnote>
  <w:footnote w:id="49">
    <w:p w14:paraId="554F6699"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26" w:history="1">
        <w:r w:rsidRPr="002951B9">
          <w:rPr>
            <w:rStyle w:val="Hyperlink"/>
            <w:sz w:val="14"/>
            <w:szCs w:val="14"/>
          </w:rPr>
          <w:t>file:///D:/Korisnicki%20podaci/Downloads/Public%20Finance%20Management%20Reform%20Programme%20(1).pdf</w:t>
        </w:r>
      </w:hyperlink>
      <w:r w:rsidRPr="002951B9">
        <w:rPr>
          <w:sz w:val="14"/>
          <w:szCs w:val="14"/>
        </w:rPr>
        <w:t xml:space="preserve"> </w:t>
      </w:r>
    </w:p>
  </w:footnote>
  <w:footnote w:id="50">
    <w:p w14:paraId="621FE4A1"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27" w:history="1">
        <w:r w:rsidRPr="002951B9">
          <w:rPr>
            <w:rStyle w:val="Hyperlink"/>
            <w:sz w:val="14"/>
            <w:szCs w:val="14"/>
          </w:rPr>
          <w:t>file:///D:/Korisnicki%20podaci/Downloads/Montenegro%20Trade%20Facilitation%20Strategy%20%202018-2022%20(ENG).pdf</w:t>
        </w:r>
      </w:hyperlink>
      <w:r w:rsidRPr="002951B9">
        <w:rPr>
          <w:sz w:val="14"/>
          <w:szCs w:val="14"/>
        </w:rPr>
        <w:t xml:space="preserve"> </w:t>
      </w:r>
    </w:p>
  </w:footnote>
  <w:footnote w:id="51">
    <w:p w14:paraId="7C92E7A6"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28" w:history="1">
        <w:r w:rsidRPr="002951B9">
          <w:rPr>
            <w:rStyle w:val="Hyperlink"/>
            <w:sz w:val="14"/>
            <w:szCs w:val="14"/>
          </w:rPr>
          <w:t>https://upravacarina.gov.me/en/library/strategije?alphabet=lat</w:t>
        </w:r>
      </w:hyperlink>
      <w:r w:rsidRPr="002951B9">
        <w:rPr>
          <w:sz w:val="14"/>
          <w:szCs w:val="14"/>
        </w:rPr>
        <w:t xml:space="preserve"> </w:t>
      </w:r>
    </w:p>
  </w:footnote>
  <w:footnote w:id="52">
    <w:p w14:paraId="2ACDD27A"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29" w:history="1">
        <w:r w:rsidRPr="002951B9">
          <w:rPr>
            <w:rStyle w:val="Hyperlink"/>
            <w:sz w:val="14"/>
            <w:szCs w:val="14"/>
          </w:rPr>
          <w:t>http://www.ujn.gov.me/en/strategija-razvoja-sistema-javnih-nabavki-u-crnoj-gori-za-period-2016-2020-godine/</w:t>
        </w:r>
      </w:hyperlink>
      <w:r w:rsidRPr="002951B9">
        <w:rPr>
          <w:sz w:val="14"/>
          <w:szCs w:val="14"/>
        </w:rPr>
        <w:t xml:space="preserve"> </w:t>
      </w:r>
    </w:p>
  </w:footnote>
  <w:footnote w:id="53">
    <w:p w14:paraId="35105FDF"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30" w:history="1">
        <w:r w:rsidRPr="002951B9">
          <w:rPr>
            <w:rStyle w:val="Hyperlink"/>
            <w:sz w:val="14"/>
            <w:szCs w:val="14"/>
          </w:rPr>
          <w:t>http://www.monstat.org/userfiles/file/strategija%20razvoja/19%20%2006%2019%20Strategija%20razvoja%20zvanicne%20statitike%202019-2023-%20eng.pdf</w:t>
        </w:r>
      </w:hyperlink>
      <w:r w:rsidRPr="002951B9">
        <w:rPr>
          <w:sz w:val="14"/>
          <w:szCs w:val="14"/>
        </w:rPr>
        <w:t xml:space="preserve"> </w:t>
      </w:r>
    </w:p>
  </w:footnote>
  <w:footnote w:id="54">
    <w:p w14:paraId="503AC7C6" w14:textId="77777777" w:rsidR="006712E0" w:rsidRPr="002951B9" w:rsidRDefault="006712E0" w:rsidP="00047EF8">
      <w:pPr>
        <w:pStyle w:val="FootnoteText"/>
        <w:rPr>
          <w:sz w:val="14"/>
          <w:szCs w:val="14"/>
          <w:lang w:val="en-US"/>
        </w:rPr>
      </w:pPr>
      <w:r w:rsidRPr="002951B9">
        <w:rPr>
          <w:rStyle w:val="FootnoteReference"/>
          <w:sz w:val="14"/>
          <w:szCs w:val="14"/>
        </w:rPr>
        <w:footnoteRef/>
      </w:r>
      <w:r w:rsidRPr="002951B9">
        <w:rPr>
          <w:sz w:val="14"/>
          <w:szCs w:val="14"/>
        </w:rPr>
        <w:t xml:space="preserve"> </w:t>
      </w:r>
      <w:hyperlink r:id="rId31" w:history="1">
        <w:r w:rsidRPr="002951B9">
          <w:rPr>
            <w:rStyle w:val="Hyperlink"/>
            <w:sz w:val="14"/>
            <w:szCs w:val="14"/>
          </w:rPr>
          <w:t>file:///D:/Korisnicki%20podaci/Downloads/Montenegro%20Economic%20Reform%20Programme%202020-2022%20(1).pdf</w:t>
        </w:r>
      </w:hyperlink>
      <w:r w:rsidRPr="002951B9">
        <w:rPr>
          <w:sz w:val="14"/>
          <w:szCs w:val="1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7CB5A" w14:textId="77777777" w:rsidR="006712E0" w:rsidRDefault="006712E0" w:rsidP="00A239C5">
    <w:pPr>
      <w:pStyle w:val="Header"/>
      <w:tabs>
        <w:tab w:val="clear" w:pos="9071"/>
        <w:tab w:val="left" w:pos="1575"/>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8042" w14:textId="77777777" w:rsidR="006712E0" w:rsidRDefault="006712E0">
    <w:pPr>
      <w:pStyle w:val="Header"/>
    </w:pPr>
  </w:p>
  <w:p w14:paraId="001A29BD" w14:textId="77777777" w:rsidR="006712E0" w:rsidRDefault="006712E0"/>
  <w:p w14:paraId="06BFEF43" w14:textId="77777777" w:rsidR="006712E0" w:rsidRDefault="006712E0"/>
  <w:p w14:paraId="0C4A8847" w14:textId="77777777" w:rsidR="006712E0" w:rsidRDefault="006712E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F1A0" w14:textId="77777777" w:rsidR="006712E0" w:rsidRPr="004E7B0D" w:rsidRDefault="006712E0" w:rsidP="00A239C5">
    <w:pPr>
      <w:pStyle w:val="Header"/>
      <w:rPr>
        <w:rFonts w:eastAsiaTheme="majorEastAsia"/>
      </w:rPr>
    </w:pPr>
  </w:p>
  <w:p w14:paraId="2C133E59" w14:textId="77777777" w:rsidR="006712E0" w:rsidRDefault="006712E0"/>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C4123" w14:textId="77777777" w:rsidR="006712E0" w:rsidRDefault="006712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7A"/>
    <w:multiLevelType w:val="hybridMultilevel"/>
    <w:tmpl w:val="74681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A59DF"/>
    <w:multiLevelType w:val="hybridMultilevel"/>
    <w:tmpl w:val="2E1EA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FE322A"/>
    <w:multiLevelType w:val="hybridMultilevel"/>
    <w:tmpl w:val="5B1A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E7331"/>
    <w:multiLevelType w:val="hybridMultilevel"/>
    <w:tmpl w:val="92540CB8"/>
    <w:lvl w:ilvl="0" w:tplc="ED54324A">
      <w:start w:val="4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95D52"/>
    <w:multiLevelType w:val="hybridMultilevel"/>
    <w:tmpl w:val="E00E3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B1251C"/>
    <w:multiLevelType w:val="hybridMultilevel"/>
    <w:tmpl w:val="94667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15:restartNumberingAfterBreak="0">
    <w:nsid w:val="062F6B10"/>
    <w:multiLevelType w:val="hybridMultilevel"/>
    <w:tmpl w:val="42DC4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7C63EA"/>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9" w15:restartNumberingAfterBreak="0">
    <w:nsid w:val="079103BF"/>
    <w:multiLevelType w:val="hybridMultilevel"/>
    <w:tmpl w:val="B29E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27149F"/>
    <w:multiLevelType w:val="hybridMultilevel"/>
    <w:tmpl w:val="8864D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DA2F71"/>
    <w:multiLevelType w:val="singleLevel"/>
    <w:tmpl w:val="29C487D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10763955"/>
    <w:multiLevelType w:val="hybridMultilevel"/>
    <w:tmpl w:val="BD4CB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A52A01"/>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4" w15:restartNumberingAfterBreak="0">
    <w:nsid w:val="11D419EF"/>
    <w:multiLevelType w:val="hybridMultilevel"/>
    <w:tmpl w:val="E2E06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8364B0"/>
    <w:multiLevelType w:val="singleLevel"/>
    <w:tmpl w:val="D084FB54"/>
    <w:name w:val="List Dash 3"/>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16" w15:restartNumberingAfterBreak="0">
    <w:nsid w:val="13247990"/>
    <w:multiLevelType w:val="hybridMultilevel"/>
    <w:tmpl w:val="CA663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E4330B"/>
    <w:multiLevelType w:val="multilevel"/>
    <w:tmpl w:val="875C4416"/>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63369B9"/>
    <w:multiLevelType w:val="hybridMultilevel"/>
    <w:tmpl w:val="59BA963E"/>
    <w:lvl w:ilvl="0" w:tplc="4268FC82">
      <w:start w:val="1"/>
      <w:numFmt w:val="bullet"/>
      <w:lvlText w:val="-"/>
      <w:lvlJc w:val="left"/>
      <w:pPr>
        <w:ind w:left="720" w:hanging="360"/>
      </w:pPr>
      <w:rPr>
        <w:rFonts w:ascii="Symbol" w:hAnsi="Symbol" w:hint="default"/>
      </w:rPr>
    </w:lvl>
    <w:lvl w:ilvl="1" w:tplc="C562F4BC">
      <w:start w:val="1"/>
      <w:numFmt w:val="bullet"/>
      <w:lvlText w:val="o"/>
      <w:lvlJc w:val="left"/>
      <w:pPr>
        <w:ind w:left="1440" w:hanging="360"/>
      </w:pPr>
      <w:rPr>
        <w:rFonts w:ascii="Courier New" w:hAnsi="Courier New" w:hint="default"/>
      </w:rPr>
    </w:lvl>
    <w:lvl w:ilvl="2" w:tplc="75305130">
      <w:start w:val="1"/>
      <w:numFmt w:val="bullet"/>
      <w:lvlText w:val=""/>
      <w:lvlJc w:val="left"/>
      <w:pPr>
        <w:ind w:left="2160" w:hanging="360"/>
      </w:pPr>
      <w:rPr>
        <w:rFonts w:ascii="Wingdings" w:hAnsi="Wingdings" w:hint="default"/>
      </w:rPr>
    </w:lvl>
    <w:lvl w:ilvl="3" w:tplc="FE523654">
      <w:start w:val="1"/>
      <w:numFmt w:val="bullet"/>
      <w:lvlText w:val=""/>
      <w:lvlJc w:val="left"/>
      <w:pPr>
        <w:ind w:left="2880" w:hanging="360"/>
      </w:pPr>
      <w:rPr>
        <w:rFonts w:ascii="Symbol" w:hAnsi="Symbol" w:hint="default"/>
      </w:rPr>
    </w:lvl>
    <w:lvl w:ilvl="4" w:tplc="9788D864">
      <w:start w:val="1"/>
      <w:numFmt w:val="bullet"/>
      <w:lvlText w:val="o"/>
      <w:lvlJc w:val="left"/>
      <w:pPr>
        <w:ind w:left="3600" w:hanging="360"/>
      </w:pPr>
      <w:rPr>
        <w:rFonts w:ascii="Courier New" w:hAnsi="Courier New" w:hint="default"/>
      </w:rPr>
    </w:lvl>
    <w:lvl w:ilvl="5" w:tplc="0FFCB93C">
      <w:start w:val="1"/>
      <w:numFmt w:val="bullet"/>
      <w:lvlText w:val=""/>
      <w:lvlJc w:val="left"/>
      <w:pPr>
        <w:ind w:left="4320" w:hanging="360"/>
      </w:pPr>
      <w:rPr>
        <w:rFonts w:ascii="Wingdings" w:hAnsi="Wingdings" w:hint="default"/>
      </w:rPr>
    </w:lvl>
    <w:lvl w:ilvl="6" w:tplc="C33209CE">
      <w:start w:val="1"/>
      <w:numFmt w:val="bullet"/>
      <w:lvlText w:val=""/>
      <w:lvlJc w:val="left"/>
      <w:pPr>
        <w:ind w:left="5040" w:hanging="360"/>
      </w:pPr>
      <w:rPr>
        <w:rFonts w:ascii="Symbol" w:hAnsi="Symbol" w:hint="default"/>
      </w:rPr>
    </w:lvl>
    <w:lvl w:ilvl="7" w:tplc="73D2B566">
      <w:start w:val="1"/>
      <w:numFmt w:val="bullet"/>
      <w:lvlText w:val="o"/>
      <w:lvlJc w:val="left"/>
      <w:pPr>
        <w:ind w:left="5760" w:hanging="360"/>
      </w:pPr>
      <w:rPr>
        <w:rFonts w:ascii="Courier New" w:hAnsi="Courier New" w:hint="default"/>
      </w:rPr>
    </w:lvl>
    <w:lvl w:ilvl="8" w:tplc="A5D67210">
      <w:start w:val="1"/>
      <w:numFmt w:val="bullet"/>
      <w:lvlText w:val=""/>
      <w:lvlJc w:val="left"/>
      <w:pPr>
        <w:ind w:left="6480" w:hanging="360"/>
      </w:pPr>
      <w:rPr>
        <w:rFonts w:ascii="Wingdings" w:hAnsi="Wingdings" w:hint="default"/>
      </w:rPr>
    </w:lvl>
  </w:abstractNum>
  <w:abstractNum w:abstractNumId="19" w15:restartNumberingAfterBreak="0">
    <w:nsid w:val="16660335"/>
    <w:multiLevelType w:val="hybridMultilevel"/>
    <w:tmpl w:val="6EF67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7857BA"/>
    <w:multiLevelType w:val="hybridMultilevel"/>
    <w:tmpl w:val="4E428824"/>
    <w:lvl w:ilvl="0" w:tplc="0809000F">
      <w:start w:val="1"/>
      <w:numFmt w:val="decimal"/>
      <w:lvlText w:val="%1."/>
      <w:lvlJc w:val="left"/>
      <w:pPr>
        <w:tabs>
          <w:tab w:val="num" w:pos="720"/>
        </w:tabs>
        <w:ind w:left="720" w:hanging="360"/>
      </w:pPr>
    </w:lvl>
    <w:lvl w:ilvl="1" w:tplc="1E12021A">
      <w:start w:val="1"/>
      <w:numFmt w:val="bullet"/>
      <w:lvlRestart w:val="0"/>
      <w:pStyle w:val="ListBullet"/>
      <w:lvlText w:val=""/>
      <w:lvlJc w:val="left"/>
      <w:pPr>
        <w:tabs>
          <w:tab w:val="num" w:pos="1363"/>
        </w:tabs>
        <w:ind w:left="1363" w:hanging="283"/>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189411CC"/>
    <w:multiLevelType w:val="multilevel"/>
    <w:tmpl w:val="2C1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194C247D"/>
    <w:multiLevelType w:val="hybridMultilevel"/>
    <w:tmpl w:val="285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145FCB"/>
    <w:multiLevelType w:val="singleLevel"/>
    <w:tmpl w:val="BEF68DA6"/>
    <w:name w:val="Tiret 3"/>
    <w:lvl w:ilvl="0">
      <w:start w:val="1"/>
      <w:numFmt w:val="bullet"/>
      <w:lvlRestart w:val="0"/>
      <w:pStyle w:val="Tiret3"/>
      <w:lvlText w:val="–"/>
      <w:lvlJc w:val="left"/>
      <w:pPr>
        <w:tabs>
          <w:tab w:val="num" w:pos="2551"/>
        </w:tabs>
        <w:ind w:left="2551" w:hanging="567"/>
      </w:pPr>
    </w:lvl>
  </w:abstractNum>
  <w:abstractNum w:abstractNumId="24" w15:restartNumberingAfterBreak="0">
    <w:nsid w:val="1EAC6A81"/>
    <w:multiLevelType w:val="hybridMultilevel"/>
    <w:tmpl w:val="C48EEF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364C26"/>
    <w:multiLevelType w:val="hybridMultilevel"/>
    <w:tmpl w:val="D5280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5253B46"/>
    <w:multiLevelType w:val="hybridMultilevel"/>
    <w:tmpl w:val="3A60E5F8"/>
    <w:lvl w:ilvl="0" w:tplc="1BA60C5A">
      <w:start w:val="1"/>
      <w:numFmt w:val="bullet"/>
      <w:lvlText w:val="•"/>
      <w:lvlJc w:val="left"/>
      <w:pPr>
        <w:tabs>
          <w:tab w:val="num" w:pos="360"/>
        </w:tabs>
        <w:ind w:left="360" w:hanging="360"/>
      </w:pPr>
      <w:rPr>
        <w:rFonts w:ascii="Arial" w:hAnsi="Arial" w:hint="default"/>
      </w:rPr>
    </w:lvl>
    <w:lvl w:ilvl="1" w:tplc="23C476D6" w:tentative="1">
      <w:start w:val="1"/>
      <w:numFmt w:val="bullet"/>
      <w:lvlText w:val="•"/>
      <w:lvlJc w:val="left"/>
      <w:pPr>
        <w:tabs>
          <w:tab w:val="num" w:pos="1080"/>
        </w:tabs>
        <w:ind w:left="1080" w:hanging="360"/>
      </w:pPr>
      <w:rPr>
        <w:rFonts w:ascii="Arial" w:hAnsi="Arial" w:hint="default"/>
      </w:rPr>
    </w:lvl>
    <w:lvl w:ilvl="2" w:tplc="82A226BA" w:tentative="1">
      <w:start w:val="1"/>
      <w:numFmt w:val="bullet"/>
      <w:lvlText w:val="•"/>
      <w:lvlJc w:val="left"/>
      <w:pPr>
        <w:tabs>
          <w:tab w:val="num" w:pos="1800"/>
        </w:tabs>
        <w:ind w:left="1800" w:hanging="360"/>
      </w:pPr>
      <w:rPr>
        <w:rFonts w:ascii="Arial" w:hAnsi="Arial" w:hint="default"/>
      </w:rPr>
    </w:lvl>
    <w:lvl w:ilvl="3" w:tplc="FCC23334" w:tentative="1">
      <w:start w:val="1"/>
      <w:numFmt w:val="bullet"/>
      <w:lvlText w:val="•"/>
      <w:lvlJc w:val="left"/>
      <w:pPr>
        <w:tabs>
          <w:tab w:val="num" w:pos="2520"/>
        </w:tabs>
        <w:ind w:left="2520" w:hanging="360"/>
      </w:pPr>
      <w:rPr>
        <w:rFonts w:ascii="Arial" w:hAnsi="Arial" w:hint="default"/>
      </w:rPr>
    </w:lvl>
    <w:lvl w:ilvl="4" w:tplc="CFF6B8AE" w:tentative="1">
      <w:start w:val="1"/>
      <w:numFmt w:val="bullet"/>
      <w:lvlText w:val="•"/>
      <w:lvlJc w:val="left"/>
      <w:pPr>
        <w:tabs>
          <w:tab w:val="num" w:pos="3240"/>
        </w:tabs>
        <w:ind w:left="3240" w:hanging="360"/>
      </w:pPr>
      <w:rPr>
        <w:rFonts w:ascii="Arial" w:hAnsi="Arial" w:hint="default"/>
      </w:rPr>
    </w:lvl>
    <w:lvl w:ilvl="5" w:tplc="8E9C62C0" w:tentative="1">
      <w:start w:val="1"/>
      <w:numFmt w:val="bullet"/>
      <w:lvlText w:val="•"/>
      <w:lvlJc w:val="left"/>
      <w:pPr>
        <w:tabs>
          <w:tab w:val="num" w:pos="3960"/>
        </w:tabs>
        <w:ind w:left="3960" w:hanging="360"/>
      </w:pPr>
      <w:rPr>
        <w:rFonts w:ascii="Arial" w:hAnsi="Arial" w:hint="default"/>
      </w:rPr>
    </w:lvl>
    <w:lvl w:ilvl="6" w:tplc="CD664B84" w:tentative="1">
      <w:start w:val="1"/>
      <w:numFmt w:val="bullet"/>
      <w:lvlText w:val="•"/>
      <w:lvlJc w:val="left"/>
      <w:pPr>
        <w:tabs>
          <w:tab w:val="num" w:pos="4680"/>
        </w:tabs>
        <w:ind w:left="4680" w:hanging="360"/>
      </w:pPr>
      <w:rPr>
        <w:rFonts w:ascii="Arial" w:hAnsi="Arial" w:hint="default"/>
      </w:rPr>
    </w:lvl>
    <w:lvl w:ilvl="7" w:tplc="6FC2C02E" w:tentative="1">
      <w:start w:val="1"/>
      <w:numFmt w:val="bullet"/>
      <w:lvlText w:val="•"/>
      <w:lvlJc w:val="left"/>
      <w:pPr>
        <w:tabs>
          <w:tab w:val="num" w:pos="5400"/>
        </w:tabs>
        <w:ind w:left="5400" w:hanging="360"/>
      </w:pPr>
      <w:rPr>
        <w:rFonts w:ascii="Arial" w:hAnsi="Arial" w:hint="default"/>
      </w:rPr>
    </w:lvl>
    <w:lvl w:ilvl="8" w:tplc="54023E54"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25D17B8F"/>
    <w:multiLevelType w:val="hybridMultilevel"/>
    <w:tmpl w:val="F552F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F2743F"/>
    <w:multiLevelType w:val="hybridMultilevel"/>
    <w:tmpl w:val="F45CF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82137FC"/>
    <w:multiLevelType w:val="hybridMultilevel"/>
    <w:tmpl w:val="EEB2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FC0E44"/>
    <w:multiLevelType w:val="hybridMultilevel"/>
    <w:tmpl w:val="F8E659A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1" w15:restartNumberingAfterBreak="0">
    <w:nsid w:val="2A134300"/>
    <w:multiLevelType w:val="hybridMultilevel"/>
    <w:tmpl w:val="52088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C35209A"/>
    <w:multiLevelType w:val="hybridMultilevel"/>
    <w:tmpl w:val="F4BA385E"/>
    <w:lvl w:ilvl="0" w:tplc="00BC899E">
      <w:start w:val="1"/>
      <w:numFmt w:val="decimal"/>
      <w:lvlText w:val="%1)"/>
      <w:lvlJc w:val="left"/>
      <w:pPr>
        <w:ind w:left="720" w:hanging="360"/>
      </w:pPr>
      <w:rPr>
        <w:rFonts w:hint="default"/>
        <w:color w:val="00000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3"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34" w15:restartNumberingAfterBreak="0">
    <w:nsid w:val="2F191641"/>
    <w:multiLevelType w:val="multilevel"/>
    <w:tmpl w:val="B67C4E92"/>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05B590B"/>
    <w:multiLevelType w:val="hybridMultilevel"/>
    <w:tmpl w:val="9EFEFD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CD398A"/>
    <w:multiLevelType w:val="singleLevel"/>
    <w:tmpl w:val="0276BF00"/>
    <w:name w:val="List Dash 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7" w15:restartNumberingAfterBreak="0">
    <w:nsid w:val="32331A27"/>
    <w:multiLevelType w:val="hybridMultilevel"/>
    <w:tmpl w:val="FF5E4908"/>
    <w:lvl w:ilvl="0" w:tplc="1BA60C5A">
      <w:start w:val="1"/>
      <w:numFmt w:val="bullet"/>
      <w:lvlText w:val="•"/>
      <w:lvlJc w:val="left"/>
      <w:pPr>
        <w:tabs>
          <w:tab w:val="num" w:pos="360"/>
        </w:tabs>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15:restartNumberingAfterBreak="0">
    <w:nsid w:val="32C8598A"/>
    <w:multiLevelType w:val="hybridMultilevel"/>
    <w:tmpl w:val="25F46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40554E4"/>
    <w:multiLevelType w:val="hybridMultilevel"/>
    <w:tmpl w:val="FBDA9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35F12ED3"/>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41" w15:restartNumberingAfterBreak="0">
    <w:nsid w:val="37126E65"/>
    <w:multiLevelType w:val="hybridMultilevel"/>
    <w:tmpl w:val="CC126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7B12E0E"/>
    <w:multiLevelType w:val="hybridMultilevel"/>
    <w:tmpl w:val="10C48ED2"/>
    <w:lvl w:ilvl="0" w:tplc="2E84E64E">
      <w:numFmt w:val="bullet"/>
      <w:lvlText w:val="•"/>
      <w:lvlJc w:val="left"/>
      <w:pPr>
        <w:ind w:left="1080" w:hanging="72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380147F7"/>
    <w:multiLevelType w:val="hybridMultilevel"/>
    <w:tmpl w:val="41945378"/>
    <w:lvl w:ilvl="0" w:tplc="1BA60C5A">
      <w:start w:val="1"/>
      <w:numFmt w:val="bullet"/>
      <w:lvlText w:val="•"/>
      <w:lvlJc w:val="left"/>
      <w:pPr>
        <w:tabs>
          <w:tab w:val="num" w:pos="360"/>
        </w:tabs>
        <w:ind w:left="360" w:hanging="360"/>
      </w:pPr>
      <w:rPr>
        <w:rFonts w:ascii="Arial"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38072816"/>
    <w:multiLevelType w:val="hybridMultilevel"/>
    <w:tmpl w:val="742C1A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5" w15:restartNumberingAfterBreak="0">
    <w:nsid w:val="385542E5"/>
    <w:multiLevelType w:val="hybridMultilevel"/>
    <w:tmpl w:val="5CDCC822"/>
    <w:lvl w:ilvl="0" w:tplc="04090001">
      <w:start w:val="1"/>
      <w:numFmt w:val="bullet"/>
      <w:lvlText w:val=""/>
      <w:lvlJc w:val="left"/>
      <w:pPr>
        <w:ind w:left="360" w:hanging="360"/>
      </w:pPr>
      <w:rPr>
        <w:rFonts w:ascii="Symbol" w:hAnsi="Symbol" w:hint="default"/>
        <w:color w:val="auto"/>
        <w:sz w:val="22"/>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9047FC0"/>
    <w:multiLevelType w:val="hybridMultilevel"/>
    <w:tmpl w:val="1DCC82E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398C015E"/>
    <w:multiLevelType w:val="multilevel"/>
    <w:tmpl w:val="027A66BA"/>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39FF187A"/>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49" w15:restartNumberingAfterBreak="0">
    <w:nsid w:val="3B380F18"/>
    <w:multiLevelType w:val="hybridMultilevel"/>
    <w:tmpl w:val="68367BD4"/>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0" w15:restartNumberingAfterBreak="0">
    <w:nsid w:val="3E9A50C3"/>
    <w:multiLevelType w:val="hybridMultilevel"/>
    <w:tmpl w:val="F9525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14A6CF5"/>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52" w15:restartNumberingAfterBreak="0">
    <w:nsid w:val="415B7EDE"/>
    <w:multiLevelType w:val="singleLevel"/>
    <w:tmpl w:val="92264878"/>
    <w:name w:val="Tiret 4"/>
    <w:lvl w:ilvl="0">
      <w:start w:val="1"/>
      <w:numFmt w:val="bullet"/>
      <w:lvlRestart w:val="0"/>
      <w:pStyle w:val="Tiret4"/>
      <w:lvlText w:val="–"/>
      <w:lvlJc w:val="left"/>
      <w:pPr>
        <w:tabs>
          <w:tab w:val="num" w:pos="3118"/>
        </w:tabs>
        <w:ind w:left="3118" w:hanging="567"/>
      </w:pPr>
    </w:lvl>
  </w:abstractNum>
  <w:abstractNum w:abstractNumId="53" w15:restartNumberingAfterBreak="0">
    <w:nsid w:val="41B866FF"/>
    <w:multiLevelType w:val="hybridMultilevel"/>
    <w:tmpl w:val="044AC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07241D"/>
    <w:multiLevelType w:val="hybridMultilevel"/>
    <w:tmpl w:val="5E8E0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3A85611"/>
    <w:multiLevelType w:val="multilevel"/>
    <w:tmpl w:val="18667D1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45296BE7"/>
    <w:multiLevelType w:val="hybridMultilevel"/>
    <w:tmpl w:val="75F80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6A203A2"/>
    <w:multiLevelType w:val="hybridMultilevel"/>
    <w:tmpl w:val="214EF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59" w15:restartNumberingAfterBreak="0">
    <w:nsid w:val="4AF44970"/>
    <w:multiLevelType w:val="hybridMultilevel"/>
    <w:tmpl w:val="19088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B430A23"/>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61" w15:restartNumberingAfterBreak="0">
    <w:nsid w:val="4CD123D5"/>
    <w:multiLevelType w:val="hybridMultilevel"/>
    <w:tmpl w:val="BA0C0F18"/>
    <w:lvl w:ilvl="0" w:tplc="1BA60C5A">
      <w:start w:val="1"/>
      <w:numFmt w:val="bullet"/>
      <w:lvlText w:val="•"/>
      <w:lvlJc w:val="left"/>
      <w:pPr>
        <w:ind w:left="720" w:hanging="360"/>
      </w:pPr>
      <w:rPr>
        <w:rFonts w:ascii="Arial" w:hAnsi="Aria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63" w15:restartNumberingAfterBreak="0">
    <w:nsid w:val="4DB90214"/>
    <w:multiLevelType w:val="hybridMultilevel"/>
    <w:tmpl w:val="B9380A24"/>
    <w:lvl w:ilvl="0" w:tplc="47EEF47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F1A5EEB"/>
    <w:multiLevelType w:val="singleLevel"/>
    <w:tmpl w:val="E90C02CE"/>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F594FB4"/>
    <w:multiLevelType w:val="hybridMultilevel"/>
    <w:tmpl w:val="CF465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04D6424"/>
    <w:multiLevelType w:val="hybridMultilevel"/>
    <w:tmpl w:val="EB0A79D4"/>
    <w:lvl w:ilvl="0" w:tplc="CC069C54">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7" w15:restartNumberingAfterBreak="0">
    <w:nsid w:val="51E805CB"/>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68" w15:restartNumberingAfterBreak="0">
    <w:nsid w:val="542A1204"/>
    <w:multiLevelType w:val="multilevel"/>
    <w:tmpl w:val="BC1E8404"/>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57452AFB"/>
    <w:multiLevelType w:val="hybridMultilevel"/>
    <w:tmpl w:val="520AC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82C6164"/>
    <w:multiLevelType w:val="hybridMultilevel"/>
    <w:tmpl w:val="2FBCC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83B1506"/>
    <w:multiLevelType w:val="hybridMultilevel"/>
    <w:tmpl w:val="8FF4EF7C"/>
    <w:lvl w:ilvl="0" w:tplc="F36288A8">
      <w:start w:val="1"/>
      <w:numFmt w:val="bullet"/>
      <w:lvlText w:val="·"/>
      <w:lvlJc w:val="left"/>
      <w:pPr>
        <w:ind w:left="720" w:hanging="360"/>
      </w:pPr>
      <w:rPr>
        <w:rFonts w:ascii="Symbol" w:hAnsi="Symbol" w:hint="default"/>
      </w:rPr>
    </w:lvl>
    <w:lvl w:ilvl="1" w:tplc="FFBA3C3E">
      <w:start w:val="1"/>
      <w:numFmt w:val="bullet"/>
      <w:lvlText w:val="o"/>
      <w:lvlJc w:val="left"/>
      <w:pPr>
        <w:ind w:left="1440" w:hanging="360"/>
      </w:pPr>
      <w:rPr>
        <w:rFonts w:ascii="Courier New" w:hAnsi="Courier New" w:hint="default"/>
      </w:rPr>
    </w:lvl>
    <w:lvl w:ilvl="2" w:tplc="998AB456">
      <w:start w:val="1"/>
      <w:numFmt w:val="bullet"/>
      <w:lvlText w:val=""/>
      <w:lvlJc w:val="left"/>
      <w:pPr>
        <w:ind w:left="2160" w:hanging="360"/>
      </w:pPr>
      <w:rPr>
        <w:rFonts w:ascii="Wingdings" w:hAnsi="Wingdings" w:hint="default"/>
      </w:rPr>
    </w:lvl>
    <w:lvl w:ilvl="3" w:tplc="E5A0C026">
      <w:start w:val="1"/>
      <w:numFmt w:val="bullet"/>
      <w:lvlText w:val=""/>
      <w:lvlJc w:val="left"/>
      <w:pPr>
        <w:ind w:left="2880" w:hanging="360"/>
      </w:pPr>
      <w:rPr>
        <w:rFonts w:ascii="Symbol" w:hAnsi="Symbol" w:hint="default"/>
      </w:rPr>
    </w:lvl>
    <w:lvl w:ilvl="4" w:tplc="FF82D4C0">
      <w:start w:val="1"/>
      <w:numFmt w:val="bullet"/>
      <w:lvlText w:val="o"/>
      <w:lvlJc w:val="left"/>
      <w:pPr>
        <w:ind w:left="3600" w:hanging="360"/>
      </w:pPr>
      <w:rPr>
        <w:rFonts w:ascii="Courier New" w:hAnsi="Courier New" w:hint="default"/>
      </w:rPr>
    </w:lvl>
    <w:lvl w:ilvl="5" w:tplc="57301E5E">
      <w:start w:val="1"/>
      <w:numFmt w:val="bullet"/>
      <w:lvlText w:val=""/>
      <w:lvlJc w:val="left"/>
      <w:pPr>
        <w:ind w:left="4320" w:hanging="360"/>
      </w:pPr>
      <w:rPr>
        <w:rFonts w:ascii="Wingdings" w:hAnsi="Wingdings" w:hint="default"/>
      </w:rPr>
    </w:lvl>
    <w:lvl w:ilvl="6" w:tplc="5F245662">
      <w:start w:val="1"/>
      <w:numFmt w:val="bullet"/>
      <w:lvlText w:val=""/>
      <w:lvlJc w:val="left"/>
      <w:pPr>
        <w:ind w:left="5040" w:hanging="360"/>
      </w:pPr>
      <w:rPr>
        <w:rFonts w:ascii="Symbol" w:hAnsi="Symbol" w:hint="default"/>
      </w:rPr>
    </w:lvl>
    <w:lvl w:ilvl="7" w:tplc="72ACABB6">
      <w:start w:val="1"/>
      <w:numFmt w:val="bullet"/>
      <w:lvlText w:val="o"/>
      <w:lvlJc w:val="left"/>
      <w:pPr>
        <w:ind w:left="5760" w:hanging="360"/>
      </w:pPr>
      <w:rPr>
        <w:rFonts w:ascii="Courier New" w:hAnsi="Courier New" w:hint="default"/>
      </w:rPr>
    </w:lvl>
    <w:lvl w:ilvl="8" w:tplc="D0B2E054">
      <w:start w:val="1"/>
      <w:numFmt w:val="bullet"/>
      <w:lvlText w:val=""/>
      <w:lvlJc w:val="left"/>
      <w:pPr>
        <w:ind w:left="6480" w:hanging="360"/>
      </w:pPr>
      <w:rPr>
        <w:rFonts w:ascii="Wingdings" w:hAnsi="Wingdings" w:hint="default"/>
      </w:rPr>
    </w:lvl>
  </w:abstractNum>
  <w:abstractNum w:abstractNumId="72" w15:restartNumberingAfterBreak="0">
    <w:nsid w:val="59A67613"/>
    <w:multiLevelType w:val="hybridMultilevel"/>
    <w:tmpl w:val="229E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C23CF4"/>
    <w:multiLevelType w:val="hybridMultilevel"/>
    <w:tmpl w:val="2E26E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B0B0635"/>
    <w:multiLevelType w:val="singleLevel"/>
    <w:tmpl w:val="017E7CEE"/>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75" w15:restartNumberingAfterBreak="0">
    <w:nsid w:val="5CAA2A1A"/>
    <w:multiLevelType w:val="hybridMultilevel"/>
    <w:tmpl w:val="E01AC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E134C36"/>
    <w:multiLevelType w:val="hybridMultilevel"/>
    <w:tmpl w:val="DF4CF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1EA2C22"/>
    <w:multiLevelType w:val="hybridMultilevel"/>
    <w:tmpl w:val="84CC0486"/>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8" w15:restartNumberingAfterBreak="0">
    <w:nsid w:val="6322564C"/>
    <w:multiLevelType w:val="hybridMultilevel"/>
    <w:tmpl w:val="CF5A6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72070E9"/>
    <w:multiLevelType w:val="hybridMultilevel"/>
    <w:tmpl w:val="DF94D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8363686"/>
    <w:multiLevelType w:val="hybridMultilevel"/>
    <w:tmpl w:val="E66C7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96C278A"/>
    <w:multiLevelType w:val="singleLevel"/>
    <w:tmpl w:val="443639EC"/>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699674C5"/>
    <w:multiLevelType w:val="hybridMultilevel"/>
    <w:tmpl w:val="EF22787A"/>
    <w:lvl w:ilvl="0" w:tplc="4648A202">
      <w:start w:val="1"/>
      <w:numFmt w:val="bullet"/>
      <w:lvlText w:val="•"/>
      <w:lvlJc w:val="left"/>
      <w:pPr>
        <w:tabs>
          <w:tab w:val="num" w:pos="360"/>
        </w:tabs>
        <w:ind w:left="360" w:hanging="360"/>
      </w:pPr>
      <w:rPr>
        <w:rFonts w:ascii="Arial" w:hAnsi="Arial" w:hint="default"/>
      </w:rPr>
    </w:lvl>
    <w:lvl w:ilvl="1" w:tplc="D0001EA2" w:tentative="1">
      <w:start w:val="1"/>
      <w:numFmt w:val="bullet"/>
      <w:lvlText w:val="•"/>
      <w:lvlJc w:val="left"/>
      <w:pPr>
        <w:tabs>
          <w:tab w:val="num" w:pos="1080"/>
        </w:tabs>
        <w:ind w:left="1080" w:hanging="360"/>
      </w:pPr>
      <w:rPr>
        <w:rFonts w:ascii="Arial" w:hAnsi="Arial" w:hint="default"/>
      </w:rPr>
    </w:lvl>
    <w:lvl w:ilvl="2" w:tplc="760066FC" w:tentative="1">
      <w:start w:val="1"/>
      <w:numFmt w:val="bullet"/>
      <w:lvlText w:val="•"/>
      <w:lvlJc w:val="left"/>
      <w:pPr>
        <w:tabs>
          <w:tab w:val="num" w:pos="1800"/>
        </w:tabs>
        <w:ind w:left="1800" w:hanging="360"/>
      </w:pPr>
      <w:rPr>
        <w:rFonts w:ascii="Arial" w:hAnsi="Arial" w:hint="default"/>
      </w:rPr>
    </w:lvl>
    <w:lvl w:ilvl="3" w:tplc="42DA1A56" w:tentative="1">
      <w:start w:val="1"/>
      <w:numFmt w:val="bullet"/>
      <w:lvlText w:val="•"/>
      <w:lvlJc w:val="left"/>
      <w:pPr>
        <w:tabs>
          <w:tab w:val="num" w:pos="2520"/>
        </w:tabs>
        <w:ind w:left="2520" w:hanging="360"/>
      </w:pPr>
      <w:rPr>
        <w:rFonts w:ascii="Arial" w:hAnsi="Arial" w:hint="default"/>
      </w:rPr>
    </w:lvl>
    <w:lvl w:ilvl="4" w:tplc="A65CB314" w:tentative="1">
      <w:start w:val="1"/>
      <w:numFmt w:val="bullet"/>
      <w:lvlText w:val="•"/>
      <w:lvlJc w:val="left"/>
      <w:pPr>
        <w:tabs>
          <w:tab w:val="num" w:pos="3240"/>
        </w:tabs>
        <w:ind w:left="3240" w:hanging="360"/>
      </w:pPr>
      <w:rPr>
        <w:rFonts w:ascii="Arial" w:hAnsi="Arial" w:hint="default"/>
      </w:rPr>
    </w:lvl>
    <w:lvl w:ilvl="5" w:tplc="A2E49864" w:tentative="1">
      <w:start w:val="1"/>
      <w:numFmt w:val="bullet"/>
      <w:lvlText w:val="•"/>
      <w:lvlJc w:val="left"/>
      <w:pPr>
        <w:tabs>
          <w:tab w:val="num" w:pos="3960"/>
        </w:tabs>
        <w:ind w:left="3960" w:hanging="360"/>
      </w:pPr>
      <w:rPr>
        <w:rFonts w:ascii="Arial" w:hAnsi="Arial" w:hint="default"/>
      </w:rPr>
    </w:lvl>
    <w:lvl w:ilvl="6" w:tplc="DF520B2A" w:tentative="1">
      <w:start w:val="1"/>
      <w:numFmt w:val="bullet"/>
      <w:lvlText w:val="•"/>
      <w:lvlJc w:val="left"/>
      <w:pPr>
        <w:tabs>
          <w:tab w:val="num" w:pos="4680"/>
        </w:tabs>
        <w:ind w:left="4680" w:hanging="360"/>
      </w:pPr>
      <w:rPr>
        <w:rFonts w:ascii="Arial" w:hAnsi="Arial" w:hint="default"/>
      </w:rPr>
    </w:lvl>
    <w:lvl w:ilvl="7" w:tplc="901C1FAC" w:tentative="1">
      <w:start w:val="1"/>
      <w:numFmt w:val="bullet"/>
      <w:lvlText w:val="•"/>
      <w:lvlJc w:val="left"/>
      <w:pPr>
        <w:tabs>
          <w:tab w:val="num" w:pos="5400"/>
        </w:tabs>
        <w:ind w:left="5400" w:hanging="360"/>
      </w:pPr>
      <w:rPr>
        <w:rFonts w:ascii="Arial" w:hAnsi="Arial" w:hint="default"/>
      </w:rPr>
    </w:lvl>
    <w:lvl w:ilvl="8" w:tplc="4D6A5506" w:tentative="1">
      <w:start w:val="1"/>
      <w:numFmt w:val="bullet"/>
      <w:lvlText w:val="•"/>
      <w:lvlJc w:val="left"/>
      <w:pPr>
        <w:tabs>
          <w:tab w:val="num" w:pos="6120"/>
        </w:tabs>
        <w:ind w:left="6120" w:hanging="360"/>
      </w:pPr>
      <w:rPr>
        <w:rFonts w:ascii="Arial" w:hAnsi="Arial" w:hint="default"/>
      </w:rPr>
    </w:lvl>
  </w:abstractNum>
  <w:abstractNum w:abstractNumId="83" w15:restartNumberingAfterBreak="0">
    <w:nsid w:val="69D320D1"/>
    <w:multiLevelType w:val="hybridMultilevel"/>
    <w:tmpl w:val="648CA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9F35A08"/>
    <w:multiLevelType w:val="hybridMultilevel"/>
    <w:tmpl w:val="777EB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9FE76A3"/>
    <w:multiLevelType w:val="hybridMultilevel"/>
    <w:tmpl w:val="DB780378"/>
    <w:lvl w:ilvl="0" w:tplc="06E26FD6">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B6F5AA5"/>
    <w:multiLevelType w:val="hybridMultilevel"/>
    <w:tmpl w:val="561C0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BF5F52"/>
    <w:multiLevelType w:val="hybridMultilevel"/>
    <w:tmpl w:val="4A1E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CE14BEB"/>
    <w:multiLevelType w:val="hybridMultilevel"/>
    <w:tmpl w:val="71CAE756"/>
    <w:lvl w:ilvl="0" w:tplc="1BA60C5A">
      <w:start w:val="1"/>
      <w:numFmt w:val="bullet"/>
      <w:lvlText w:val="•"/>
      <w:lvlJc w:val="left"/>
      <w:pPr>
        <w:tabs>
          <w:tab w:val="num" w:pos="720"/>
        </w:tabs>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6D0769D5"/>
    <w:multiLevelType w:val="hybridMultilevel"/>
    <w:tmpl w:val="DB004FCC"/>
    <w:lvl w:ilvl="0" w:tplc="1BA60C5A">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6D261437"/>
    <w:multiLevelType w:val="hybridMultilevel"/>
    <w:tmpl w:val="652A9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060712B"/>
    <w:multiLevelType w:val="hybridMultilevel"/>
    <w:tmpl w:val="B0B2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1644EE5"/>
    <w:multiLevelType w:val="hybridMultilevel"/>
    <w:tmpl w:val="C610CF54"/>
    <w:lvl w:ilvl="0" w:tplc="4FE8F746">
      <w:start w:val="1"/>
      <w:numFmt w:val="bullet"/>
      <w:lvlText w:val="-"/>
      <w:lvlJc w:val="left"/>
      <w:pPr>
        <w:ind w:left="720" w:hanging="360"/>
      </w:pPr>
      <w:rPr>
        <w:rFonts w:ascii="Calibri" w:hAnsi="Calibri" w:hint="default"/>
      </w:rPr>
    </w:lvl>
    <w:lvl w:ilvl="1" w:tplc="ECDA1E5E">
      <w:start w:val="1"/>
      <w:numFmt w:val="bullet"/>
      <w:lvlText w:val="o"/>
      <w:lvlJc w:val="left"/>
      <w:pPr>
        <w:ind w:left="1440" w:hanging="360"/>
      </w:pPr>
      <w:rPr>
        <w:rFonts w:ascii="Courier New" w:hAnsi="Courier New" w:hint="default"/>
      </w:rPr>
    </w:lvl>
    <w:lvl w:ilvl="2" w:tplc="5F9E8704">
      <w:start w:val="1"/>
      <w:numFmt w:val="bullet"/>
      <w:lvlText w:val=""/>
      <w:lvlJc w:val="left"/>
      <w:pPr>
        <w:ind w:left="2160" w:hanging="360"/>
      </w:pPr>
      <w:rPr>
        <w:rFonts w:ascii="Wingdings" w:hAnsi="Wingdings" w:hint="default"/>
      </w:rPr>
    </w:lvl>
    <w:lvl w:ilvl="3" w:tplc="4FAA8A0C">
      <w:start w:val="1"/>
      <w:numFmt w:val="bullet"/>
      <w:lvlText w:val=""/>
      <w:lvlJc w:val="left"/>
      <w:pPr>
        <w:ind w:left="2880" w:hanging="360"/>
      </w:pPr>
      <w:rPr>
        <w:rFonts w:ascii="Symbol" w:hAnsi="Symbol" w:hint="default"/>
      </w:rPr>
    </w:lvl>
    <w:lvl w:ilvl="4" w:tplc="8912DE20">
      <w:start w:val="1"/>
      <w:numFmt w:val="bullet"/>
      <w:lvlText w:val="o"/>
      <w:lvlJc w:val="left"/>
      <w:pPr>
        <w:ind w:left="3600" w:hanging="360"/>
      </w:pPr>
      <w:rPr>
        <w:rFonts w:ascii="Courier New" w:hAnsi="Courier New" w:hint="default"/>
      </w:rPr>
    </w:lvl>
    <w:lvl w:ilvl="5" w:tplc="004A841C">
      <w:start w:val="1"/>
      <w:numFmt w:val="bullet"/>
      <w:lvlText w:val=""/>
      <w:lvlJc w:val="left"/>
      <w:pPr>
        <w:ind w:left="4320" w:hanging="360"/>
      </w:pPr>
      <w:rPr>
        <w:rFonts w:ascii="Wingdings" w:hAnsi="Wingdings" w:hint="default"/>
      </w:rPr>
    </w:lvl>
    <w:lvl w:ilvl="6" w:tplc="BB680F42">
      <w:start w:val="1"/>
      <w:numFmt w:val="bullet"/>
      <w:lvlText w:val=""/>
      <w:lvlJc w:val="left"/>
      <w:pPr>
        <w:ind w:left="5040" w:hanging="360"/>
      </w:pPr>
      <w:rPr>
        <w:rFonts w:ascii="Symbol" w:hAnsi="Symbol" w:hint="default"/>
      </w:rPr>
    </w:lvl>
    <w:lvl w:ilvl="7" w:tplc="9C7E383A">
      <w:start w:val="1"/>
      <w:numFmt w:val="bullet"/>
      <w:lvlText w:val="o"/>
      <w:lvlJc w:val="left"/>
      <w:pPr>
        <w:ind w:left="5760" w:hanging="360"/>
      </w:pPr>
      <w:rPr>
        <w:rFonts w:ascii="Courier New" w:hAnsi="Courier New" w:hint="default"/>
      </w:rPr>
    </w:lvl>
    <w:lvl w:ilvl="8" w:tplc="50F2C0D8">
      <w:start w:val="1"/>
      <w:numFmt w:val="bullet"/>
      <w:lvlText w:val=""/>
      <w:lvlJc w:val="left"/>
      <w:pPr>
        <w:ind w:left="6480" w:hanging="360"/>
      </w:pPr>
      <w:rPr>
        <w:rFonts w:ascii="Wingdings" w:hAnsi="Wingdings" w:hint="default"/>
      </w:rPr>
    </w:lvl>
  </w:abstractNum>
  <w:abstractNum w:abstractNumId="93" w15:restartNumberingAfterBreak="0">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721D243C"/>
    <w:multiLevelType w:val="hybridMultilevel"/>
    <w:tmpl w:val="B6A8B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E04F82"/>
    <w:multiLevelType w:val="multilevel"/>
    <w:tmpl w:val="758AB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6" w15:restartNumberingAfterBreak="0">
    <w:nsid w:val="73D73F7A"/>
    <w:multiLevelType w:val="singleLevel"/>
    <w:tmpl w:val="26365734"/>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97" w15:restartNumberingAfterBreak="0">
    <w:nsid w:val="76BC5C11"/>
    <w:multiLevelType w:val="singleLevel"/>
    <w:tmpl w:val="E44CE82E"/>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98" w15:restartNumberingAfterBreak="0">
    <w:nsid w:val="76CC4E4A"/>
    <w:multiLevelType w:val="hybridMultilevel"/>
    <w:tmpl w:val="802E0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8E073B5"/>
    <w:multiLevelType w:val="hybridMultilevel"/>
    <w:tmpl w:val="841A5E3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0" w15:restartNumberingAfterBreak="0">
    <w:nsid w:val="795B649B"/>
    <w:multiLevelType w:val="hybridMultilevel"/>
    <w:tmpl w:val="949221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315BDC"/>
    <w:multiLevelType w:val="hybridMultilevel"/>
    <w:tmpl w:val="BC2ED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B52393A"/>
    <w:multiLevelType w:val="multilevel"/>
    <w:tmpl w:val="04D6FB10"/>
    <w:lvl w:ilvl="0">
      <w:start w:val="1"/>
      <w:numFmt w:val="decimal"/>
      <w:lvlText w:val="%1."/>
      <w:lvlJc w:val="left"/>
      <w:pPr>
        <w:ind w:left="360" w:hanging="360"/>
      </w:pPr>
      <w:rPr>
        <w:rFonts w:hint="default"/>
      </w:rPr>
    </w:lvl>
    <w:lvl w:ilvl="1">
      <w:start w:val="1"/>
      <w:numFmt w:val="decimal"/>
      <w:lvlText w:val="%2."/>
      <w:lvlJc w:val="left"/>
      <w:pPr>
        <w:ind w:left="359" w:hanging="435"/>
      </w:pPr>
      <w:rPr>
        <w:rFonts w:hint="default"/>
        <w:color w:val="auto"/>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103" w15:restartNumberingAfterBreak="0">
    <w:nsid w:val="7BBE73B8"/>
    <w:multiLevelType w:val="hybridMultilevel"/>
    <w:tmpl w:val="647A181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4" w15:restartNumberingAfterBreak="0">
    <w:nsid w:val="7C9C4D28"/>
    <w:multiLevelType w:val="hybridMultilevel"/>
    <w:tmpl w:val="7BFC0622"/>
    <w:lvl w:ilvl="0" w:tplc="4648A20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E474D4E"/>
    <w:multiLevelType w:val="singleLevel"/>
    <w:tmpl w:val="1A6608A0"/>
    <w:name w:val="Considérant"/>
    <w:lvl w:ilvl="0">
      <w:start w:val="1"/>
      <w:numFmt w:val="decimal"/>
      <w:lvlRestart w:val="0"/>
      <w:pStyle w:val="Considrant"/>
      <w:lvlText w:val="(%1)"/>
      <w:lvlJc w:val="left"/>
      <w:pPr>
        <w:tabs>
          <w:tab w:val="num" w:pos="709"/>
        </w:tabs>
        <w:ind w:left="709" w:hanging="709"/>
      </w:pPr>
    </w:lvl>
  </w:abstractNum>
  <w:num w:numId="1">
    <w:abstractNumId w:val="105"/>
  </w:num>
  <w:num w:numId="2">
    <w:abstractNumId w:val="6"/>
  </w:num>
  <w:num w:numId="3">
    <w:abstractNumId w:val="96"/>
  </w:num>
  <w:num w:numId="4">
    <w:abstractNumId w:val="97"/>
  </w:num>
  <w:num w:numId="5">
    <w:abstractNumId w:val="74"/>
  </w:num>
  <w:num w:numId="6">
    <w:abstractNumId w:val="33"/>
  </w:num>
  <w:num w:numId="7">
    <w:abstractNumId w:val="62"/>
  </w:num>
  <w:num w:numId="8">
    <w:abstractNumId w:val="58"/>
  </w:num>
  <w:num w:numId="9">
    <w:abstractNumId w:val="15"/>
  </w:num>
  <w:num w:numId="10">
    <w:abstractNumId w:val="36"/>
  </w:num>
  <w:num w:numId="11">
    <w:abstractNumId w:val="93"/>
  </w:num>
  <w:num w:numId="12">
    <w:abstractNumId w:val="17"/>
  </w:num>
  <w:num w:numId="13">
    <w:abstractNumId w:val="47"/>
  </w:num>
  <w:num w:numId="14">
    <w:abstractNumId w:val="34"/>
  </w:num>
  <w:num w:numId="15">
    <w:abstractNumId w:val="68"/>
  </w:num>
  <w:num w:numId="16">
    <w:abstractNumId w:val="55"/>
  </w:num>
  <w:num w:numId="17">
    <w:abstractNumId w:val="81"/>
  </w:num>
  <w:num w:numId="18">
    <w:abstractNumId w:val="64"/>
  </w:num>
  <w:num w:numId="19">
    <w:abstractNumId w:val="11"/>
  </w:num>
  <w:num w:numId="20">
    <w:abstractNumId w:val="23"/>
  </w:num>
  <w:num w:numId="21">
    <w:abstractNumId w:val="52"/>
  </w:num>
  <w:num w:numId="22">
    <w:abstractNumId w:val="20"/>
  </w:num>
  <w:num w:numId="23">
    <w:abstractNumId w:val="49"/>
  </w:num>
  <w:num w:numId="24">
    <w:abstractNumId w:val="102"/>
  </w:num>
  <w:num w:numId="25">
    <w:abstractNumId w:val="48"/>
  </w:num>
  <w:num w:numId="26">
    <w:abstractNumId w:val="51"/>
  </w:num>
  <w:num w:numId="27">
    <w:abstractNumId w:val="60"/>
  </w:num>
  <w:num w:numId="28">
    <w:abstractNumId w:val="13"/>
  </w:num>
  <w:num w:numId="29">
    <w:abstractNumId w:val="40"/>
  </w:num>
  <w:num w:numId="30">
    <w:abstractNumId w:val="8"/>
  </w:num>
  <w:num w:numId="31">
    <w:abstractNumId w:val="67"/>
  </w:num>
  <w:num w:numId="32">
    <w:abstractNumId w:val="24"/>
  </w:num>
  <w:num w:numId="33">
    <w:abstractNumId w:val="90"/>
  </w:num>
  <w:num w:numId="34">
    <w:abstractNumId w:val="56"/>
  </w:num>
  <w:num w:numId="35">
    <w:abstractNumId w:val="79"/>
  </w:num>
  <w:num w:numId="36">
    <w:abstractNumId w:val="28"/>
  </w:num>
  <w:num w:numId="37">
    <w:abstractNumId w:val="18"/>
  </w:num>
  <w:num w:numId="38">
    <w:abstractNumId w:val="71"/>
  </w:num>
  <w:num w:numId="39">
    <w:abstractNumId w:val="86"/>
  </w:num>
  <w:num w:numId="40">
    <w:abstractNumId w:val="35"/>
  </w:num>
  <w:num w:numId="41">
    <w:abstractNumId w:val="100"/>
  </w:num>
  <w:num w:numId="42">
    <w:abstractNumId w:val="94"/>
  </w:num>
  <w:num w:numId="43">
    <w:abstractNumId w:val="0"/>
  </w:num>
  <w:num w:numId="44">
    <w:abstractNumId w:val="85"/>
  </w:num>
  <w:num w:numId="45">
    <w:abstractNumId w:val="29"/>
  </w:num>
  <w:num w:numId="46">
    <w:abstractNumId w:val="2"/>
  </w:num>
  <w:num w:numId="47">
    <w:abstractNumId w:val="9"/>
  </w:num>
  <w:num w:numId="48">
    <w:abstractNumId w:val="21"/>
  </w:num>
  <w:num w:numId="49">
    <w:abstractNumId w:val="66"/>
  </w:num>
  <w:num w:numId="50">
    <w:abstractNumId w:val="32"/>
  </w:num>
  <w:num w:numId="51">
    <w:abstractNumId w:val="22"/>
  </w:num>
  <w:num w:numId="52">
    <w:abstractNumId w:val="63"/>
  </w:num>
  <w:num w:numId="53">
    <w:abstractNumId w:val="14"/>
  </w:num>
  <w:num w:numId="54">
    <w:abstractNumId w:val="25"/>
  </w:num>
  <w:num w:numId="55">
    <w:abstractNumId w:val="98"/>
  </w:num>
  <w:num w:numId="56">
    <w:abstractNumId w:val="3"/>
  </w:num>
  <w:num w:numId="57">
    <w:abstractNumId w:val="44"/>
  </w:num>
  <w:num w:numId="58">
    <w:abstractNumId w:val="72"/>
  </w:num>
  <w:num w:numId="59">
    <w:abstractNumId w:val="77"/>
  </w:num>
  <w:num w:numId="60">
    <w:abstractNumId w:val="82"/>
  </w:num>
  <w:num w:numId="61">
    <w:abstractNumId w:val="26"/>
  </w:num>
  <w:num w:numId="62">
    <w:abstractNumId w:val="42"/>
  </w:num>
  <w:num w:numId="63">
    <w:abstractNumId w:val="92"/>
  </w:num>
  <w:num w:numId="64">
    <w:abstractNumId w:val="61"/>
  </w:num>
  <w:num w:numId="65">
    <w:abstractNumId w:val="89"/>
  </w:num>
  <w:num w:numId="66">
    <w:abstractNumId w:val="46"/>
  </w:num>
  <w:num w:numId="67">
    <w:abstractNumId w:val="88"/>
  </w:num>
  <w:num w:numId="68">
    <w:abstractNumId w:val="39"/>
  </w:num>
  <w:num w:numId="69">
    <w:abstractNumId w:val="43"/>
  </w:num>
  <w:num w:numId="70">
    <w:abstractNumId w:val="37"/>
  </w:num>
  <w:num w:numId="71">
    <w:abstractNumId w:val="99"/>
  </w:num>
  <w:num w:numId="72">
    <w:abstractNumId w:val="95"/>
  </w:num>
  <w:num w:numId="73">
    <w:abstractNumId w:val="30"/>
  </w:num>
  <w:num w:numId="74">
    <w:abstractNumId w:val="103"/>
  </w:num>
  <w:num w:numId="75">
    <w:abstractNumId w:val="45"/>
  </w:num>
  <w:num w:numId="76">
    <w:abstractNumId w:val="83"/>
  </w:num>
  <w:num w:numId="77">
    <w:abstractNumId w:val="57"/>
  </w:num>
  <w:num w:numId="78">
    <w:abstractNumId w:val="73"/>
  </w:num>
  <w:num w:numId="79">
    <w:abstractNumId w:val="53"/>
  </w:num>
  <w:num w:numId="80">
    <w:abstractNumId w:val="16"/>
  </w:num>
  <w:num w:numId="81">
    <w:abstractNumId w:val="7"/>
  </w:num>
  <w:num w:numId="82">
    <w:abstractNumId w:val="31"/>
  </w:num>
  <w:num w:numId="83">
    <w:abstractNumId w:val="70"/>
  </w:num>
  <w:num w:numId="84">
    <w:abstractNumId w:val="54"/>
  </w:num>
  <w:num w:numId="85">
    <w:abstractNumId w:val="10"/>
  </w:num>
  <w:num w:numId="86">
    <w:abstractNumId w:val="59"/>
  </w:num>
  <w:num w:numId="87">
    <w:abstractNumId w:val="84"/>
  </w:num>
  <w:num w:numId="88">
    <w:abstractNumId w:val="50"/>
  </w:num>
  <w:num w:numId="89">
    <w:abstractNumId w:val="4"/>
  </w:num>
  <w:num w:numId="90">
    <w:abstractNumId w:val="27"/>
  </w:num>
  <w:num w:numId="91">
    <w:abstractNumId w:val="5"/>
  </w:num>
  <w:num w:numId="92">
    <w:abstractNumId w:val="19"/>
  </w:num>
  <w:num w:numId="93">
    <w:abstractNumId w:val="80"/>
  </w:num>
  <w:num w:numId="94">
    <w:abstractNumId w:val="1"/>
  </w:num>
  <w:num w:numId="95">
    <w:abstractNumId w:val="65"/>
  </w:num>
  <w:num w:numId="96">
    <w:abstractNumId w:val="41"/>
  </w:num>
  <w:num w:numId="97">
    <w:abstractNumId w:val="38"/>
  </w:num>
  <w:num w:numId="98">
    <w:abstractNumId w:val="78"/>
  </w:num>
  <w:num w:numId="99">
    <w:abstractNumId w:val="12"/>
  </w:num>
  <w:num w:numId="100">
    <w:abstractNumId w:val="76"/>
  </w:num>
  <w:num w:numId="101">
    <w:abstractNumId w:val="87"/>
  </w:num>
  <w:num w:numId="102">
    <w:abstractNumId w:val="91"/>
  </w:num>
  <w:num w:numId="103">
    <w:abstractNumId w:val="104"/>
  </w:num>
  <w:num w:numId="104">
    <w:abstractNumId w:val="69"/>
  </w:num>
  <w:num w:numId="105">
    <w:abstractNumId w:val="101"/>
  </w:num>
  <w:num w:numId="106">
    <w:abstractNumId w:val="7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F8"/>
    <w:rsid w:val="000102DB"/>
    <w:rsid w:val="0001783A"/>
    <w:rsid w:val="00047EF8"/>
    <w:rsid w:val="00076B03"/>
    <w:rsid w:val="00086147"/>
    <w:rsid w:val="000A075D"/>
    <w:rsid w:val="000B3C9D"/>
    <w:rsid w:val="000C48E0"/>
    <w:rsid w:val="000F29C1"/>
    <w:rsid w:val="001302C4"/>
    <w:rsid w:val="00136F2E"/>
    <w:rsid w:val="00154F54"/>
    <w:rsid w:val="001C4F31"/>
    <w:rsid w:val="001D48BA"/>
    <w:rsid w:val="001F4385"/>
    <w:rsid w:val="002176BC"/>
    <w:rsid w:val="0027489B"/>
    <w:rsid w:val="002965C5"/>
    <w:rsid w:val="002A12AF"/>
    <w:rsid w:val="002A67E7"/>
    <w:rsid w:val="002C4A5D"/>
    <w:rsid w:val="002F04F9"/>
    <w:rsid w:val="00323519"/>
    <w:rsid w:val="00336943"/>
    <w:rsid w:val="00371D8E"/>
    <w:rsid w:val="00472766"/>
    <w:rsid w:val="00492EB1"/>
    <w:rsid w:val="00496F2B"/>
    <w:rsid w:val="004C4830"/>
    <w:rsid w:val="00542019"/>
    <w:rsid w:val="00547174"/>
    <w:rsid w:val="00574921"/>
    <w:rsid w:val="00587A0A"/>
    <w:rsid w:val="0059255F"/>
    <w:rsid w:val="005B4132"/>
    <w:rsid w:val="005C4345"/>
    <w:rsid w:val="005D340B"/>
    <w:rsid w:val="005F0A52"/>
    <w:rsid w:val="005F44C7"/>
    <w:rsid w:val="006070F0"/>
    <w:rsid w:val="00655307"/>
    <w:rsid w:val="006712E0"/>
    <w:rsid w:val="00672161"/>
    <w:rsid w:val="006A19B5"/>
    <w:rsid w:val="006C0959"/>
    <w:rsid w:val="0072283E"/>
    <w:rsid w:val="0073678D"/>
    <w:rsid w:val="007840BE"/>
    <w:rsid w:val="007A3208"/>
    <w:rsid w:val="0086044A"/>
    <w:rsid w:val="008639C5"/>
    <w:rsid w:val="00864F83"/>
    <w:rsid w:val="0088328A"/>
    <w:rsid w:val="008C3F18"/>
    <w:rsid w:val="008D47D1"/>
    <w:rsid w:val="009071B7"/>
    <w:rsid w:val="009A7CAB"/>
    <w:rsid w:val="009E4584"/>
    <w:rsid w:val="009E4C9D"/>
    <w:rsid w:val="00A075A1"/>
    <w:rsid w:val="00A156A0"/>
    <w:rsid w:val="00A239C5"/>
    <w:rsid w:val="00A25BC1"/>
    <w:rsid w:val="00A5057A"/>
    <w:rsid w:val="00AB0813"/>
    <w:rsid w:val="00AB4861"/>
    <w:rsid w:val="00AC43AD"/>
    <w:rsid w:val="00AF0227"/>
    <w:rsid w:val="00B85246"/>
    <w:rsid w:val="00B868E1"/>
    <w:rsid w:val="00BA2663"/>
    <w:rsid w:val="00BB2E3E"/>
    <w:rsid w:val="00C1387F"/>
    <w:rsid w:val="00C560A5"/>
    <w:rsid w:val="00C61F48"/>
    <w:rsid w:val="00C63351"/>
    <w:rsid w:val="00C972DB"/>
    <w:rsid w:val="00D252F9"/>
    <w:rsid w:val="00D46B1E"/>
    <w:rsid w:val="00D630E7"/>
    <w:rsid w:val="00D94B15"/>
    <w:rsid w:val="00DA5F8F"/>
    <w:rsid w:val="00DC3343"/>
    <w:rsid w:val="00EA3719"/>
    <w:rsid w:val="00EB24A1"/>
    <w:rsid w:val="00EC090C"/>
    <w:rsid w:val="00EE1C21"/>
    <w:rsid w:val="00EF42B0"/>
    <w:rsid w:val="00F563CD"/>
    <w:rsid w:val="00F7672F"/>
    <w:rsid w:val="00F86ED0"/>
    <w:rsid w:val="00FE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83F1C"/>
  <w15:docId w15:val="{6784A57D-36EC-4F32-996C-1260D033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EF8"/>
    <w:pPr>
      <w:spacing w:after="200" w:line="276" w:lineRule="auto"/>
    </w:pPr>
    <w:rPr>
      <w:rFonts w:ascii="Calibri" w:eastAsia="Times New Roman" w:hAnsi="Calibri" w:cs="Times New Roman"/>
      <w:sz w:val="22"/>
      <w:szCs w:val="22"/>
      <w:lang w:val="en-GB" w:eastAsia="en-GB"/>
    </w:rPr>
  </w:style>
  <w:style w:type="paragraph" w:styleId="Heading1">
    <w:name w:val="heading 1"/>
    <w:basedOn w:val="Normal"/>
    <w:next w:val="Normal"/>
    <w:link w:val="Heading1Char"/>
    <w:uiPriority w:val="9"/>
    <w:qFormat/>
    <w:rsid w:val="00047EF8"/>
    <w:pPr>
      <w:keepNext/>
      <w:keepLines/>
      <w:spacing w:before="480" w:after="0"/>
      <w:outlineLvl w:val="0"/>
    </w:pPr>
    <w:rPr>
      <w:rFonts w:ascii="Cambria" w:hAnsi="Cambria"/>
      <w:b/>
      <w:bCs/>
      <w:caps/>
      <w:color w:val="21798E"/>
      <w:sz w:val="28"/>
      <w:szCs w:val="28"/>
    </w:rPr>
  </w:style>
  <w:style w:type="paragraph" w:styleId="Heading2">
    <w:name w:val="heading 2"/>
    <w:basedOn w:val="Normal"/>
    <w:next w:val="Normal"/>
    <w:link w:val="Heading2Char"/>
    <w:uiPriority w:val="9"/>
    <w:unhideWhenUsed/>
    <w:qFormat/>
    <w:rsid w:val="00047EF8"/>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047EF8"/>
    <w:pPr>
      <w:keepNext/>
      <w:keepLines/>
      <w:spacing w:before="200" w:after="0"/>
      <w:outlineLvl w:val="2"/>
    </w:pPr>
    <w:rPr>
      <w:rFonts w:ascii="Cambria" w:hAnsi="Cambria"/>
      <w:b/>
      <w:bCs/>
      <w:color w:val="2DA2BF"/>
      <w:sz w:val="20"/>
      <w:szCs w:val="20"/>
    </w:rPr>
  </w:style>
  <w:style w:type="paragraph" w:styleId="Heading4">
    <w:name w:val="heading 4"/>
    <w:basedOn w:val="Normal"/>
    <w:next w:val="Normal"/>
    <w:link w:val="Heading4Char"/>
    <w:uiPriority w:val="9"/>
    <w:unhideWhenUsed/>
    <w:qFormat/>
    <w:rsid w:val="00047EF8"/>
    <w:pPr>
      <w:keepNext/>
      <w:keepLines/>
      <w:spacing w:before="200" w:after="0"/>
      <w:outlineLvl w:val="3"/>
    </w:pPr>
    <w:rPr>
      <w:rFonts w:ascii="Cambria" w:hAnsi="Cambria"/>
      <w:b/>
      <w:bCs/>
      <w:i/>
      <w:iCs/>
      <w:color w:val="2DA2BF"/>
      <w:sz w:val="20"/>
      <w:szCs w:val="20"/>
    </w:rPr>
  </w:style>
  <w:style w:type="paragraph" w:styleId="Heading5">
    <w:name w:val="heading 5"/>
    <w:basedOn w:val="Normal"/>
    <w:next w:val="Normal"/>
    <w:link w:val="Heading5Char"/>
    <w:uiPriority w:val="9"/>
    <w:semiHidden/>
    <w:unhideWhenUsed/>
    <w:qFormat/>
    <w:rsid w:val="00047EF8"/>
    <w:pPr>
      <w:keepNext/>
      <w:keepLines/>
      <w:spacing w:before="200" w:after="0"/>
      <w:outlineLvl w:val="4"/>
    </w:pPr>
    <w:rPr>
      <w:rFonts w:ascii="Cambria" w:hAnsi="Cambria"/>
      <w:color w:val="16505E"/>
      <w:sz w:val="20"/>
      <w:szCs w:val="20"/>
    </w:rPr>
  </w:style>
  <w:style w:type="paragraph" w:styleId="Heading6">
    <w:name w:val="heading 6"/>
    <w:basedOn w:val="Normal"/>
    <w:next w:val="Normal"/>
    <w:link w:val="Heading6Char"/>
    <w:uiPriority w:val="9"/>
    <w:semiHidden/>
    <w:unhideWhenUsed/>
    <w:qFormat/>
    <w:rsid w:val="00047EF8"/>
    <w:pPr>
      <w:keepNext/>
      <w:keepLines/>
      <w:spacing w:before="200" w:after="0"/>
      <w:outlineLvl w:val="5"/>
    </w:pPr>
    <w:rPr>
      <w:rFonts w:ascii="Cambria" w:hAnsi="Cambria"/>
      <w:i/>
      <w:iCs/>
      <w:color w:val="16505E"/>
      <w:sz w:val="20"/>
      <w:szCs w:val="20"/>
    </w:rPr>
  </w:style>
  <w:style w:type="paragraph" w:styleId="Heading7">
    <w:name w:val="heading 7"/>
    <w:basedOn w:val="Normal"/>
    <w:next w:val="Normal"/>
    <w:link w:val="Heading7Char"/>
    <w:uiPriority w:val="9"/>
    <w:semiHidden/>
    <w:unhideWhenUsed/>
    <w:qFormat/>
    <w:rsid w:val="00047EF8"/>
    <w:pPr>
      <w:keepNext/>
      <w:keepLines/>
      <w:spacing w:before="200" w:after="0"/>
      <w:outlineLvl w:val="6"/>
    </w:pPr>
    <w:rPr>
      <w:rFonts w:ascii="Cambria" w:hAnsi="Cambria"/>
      <w:i/>
      <w:iCs/>
      <w:color w:val="404040"/>
      <w:sz w:val="20"/>
      <w:szCs w:val="20"/>
    </w:rPr>
  </w:style>
  <w:style w:type="paragraph" w:styleId="Heading8">
    <w:name w:val="heading 8"/>
    <w:basedOn w:val="Normal"/>
    <w:next w:val="Normal"/>
    <w:link w:val="Heading8Char"/>
    <w:uiPriority w:val="9"/>
    <w:semiHidden/>
    <w:unhideWhenUsed/>
    <w:qFormat/>
    <w:rsid w:val="00047EF8"/>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047EF8"/>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EF8"/>
    <w:rPr>
      <w:rFonts w:ascii="Cambria" w:eastAsia="Times New Roman" w:hAnsi="Cambria" w:cs="Times New Roman"/>
      <w:b/>
      <w:bCs/>
      <w:caps/>
      <w:color w:val="21798E"/>
      <w:sz w:val="28"/>
      <w:szCs w:val="28"/>
      <w:lang w:val="en-GB" w:eastAsia="en-GB"/>
    </w:rPr>
  </w:style>
  <w:style w:type="character" w:customStyle="1" w:styleId="Heading2Char">
    <w:name w:val="Heading 2 Char"/>
    <w:basedOn w:val="DefaultParagraphFont"/>
    <w:link w:val="Heading2"/>
    <w:uiPriority w:val="9"/>
    <w:rsid w:val="00047EF8"/>
    <w:rPr>
      <w:rFonts w:ascii="Cambria" w:eastAsia="Times New Roman" w:hAnsi="Cambria" w:cs="Times New Roman"/>
      <w:b/>
      <w:bCs/>
      <w:color w:val="2DA2BF"/>
      <w:sz w:val="26"/>
      <w:szCs w:val="26"/>
      <w:lang w:val="en-GB" w:eastAsia="en-GB"/>
    </w:rPr>
  </w:style>
  <w:style w:type="character" w:customStyle="1" w:styleId="Heading3Char">
    <w:name w:val="Heading 3 Char"/>
    <w:basedOn w:val="DefaultParagraphFont"/>
    <w:link w:val="Heading3"/>
    <w:uiPriority w:val="9"/>
    <w:rsid w:val="00047EF8"/>
    <w:rPr>
      <w:rFonts w:ascii="Cambria" w:eastAsia="Times New Roman" w:hAnsi="Cambria" w:cs="Times New Roman"/>
      <w:b/>
      <w:bCs/>
      <w:color w:val="2DA2BF"/>
      <w:sz w:val="20"/>
      <w:szCs w:val="20"/>
      <w:lang w:val="en-GB" w:eastAsia="en-GB"/>
    </w:rPr>
  </w:style>
  <w:style w:type="character" w:customStyle="1" w:styleId="Heading4Char">
    <w:name w:val="Heading 4 Char"/>
    <w:basedOn w:val="DefaultParagraphFont"/>
    <w:link w:val="Heading4"/>
    <w:uiPriority w:val="9"/>
    <w:rsid w:val="00047EF8"/>
    <w:rPr>
      <w:rFonts w:ascii="Cambria" w:eastAsia="Times New Roman" w:hAnsi="Cambria" w:cs="Times New Roman"/>
      <w:b/>
      <w:bCs/>
      <w:i/>
      <w:iCs/>
      <w:color w:val="2DA2BF"/>
      <w:sz w:val="20"/>
      <w:szCs w:val="20"/>
      <w:lang w:val="en-GB" w:eastAsia="en-GB"/>
    </w:rPr>
  </w:style>
  <w:style w:type="character" w:customStyle="1" w:styleId="Heading5Char">
    <w:name w:val="Heading 5 Char"/>
    <w:basedOn w:val="DefaultParagraphFont"/>
    <w:link w:val="Heading5"/>
    <w:uiPriority w:val="9"/>
    <w:semiHidden/>
    <w:rsid w:val="00047EF8"/>
    <w:rPr>
      <w:rFonts w:ascii="Cambria" w:eastAsia="Times New Roman" w:hAnsi="Cambria" w:cs="Times New Roman"/>
      <w:color w:val="16505E"/>
      <w:sz w:val="20"/>
      <w:szCs w:val="20"/>
      <w:lang w:val="en-GB" w:eastAsia="en-GB"/>
    </w:rPr>
  </w:style>
  <w:style w:type="character" w:customStyle="1" w:styleId="Heading6Char">
    <w:name w:val="Heading 6 Char"/>
    <w:basedOn w:val="DefaultParagraphFont"/>
    <w:link w:val="Heading6"/>
    <w:uiPriority w:val="9"/>
    <w:semiHidden/>
    <w:rsid w:val="00047EF8"/>
    <w:rPr>
      <w:rFonts w:ascii="Cambria" w:eastAsia="Times New Roman" w:hAnsi="Cambria" w:cs="Times New Roman"/>
      <w:i/>
      <w:iCs/>
      <w:color w:val="16505E"/>
      <w:sz w:val="20"/>
      <w:szCs w:val="20"/>
      <w:lang w:val="en-GB" w:eastAsia="en-GB"/>
    </w:rPr>
  </w:style>
  <w:style w:type="character" w:customStyle="1" w:styleId="Heading7Char">
    <w:name w:val="Heading 7 Char"/>
    <w:basedOn w:val="DefaultParagraphFont"/>
    <w:link w:val="Heading7"/>
    <w:uiPriority w:val="9"/>
    <w:semiHidden/>
    <w:rsid w:val="00047EF8"/>
    <w:rPr>
      <w:rFonts w:ascii="Cambria" w:eastAsia="Times New Roman" w:hAnsi="Cambria" w:cs="Times New Roman"/>
      <w:i/>
      <w:iCs/>
      <w:color w:val="404040"/>
      <w:sz w:val="20"/>
      <w:szCs w:val="20"/>
      <w:lang w:val="en-GB" w:eastAsia="en-GB"/>
    </w:rPr>
  </w:style>
  <w:style w:type="character" w:customStyle="1" w:styleId="Heading8Char">
    <w:name w:val="Heading 8 Char"/>
    <w:basedOn w:val="DefaultParagraphFont"/>
    <w:link w:val="Heading8"/>
    <w:uiPriority w:val="9"/>
    <w:semiHidden/>
    <w:rsid w:val="00047EF8"/>
    <w:rPr>
      <w:rFonts w:ascii="Cambria" w:eastAsia="Times New Roman" w:hAnsi="Cambria" w:cs="Times New Roman"/>
      <w:color w:val="2DA2BF"/>
      <w:sz w:val="20"/>
      <w:szCs w:val="20"/>
      <w:lang w:val="en-GB" w:eastAsia="en-GB"/>
    </w:rPr>
  </w:style>
  <w:style w:type="character" w:customStyle="1" w:styleId="Heading9Char">
    <w:name w:val="Heading 9 Char"/>
    <w:basedOn w:val="DefaultParagraphFont"/>
    <w:link w:val="Heading9"/>
    <w:uiPriority w:val="9"/>
    <w:semiHidden/>
    <w:rsid w:val="00047EF8"/>
    <w:rPr>
      <w:rFonts w:ascii="Cambria" w:eastAsia="Times New Roman" w:hAnsi="Cambria" w:cs="Times New Roman"/>
      <w:i/>
      <w:iCs/>
      <w:color w:val="404040"/>
      <w:sz w:val="20"/>
      <w:szCs w:val="20"/>
      <w:lang w:val="en-GB" w:eastAsia="en-GB"/>
    </w:rPr>
  </w:style>
  <w:style w:type="character" w:customStyle="1" w:styleId="Added">
    <w:name w:val="Added"/>
    <w:rsid w:val="00047EF8"/>
    <w:rPr>
      <w:b/>
      <w:u w:val="single"/>
    </w:rPr>
  </w:style>
  <w:style w:type="paragraph" w:customStyle="1" w:styleId="Address">
    <w:name w:val="Address"/>
    <w:basedOn w:val="Normal"/>
    <w:next w:val="Normal"/>
    <w:rsid w:val="00047EF8"/>
    <w:pPr>
      <w:keepLines/>
      <w:spacing w:line="360" w:lineRule="auto"/>
      <w:ind w:left="3402"/>
    </w:pPr>
  </w:style>
  <w:style w:type="paragraph" w:customStyle="1" w:styleId="Annexetitreacte">
    <w:name w:val="Annexe titre (acte)"/>
    <w:basedOn w:val="Normal"/>
    <w:next w:val="Normal"/>
    <w:rsid w:val="00047EF8"/>
    <w:pPr>
      <w:jc w:val="center"/>
    </w:pPr>
    <w:rPr>
      <w:b/>
      <w:u w:val="single"/>
    </w:rPr>
  </w:style>
  <w:style w:type="paragraph" w:customStyle="1" w:styleId="Annexetitreexposglobal">
    <w:name w:val="Annexe titre (exposé global)"/>
    <w:basedOn w:val="Normal"/>
    <w:next w:val="Normal"/>
    <w:rsid w:val="00047EF8"/>
    <w:pPr>
      <w:jc w:val="center"/>
    </w:pPr>
    <w:rPr>
      <w:b/>
      <w:u w:val="single"/>
    </w:rPr>
  </w:style>
  <w:style w:type="paragraph" w:customStyle="1" w:styleId="Annexetitreexpos">
    <w:name w:val="Annexe titre (exposé)"/>
    <w:basedOn w:val="Normal"/>
    <w:next w:val="Normal"/>
    <w:rsid w:val="00047EF8"/>
    <w:pPr>
      <w:jc w:val="center"/>
    </w:pPr>
    <w:rPr>
      <w:b/>
      <w:u w:val="single"/>
    </w:rPr>
  </w:style>
  <w:style w:type="paragraph" w:customStyle="1" w:styleId="Annexetitrefichefinacte">
    <w:name w:val="Annexe titre (fiche fin. acte)"/>
    <w:basedOn w:val="Normal"/>
    <w:next w:val="Normal"/>
    <w:rsid w:val="00047EF8"/>
    <w:pPr>
      <w:jc w:val="center"/>
    </w:pPr>
    <w:rPr>
      <w:b/>
      <w:u w:val="single"/>
    </w:rPr>
  </w:style>
  <w:style w:type="paragraph" w:customStyle="1" w:styleId="Annexetitrefichefinglobale">
    <w:name w:val="Annexe titre (fiche fin. globale)"/>
    <w:basedOn w:val="Normal"/>
    <w:next w:val="Normal"/>
    <w:rsid w:val="00047EF8"/>
    <w:pPr>
      <w:jc w:val="center"/>
    </w:pPr>
    <w:rPr>
      <w:b/>
      <w:u w:val="single"/>
    </w:rPr>
  </w:style>
  <w:style w:type="paragraph" w:customStyle="1" w:styleId="Annexetitreglobale">
    <w:name w:val="Annexe titre (globale)"/>
    <w:basedOn w:val="Normal"/>
    <w:next w:val="Normal"/>
    <w:rsid w:val="00047EF8"/>
    <w:pPr>
      <w:jc w:val="center"/>
    </w:pPr>
    <w:rPr>
      <w:b/>
      <w:u w:val="single"/>
    </w:rPr>
  </w:style>
  <w:style w:type="paragraph" w:customStyle="1" w:styleId="Applicationdirecte">
    <w:name w:val="Application directe"/>
    <w:basedOn w:val="Normal"/>
    <w:next w:val="Normal"/>
    <w:rsid w:val="00047EF8"/>
    <w:pPr>
      <w:spacing w:before="480"/>
    </w:pPr>
  </w:style>
  <w:style w:type="paragraph" w:customStyle="1" w:styleId="Avertissementtitre">
    <w:name w:val="Avertissement titre"/>
    <w:basedOn w:val="Normal"/>
    <w:next w:val="Normal"/>
    <w:rsid w:val="00047EF8"/>
    <w:pPr>
      <w:keepNext/>
      <w:spacing w:before="480"/>
    </w:pPr>
    <w:rPr>
      <w:u w:val="single"/>
    </w:rPr>
  </w:style>
  <w:style w:type="paragraph" w:customStyle="1" w:styleId="ChapterTitle">
    <w:name w:val="ChapterTitle"/>
    <w:basedOn w:val="Normal"/>
    <w:next w:val="Normal"/>
    <w:rsid w:val="00047EF8"/>
    <w:pPr>
      <w:keepNext/>
      <w:spacing w:after="360"/>
      <w:jc w:val="center"/>
    </w:pPr>
    <w:rPr>
      <w:b/>
      <w:sz w:val="32"/>
    </w:rPr>
  </w:style>
  <w:style w:type="paragraph" w:customStyle="1" w:styleId="Confidence">
    <w:name w:val="Confidence"/>
    <w:basedOn w:val="Normal"/>
    <w:next w:val="Normal"/>
    <w:rsid w:val="00047EF8"/>
    <w:pPr>
      <w:spacing w:before="360"/>
      <w:jc w:val="center"/>
    </w:pPr>
  </w:style>
  <w:style w:type="paragraph" w:customStyle="1" w:styleId="Confidentialit">
    <w:name w:val="Confidentialité"/>
    <w:basedOn w:val="Normal"/>
    <w:next w:val="Normal"/>
    <w:rsid w:val="00047EF8"/>
    <w:pPr>
      <w:spacing w:before="240" w:after="240"/>
      <w:ind w:left="5103"/>
    </w:pPr>
    <w:rPr>
      <w:u w:val="single"/>
    </w:rPr>
  </w:style>
  <w:style w:type="paragraph" w:customStyle="1" w:styleId="Considrant">
    <w:name w:val="Considérant"/>
    <w:basedOn w:val="Normal"/>
    <w:rsid w:val="00047EF8"/>
    <w:pPr>
      <w:numPr>
        <w:numId w:val="1"/>
      </w:numPr>
    </w:pPr>
  </w:style>
  <w:style w:type="paragraph" w:customStyle="1" w:styleId="Corrigendum">
    <w:name w:val="Corrigendum"/>
    <w:basedOn w:val="Normal"/>
    <w:next w:val="Normal"/>
    <w:rsid w:val="00047EF8"/>
    <w:pPr>
      <w:spacing w:after="240"/>
    </w:pPr>
  </w:style>
  <w:style w:type="paragraph" w:customStyle="1" w:styleId="Datedadoption">
    <w:name w:val="Date d'adoption"/>
    <w:basedOn w:val="Normal"/>
    <w:next w:val="Normal"/>
    <w:rsid w:val="00047EF8"/>
    <w:pPr>
      <w:spacing w:before="360" w:after="0"/>
      <w:jc w:val="center"/>
    </w:pPr>
    <w:rPr>
      <w:b/>
    </w:rPr>
  </w:style>
  <w:style w:type="character" w:customStyle="1" w:styleId="Deleted">
    <w:name w:val="Deleted"/>
    <w:rsid w:val="00047EF8"/>
    <w:rPr>
      <w:strike/>
    </w:rPr>
  </w:style>
  <w:style w:type="paragraph" w:customStyle="1" w:styleId="Emission">
    <w:name w:val="Emission"/>
    <w:basedOn w:val="Normal"/>
    <w:next w:val="Normal"/>
    <w:rsid w:val="00047EF8"/>
    <w:pPr>
      <w:spacing w:after="0"/>
      <w:ind w:left="5103"/>
    </w:pPr>
  </w:style>
  <w:style w:type="paragraph" w:customStyle="1" w:styleId="Exposdesmotifstitre">
    <w:name w:val="Exposé des motifs titre"/>
    <w:basedOn w:val="Normal"/>
    <w:next w:val="Normal"/>
    <w:rsid w:val="00047EF8"/>
    <w:pPr>
      <w:jc w:val="center"/>
    </w:pPr>
    <w:rPr>
      <w:b/>
      <w:u w:val="single"/>
    </w:rPr>
  </w:style>
  <w:style w:type="paragraph" w:customStyle="1" w:styleId="Exposdesmotifstitreglobal">
    <w:name w:val="Exposé des motifs titre (global)"/>
    <w:basedOn w:val="Normal"/>
    <w:next w:val="Normal"/>
    <w:rsid w:val="00047EF8"/>
    <w:pPr>
      <w:jc w:val="center"/>
    </w:pPr>
    <w:rPr>
      <w:b/>
      <w:u w:val="single"/>
    </w:rPr>
  </w:style>
  <w:style w:type="paragraph" w:customStyle="1" w:styleId="Fait">
    <w:name w:val="Fait à"/>
    <w:basedOn w:val="Normal"/>
    <w:next w:val="Normal"/>
    <w:rsid w:val="00047EF8"/>
    <w:pPr>
      <w:keepNext/>
      <w:spacing w:after="0"/>
    </w:pPr>
  </w:style>
  <w:style w:type="paragraph" w:customStyle="1" w:styleId="Fichefinancireattributiontitre">
    <w:name w:val="Fiche financière (attribution) titre"/>
    <w:basedOn w:val="Normal"/>
    <w:next w:val="Normal"/>
    <w:rsid w:val="00047EF8"/>
    <w:pPr>
      <w:jc w:val="center"/>
    </w:pPr>
    <w:rPr>
      <w:b/>
      <w:u w:val="single"/>
    </w:rPr>
  </w:style>
  <w:style w:type="paragraph" w:customStyle="1" w:styleId="Fichefinancireattributiontitreacte">
    <w:name w:val="Fiche financière (attribution) titre (acte)"/>
    <w:basedOn w:val="Normal"/>
    <w:next w:val="Normal"/>
    <w:rsid w:val="00047EF8"/>
    <w:pPr>
      <w:jc w:val="center"/>
    </w:pPr>
    <w:rPr>
      <w:b/>
      <w:u w:val="single"/>
    </w:rPr>
  </w:style>
  <w:style w:type="paragraph" w:customStyle="1" w:styleId="Fichefinancirestandardtitre">
    <w:name w:val="Fiche financière (standard) titre"/>
    <w:basedOn w:val="Normal"/>
    <w:next w:val="Normal"/>
    <w:rsid w:val="00047EF8"/>
    <w:pPr>
      <w:jc w:val="center"/>
    </w:pPr>
    <w:rPr>
      <w:b/>
      <w:u w:val="single"/>
    </w:rPr>
  </w:style>
  <w:style w:type="paragraph" w:customStyle="1" w:styleId="Fichefinancirestandardtitreacte">
    <w:name w:val="Fiche financière (standard) titre (acte)"/>
    <w:basedOn w:val="Normal"/>
    <w:next w:val="Normal"/>
    <w:rsid w:val="00047EF8"/>
    <w:pPr>
      <w:jc w:val="center"/>
    </w:pPr>
    <w:rPr>
      <w:b/>
      <w:u w:val="single"/>
    </w:rPr>
  </w:style>
  <w:style w:type="paragraph" w:customStyle="1" w:styleId="Fichefinanciretravailtitre">
    <w:name w:val="Fiche financière (travail) titre"/>
    <w:basedOn w:val="Normal"/>
    <w:next w:val="Normal"/>
    <w:rsid w:val="00047EF8"/>
    <w:pPr>
      <w:jc w:val="center"/>
    </w:pPr>
    <w:rPr>
      <w:b/>
      <w:u w:val="single"/>
    </w:rPr>
  </w:style>
  <w:style w:type="paragraph" w:customStyle="1" w:styleId="Fichefinanciretravailtitreacte">
    <w:name w:val="Fiche financière (travail) titre (acte)"/>
    <w:basedOn w:val="Normal"/>
    <w:next w:val="Normal"/>
    <w:rsid w:val="00047EF8"/>
    <w:pPr>
      <w:jc w:val="center"/>
    </w:pPr>
    <w:rPr>
      <w:b/>
      <w:u w:val="single"/>
    </w:rPr>
  </w:style>
  <w:style w:type="paragraph" w:styleId="Footer">
    <w:name w:val="footer"/>
    <w:basedOn w:val="Normal"/>
    <w:link w:val="FooterChar"/>
    <w:uiPriority w:val="99"/>
    <w:rsid w:val="00047EF8"/>
    <w:pPr>
      <w:tabs>
        <w:tab w:val="center" w:pos="4535"/>
        <w:tab w:val="right" w:pos="9071"/>
        <w:tab w:val="right" w:pos="9921"/>
      </w:tabs>
      <w:spacing w:before="360" w:after="0"/>
      <w:ind w:left="-850" w:right="-850"/>
    </w:pPr>
    <w:rPr>
      <w:rFonts w:ascii="Tunga" w:eastAsia="Arial Unicode MS" w:hAnsi="Tunga"/>
      <w:lang w:eastAsia="de-DE"/>
    </w:rPr>
  </w:style>
  <w:style w:type="character" w:customStyle="1" w:styleId="FooterChar">
    <w:name w:val="Footer Char"/>
    <w:basedOn w:val="DefaultParagraphFont"/>
    <w:link w:val="Footer"/>
    <w:uiPriority w:val="99"/>
    <w:rsid w:val="00047EF8"/>
    <w:rPr>
      <w:rFonts w:ascii="Tunga" w:eastAsia="Arial Unicode MS" w:hAnsi="Tunga" w:cs="Times New Roman"/>
      <w:sz w:val="22"/>
      <w:szCs w:val="22"/>
      <w:lang w:val="en-GB" w:eastAsia="de-DE"/>
    </w:rPr>
  </w:style>
  <w:style w:type="paragraph" w:customStyle="1" w:styleId="FooterLandscape">
    <w:name w:val="FooterLandscape"/>
    <w:basedOn w:val="Normal"/>
    <w:rsid w:val="00047EF8"/>
    <w:pPr>
      <w:tabs>
        <w:tab w:val="center" w:pos="7285"/>
        <w:tab w:val="center" w:pos="10913"/>
        <w:tab w:val="right" w:pos="15137"/>
      </w:tabs>
      <w:spacing w:before="360" w:after="0"/>
      <w:ind w:left="-567" w:right="-567"/>
    </w:pPr>
  </w:style>
  <w:style w:type="character" w:styleId="FootnoteReference">
    <w:name w:val="footnote reference"/>
    <w:aliases w:val="BVI fnr,ftref, BVI fnr,Error-Fußnotenzeichen5,Error-Fußnotenzeichen6,Error-Fußnotenzeichen3,Footnote Reference1,Error-Fu?notenzeichen5,Error-Fu?notenzeichen6,Error-Fu?notenzeichen3,referencia nota al pie,Ref,de nota al pie,16 Point,R"/>
    <w:link w:val="BVIfnrChar1CharCharChar"/>
    <w:qFormat/>
    <w:rsid w:val="00047EF8"/>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rsid w:val="00047EF8"/>
    <w:pPr>
      <w:spacing w:before="120" w:after="160" w:line="240" w:lineRule="exact"/>
      <w:jc w:val="both"/>
    </w:pPr>
    <w:rPr>
      <w:rFonts w:asciiTheme="minorHAnsi" w:eastAsiaTheme="minorEastAsia" w:hAnsiTheme="minorHAnsi" w:cstheme="minorBidi"/>
      <w:sz w:val="24"/>
      <w:szCs w:val="24"/>
      <w:vertAlign w:val="superscript"/>
      <w:lang w:val="en-US" w:eastAsia="en-US"/>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Fußnotentextf, Char"/>
    <w:basedOn w:val="Normal"/>
    <w:link w:val="FootnoteTextChar1"/>
    <w:qFormat/>
    <w:rsid w:val="00047EF8"/>
    <w:pPr>
      <w:spacing w:after="0"/>
      <w:ind w:left="720" w:hanging="720"/>
    </w:pPr>
    <w:rPr>
      <w:sz w:val="20"/>
      <w:szCs w:val="20"/>
    </w:rPr>
  </w:style>
  <w:style w:type="character" w:customStyle="1" w:styleId="FootnoteTextChar">
    <w:name w:val="Footnote Text Char"/>
    <w:basedOn w:val="DefaultParagraphFont"/>
    <w:uiPriority w:val="99"/>
    <w:semiHidden/>
    <w:rsid w:val="00047EF8"/>
    <w:rPr>
      <w:rFonts w:ascii="Calibri" w:eastAsia="Times New Roman" w:hAnsi="Calibri" w:cs="Times New Roman"/>
      <w:lang w:val="en-GB" w:eastAsia="en-GB"/>
    </w:rPr>
  </w:style>
  <w:style w:type="character" w:customStyle="1" w:styleId="FootnoteTextChar1">
    <w:name w:val="Footnote Text Char1"/>
    <w:aliases w:val="Footnote Text Char Char Char Char,Footnote Text Char Char Char1,Fußnote Char,Footnote Char,Footnote Text Char1 Char Char,Footnote Text Char1 Char Char Char Char,Footnote Text Char Char Char Char Char Char,Fußnotentextf Char"/>
    <w:link w:val="FootnoteText"/>
    <w:rsid w:val="00047EF8"/>
    <w:rPr>
      <w:rFonts w:ascii="Calibri" w:eastAsia="Times New Roman" w:hAnsi="Calibri" w:cs="Times New Roman"/>
      <w:sz w:val="20"/>
      <w:szCs w:val="20"/>
      <w:lang w:val="en-GB" w:eastAsia="en-GB"/>
    </w:rPr>
  </w:style>
  <w:style w:type="paragraph" w:customStyle="1" w:styleId="Formuledadoption">
    <w:name w:val="Formule d'adoption"/>
    <w:basedOn w:val="Normal"/>
    <w:next w:val="Normal"/>
    <w:rsid w:val="00047EF8"/>
    <w:pPr>
      <w:keepNext/>
    </w:pPr>
  </w:style>
  <w:style w:type="paragraph" w:styleId="Header">
    <w:name w:val="header"/>
    <w:basedOn w:val="Normal"/>
    <w:link w:val="HeaderChar"/>
    <w:uiPriority w:val="99"/>
    <w:rsid w:val="00047EF8"/>
    <w:pPr>
      <w:tabs>
        <w:tab w:val="right" w:pos="9071"/>
      </w:tabs>
    </w:pPr>
  </w:style>
  <w:style w:type="character" w:customStyle="1" w:styleId="HeaderChar">
    <w:name w:val="Header Char"/>
    <w:basedOn w:val="DefaultParagraphFont"/>
    <w:link w:val="Header"/>
    <w:uiPriority w:val="99"/>
    <w:rsid w:val="00047EF8"/>
    <w:rPr>
      <w:rFonts w:ascii="Calibri" w:eastAsia="Times New Roman" w:hAnsi="Calibri" w:cs="Times New Roman"/>
      <w:sz w:val="22"/>
      <w:szCs w:val="22"/>
      <w:lang w:val="en-GB" w:eastAsia="en-GB"/>
    </w:rPr>
  </w:style>
  <w:style w:type="paragraph" w:customStyle="1" w:styleId="HeaderLandscape">
    <w:name w:val="HeaderLandscape"/>
    <w:basedOn w:val="Normal"/>
    <w:rsid w:val="00047EF8"/>
    <w:pPr>
      <w:tabs>
        <w:tab w:val="right" w:pos="14003"/>
      </w:tabs>
    </w:pPr>
  </w:style>
  <w:style w:type="paragraph" w:customStyle="1" w:styleId="Institutionquiagit">
    <w:name w:val="Institution qui agit"/>
    <w:basedOn w:val="Normal"/>
    <w:next w:val="Normal"/>
    <w:rsid w:val="00047EF8"/>
    <w:pPr>
      <w:keepNext/>
      <w:spacing w:before="600"/>
    </w:pPr>
  </w:style>
  <w:style w:type="paragraph" w:customStyle="1" w:styleId="Institutionquisigne">
    <w:name w:val="Institution qui signe"/>
    <w:basedOn w:val="Normal"/>
    <w:next w:val="Normal"/>
    <w:rsid w:val="00047EF8"/>
    <w:pPr>
      <w:keepNext/>
      <w:tabs>
        <w:tab w:val="left" w:pos="4252"/>
      </w:tabs>
      <w:spacing w:before="720" w:after="0"/>
    </w:pPr>
    <w:rPr>
      <w:i/>
    </w:rPr>
  </w:style>
  <w:style w:type="paragraph" w:customStyle="1" w:styleId="Langue">
    <w:name w:val="Langue"/>
    <w:basedOn w:val="Normal"/>
    <w:next w:val="Normal"/>
    <w:rsid w:val="00047EF8"/>
    <w:pPr>
      <w:spacing w:after="600"/>
      <w:jc w:val="center"/>
    </w:pPr>
    <w:rPr>
      <w:b/>
      <w:caps/>
    </w:rPr>
  </w:style>
  <w:style w:type="paragraph" w:customStyle="1" w:styleId="Langueoriginale">
    <w:name w:val="Langue originale"/>
    <w:basedOn w:val="Normal"/>
    <w:next w:val="Normal"/>
    <w:rsid w:val="00047EF8"/>
    <w:pPr>
      <w:spacing w:before="360"/>
      <w:jc w:val="center"/>
    </w:pPr>
    <w:rPr>
      <w:caps/>
    </w:rPr>
  </w:style>
  <w:style w:type="paragraph" w:styleId="ListBullet">
    <w:name w:val="List Bullet"/>
    <w:basedOn w:val="Normal"/>
    <w:rsid w:val="00047EF8"/>
    <w:pPr>
      <w:numPr>
        <w:ilvl w:val="1"/>
        <w:numId w:val="22"/>
      </w:numPr>
    </w:pPr>
  </w:style>
  <w:style w:type="paragraph" w:customStyle="1" w:styleId="ListBullet1">
    <w:name w:val="List Bullet 1"/>
    <w:basedOn w:val="Normal"/>
    <w:rsid w:val="00047EF8"/>
    <w:pPr>
      <w:numPr>
        <w:numId w:val="2"/>
      </w:numPr>
    </w:pPr>
  </w:style>
  <w:style w:type="paragraph" w:styleId="ListBullet2">
    <w:name w:val="List Bullet 2"/>
    <w:basedOn w:val="Normal"/>
    <w:rsid w:val="00047EF8"/>
    <w:pPr>
      <w:numPr>
        <w:numId w:val="3"/>
      </w:numPr>
    </w:pPr>
  </w:style>
  <w:style w:type="paragraph" w:styleId="ListBullet3">
    <w:name w:val="List Bullet 3"/>
    <w:basedOn w:val="Normal"/>
    <w:rsid w:val="00047EF8"/>
    <w:pPr>
      <w:numPr>
        <w:numId w:val="4"/>
      </w:numPr>
    </w:pPr>
  </w:style>
  <w:style w:type="paragraph" w:styleId="ListBullet4">
    <w:name w:val="List Bullet 4"/>
    <w:basedOn w:val="Normal"/>
    <w:rsid w:val="00047EF8"/>
    <w:pPr>
      <w:numPr>
        <w:numId w:val="5"/>
      </w:numPr>
    </w:pPr>
  </w:style>
  <w:style w:type="paragraph" w:customStyle="1" w:styleId="ListDash">
    <w:name w:val="List Dash"/>
    <w:basedOn w:val="Normal"/>
    <w:rsid w:val="00047EF8"/>
    <w:pPr>
      <w:numPr>
        <w:numId w:val="6"/>
      </w:numPr>
    </w:pPr>
  </w:style>
  <w:style w:type="paragraph" w:customStyle="1" w:styleId="ListDash1">
    <w:name w:val="List Dash 1"/>
    <w:basedOn w:val="Normal"/>
    <w:rsid w:val="00047EF8"/>
    <w:pPr>
      <w:numPr>
        <w:numId w:val="7"/>
      </w:numPr>
    </w:pPr>
  </w:style>
  <w:style w:type="paragraph" w:customStyle="1" w:styleId="ListDash2">
    <w:name w:val="List Dash 2"/>
    <w:basedOn w:val="Normal"/>
    <w:rsid w:val="00047EF8"/>
    <w:pPr>
      <w:numPr>
        <w:numId w:val="8"/>
      </w:numPr>
    </w:pPr>
  </w:style>
  <w:style w:type="paragraph" w:customStyle="1" w:styleId="ListDash3">
    <w:name w:val="List Dash 3"/>
    <w:basedOn w:val="Normal"/>
    <w:rsid w:val="00047EF8"/>
    <w:pPr>
      <w:numPr>
        <w:numId w:val="9"/>
      </w:numPr>
    </w:pPr>
  </w:style>
  <w:style w:type="paragraph" w:customStyle="1" w:styleId="ListDash4">
    <w:name w:val="List Dash 4"/>
    <w:basedOn w:val="Normal"/>
    <w:rsid w:val="00047EF8"/>
    <w:pPr>
      <w:numPr>
        <w:numId w:val="10"/>
      </w:numPr>
    </w:pPr>
  </w:style>
  <w:style w:type="paragraph" w:styleId="ListNumber">
    <w:name w:val="List Number"/>
    <w:basedOn w:val="Normal"/>
    <w:rsid w:val="00047EF8"/>
    <w:pPr>
      <w:numPr>
        <w:numId w:val="11"/>
      </w:numPr>
    </w:pPr>
  </w:style>
  <w:style w:type="paragraph" w:customStyle="1" w:styleId="ListNumberLevel2">
    <w:name w:val="List Number (Level 2)"/>
    <w:basedOn w:val="Normal"/>
    <w:rsid w:val="00047EF8"/>
    <w:pPr>
      <w:numPr>
        <w:ilvl w:val="1"/>
        <w:numId w:val="11"/>
      </w:numPr>
    </w:pPr>
  </w:style>
  <w:style w:type="paragraph" w:customStyle="1" w:styleId="ListNumberLevel3">
    <w:name w:val="List Number (Level 3)"/>
    <w:basedOn w:val="Normal"/>
    <w:rsid w:val="00047EF8"/>
    <w:pPr>
      <w:numPr>
        <w:ilvl w:val="2"/>
        <w:numId w:val="11"/>
      </w:numPr>
    </w:pPr>
  </w:style>
  <w:style w:type="paragraph" w:customStyle="1" w:styleId="ListNumberLevel4">
    <w:name w:val="List Number (Level 4)"/>
    <w:basedOn w:val="Normal"/>
    <w:rsid w:val="00047EF8"/>
    <w:pPr>
      <w:numPr>
        <w:ilvl w:val="3"/>
        <w:numId w:val="11"/>
      </w:numPr>
    </w:pPr>
  </w:style>
  <w:style w:type="paragraph" w:customStyle="1" w:styleId="Text1">
    <w:name w:val="Text 1"/>
    <w:basedOn w:val="Normal"/>
    <w:rsid w:val="00047EF8"/>
    <w:pPr>
      <w:ind w:left="850"/>
    </w:pPr>
  </w:style>
  <w:style w:type="paragraph" w:customStyle="1" w:styleId="ListNumber1">
    <w:name w:val="List Number 1"/>
    <w:basedOn w:val="Text1"/>
    <w:rsid w:val="00047EF8"/>
    <w:pPr>
      <w:numPr>
        <w:numId w:val="12"/>
      </w:numPr>
    </w:pPr>
  </w:style>
  <w:style w:type="paragraph" w:customStyle="1" w:styleId="ListNumber1Level2">
    <w:name w:val="List Number 1 (Level 2)"/>
    <w:basedOn w:val="Text1"/>
    <w:rsid w:val="00047EF8"/>
    <w:pPr>
      <w:numPr>
        <w:ilvl w:val="1"/>
        <w:numId w:val="12"/>
      </w:numPr>
    </w:pPr>
  </w:style>
  <w:style w:type="paragraph" w:customStyle="1" w:styleId="ListNumber1Level3">
    <w:name w:val="List Number 1 (Level 3)"/>
    <w:basedOn w:val="Text1"/>
    <w:rsid w:val="00047EF8"/>
    <w:pPr>
      <w:numPr>
        <w:ilvl w:val="2"/>
        <w:numId w:val="12"/>
      </w:numPr>
    </w:pPr>
  </w:style>
  <w:style w:type="paragraph" w:customStyle="1" w:styleId="ListNumber1Level4">
    <w:name w:val="List Number 1 (Level 4)"/>
    <w:basedOn w:val="Text1"/>
    <w:rsid w:val="00047EF8"/>
    <w:pPr>
      <w:numPr>
        <w:ilvl w:val="3"/>
        <w:numId w:val="12"/>
      </w:numPr>
    </w:pPr>
  </w:style>
  <w:style w:type="paragraph" w:styleId="ListNumber2">
    <w:name w:val="List Number 2"/>
    <w:basedOn w:val="Normal"/>
    <w:rsid w:val="00047EF8"/>
    <w:pPr>
      <w:numPr>
        <w:numId w:val="13"/>
      </w:numPr>
    </w:pPr>
  </w:style>
  <w:style w:type="paragraph" w:customStyle="1" w:styleId="Text2">
    <w:name w:val="Text 2"/>
    <w:basedOn w:val="Normal"/>
    <w:rsid w:val="00047EF8"/>
    <w:pPr>
      <w:ind w:left="850"/>
    </w:pPr>
  </w:style>
  <w:style w:type="paragraph" w:customStyle="1" w:styleId="ListNumber2Level2">
    <w:name w:val="List Number 2 (Level 2)"/>
    <w:basedOn w:val="Text2"/>
    <w:rsid w:val="00047EF8"/>
    <w:pPr>
      <w:numPr>
        <w:ilvl w:val="1"/>
        <w:numId w:val="13"/>
      </w:numPr>
    </w:pPr>
  </w:style>
  <w:style w:type="paragraph" w:customStyle="1" w:styleId="ListNumber2Level3">
    <w:name w:val="List Number 2 (Level 3)"/>
    <w:basedOn w:val="Text2"/>
    <w:rsid w:val="00047EF8"/>
    <w:pPr>
      <w:numPr>
        <w:ilvl w:val="2"/>
        <w:numId w:val="13"/>
      </w:numPr>
    </w:pPr>
  </w:style>
  <w:style w:type="paragraph" w:customStyle="1" w:styleId="ListNumber2Level4">
    <w:name w:val="List Number 2 (Level 4)"/>
    <w:basedOn w:val="Text2"/>
    <w:rsid w:val="00047EF8"/>
    <w:pPr>
      <w:numPr>
        <w:ilvl w:val="3"/>
        <w:numId w:val="13"/>
      </w:numPr>
    </w:pPr>
  </w:style>
  <w:style w:type="paragraph" w:styleId="ListNumber3">
    <w:name w:val="List Number 3"/>
    <w:basedOn w:val="Normal"/>
    <w:rsid w:val="00047EF8"/>
    <w:pPr>
      <w:numPr>
        <w:numId w:val="14"/>
      </w:numPr>
    </w:pPr>
  </w:style>
  <w:style w:type="paragraph" w:customStyle="1" w:styleId="Text3">
    <w:name w:val="Text 3"/>
    <w:basedOn w:val="Normal"/>
    <w:rsid w:val="00047EF8"/>
    <w:pPr>
      <w:ind w:left="850"/>
    </w:pPr>
  </w:style>
  <w:style w:type="paragraph" w:customStyle="1" w:styleId="ListNumber3Level2">
    <w:name w:val="List Number 3 (Level 2)"/>
    <w:basedOn w:val="Text3"/>
    <w:rsid w:val="00047EF8"/>
    <w:pPr>
      <w:numPr>
        <w:ilvl w:val="1"/>
        <w:numId w:val="14"/>
      </w:numPr>
    </w:pPr>
  </w:style>
  <w:style w:type="paragraph" w:customStyle="1" w:styleId="ListNumber3Level3">
    <w:name w:val="List Number 3 (Level 3)"/>
    <w:basedOn w:val="Text3"/>
    <w:rsid w:val="00047EF8"/>
    <w:pPr>
      <w:numPr>
        <w:ilvl w:val="2"/>
        <w:numId w:val="14"/>
      </w:numPr>
    </w:pPr>
  </w:style>
  <w:style w:type="paragraph" w:customStyle="1" w:styleId="ListNumber3Level4">
    <w:name w:val="List Number 3 (Level 4)"/>
    <w:basedOn w:val="Text3"/>
    <w:rsid w:val="00047EF8"/>
    <w:pPr>
      <w:numPr>
        <w:ilvl w:val="3"/>
        <w:numId w:val="14"/>
      </w:numPr>
    </w:pPr>
  </w:style>
  <w:style w:type="paragraph" w:styleId="ListNumber4">
    <w:name w:val="List Number 4"/>
    <w:basedOn w:val="Normal"/>
    <w:rsid w:val="00047EF8"/>
    <w:pPr>
      <w:numPr>
        <w:numId w:val="15"/>
      </w:numPr>
    </w:pPr>
  </w:style>
  <w:style w:type="paragraph" w:customStyle="1" w:styleId="Text4">
    <w:name w:val="Text 4"/>
    <w:basedOn w:val="Normal"/>
    <w:rsid w:val="00047EF8"/>
    <w:pPr>
      <w:ind w:left="850"/>
    </w:pPr>
  </w:style>
  <w:style w:type="paragraph" w:customStyle="1" w:styleId="ListNumber4Level2">
    <w:name w:val="List Number 4 (Level 2)"/>
    <w:basedOn w:val="Text4"/>
    <w:rsid w:val="00047EF8"/>
    <w:pPr>
      <w:numPr>
        <w:ilvl w:val="1"/>
        <w:numId w:val="15"/>
      </w:numPr>
    </w:pPr>
  </w:style>
  <w:style w:type="paragraph" w:customStyle="1" w:styleId="ListNumber4Level3">
    <w:name w:val="List Number 4 (Level 3)"/>
    <w:basedOn w:val="Text4"/>
    <w:rsid w:val="00047EF8"/>
    <w:pPr>
      <w:numPr>
        <w:ilvl w:val="2"/>
        <w:numId w:val="15"/>
      </w:numPr>
    </w:pPr>
  </w:style>
  <w:style w:type="paragraph" w:customStyle="1" w:styleId="ListNumber4Level4">
    <w:name w:val="List Number 4 (Level 4)"/>
    <w:basedOn w:val="Text4"/>
    <w:rsid w:val="00047EF8"/>
    <w:pPr>
      <w:numPr>
        <w:ilvl w:val="3"/>
        <w:numId w:val="15"/>
      </w:numPr>
    </w:pPr>
  </w:style>
  <w:style w:type="paragraph" w:customStyle="1" w:styleId="ManualConsidrant">
    <w:name w:val="Manual Considérant"/>
    <w:basedOn w:val="Normal"/>
    <w:rsid w:val="00047EF8"/>
    <w:pPr>
      <w:ind w:left="709" w:hanging="709"/>
    </w:pPr>
  </w:style>
  <w:style w:type="paragraph" w:customStyle="1" w:styleId="ManualHeading1">
    <w:name w:val="Manual Heading 1"/>
    <w:basedOn w:val="Normal"/>
    <w:next w:val="Text1"/>
    <w:rsid w:val="00047EF8"/>
    <w:pPr>
      <w:keepNext/>
      <w:tabs>
        <w:tab w:val="left" w:pos="850"/>
      </w:tabs>
      <w:spacing w:before="360"/>
      <w:ind w:left="850" w:hanging="850"/>
      <w:outlineLvl w:val="0"/>
    </w:pPr>
    <w:rPr>
      <w:b/>
      <w:smallCaps/>
    </w:rPr>
  </w:style>
  <w:style w:type="paragraph" w:customStyle="1" w:styleId="ManualHeading2">
    <w:name w:val="Manual Heading 2"/>
    <w:basedOn w:val="Normal"/>
    <w:next w:val="Text2"/>
    <w:rsid w:val="00047EF8"/>
    <w:pPr>
      <w:keepNext/>
      <w:tabs>
        <w:tab w:val="left" w:pos="850"/>
      </w:tabs>
      <w:ind w:left="850" w:hanging="850"/>
      <w:outlineLvl w:val="1"/>
    </w:pPr>
    <w:rPr>
      <w:b/>
    </w:rPr>
  </w:style>
  <w:style w:type="paragraph" w:customStyle="1" w:styleId="ManualHeading3">
    <w:name w:val="Manual Heading 3"/>
    <w:basedOn w:val="Normal"/>
    <w:next w:val="Text3"/>
    <w:rsid w:val="00047EF8"/>
    <w:pPr>
      <w:keepNext/>
      <w:tabs>
        <w:tab w:val="left" w:pos="850"/>
      </w:tabs>
      <w:ind w:left="850" w:hanging="850"/>
      <w:outlineLvl w:val="2"/>
    </w:pPr>
    <w:rPr>
      <w:i/>
    </w:rPr>
  </w:style>
  <w:style w:type="paragraph" w:customStyle="1" w:styleId="ManualHeading4">
    <w:name w:val="Manual Heading 4"/>
    <w:basedOn w:val="Normal"/>
    <w:next w:val="Text4"/>
    <w:rsid w:val="00047EF8"/>
    <w:pPr>
      <w:keepNext/>
      <w:tabs>
        <w:tab w:val="left" w:pos="850"/>
      </w:tabs>
      <w:ind w:left="850" w:hanging="850"/>
      <w:outlineLvl w:val="3"/>
    </w:pPr>
  </w:style>
  <w:style w:type="paragraph" w:customStyle="1" w:styleId="ManualNumPar1">
    <w:name w:val="Manual NumPar 1"/>
    <w:basedOn w:val="Normal"/>
    <w:next w:val="Text1"/>
    <w:rsid w:val="00047EF8"/>
    <w:pPr>
      <w:ind w:left="850" w:hanging="850"/>
    </w:pPr>
  </w:style>
  <w:style w:type="paragraph" w:customStyle="1" w:styleId="ManualNumPar2">
    <w:name w:val="Manual NumPar 2"/>
    <w:basedOn w:val="Normal"/>
    <w:next w:val="Text2"/>
    <w:rsid w:val="00047EF8"/>
    <w:pPr>
      <w:ind w:left="850" w:hanging="850"/>
    </w:pPr>
  </w:style>
  <w:style w:type="paragraph" w:customStyle="1" w:styleId="ManualNumPar3">
    <w:name w:val="Manual NumPar 3"/>
    <w:basedOn w:val="Normal"/>
    <w:next w:val="Text3"/>
    <w:rsid w:val="00047EF8"/>
    <w:pPr>
      <w:ind w:left="850" w:hanging="850"/>
    </w:pPr>
  </w:style>
  <w:style w:type="paragraph" w:customStyle="1" w:styleId="ManualNumPar4">
    <w:name w:val="Manual NumPar 4"/>
    <w:basedOn w:val="Normal"/>
    <w:next w:val="Text4"/>
    <w:rsid w:val="00047EF8"/>
    <w:pPr>
      <w:ind w:left="850" w:hanging="850"/>
    </w:pPr>
  </w:style>
  <w:style w:type="character" w:customStyle="1" w:styleId="Marker">
    <w:name w:val="Marker"/>
    <w:rsid w:val="00047EF8"/>
    <w:rPr>
      <w:color w:val="0000FF"/>
    </w:rPr>
  </w:style>
  <w:style w:type="character" w:customStyle="1" w:styleId="Marker1">
    <w:name w:val="Marker1"/>
    <w:rsid w:val="00047EF8"/>
    <w:rPr>
      <w:color w:val="008000"/>
    </w:rPr>
  </w:style>
  <w:style w:type="character" w:customStyle="1" w:styleId="Marker2">
    <w:name w:val="Marker2"/>
    <w:rsid w:val="00047EF8"/>
    <w:rPr>
      <w:color w:val="FF0000"/>
    </w:rPr>
  </w:style>
  <w:style w:type="paragraph" w:customStyle="1" w:styleId="Nomdelinstitution">
    <w:name w:val="Nom de l'institution"/>
    <w:basedOn w:val="Normal"/>
    <w:next w:val="Emission"/>
    <w:rsid w:val="00047EF8"/>
    <w:pPr>
      <w:spacing w:after="0"/>
    </w:pPr>
    <w:rPr>
      <w:rFonts w:ascii="Arial" w:hAnsi="Arial" w:cs="Arial"/>
    </w:rPr>
  </w:style>
  <w:style w:type="paragraph" w:customStyle="1" w:styleId="NormalCentered">
    <w:name w:val="Normal Centered"/>
    <w:basedOn w:val="Normal"/>
    <w:rsid w:val="00047EF8"/>
    <w:pPr>
      <w:jc w:val="center"/>
    </w:pPr>
  </w:style>
  <w:style w:type="paragraph" w:customStyle="1" w:styleId="NormalLeft">
    <w:name w:val="Normal Left"/>
    <w:basedOn w:val="Normal"/>
    <w:rsid w:val="00047EF8"/>
  </w:style>
  <w:style w:type="paragraph" w:customStyle="1" w:styleId="NormalRight">
    <w:name w:val="Normal Right"/>
    <w:basedOn w:val="Normal"/>
    <w:rsid w:val="00047EF8"/>
    <w:pPr>
      <w:jc w:val="right"/>
    </w:pPr>
  </w:style>
  <w:style w:type="paragraph" w:customStyle="1" w:styleId="NumPar1">
    <w:name w:val="NumPar 1"/>
    <w:basedOn w:val="Normal"/>
    <w:next w:val="Text1"/>
    <w:rsid w:val="00047EF8"/>
    <w:pPr>
      <w:numPr>
        <w:numId w:val="16"/>
      </w:numPr>
    </w:pPr>
  </w:style>
  <w:style w:type="paragraph" w:customStyle="1" w:styleId="NumPar2">
    <w:name w:val="NumPar 2"/>
    <w:basedOn w:val="Normal"/>
    <w:next w:val="Text2"/>
    <w:rsid w:val="00047EF8"/>
    <w:pPr>
      <w:numPr>
        <w:ilvl w:val="1"/>
        <w:numId w:val="16"/>
      </w:numPr>
    </w:pPr>
  </w:style>
  <w:style w:type="paragraph" w:customStyle="1" w:styleId="NumPar3">
    <w:name w:val="NumPar 3"/>
    <w:basedOn w:val="Normal"/>
    <w:next w:val="Text3"/>
    <w:rsid w:val="00047EF8"/>
    <w:pPr>
      <w:numPr>
        <w:ilvl w:val="2"/>
        <w:numId w:val="16"/>
      </w:numPr>
    </w:pPr>
  </w:style>
  <w:style w:type="paragraph" w:customStyle="1" w:styleId="NumPar4">
    <w:name w:val="NumPar 4"/>
    <w:basedOn w:val="Normal"/>
    <w:next w:val="Text4"/>
    <w:rsid w:val="00047EF8"/>
    <w:pPr>
      <w:numPr>
        <w:ilvl w:val="3"/>
        <w:numId w:val="16"/>
      </w:numPr>
    </w:pPr>
  </w:style>
  <w:style w:type="paragraph" w:customStyle="1" w:styleId="Objetexterne">
    <w:name w:val="Objet externe"/>
    <w:basedOn w:val="Normal"/>
    <w:next w:val="Normal"/>
    <w:rsid w:val="00047EF8"/>
    <w:rPr>
      <w:i/>
      <w:caps/>
    </w:rPr>
  </w:style>
  <w:style w:type="paragraph" w:customStyle="1" w:styleId="PartTitle">
    <w:name w:val="PartTitle"/>
    <w:basedOn w:val="Normal"/>
    <w:next w:val="ChapterTitle"/>
    <w:rsid w:val="00047EF8"/>
    <w:pPr>
      <w:keepNext/>
      <w:pageBreakBefore/>
      <w:spacing w:after="360"/>
      <w:jc w:val="center"/>
    </w:pPr>
    <w:rPr>
      <w:b/>
      <w:sz w:val="36"/>
    </w:rPr>
  </w:style>
  <w:style w:type="paragraph" w:customStyle="1" w:styleId="Personnequisigne">
    <w:name w:val="Personne qui signe"/>
    <w:basedOn w:val="Normal"/>
    <w:next w:val="Institutionquisigne"/>
    <w:rsid w:val="00047EF8"/>
    <w:pPr>
      <w:tabs>
        <w:tab w:val="left" w:pos="4252"/>
      </w:tabs>
      <w:spacing w:after="0"/>
    </w:pPr>
    <w:rPr>
      <w:i/>
    </w:rPr>
  </w:style>
  <w:style w:type="paragraph" w:customStyle="1" w:styleId="Phrasefinale">
    <w:name w:val="Phrase finale"/>
    <w:basedOn w:val="Normal"/>
    <w:next w:val="Normal"/>
    <w:rsid w:val="00047EF8"/>
    <w:pPr>
      <w:spacing w:before="360" w:after="0"/>
      <w:jc w:val="center"/>
    </w:pPr>
  </w:style>
  <w:style w:type="paragraph" w:customStyle="1" w:styleId="Point0">
    <w:name w:val="Point 0"/>
    <w:basedOn w:val="Normal"/>
    <w:rsid w:val="00047EF8"/>
    <w:pPr>
      <w:ind w:left="850" w:hanging="850"/>
    </w:pPr>
  </w:style>
  <w:style w:type="paragraph" w:customStyle="1" w:styleId="Point1">
    <w:name w:val="Point 1"/>
    <w:basedOn w:val="Normal"/>
    <w:rsid w:val="00047EF8"/>
    <w:pPr>
      <w:ind w:left="1417" w:hanging="567"/>
    </w:pPr>
  </w:style>
  <w:style w:type="paragraph" w:customStyle="1" w:styleId="Point2">
    <w:name w:val="Point 2"/>
    <w:basedOn w:val="Normal"/>
    <w:rsid w:val="00047EF8"/>
    <w:pPr>
      <w:ind w:left="1984" w:hanging="567"/>
    </w:pPr>
  </w:style>
  <w:style w:type="paragraph" w:customStyle="1" w:styleId="Point3">
    <w:name w:val="Point 3"/>
    <w:basedOn w:val="Normal"/>
    <w:rsid w:val="00047EF8"/>
    <w:pPr>
      <w:ind w:left="2551" w:hanging="567"/>
    </w:pPr>
  </w:style>
  <w:style w:type="paragraph" w:customStyle="1" w:styleId="Point4">
    <w:name w:val="Point 4"/>
    <w:basedOn w:val="Normal"/>
    <w:rsid w:val="00047EF8"/>
    <w:pPr>
      <w:ind w:left="3118" w:hanging="567"/>
    </w:pPr>
  </w:style>
  <w:style w:type="paragraph" w:customStyle="1" w:styleId="PointDouble0">
    <w:name w:val="PointDouble 0"/>
    <w:basedOn w:val="Normal"/>
    <w:rsid w:val="00047EF8"/>
    <w:pPr>
      <w:tabs>
        <w:tab w:val="left" w:pos="850"/>
      </w:tabs>
      <w:ind w:left="1417" w:hanging="1417"/>
    </w:pPr>
  </w:style>
  <w:style w:type="paragraph" w:customStyle="1" w:styleId="PointDouble1">
    <w:name w:val="PointDouble 1"/>
    <w:basedOn w:val="Normal"/>
    <w:rsid w:val="00047EF8"/>
    <w:pPr>
      <w:tabs>
        <w:tab w:val="left" w:pos="1417"/>
      </w:tabs>
      <w:ind w:left="1984" w:hanging="1134"/>
    </w:pPr>
  </w:style>
  <w:style w:type="paragraph" w:customStyle="1" w:styleId="PointDouble2">
    <w:name w:val="PointDouble 2"/>
    <w:basedOn w:val="Normal"/>
    <w:rsid w:val="00047EF8"/>
    <w:pPr>
      <w:tabs>
        <w:tab w:val="left" w:pos="1984"/>
      </w:tabs>
      <w:ind w:left="2551" w:hanging="1134"/>
    </w:pPr>
  </w:style>
  <w:style w:type="paragraph" w:customStyle="1" w:styleId="PointDouble3">
    <w:name w:val="PointDouble 3"/>
    <w:basedOn w:val="Normal"/>
    <w:rsid w:val="00047EF8"/>
    <w:pPr>
      <w:tabs>
        <w:tab w:val="left" w:pos="2551"/>
      </w:tabs>
      <w:ind w:left="3118" w:hanging="1134"/>
    </w:pPr>
  </w:style>
  <w:style w:type="paragraph" w:customStyle="1" w:styleId="PointDouble4">
    <w:name w:val="PointDouble 4"/>
    <w:basedOn w:val="Normal"/>
    <w:rsid w:val="00047EF8"/>
    <w:pPr>
      <w:tabs>
        <w:tab w:val="left" w:pos="3118"/>
      </w:tabs>
      <w:ind w:left="3685" w:hanging="1134"/>
    </w:pPr>
  </w:style>
  <w:style w:type="paragraph" w:customStyle="1" w:styleId="PointTriple0">
    <w:name w:val="PointTriple 0"/>
    <w:basedOn w:val="Normal"/>
    <w:rsid w:val="00047EF8"/>
    <w:pPr>
      <w:tabs>
        <w:tab w:val="left" w:pos="850"/>
        <w:tab w:val="left" w:pos="1417"/>
      </w:tabs>
      <w:ind w:left="1984" w:hanging="1984"/>
    </w:pPr>
  </w:style>
  <w:style w:type="paragraph" w:customStyle="1" w:styleId="PointTriple1">
    <w:name w:val="PointTriple 1"/>
    <w:basedOn w:val="Normal"/>
    <w:rsid w:val="00047EF8"/>
    <w:pPr>
      <w:tabs>
        <w:tab w:val="left" w:pos="1417"/>
        <w:tab w:val="left" w:pos="1984"/>
      </w:tabs>
      <w:ind w:left="2551" w:hanging="1701"/>
    </w:pPr>
  </w:style>
  <w:style w:type="paragraph" w:customStyle="1" w:styleId="PointTriple2">
    <w:name w:val="PointTriple 2"/>
    <w:basedOn w:val="Normal"/>
    <w:rsid w:val="00047EF8"/>
    <w:pPr>
      <w:tabs>
        <w:tab w:val="left" w:pos="1984"/>
        <w:tab w:val="left" w:pos="2551"/>
      </w:tabs>
      <w:ind w:left="3118" w:hanging="1701"/>
    </w:pPr>
  </w:style>
  <w:style w:type="paragraph" w:customStyle="1" w:styleId="PointTriple3">
    <w:name w:val="PointTriple 3"/>
    <w:basedOn w:val="Normal"/>
    <w:rsid w:val="00047EF8"/>
    <w:pPr>
      <w:tabs>
        <w:tab w:val="left" w:pos="2551"/>
        <w:tab w:val="left" w:pos="3118"/>
      </w:tabs>
      <w:ind w:left="3685" w:hanging="1701"/>
    </w:pPr>
  </w:style>
  <w:style w:type="paragraph" w:customStyle="1" w:styleId="PointTriple4">
    <w:name w:val="PointTriple 4"/>
    <w:basedOn w:val="Normal"/>
    <w:rsid w:val="00047EF8"/>
    <w:pPr>
      <w:tabs>
        <w:tab w:val="left" w:pos="3118"/>
        <w:tab w:val="left" w:pos="3685"/>
      </w:tabs>
      <w:ind w:left="4252" w:hanging="1701"/>
    </w:pPr>
  </w:style>
  <w:style w:type="paragraph" w:customStyle="1" w:styleId="Prliminairetitre">
    <w:name w:val="Préliminaire titre"/>
    <w:basedOn w:val="Normal"/>
    <w:next w:val="Normal"/>
    <w:rsid w:val="00047EF8"/>
    <w:pPr>
      <w:spacing w:before="360" w:after="360"/>
      <w:jc w:val="center"/>
    </w:pPr>
    <w:rPr>
      <w:b/>
    </w:rPr>
  </w:style>
  <w:style w:type="paragraph" w:customStyle="1" w:styleId="Prliminairetype">
    <w:name w:val="Préliminaire type"/>
    <w:basedOn w:val="Normal"/>
    <w:next w:val="Normal"/>
    <w:rsid w:val="00047EF8"/>
    <w:pPr>
      <w:spacing w:before="360" w:after="0"/>
      <w:jc w:val="center"/>
    </w:pPr>
    <w:rPr>
      <w:b/>
    </w:rPr>
  </w:style>
  <w:style w:type="paragraph" w:customStyle="1" w:styleId="QuotedNumPar">
    <w:name w:val="Quoted NumPar"/>
    <w:basedOn w:val="Normal"/>
    <w:rsid w:val="00047EF8"/>
    <w:pPr>
      <w:ind w:left="1417" w:hanging="567"/>
    </w:pPr>
  </w:style>
  <w:style w:type="paragraph" w:customStyle="1" w:styleId="QuotedText">
    <w:name w:val="Quoted Text"/>
    <w:basedOn w:val="Normal"/>
    <w:rsid w:val="00047EF8"/>
    <w:pPr>
      <w:ind w:left="1417"/>
    </w:pPr>
  </w:style>
  <w:style w:type="paragraph" w:customStyle="1" w:styleId="Rfrenceinstitutionelle">
    <w:name w:val="Référence institutionelle"/>
    <w:basedOn w:val="Normal"/>
    <w:next w:val="Normal"/>
    <w:rsid w:val="00047EF8"/>
    <w:pPr>
      <w:spacing w:after="240"/>
      <w:ind w:left="5103"/>
    </w:pPr>
  </w:style>
  <w:style w:type="paragraph" w:customStyle="1" w:styleId="Rfrenceinterinstitutionelle">
    <w:name w:val="Référence interinstitutionelle"/>
    <w:basedOn w:val="Normal"/>
    <w:next w:val="Normal"/>
    <w:rsid w:val="00047EF8"/>
    <w:pPr>
      <w:spacing w:after="0"/>
      <w:ind w:left="5103"/>
    </w:pPr>
  </w:style>
  <w:style w:type="paragraph" w:customStyle="1" w:styleId="Rfrenceinterinstitutionelleprliminaire">
    <w:name w:val="Référence interinstitutionelle (préliminaire)"/>
    <w:basedOn w:val="Normal"/>
    <w:next w:val="Normal"/>
    <w:rsid w:val="00047EF8"/>
    <w:pPr>
      <w:spacing w:after="0"/>
      <w:ind w:left="5103"/>
    </w:pPr>
  </w:style>
  <w:style w:type="paragraph" w:customStyle="1" w:styleId="Rfrenceinterne">
    <w:name w:val="Référence interne"/>
    <w:basedOn w:val="Normal"/>
    <w:next w:val="Nomdelinstitution"/>
    <w:rsid w:val="00047EF8"/>
    <w:pPr>
      <w:spacing w:after="600"/>
      <w:jc w:val="center"/>
    </w:pPr>
    <w:rPr>
      <w:b/>
    </w:rPr>
  </w:style>
  <w:style w:type="paragraph" w:customStyle="1" w:styleId="SectionTitle">
    <w:name w:val="SectionTitle"/>
    <w:basedOn w:val="Normal"/>
    <w:next w:val="Heading1"/>
    <w:rsid w:val="00047EF8"/>
    <w:pPr>
      <w:keepNext/>
      <w:spacing w:after="360"/>
      <w:jc w:val="center"/>
    </w:pPr>
    <w:rPr>
      <w:b/>
      <w:smallCaps/>
      <w:sz w:val="28"/>
    </w:rPr>
  </w:style>
  <w:style w:type="paragraph" w:customStyle="1" w:styleId="Sous-titreobjet">
    <w:name w:val="Sous-titre objet"/>
    <w:basedOn w:val="Normal"/>
    <w:rsid w:val="00047EF8"/>
    <w:pPr>
      <w:spacing w:after="0"/>
      <w:jc w:val="center"/>
    </w:pPr>
    <w:rPr>
      <w:b/>
    </w:rPr>
  </w:style>
  <w:style w:type="paragraph" w:customStyle="1" w:styleId="Sous-titreobjetprliminaire">
    <w:name w:val="Sous-titre objet (préliminaire)"/>
    <w:basedOn w:val="Normal"/>
    <w:rsid w:val="00047EF8"/>
    <w:pPr>
      <w:spacing w:after="0"/>
      <w:jc w:val="center"/>
    </w:pPr>
    <w:rPr>
      <w:b/>
    </w:rPr>
  </w:style>
  <w:style w:type="paragraph" w:customStyle="1" w:styleId="Statut">
    <w:name w:val="Statut"/>
    <w:basedOn w:val="Normal"/>
    <w:next w:val="Normal"/>
    <w:rsid w:val="00047EF8"/>
    <w:pPr>
      <w:spacing w:before="360" w:after="0"/>
      <w:jc w:val="center"/>
    </w:pPr>
  </w:style>
  <w:style w:type="paragraph" w:customStyle="1" w:styleId="Statutprliminaire">
    <w:name w:val="Statut (préliminaire)"/>
    <w:basedOn w:val="Normal"/>
    <w:next w:val="Normal"/>
    <w:rsid w:val="00047EF8"/>
    <w:pPr>
      <w:spacing w:before="360" w:after="0"/>
      <w:jc w:val="center"/>
    </w:pPr>
  </w:style>
  <w:style w:type="paragraph" w:customStyle="1" w:styleId="TableTitle">
    <w:name w:val="Table Title"/>
    <w:basedOn w:val="Normal"/>
    <w:next w:val="Normal"/>
    <w:rsid w:val="00047EF8"/>
    <w:pPr>
      <w:jc w:val="center"/>
    </w:pPr>
    <w:rPr>
      <w:b/>
    </w:rPr>
  </w:style>
  <w:style w:type="paragraph" w:customStyle="1" w:styleId="Tiret0">
    <w:name w:val="Tiret 0"/>
    <w:basedOn w:val="Point0"/>
    <w:rsid w:val="00047EF8"/>
    <w:pPr>
      <w:numPr>
        <w:numId w:val="17"/>
      </w:numPr>
    </w:pPr>
  </w:style>
  <w:style w:type="paragraph" w:customStyle="1" w:styleId="Tiret1">
    <w:name w:val="Tiret 1"/>
    <w:basedOn w:val="Point1"/>
    <w:rsid w:val="00047EF8"/>
    <w:pPr>
      <w:numPr>
        <w:numId w:val="18"/>
      </w:numPr>
    </w:pPr>
  </w:style>
  <w:style w:type="paragraph" w:customStyle="1" w:styleId="Tiret2">
    <w:name w:val="Tiret 2"/>
    <w:basedOn w:val="Point2"/>
    <w:rsid w:val="00047EF8"/>
    <w:pPr>
      <w:numPr>
        <w:numId w:val="19"/>
      </w:numPr>
    </w:pPr>
  </w:style>
  <w:style w:type="paragraph" w:customStyle="1" w:styleId="Tiret3">
    <w:name w:val="Tiret 3"/>
    <w:basedOn w:val="Point3"/>
    <w:rsid w:val="00047EF8"/>
    <w:pPr>
      <w:numPr>
        <w:numId w:val="20"/>
      </w:numPr>
    </w:pPr>
  </w:style>
  <w:style w:type="paragraph" w:customStyle="1" w:styleId="Tiret4">
    <w:name w:val="Tiret 4"/>
    <w:basedOn w:val="Point4"/>
    <w:rsid w:val="00047EF8"/>
    <w:pPr>
      <w:numPr>
        <w:numId w:val="21"/>
      </w:numPr>
    </w:pPr>
  </w:style>
  <w:style w:type="paragraph" w:customStyle="1" w:styleId="Titrearticle">
    <w:name w:val="Titre article"/>
    <w:basedOn w:val="Normal"/>
    <w:next w:val="Normal"/>
    <w:rsid w:val="00047EF8"/>
    <w:pPr>
      <w:keepNext/>
      <w:spacing w:before="360"/>
      <w:jc w:val="center"/>
    </w:pPr>
    <w:rPr>
      <w:i/>
    </w:rPr>
  </w:style>
  <w:style w:type="paragraph" w:customStyle="1" w:styleId="Titreobjet">
    <w:name w:val="Titre objet"/>
    <w:basedOn w:val="Normal"/>
    <w:next w:val="Sous-titreobjet"/>
    <w:rsid w:val="00047EF8"/>
    <w:pPr>
      <w:spacing w:before="360" w:after="360"/>
      <w:jc w:val="center"/>
    </w:pPr>
    <w:rPr>
      <w:b/>
    </w:rPr>
  </w:style>
  <w:style w:type="paragraph" w:customStyle="1" w:styleId="Titreobjetprliminaire">
    <w:name w:val="Titre objet (préliminaire)"/>
    <w:basedOn w:val="Normal"/>
    <w:next w:val="Normal"/>
    <w:rsid w:val="00047EF8"/>
    <w:pPr>
      <w:spacing w:before="360" w:after="360"/>
      <w:jc w:val="center"/>
    </w:pPr>
    <w:rPr>
      <w:b/>
    </w:rPr>
  </w:style>
  <w:style w:type="paragraph" w:styleId="TOC1">
    <w:name w:val="toc 1"/>
    <w:basedOn w:val="Normal"/>
    <w:next w:val="Normal"/>
    <w:uiPriority w:val="39"/>
    <w:qFormat/>
    <w:rsid w:val="00047EF8"/>
    <w:pPr>
      <w:spacing w:before="120" w:after="120"/>
    </w:pPr>
    <w:rPr>
      <w:rFonts w:cs="Calibri"/>
      <w:b/>
      <w:bCs/>
      <w:caps/>
      <w:sz w:val="20"/>
      <w:szCs w:val="20"/>
    </w:rPr>
  </w:style>
  <w:style w:type="paragraph" w:styleId="TOC2">
    <w:name w:val="toc 2"/>
    <w:basedOn w:val="Normal"/>
    <w:next w:val="Normal"/>
    <w:uiPriority w:val="39"/>
    <w:qFormat/>
    <w:rsid w:val="00047EF8"/>
    <w:pPr>
      <w:spacing w:after="0"/>
      <w:ind w:left="220"/>
    </w:pPr>
    <w:rPr>
      <w:rFonts w:cs="Calibri"/>
      <w:smallCaps/>
      <w:sz w:val="20"/>
      <w:szCs w:val="20"/>
    </w:rPr>
  </w:style>
  <w:style w:type="paragraph" w:styleId="TOC3">
    <w:name w:val="toc 3"/>
    <w:basedOn w:val="Normal"/>
    <w:next w:val="Normal"/>
    <w:uiPriority w:val="39"/>
    <w:qFormat/>
    <w:rsid w:val="00047EF8"/>
    <w:pPr>
      <w:spacing w:after="0"/>
      <w:ind w:left="440"/>
    </w:pPr>
    <w:rPr>
      <w:rFonts w:cs="Calibri"/>
      <w:i/>
      <w:iCs/>
      <w:sz w:val="20"/>
      <w:szCs w:val="20"/>
    </w:rPr>
  </w:style>
  <w:style w:type="paragraph" w:styleId="TOC4">
    <w:name w:val="toc 4"/>
    <w:basedOn w:val="Normal"/>
    <w:next w:val="Normal"/>
    <w:uiPriority w:val="39"/>
    <w:rsid w:val="00047EF8"/>
    <w:pPr>
      <w:spacing w:after="0"/>
      <w:ind w:left="660"/>
    </w:pPr>
    <w:rPr>
      <w:rFonts w:cs="Calibri"/>
      <w:sz w:val="18"/>
      <w:szCs w:val="18"/>
    </w:rPr>
  </w:style>
  <w:style w:type="paragraph" w:styleId="TOC5">
    <w:name w:val="toc 5"/>
    <w:basedOn w:val="Normal"/>
    <w:next w:val="Normal"/>
    <w:uiPriority w:val="39"/>
    <w:rsid w:val="00047EF8"/>
    <w:pPr>
      <w:spacing w:after="0"/>
      <w:ind w:left="880"/>
    </w:pPr>
    <w:rPr>
      <w:rFonts w:cs="Calibri"/>
      <w:sz w:val="18"/>
      <w:szCs w:val="18"/>
    </w:rPr>
  </w:style>
  <w:style w:type="paragraph" w:styleId="TOC6">
    <w:name w:val="toc 6"/>
    <w:basedOn w:val="Normal"/>
    <w:next w:val="Normal"/>
    <w:uiPriority w:val="39"/>
    <w:rsid w:val="00047EF8"/>
    <w:pPr>
      <w:spacing w:after="0"/>
      <w:ind w:left="1100"/>
    </w:pPr>
    <w:rPr>
      <w:rFonts w:cs="Calibri"/>
      <w:sz w:val="18"/>
      <w:szCs w:val="18"/>
    </w:rPr>
  </w:style>
  <w:style w:type="paragraph" w:styleId="TOC7">
    <w:name w:val="toc 7"/>
    <w:basedOn w:val="Normal"/>
    <w:next w:val="Normal"/>
    <w:uiPriority w:val="39"/>
    <w:rsid w:val="00047EF8"/>
    <w:pPr>
      <w:spacing w:after="0"/>
      <w:ind w:left="1320"/>
    </w:pPr>
    <w:rPr>
      <w:rFonts w:cs="Calibri"/>
      <w:sz w:val="18"/>
      <w:szCs w:val="18"/>
    </w:rPr>
  </w:style>
  <w:style w:type="paragraph" w:styleId="TOC8">
    <w:name w:val="toc 8"/>
    <w:basedOn w:val="Normal"/>
    <w:next w:val="Normal"/>
    <w:uiPriority w:val="39"/>
    <w:rsid w:val="00047EF8"/>
    <w:pPr>
      <w:spacing w:after="0"/>
      <w:ind w:left="1540"/>
    </w:pPr>
    <w:rPr>
      <w:rFonts w:cs="Calibri"/>
      <w:sz w:val="18"/>
      <w:szCs w:val="18"/>
    </w:rPr>
  </w:style>
  <w:style w:type="paragraph" w:styleId="TOC9">
    <w:name w:val="toc 9"/>
    <w:basedOn w:val="Normal"/>
    <w:next w:val="Normal"/>
    <w:uiPriority w:val="39"/>
    <w:rsid w:val="00047EF8"/>
    <w:pPr>
      <w:spacing w:after="0"/>
      <w:ind w:left="1760"/>
    </w:pPr>
    <w:rPr>
      <w:rFonts w:cs="Calibri"/>
      <w:sz w:val="18"/>
      <w:szCs w:val="18"/>
    </w:rPr>
  </w:style>
  <w:style w:type="paragraph" w:styleId="TOCHeading">
    <w:name w:val="TOC Heading"/>
    <w:basedOn w:val="Heading1"/>
    <w:next w:val="Normal"/>
    <w:uiPriority w:val="39"/>
    <w:unhideWhenUsed/>
    <w:qFormat/>
    <w:rsid w:val="00047EF8"/>
    <w:pPr>
      <w:outlineLvl w:val="9"/>
    </w:pPr>
  </w:style>
  <w:style w:type="paragraph" w:customStyle="1" w:styleId="Typedudocument">
    <w:name w:val="Type du document"/>
    <w:basedOn w:val="Normal"/>
    <w:next w:val="Datedadoption"/>
    <w:rsid w:val="00047EF8"/>
    <w:pPr>
      <w:spacing w:before="360" w:after="0"/>
      <w:jc w:val="center"/>
    </w:pPr>
    <w:rPr>
      <w:b/>
    </w:rPr>
  </w:style>
  <w:style w:type="paragraph" w:customStyle="1" w:styleId="Typedudocumentprliminaire">
    <w:name w:val="Type du document (préliminaire)"/>
    <w:basedOn w:val="Normal"/>
    <w:next w:val="Normal"/>
    <w:rsid w:val="00047EF8"/>
    <w:pPr>
      <w:spacing w:before="360" w:after="0"/>
      <w:jc w:val="center"/>
    </w:pPr>
    <w:rPr>
      <w:b/>
    </w:rPr>
  </w:style>
  <w:style w:type="paragraph" w:customStyle="1" w:styleId="NormalIndent1">
    <w:name w:val="Normal Indent 1"/>
    <w:basedOn w:val="NormalIndent"/>
    <w:autoRedefine/>
    <w:semiHidden/>
    <w:rsid w:val="00047EF8"/>
    <w:pPr>
      <w:spacing w:before="100" w:beforeAutospacing="1" w:after="100" w:afterAutospacing="1"/>
      <w:ind w:left="0"/>
    </w:pPr>
    <w:rPr>
      <w:rFonts w:ascii="Times New Roman" w:hAnsi="Times New Roman"/>
      <w:b/>
      <w:i/>
      <w:sz w:val="24"/>
      <w:szCs w:val="24"/>
      <w:lang w:val="en-US"/>
    </w:rPr>
  </w:style>
  <w:style w:type="paragraph" w:styleId="NormalIndent">
    <w:name w:val="Normal Indent"/>
    <w:basedOn w:val="Normal"/>
    <w:rsid w:val="00047EF8"/>
    <w:pPr>
      <w:ind w:left="720"/>
    </w:pPr>
  </w:style>
  <w:style w:type="paragraph" w:styleId="Title">
    <w:name w:val="Title"/>
    <w:basedOn w:val="Normal"/>
    <w:next w:val="Normal"/>
    <w:link w:val="TitleChar"/>
    <w:uiPriority w:val="10"/>
    <w:qFormat/>
    <w:rsid w:val="00047EF8"/>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basedOn w:val="DefaultParagraphFont"/>
    <w:link w:val="Title"/>
    <w:uiPriority w:val="10"/>
    <w:rsid w:val="00047EF8"/>
    <w:rPr>
      <w:rFonts w:ascii="Cambria" w:eastAsia="Times New Roman" w:hAnsi="Cambria" w:cs="Times New Roman"/>
      <w:color w:val="343434"/>
      <w:spacing w:val="5"/>
      <w:kern w:val="28"/>
      <w:sz w:val="52"/>
      <w:szCs w:val="52"/>
      <w:lang w:val="en-GB" w:eastAsia="en-GB"/>
    </w:rPr>
  </w:style>
  <w:style w:type="paragraph" w:styleId="BodyText">
    <w:name w:val="Body Text"/>
    <w:aliases w:val="Body Text Char1,block Char,Tempo Body Text Char,Body Text - Level 2 Char,bd Char,bt Char,NCDOT Body Text Char,Starbucks Body Text Char,3 indent Char,heading31 Char,body text1 Char,3 indent1 Char,heading32 Char,body text2 Char,b"/>
    <w:basedOn w:val="Normal"/>
    <w:link w:val="BodyTextChar"/>
    <w:semiHidden/>
    <w:rsid w:val="00047EF8"/>
    <w:pPr>
      <w:spacing w:after="0"/>
    </w:pPr>
    <w:rPr>
      <w:b/>
      <w:sz w:val="24"/>
      <w:szCs w:val="20"/>
      <w:lang w:val="en-US"/>
    </w:rPr>
  </w:style>
  <w:style w:type="character" w:customStyle="1" w:styleId="BodyTextChar">
    <w:name w:val="Body Text Char"/>
    <w:aliases w:val="Body Text Char1 Char,block Char Char,Tempo Body Text Char Char,Body Text - Level 2 Char Char,bd Char Char,bt Char Char,NCDOT Body Text Char Char,Starbucks Body Text Char Char,3 indent Char Char,heading31 Char Char,body text1 Char Char"/>
    <w:basedOn w:val="DefaultParagraphFont"/>
    <w:link w:val="BodyText"/>
    <w:semiHidden/>
    <w:rsid w:val="00047EF8"/>
    <w:rPr>
      <w:rFonts w:ascii="Calibri" w:eastAsia="Times New Roman" w:hAnsi="Calibri" w:cs="Times New Roman"/>
      <w:b/>
      <w:szCs w:val="20"/>
      <w:lang w:eastAsia="en-GB"/>
    </w:rPr>
  </w:style>
  <w:style w:type="character" w:styleId="Hyperlink">
    <w:name w:val="Hyperlink"/>
    <w:uiPriority w:val="99"/>
    <w:rsid w:val="00047EF8"/>
    <w:rPr>
      <w:rFonts w:cs="Times New Roman"/>
      <w:color w:val="0000FF"/>
      <w:u w:val="single"/>
    </w:rPr>
  </w:style>
  <w:style w:type="character" w:styleId="PageNumber">
    <w:name w:val="page number"/>
    <w:semiHidden/>
    <w:rsid w:val="00047EF8"/>
    <w:rPr>
      <w:rFonts w:cs="Times New Roman"/>
    </w:rPr>
  </w:style>
  <w:style w:type="table" w:styleId="TableGrid">
    <w:name w:val="Table Grid"/>
    <w:basedOn w:val="TableNormal"/>
    <w:uiPriority w:val="39"/>
    <w:rsid w:val="00047EF8"/>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APG-AnnexTitle">
    <w:name w:val="IPA PG - Annex Title"/>
    <w:basedOn w:val="Normal"/>
    <w:rsid w:val="00047EF8"/>
    <w:pPr>
      <w:pBdr>
        <w:top w:val="single" w:sz="4" w:space="1" w:color="auto"/>
        <w:left w:val="single" w:sz="4" w:space="4" w:color="auto"/>
        <w:bottom w:val="single" w:sz="4" w:space="1" w:color="auto"/>
        <w:right w:val="single" w:sz="4" w:space="4" w:color="auto"/>
      </w:pBdr>
      <w:shd w:val="clear" w:color="auto" w:fill="D9D9D9"/>
      <w:spacing w:after="240"/>
    </w:pPr>
    <w:rPr>
      <w:rFonts w:ascii="Times New Roman Bold" w:hAnsi="Times New Roman Bold"/>
      <w:sz w:val="32"/>
      <w:szCs w:val="32"/>
    </w:rPr>
  </w:style>
  <w:style w:type="paragraph" w:customStyle="1" w:styleId="Char2CharCharCharCharCharCharCharCharChar">
    <w:name w:val="Char2 Char Char Char Char Char Char Char Char Char"/>
    <w:basedOn w:val="Normal"/>
    <w:rsid w:val="00047EF8"/>
    <w:pPr>
      <w:spacing w:after="160" w:line="240" w:lineRule="exact"/>
    </w:pPr>
    <w:rPr>
      <w:rFonts w:ascii="Tahoma" w:hAnsi="Tahoma"/>
      <w:sz w:val="20"/>
      <w:szCs w:val="20"/>
      <w:lang w:val="en-US" w:eastAsia="en-US"/>
    </w:rPr>
  </w:style>
  <w:style w:type="character" w:customStyle="1" w:styleId="title2">
    <w:name w:val="title2"/>
    <w:basedOn w:val="DefaultParagraphFont"/>
    <w:rsid w:val="00047EF8"/>
  </w:style>
  <w:style w:type="character" w:customStyle="1" w:styleId="title1">
    <w:name w:val="title1"/>
    <w:basedOn w:val="DefaultParagraphFont"/>
    <w:rsid w:val="00047EF8"/>
  </w:style>
  <w:style w:type="character" w:styleId="Emphasis">
    <w:name w:val="Emphasis"/>
    <w:uiPriority w:val="20"/>
    <w:qFormat/>
    <w:rsid w:val="00047EF8"/>
    <w:rPr>
      <w:i/>
      <w:iCs/>
    </w:rPr>
  </w:style>
  <w:style w:type="character" w:styleId="CommentReference">
    <w:name w:val="annotation reference"/>
    <w:rsid w:val="00047EF8"/>
    <w:rPr>
      <w:sz w:val="16"/>
      <w:szCs w:val="16"/>
    </w:rPr>
  </w:style>
  <w:style w:type="paragraph" w:styleId="CommentText">
    <w:name w:val="annotation text"/>
    <w:aliases w:val="Char Char"/>
    <w:basedOn w:val="Normal"/>
    <w:link w:val="CommentTextChar"/>
    <w:uiPriority w:val="99"/>
    <w:rsid w:val="00047EF8"/>
    <w:rPr>
      <w:sz w:val="20"/>
      <w:szCs w:val="20"/>
    </w:rPr>
  </w:style>
  <w:style w:type="character" w:customStyle="1" w:styleId="CommentTextChar">
    <w:name w:val="Comment Text Char"/>
    <w:aliases w:val="Char Char Char"/>
    <w:basedOn w:val="DefaultParagraphFont"/>
    <w:link w:val="CommentText"/>
    <w:uiPriority w:val="99"/>
    <w:rsid w:val="00047EF8"/>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uiPriority w:val="99"/>
    <w:semiHidden/>
    <w:rsid w:val="00047EF8"/>
    <w:rPr>
      <w:b/>
      <w:bCs/>
    </w:rPr>
  </w:style>
  <w:style w:type="character" w:customStyle="1" w:styleId="CommentSubjectChar">
    <w:name w:val="Comment Subject Char"/>
    <w:basedOn w:val="CommentTextChar"/>
    <w:link w:val="CommentSubject"/>
    <w:uiPriority w:val="99"/>
    <w:semiHidden/>
    <w:rsid w:val="00047EF8"/>
    <w:rPr>
      <w:rFonts w:ascii="Calibri" w:eastAsia="Times New Roman" w:hAnsi="Calibri" w:cs="Times New Roman"/>
      <w:b/>
      <w:bCs/>
      <w:sz w:val="20"/>
      <w:szCs w:val="20"/>
      <w:lang w:val="en-GB" w:eastAsia="en-GB"/>
    </w:rPr>
  </w:style>
  <w:style w:type="paragraph" w:styleId="BalloonText">
    <w:name w:val="Balloon Text"/>
    <w:basedOn w:val="Normal"/>
    <w:link w:val="BalloonTextChar"/>
    <w:uiPriority w:val="99"/>
    <w:semiHidden/>
    <w:rsid w:val="00047EF8"/>
    <w:rPr>
      <w:rFonts w:ascii="Tahoma" w:hAnsi="Tahoma" w:cs="Tahoma"/>
      <w:sz w:val="16"/>
      <w:szCs w:val="16"/>
    </w:rPr>
  </w:style>
  <w:style w:type="character" w:customStyle="1" w:styleId="BalloonTextChar">
    <w:name w:val="Balloon Text Char"/>
    <w:basedOn w:val="DefaultParagraphFont"/>
    <w:link w:val="BalloonText"/>
    <w:uiPriority w:val="99"/>
    <w:semiHidden/>
    <w:rsid w:val="00047EF8"/>
    <w:rPr>
      <w:rFonts w:ascii="Tahoma" w:eastAsia="Times New Roman" w:hAnsi="Tahoma" w:cs="Tahoma"/>
      <w:sz w:val="16"/>
      <w:szCs w:val="16"/>
      <w:lang w:val="en-GB" w:eastAsia="en-GB"/>
    </w:rPr>
  </w:style>
  <w:style w:type="paragraph" w:customStyle="1" w:styleId="Liststycke">
    <w:name w:val="Liststycke"/>
    <w:basedOn w:val="Normal"/>
    <w:rsid w:val="00047EF8"/>
    <w:pPr>
      <w:ind w:left="720"/>
      <w:contextualSpacing/>
    </w:pPr>
    <w:rPr>
      <w:rFonts w:eastAsia="Calibri" w:cs="Arial"/>
      <w:lang w:val="sv-SE" w:eastAsia="en-US" w:bidi="he-IL"/>
    </w:rPr>
  </w:style>
  <w:style w:type="character" w:styleId="Strong">
    <w:name w:val="Strong"/>
    <w:uiPriority w:val="22"/>
    <w:qFormat/>
    <w:rsid w:val="00047EF8"/>
    <w:rPr>
      <w:b/>
      <w:bCs/>
    </w:rPr>
  </w:style>
  <w:style w:type="paragraph" w:customStyle="1" w:styleId="1">
    <w:name w:val="1"/>
    <w:basedOn w:val="Normal"/>
    <w:semiHidden/>
    <w:rsid w:val="00047EF8"/>
    <w:pPr>
      <w:spacing w:after="160" w:line="240" w:lineRule="exact"/>
    </w:pPr>
    <w:rPr>
      <w:rFonts w:ascii="Tahoma" w:hAnsi="Tahoma"/>
      <w:sz w:val="20"/>
      <w:szCs w:val="20"/>
      <w:lang w:val="en-US" w:eastAsia="en-US"/>
    </w:rPr>
  </w:style>
  <w:style w:type="paragraph" w:styleId="Subtitle">
    <w:name w:val="Subtitle"/>
    <w:basedOn w:val="Normal"/>
    <w:next w:val="Normal"/>
    <w:link w:val="SubtitleChar"/>
    <w:uiPriority w:val="11"/>
    <w:qFormat/>
    <w:rsid w:val="00047EF8"/>
    <w:pPr>
      <w:numPr>
        <w:ilvl w:val="1"/>
      </w:numPr>
    </w:pPr>
    <w:rPr>
      <w:rFonts w:ascii="Cambria" w:hAnsi="Cambria"/>
      <w:i/>
      <w:iCs/>
      <w:color w:val="2DA2BF"/>
      <w:spacing w:val="15"/>
      <w:sz w:val="24"/>
      <w:szCs w:val="24"/>
    </w:rPr>
  </w:style>
  <w:style w:type="character" w:customStyle="1" w:styleId="SubtitleChar">
    <w:name w:val="Subtitle Char"/>
    <w:basedOn w:val="DefaultParagraphFont"/>
    <w:link w:val="Subtitle"/>
    <w:uiPriority w:val="11"/>
    <w:rsid w:val="00047EF8"/>
    <w:rPr>
      <w:rFonts w:ascii="Cambria" w:eastAsia="Times New Roman" w:hAnsi="Cambria" w:cs="Times New Roman"/>
      <w:i/>
      <w:iCs/>
      <w:color w:val="2DA2BF"/>
      <w:spacing w:val="15"/>
      <w:lang w:val="en-GB" w:eastAsia="en-GB"/>
    </w:rPr>
  </w:style>
  <w:style w:type="paragraph" w:styleId="NormalWeb">
    <w:name w:val="Normal (Web)"/>
    <w:basedOn w:val="Normal"/>
    <w:uiPriority w:val="99"/>
    <w:rsid w:val="00047EF8"/>
    <w:pPr>
      <w:spacing w:before="100" w:beforeAutospacing="1" w:after="100" w:afterAutospacing="1"/>
    </w:pPr>
    <w:rPr>
      <w:rFonts w:ascii="Times New Roman" w:hAnsi="Times New Roman"/>
      <w:sz w:val="24"/>
      <w:szCs w:val="24"/>
    </w:rPr>
  </w:style>
  <w:style w:type="paragraph" w:customStyle="1" w:styleId="Style1">
    <w:name w:val="Style1"/>
    <w:basedOn w:val="Title"/>
    <w:next w:val="Heading1"/>
    <w:link w:val="Style1Char"/>
    <w:qFormat/>
    <w:rsid w:val="00047EF8"/>
    <w:pPr>
      <w:jc w:val="both"/>
    </w:pPr>
    <w:rPr>
      <w:rFonts w:ascii="Arial" w:hAnsi="Arial"/>
      <w:b/>
      <w:color w:val="auto"/>
      <w:sz w:val="28"/>
      <w:szCs w:val="28"/>
    </w:rPr>
  </w:style>
  <w:style w:type="character" w:customStyle="1" w:styleId="Style1Char">
    <w:name w:val="Style1 Char"/>
    <w:link w:val="Style1"/>
    <w:rsid w:val="00047EF8"/>
    <w:rPr>
      <w:rFonts w:ascii="Arial" w:eastAsia="Times New Roman" w:hAnsi="Arial" w:cs="Times New Roman"/>
      <w:b/>
      <w:spacing w:val="5"/>
      <w:kern w:val="28"/>
      <w:sz w:val="28"/>
      <w:szCs w:val="28"/>
      <w:lang w:val="en-GB" w:eastAsia="en-GB"/>
    </w:rPr>
  </w:style>
  <w:style w:type="paragraph" w:customStyle="1" w:styleId="Style2">
    <w:name w:val="Style2"/>
    <w:basedOn w:val="Normal"/>
    <w:link w:val="Style2Char"/>
    <w:qFormat/>
    <w:rsid w:val="00047EF8"/>
    <w:pPr>
      <w:keepNext/>
      <w:autoSpaceDE w:val="0"/>
      <w:autoSpaceDN w:val="0"/>
      <w:adjustRightInd w:val="0"/>
      <w:ind w:left="360" w:hanging="360"/>
    </w:pPr>
    <w:rPr>
      <w:rFonts w:ascii="Arial" w:hAnsi="Arial"/>
      <w:b/>
      <w:bCs/>
      <w:caps/>
      <w:sz w:val="24"/>
      <w:szCs w:val="24"/>
    </w:rPr>
  </w:style>
  <w:style w:type="character" w:customStyle="1" w:styleId="Style2Char">
    <w:name w:val="Style2 Char"/>
    <w:link w:val="Style2"/>
    <w:rsid w:val="00047EF8"/>
    <w:rPr>
      <w:rFonts w:ascii="Arial" w:eastAsia="Times New Roman" w:hAnsi="Arial" w:cs="Times New Roman"/>
      <w:b/>
      <w:bCs/>
      <w:caps/>
      <w:lang w:val="en-GB" w:eastAsia="en-GB"/>
    </w:rPr>
  </w:style>
  <w:style w:type="paragraph" w:customStyle="1" w:styleId="Style3">
    <w:name w:val="Style3"/>
    <w:basedOn w:val="Normal"/>
    <w:link w:val="Style3Char"/>
    <w:qFormat/>
    <w:rsid w:val="00047EF8"/>
    <w:pPr>
      <w:autoSpaceDE w:val="0"/>
      <w:autoSpaceDN w:val="0"/>
      <w:adjustRightInd w:val="0"/>
      <w:spacing w:before="240"/>
      <w:ind w:left="578" w:hanging="578"/>
    </w:pPr>
    <w:rPr>
      <w:rFonts w:ascii="Arial" w:eastAsia="Arial Unicode MS" w:hAnsi="Arial"/>
      <w:b/>
      <w:bCs/>
      <w:smallCaps/>
      <w:sz w:val="24"/>
      <w:szCs w:val="24"/>
      <w:lang w:eastAsia="de-DE"/>
    </w:rPr>
  </w:style>
  <w:style w:type="character" w:customStyle="1" w:styleId="Style3Char">
    <w:name w:val="Style3 Char"/>
    <w:link w:val="Style3"/>
    <w:rsid w:val="00047EF8"/>
    <w:rPr>
      <w:rFonts w:ascii="Arial" w:eastAsia="Arial Unicode MS" w:hAnsi="Arial" w:cs="Times New Roman"/>
      <w:b/>
      <w:bCs/>
      <w:smallCaps/>
      <w:lang w:val="en-GB" w:eastAsia="de-DE"/>
    </w:rPr>
  </w:style>
  <w:style w:type="paragraph" w:customStyle="1" w:styleId="Style4">
    <w:name w:val="Style4"/>
    <w:basedOn w:val="Normal"/>
    <w:next w:val="Heading4"/>
    <w:link w:val="Style4Char"/>
    <w:qFormat/>
    <w:rsid w:val="00047EF8"/>
    <w:pPr>
      <w:autoSpaceDE w:val="0"/>
      <w:autoSpaceDN w:val="0"/>
      <w:adjustRightInd w:val="0"/>
      <w:spacing w:before="240"/>
      <w:ind w:left="720" w:hanging="720"/>
    </w:pPr>
    <w:rPr>
      <w:rFonts w:ascii="Arial" w:eastAsia="Arial Unicode MS" w:hAnsi="Arial"/>
      <w:b/>
      <w:i/>
      <w:color w:val="000000"/>
      <w:lang w:eastAsia="de-DE"/>
    </w:rPr>
  </w:style>
  <w:style w:type="character" w:customStyle="1" w:styleId="Style4Char">
    <w:name w:val="Style4 Char"/>
    <w:link w:val="Style4"/>
    <w:rsid w:val="00047EF8"/>
    <w:rPr>
      <w:rFonts w:ascii="Arial" w:eastAsia="Arial Unicode MS" w:hAnsi="Arial" w:cs="Times New Roman"/>
      <w:b/>
      <w:i/>
      <w:color w:val="000000"/>
      <w:sz w:val="22"/>
      <w:szCs w:val="22"/>
      <w:lang w:val="en-GB" w:eastAsia="de-DE"/>
    </w:rPr>
  </w:style>
  <w:style w:type="paragraph" w:styleId="Caption">
    <w:name w:val="caption"/>
    <w:basedOn w:val="Normal"/>
    <w:next w:val="Normal"/>
    <w:uiPriority w:val="35"/>
    <w:semiHidden/>
    <w:unhideWhenUsed/>
    <w:qFormat/>
    <w:rsid w:val="00047EF8"/>
    <w:pPr>
      <w:spacing w:line="240" w:lineRule="auto"/>
    </w:pPr>
    <w:rPr>
      <w:b/>
      <w:bCs/>
      <w:color w:val="2DA2BF"/>
      <w:sz w:val="18"/>
      <w:szCs w:val="18"/>
    </w:rPr>
  </w:style>
  <w:style w:type="paragraph" w:styleId="NoSpacing">
    <w:name w:val="No Spacing"/>
    <w:uiPriority w:val="1"/>
    <w:qFormat/>
    <w:rsid w:val="00047EF8"/>
    <w:rPr>
      <w:rFonts w:ascii="Calibri" w:eastAsia="Times New Roman" w:hAnsi="Calibri" w:cs="Times New Roman"/>
      <w:sz w:val="22"/>
      <w:szCs w:val="22"/>
      <w:lang w:val="en-GB" w:eastAsia="en-GB"/>
    </w:rPr>
  </w:style>
  <w:style w:type="paragraph" w:styleId="ListParagraph">
    <w:name w:val="List Paragraph"/>
    <w:aliases w:val="Bullet point,Table of contents numbered,Colorful List - Accent 11,List Paragraph2,Light Grid - Accent 31,Akapit z listą BS,Bullet1,List Paragraph in table,PROVERE 1,Table/Figure Heading,Dot pt,F5 List Paragraph,List Paragraph1,No Spacing1"/>
    <w:basedOn w:val="Normal"/>
    <w:link w:val="ListParagraphChar"/>
    <w:uiPriority w:val="34"/>
    <w:qFormat/>
    <w:rsid w:val="00047EF8"/>
    <w:pPr>
      <w:ind w:left="720"/>
      <w:contextualSpacing/>
    </w:pPr>
  </w:style>
  <w:style w:type="character" w:customStyle="1" w:styleId="ListParagraphChar">
    <w:name w:val="List Paragraph Char"/>
    <w:aliases w:val="Bullet point Char,Table of contents numbered Char,Colorful List - Accent 11 Char,List Paragraph2 Char,Light Grid - Accent 31 Char,Akapit z listą BS Char,Bullet1 Char,List Paragraph in table Char,PROVERE 1 Char,Dot pt Char"/>
    <w:link w:val="ListParagraph"/>
    <w:uiPriority w:val="34"/>
    <w:qFormat/>
    <w:locked/>
    <w:rsid w:val="00047EF8"/>
    <w:rPr>
      <w:rFonts w:ascii="Calibri" w:eastAsia="Times New Roman" w:hAnsi="Calibri" w:cs="Times New Roman"/>
      <w:sz w:val="22"/>
      <w:szCs w:val="22"/>
      <w:lang w:val="en-GB" w:eastAsia="en-GB"/>
    </w:rPr>
  </w:style>
  <w:style w:type="paragraph" w:styleId="Quote">
    <w:name w:val="Quote"/>
    <w:basedOn w:val="Normal"/>
    <w:next w:val="Normal"/>
    <w:link w:val="QuoteChar"/>
    <w:uiPriority w:val="29"/>
    <w:qFormat/>
    <w:rsid w:val="00047EF8"/>
    <w:rPr>
      <w:i/>
      <w:iCs/>
      <w:color w:val="000000"/>
      <w:sz w:val="20"/>
      <w:szCs w:val="20"/>
    </w:rPr>
  </w:style>
  <w:style w:type="character" w:customStyle="1" w:styleId="QuoteChar">
    <w:name w:val="Quote Char"/>
    <w:basedOn w:val="DefaultParagraphFont"/>
    <w:link w:val="Quote"/>
    <w:uiPriority w:val="29"/>
    <w:rsid w:val="00047EF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30"/>
    <w:qFormat/>
    <w:rsid w:val="00047EF8"/>
    <w:pPr>
      <w:pBdr>
        <w:bottom w:val="single" w:sz="4" w:space="4" w:color="2DA2BF"/>
      </w:pBdr>
      <w:spacing w:before="200" w:after="280"/>
      <w:ind w:left="936" w:right="936"/>
    </w:pPr>
    <w:rPr>
      <w:b/>
      <w:bCs/>
      <w:i/>
      <w:iCs/>
      <w:color w:val="2DA2BF"/>
      <w:sz w:val="20"/>
      <w:szCs w:val="20"/>
    </w:rPr>
  </w:style>
  <w:style w:type="character" w:customStyle="1" w:styleId="IntenseQuoteChar">
    <w:name w:val="Intense Quote Char"/>
    <w:basedOn w:val="DefaultParagraphFont"/>
    <w:link w:val="IntenseQuote"/>
    <w:uiPriority w:val="30"/>
    <w:rsid w:val="00047EF8"/>
    <w:rPr>
      <w:rFonts w:ascii="Calibri" w:eastAsia="Times New Roman" w:hAnsi="Calibri" w:cs="Times New Roman"/>
      <w:b/>
      <w:bCs/>
      <w:i/>
      <w:iCs/>
      <w:color w:val="2DA2BF"/>
      <w:sz w:val="20"/>
      <w:szCs w:val="20"/>
      <w:lang w:val="en-GB" w:eastAsia="en-GB"/>
    </w:rPr>
  </w:style>
  <w:style w:type="character" w:styleId="SubtleEmphasis">
    <w:name w:val="Subtle Emphasis"/>
    <w:uiPriority w:val="19"/>
    <w:qFormat/>
    <w:rsid w:val="00047EF8"/>
    <w:rPr>
      <w:i/>
      <w:iCs/>
      <w:color w:val="808080"/>
    </w:rPr>
  </w:style>
  <w:style w:type="character" w:styleId="IntenseEmphasis">
    <w:name w:val="Intense Emphasis"/>
    <w:uiPriority w:val="21"/>
    <w:qFormat/>
    <w:rsid w:val="00047EF8"/>
    <w:rPr>
      <w:b/>
      <w:bCs/>
      <w:i/>
      <w:iCs/>
      <w:color w:val="2DA2BF"/>
    </w:rPr>
  </w:style>
  <w:style w:type="character" w:styleId="SubtleReference">
    <w:name w:val="Subtle Reference"/>
    <w:uiPriority w:val="31"/>
    <w:qFormat/>
    <w:rsid w:val="00047EF8"/>
    <w:rPr>
      <w:smallCaps/>
      <w:color w:val="DA1F28"/>
      <w:u w:val="single"/>
    </w:rPr>
  </w:style>
  <w:style w:type="character" w:styleId="IntenseReference">
    <w:name w:val="Intense Reference"/>
    <w:uiPriority w:val="32"/>
    <w:qFormat/>
    <w:rsid w:val="00047EF8"/>
    <w:rPr>
      <w:b/>
      <w:bCs/>
      <w:smallCaps/>
      <w:color w:val="DA1F28"/>
      <w:spacing w:val="5"/>
      <w:u w:val="single"/>
    </w:rPr>
  </w:style>
  <w:style w:type="character" w:styleId="BookTitle">
    <w:name w:val="Book Title"/>
    <w:uiPriority w:val="33"/>
    <w:qFormat/>
    <w:rsid w:val="00047EF8"/>
    <w:rPr>
      <w:b/>
      <w:bCs/>
      <w:smallCaps/>
      <w:spacing w:val="5"/>
    </w:rPr>
  </w:style>
  <w:style w:type="paragraph" w:styleId="Revision">
    <w:name w:val="Revision"/>
    <w:hidden/>
    <w:uiPriority w:val="99"/>
    <w:semiHidden/>
    <w:rsid w:val="00047EF8"/>
    <w:rPr>
      <w:rFonts w:ascii="Calibri" w:eastAsia="Times New Roman" w:hAnsi="Calibri" w:cs="Times New Roman"/>
      <w:sz w:val="22"/>
      <w:szCs w:val="22"/>
      <w:lang w:val="en-GB" w:eastAsia="en-GB"/>
    </w:rPr>
  </w:style>
  <w:style w:type="paragraph" w:customStyle="1" w:styleId="Char2">
    <w:name w:val="Char2"/>
    <w:basedOn w:val="Normal"/>
    <w:uiPriority w:val="99"/>
    <w:rsid w:val="00047EF8"/>
    <w:pPr>
      <w:spacing w:after="160" w:line="240" w:lineRule="exact"/>
    </w:pPr>
    <w:rPr>
      <w:rFonts w:eastAsia="Calibri"/>
      <w:vertAlign w:val="superscript"/>
      <w:lang w:val="en-US" w:eastAsia="en-US"/>
    </w:rPr>
  </w:style>
  <w:style w:type="paragraph" w:styleId="EndnoteText">
    <w:name w:val="endnote text"/>
    <w:basedOn w:val="Normal"/>
    <w:link w:val="EndnoteTextChar"/>
    <w:rsid w:val="00047EF8"/>
    <w:rPr>
      <w:sz w:val="20"/>
      <w:szCs w:val="20"/>
    </w:rPr>
  </w:style>
  <w:style w:type="character" w:customStyle="1" w:styleId="EndnoteTextChar">
    <w:name w:val="Endnote Text Char"/>
    <w:basedOn w:val="DefaultParagraphFont"/>
    <w:link w:val="EndnoteText"/>
    <w:rsid w:val="00047EF8"/>
    <w:rPr>
      <w:rFonts w:ascii="Calibri" w:eastAsia="Times New Roman" w:hAnsi="Calibri" w:cs="Times New Roman"/>
      <w:sz w:val="20"/>
      <w:szCs w:val="20"/>
      <w:lang w:val="en-GB" w:eastAsia="en-GB"/>
    </w:rPr>
  </w:style>
  <w:style w:type="character" w:styleId="EndnoteReference">
    <w:name w:val="endnote reference"/>
    <w:rsid w:val="00047EF8"/>
    <w:rPr>
      <w:vertAlign w:val="superscript"/>
    </w:rPr>
  </w:style>
  <w:style w:type="character" w:customStyle="1" w:styleId="hps">
    <w:name w:val="hps"/>
    <w:rsid w:val="00047EF8"/>
  </w:style>
  <w:style w:type="character" w:customStyle="1" w:styleId="apple-converted-space">
    <w:name w:val="apple-converted-space"/>
    <w:rsid w:val="00047EF8"/>
  </w:style>
  <w:style w:type="paragraph" w:customStyle="1" w:styleId="block-right">
    <w:name w:val="block-right"/>
    <w:basedOn w:val="Normal"/>
    <w:rsid w:val="00047EF8"/>
    <w:pPr>
      <w:spacing w:before="100" w:beforeAutospacing="1" w:after="100" w:afterAutospacing="1" w:line="240" w:lineRule="auto"/>
    </w:pPr>
    <w:rPr>
      <w:rFonts w:ascii="Times New Roman" w:hAnsi="Times New Roman"/>
      <w:sz w:val="24"/>
      <w:szCs w:val="24"/>
      <w:lang w:val="en-US" w:eastAsia="en-US"/>
    </w:rPr>
  </w:style>
  <w:style w:type="paragraph" w:customStyle="1" w:styleId="Default">
    <w:name w:val="Default"/>
    <w:rsid w:val="00047EF8"/>
    <w:pPr>
      <w:autoSpaceDE w:val="0"/>
      <w:autoSpaceDN w:val="0"/>
      <w:adjustRightInd w:val="0"/>
    </w:pPr>
    <w:rPr>
      <w:rFonts w:ascii="Arial" w:eastAsia="Calibri" w:hAnsi="Arial" w:cs="Arial"/>
      <w:color w:val="000000"/>
      <w:lang w:val="bs-Latn-BA"/>
    </w:rPr>
  </w:style>
  <w:style w:type="character" w:customStyle="1" w:styleId="hpsatn">
    <w:name w:val="hps atn"/>
    <w:rsid w:val="00047EF8"/>
  </w:style>
  <w:style w:type="paragraph" w:customStyle="1" w:styleId="BVIfnrCharChar">
    <w:name w:val="BVI fnr Char Char"/>
    <w:aliases w:val="Footnotes refss Char Char,ftref Char Char,16 Point Char Char,Superscript 6 Point Char Char,Footnote Reference Number Char Char,nota pié di pagina Char Char,Times 10 Point Char Char,Exposant 3 Point Char Char"/>
    <w:basedOn w:val="Normal"/>
    <w:uiPriority w:val="99"/>
    <w:rsid w:val="00047EF8"/>
    <w:pPr>
      <w:spacing w:before="120" w:after="160" w:line="240" w:lineRule="exact"/>
      <w:jc w:val="both"/>
    </w:pPr>
    <w:rPr>
      <w:rFonts w:eastAsia="Calibri"/>
      <w:sz w:val="20"/>
      <w:szCs w:val="20"/>
      <w:vertAlign w:val="superscript"/>
      <w:lang w:val="bs-Latn-BA" w:eastAsia="bs-Latn-BA"/>
    </w:rPr>
  </w:style>
  <w:style w:type="paragraph" w:styleId="TableofFigures">
    <w:name w:val="table of figures"/>
    <w:basedOn w:val="Normal"/>
    <w:next w:val="Normal"/>
    <w:uiPriority w:val="99"/>
    <w:rsid w:val="00047EF8"/>
  </w:style>
  <w:style w:type="paragraph" w:customStyle="1" w:styleId="Reference">
    <w:name w:val="Reference"/>
    <w:basedOn w:val="FootnoteText"/>
    <w:link w:val="ReferenceChar"/>
    <w:qFormat/>
    <w:rsid w:val="00047EF8"/>
    <w:pPr>
      <w:spacing w:line="240" w:lineRule="auto"/>
      <w:ind w:left="0" w:firstLine="0"/>
    </w:pPr>
    <w:rPr>
      <w:rFonts w:ascii="Arial Narrow" w:eastAsia="Calibri" w:hAnsi="Arial Narrow"/>
      <w:sz w:val="18"/>
    </w:rPr>
  </w:style>
  <w:style w:type="character" w:customStyle="1" w:styleId="ReferenceChar">
    <w:name w:val="Reference Char"/>
    <w:link w:val="Reference"/>
    <w:locked/>
    <w:rsid w:val="00047EF8"/>
    <w:rPr>
      <w:rFonts w:ascii="Arial Narrow" w:eastAsia="Calibri" w:hAnsi="Arial Narrow" w:cs="Times New Roman"/>
      <w:sz w:val="18"/>
      <w:szCs w:val="20"/>
      <w:lang w:val="en-GB" w:eastAsia="en-GB"/>
    </w:rPr>
  </w:style>
  <w:style w:type="paragraph" w:customStyle="1" w:styleId="table0020normal">
    <w:name w:val="table_0020normal"/>
    <w:basedOn w:val="Normal"/>
    <w:rsid w:val="00047EF8"/>
    <w:pPr>
      <w:spacing w:before="100" w:beforeAutospacing="1" w:after="100" w:afterAutospacing="1" w:line="240" w:lineRule="auto"/>
    </w:pPr>
    <w:rPr>
      <w:rFonts w:ascii="Times New Roman" w:hAnsi="Times New Roman"/>
      <w:sz w:val="24"/>
      <w:szCs w:val="24"/>
      <w:lang w:val="bs-Latn-BA" w:eastAsia="bs-Latn-BA"/>
    </w:rPr>
  </w:style>
  <w:style w:type="paragraph" w:customStyle="1" w:styleId="Maintitle">
    <w:name w:val="Main title"/>
    <w:basedOn w:val="Title"/>
    <w:link w:val="MaintitleChar"/>
    <w:uiPriority w:val="99"/>
    <w:rsid w:val="00047EF8"/>
    <w:pPr>
      <w:spacing w:before="120"/>
      <w:contextualSpacing w:val="0"/>
      <w:jc w:val="both"/>
    </w:pPr>
    <w:rPr>
      <w:rFonts w:ascii="Arial Narrow" w:eastAsia="Calibri" w:hAnsi="Arial Narrow"/>
      <w:b/>
      <w:color w:val="auto"/>
      <w:sz w:val="28"/>
      <w:szCs w:val="20"/>
      <w:lang w:eastAsia="zh-TW"/>
    </w:rPr>
  </w:style>
  <w:style w:type="character" w:customStyle="1" w:styleId="MaintitleChar">
    <w:name w:val="Main title Char"/>
    <w:link w:val="Maintitle"/>
    <w:uiPriority w:val="99"/>
    <w:locked/>
    <w:rsid w:val="00047EF8"/>
    <w:rPr>
      <w:rFonts w:ascii="Arial Narrow" w:eastAsia="Calibri" w:hAnsi="Arial Narrow" w:cs="Times New Roman"/>
      <w:b/>
      <w:spacing w:val="5"/>
      <w:kern w:val="28"/>
      <w:sz w:val="28"/>
      <w:szCs w:val="20"/>
      <w:lang w:val="en-GB" w:eastAsia="zh-TW"/>
    </w:rPr>
  </w:style>
  <w:style w:type="character" w:styleId="FollowedHyperlink">
    <w:name w:val="FollowedHyperlink"/>
    <w:basedOn w:val="DefaultParagraphFont"/>
    <w:uiPriority w:val="99"/>
    <w:semiHidden/>
    <w:unhideWhenUsed/>
    <w:rsid w:val="00047EF8"/>
    <w:rPr>
      <w:color w:val="800080" w:themeColor="followedHyperlink"/>
      <w:u w:val="single"/>
    </w:rPr>
  </w:style>
  <w:style w:type="paragraph" w:customStyle="1" w:styleId="BVIfnrChar">
    <w:name w:val="BVI fnr Char"/>
    <w:aliases w:val="Appel note de bas de p.;BVI fnr Car Car Car Car, BVI fnr Car Car,BVI fnr Car, BVI fnr Car Car Car Car, BVI fnr Car Car Car Car Char,Appel note de bas de p..BVI fnr Car Car Car Car, BVI fnr Char"/>
    <w:basedOn w:val="Normal"/>
    <w:uiPriority w:val="99"/>
    <w:rsid w:val="00047EF8"/>
    <w:pPr>
      <w:spacing w:after="160" w:line="240" w:lineRule="exact"/>
    </w:pPr>
    <w:rPr>
      <w:rFonts w:ascii="Times New Roman" w:hAnsi="Times New Roman"/>
      <w:sz w:val="20"/>
      <w:szCs w:val="20"/>
      <w:vertAlign w:val="superscript"/>
    </w:rPr>
  </w:style>
  <w:style w:type="paragraph" w:customStyle="1" w:styleId="CorpoA">
    <w:name w:val="Corpo A"/>
    <w:rsid w:val="00047EF8"/>
    <w:pPr>
      <w:pBdr>
        <w:top w:val="nil"/>
        <w:left w:val="nil"/>
        <w:bottom w:val="nil"/>
        <w:right w:val="nil"/>
        <w:between w:val="nil"/>
        <w:bar w:val="nil"/>
      </w:pBdr>
    </w:pPr>
    <w:rPr>
      <w:rFonts w:ascii="Times New Roman" w:eastAsia="Times New Roman" w:hAnsi="Times New Roman" w:cs="Times New Roman"/>
      <w:color w:val="000000"/>
      <w:u w:color="000000"/>
      <w:bdr w:val="nil"/>
      <w:lang w:eastAsia="en-GB"/>
    </w:rPr>
  </w:style>
  <w:style w:type="paragraph" w:customStyle="1" w:styleId="Corpo">
    <w:name w:val="Corpo"/>
    <w:rsid w:val="00047EF8"/>
    <w:rPr>
      <w:rFonts w:ascii="Times New Roman" w:eastAsia="Times New Roman" w:hAnsi="Times New Roman" w:cs="Times New Roman"/>
      <w:color w:val="000000"/>
      <w:u w:color="000000"/>
      <w:lang w:val="en-GB" w:eastAsia="en-GB"/>
    </w:rPr>
  </w:style>
  <w:style w:type="numbering" w:customStyle="1" w:styleId="NoList1">
    <w:name w:val="No List1"/>
    <w:next w:val="NoList"/>
    <w:uiPriority w:val="99"/>
    <w:semiHidden/>
    <w:unhideWhenUsed/>
    <w:rsid w:val="00047EF8"/>
  </w:style>
  <w:style w:type="table" w:customStyle="1" w:styleId="TableGrid1">
    <w:name w:val="Table Grid1"/>
    <w:basedOn w:val="TableNormal"/>
    <w:next w:val="TableGrid"/>
    <w:uiPriority w:val="39"/>
    <w:rsid w:val="00047EF8"/>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2"/>
    <w:uiPriority w:val="46"/>
    <w:rsid w:val="00047EF8"/>
    <w:rPr>
      <w:rFonts w:ascii="Calibri" w:eastAsia="Calibri" w:hAnsi="Calibri" w:cs="Times New Roman"/>
      <w:sz w:val="22"/>
      <w:szCs w:val="22"/>
      <w:lang w:val="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047EF8"/>
    <w:rPr>
      <w:rFonts w:ascii="Calibri" w:eastAsia="Times New Roman" w:hAnsi="Calibri" w:cs="Times New Roman"/>
      <w:sz w:val="20"/>
      <w:szCs w:val="20"/>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047EF8"/>
  </w:style>
  <w:style w:type="table" w:customStyle="1" w:styleId="TableGrid2">
    <w:name w:val="Table Grid2"/>
    <w:basedOn w:val="TableNormal"/>
    <w:next w:val="TableGrid"/>
    <w:uiPriority w:val="59"/>
    <w:rsid w:val="00047EF8"/>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47EF8"/>
    <w:pPr>
      <w:widowControl w:val="0"/>
    </w:pPr>
    <w:rPr>
      <w:rFonts w:ascii="Times New Roman" w:eastAsia="Times New Roman" w:hAnsi="Times New Roman" w:cs="Times New Roman"/>
      <w:sz w:val="22"/>
      <w:szCs w:val="22"/>
    </w:rPr>
  </w:style>
  <w:style w:type="table" w:customStyle="1" w:styleId="TableGrid3">
    <w:name w:val="Table Grid3"/>
    <w:basedOn w:val="TableNormal"/>
    <w:next w:val="TableGrid"/>
    <w:uiPriority w:val="59"/>
    <w:rsid w:val="00047EF8"/>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047EF8"/>
    <w:rPr>
      <w:rFonts w:ascii="Calibri" w:eastAsia="Times New Roman" w:hAnsi="Calibri"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51">
    <w:name w:val="Grid Table 5 Dark - Accent 51"/>
    <w:basedOn w:val="TableNormal"/>
    <w:uiPriority w:val="50"/>
    <w:rsid w:val="00047EF8"/>
    <w:rPr>
      <w:rFonts w:ascii="Calibri" w:eastAsia="Times New Roman" w:hAnsi="Calibri"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31">
    <w:name w:val="Grid Table 5 Dark - Accent 31"/>
    <w:basedOn w:val="TableNormal"/>
    <w:uiPriority w:val="50"/>
    <w:rsid w:val="00047EF8"/>
    <w:rPr>
      <w:rFonts w:ascii="Calibri" w:eastAsia="Times New Roman" w:hAnsi="Calibri" w:cs="Times New Roman"/>
      <w:sz w:val="20"/>
      <w:szCs w:val="20"/>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paragraph">
    <w:name w:val="paragraph"/>
    <w:basedOn w:val="Normal"/>
    <w:rsid w:val="00047EF8"/>
    <w:pPr>
      <w:spacing w:before="100" w:beforeAutospacing="1" w:after="100" w:afterAutospacing="1" w:line="240" w:lineRule="auto"/>
    </w:pPr>
    <w:rPr>
      <w:rFonts w:ascii="Times New Roman" w:hAnsi="Times New Roman"/>
      <w:sz w:val="24"/>
      <w:szCs w:val="24"/>
      <w:lang w:val="en-US" w:eastAsia="en-US"/>
    </w:rPr>
  </w:style>
  <w:style w:type="character" w:customStyle="1" w:styleId="eop">
    <w:name w:val="eop"/>
    <w:basedOn w:val="DefaultParagraphFont"/>
    <w:rsid w:val="00047EF8"/>
  </w:style>
  <w:style w:type="character" w:customStyle="1" w:styleId="scxw167489931">
    <w:name w:val="scxw167489931"/>
    <w:basedOn w:val="DefaultParagraphFont"/>
    <w:rsid w:val="00047EF8"/>
  </w:style>
  <w:style w:type="character" w:styleId="HTMLCite">
    <w:name w:val="HTML Cite"/>
    <w:basedOn w:val="DefaultParagraphFont"/>
    <w:uiPriority w:val="99"/>
    <w:semiHidden/>
    <w:unhideWhenUsed/>
    <w:rsid w:val="00047EF8"/>
    <w:rPr>
      <w:i/>
      <w:iCs/>
    </w:rPr>
  </w:style>
  <w:style w:type="table" w:customStyle="1" w:styleId="TableGrid12">
    <w:name w:val="Table Grid12"/>
    <w:basedOn w:val="TableNormal"/>
    <w:next w:val="TableGrid"/>
    <w:uiPriority w:val="59"/>
    <w:rsid w:val="00047EF8"/>
    <w:rPr>
      <w:rFonts w:eastAsiaTheme="minorHAnsi"/>
      <w:color w:val="FFFFFF" w:themeColor="background1"/>
      <w:sz w:val="22"/>
      <w:szCs w:val="22"/>
      <w:u w:color="FFFFFF" w:themeColor="background1"/>
      <w:lang w:val="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47EF8"/>
    <w:pPr>
      <w:spacing w:before="100" w:beforeAutospacing="1" w:after="100" w:afterAutospacing="1" w:line="240" w:lineRule="auto"/>
    </w:pPr>
    <w:rPr>
      <w:rFonts w:ascii="Times New Roman" w:hAnsi="Times New Roman"/>
      <w:sz w:val="24"/>
      <w:szCs w:val="24"/>
      <w:lang w:val="en-US" w:eastAsia="en-US"/>
    </w:rPr>
  </w:style>
  <w:style w:type="character" w:customStyle="1" w:styleId="xnormaltextrun">
    <w:name w:val="x_normaltextrun"/>
    <w:basedOn w:val="DefaultParagraphFont"/>
    <w:rsid w:val="00047EF8"/>
  </w:style>
  <w:style w:type="character" w:customStyle="1" w:styleId="UnresolvedMention1">
    <w:name w:val="Unresolved Mention1"/>
    <w:basedOn w:val="DefaultParagraphFont"/>
    <w:uiPriority w:val="99"/>
    <w:semiHidden/>
    <w:unhideWhenUsed/>
    <w:rsid w:val="00047EF8"/>
    <w:rPr>
      <w:color w:val="605E5C"/>
      <w:shd w:val="clear" w:color="auto" w:fill="E1DFDD"/>
    </w:rPr>
  </w:style>
  <w:style w:type="character" w:customStyle="1" w:styleId="UnresolvedMention">
    <w:name w:val="Unresolved Mention"/>
    <w:basedOn w:val="DefaultParagraphFont"/>
    <w:uiPriority w:val="99"/>
    <w:semiHidden/>
    <w:unhideWhenUsed/>
    <w:rsid w:val="00047EF8"/>
    <w:rPr>
      <w:color w:val="605E5C"/>
      <w:shd w:val="clear" w:color="auto" w:fill="E1DFDD"/>
    </w:rPr>
  </w:style>
  <w:style w:type="paragraph" w:styleId="HTMLPreformatted">
    <w:name w:val="HTML Preformatted"/>
    <w:basedOn w:val="Normal"/>
    <w:link w:val="HTMLPreformattedChar"/>
    <w:uiPriority w:val="99"/>
    <w:unhideWhenUsed/>
    <w:rsid w:val="0004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47EF8"/>
    <w:rPr>
      <w:rFonts w:ascii="Courier New" w:eastAsia="Times New Roman" w:hAnsi="Courier New" w:cs="Courier New"/>
      <w:sz w:val="20"/>
      <w:szCs w:val="20"/>
    </w:rPr>
  </w:style>
  <w:style w:type="character" w:customStyle="1" w:styleId="y2iqfc">
    <w:name w:val="y2iqfc"/>
    <w:basedOn w:val="DefaultParagraphFont"/>
    <w:rsid w:val="0004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117" Type="http://schemas.openxmlformats.org/officeDocument/2006/relationships/header" Target="header4.xml"/><Relationship Id="rId21" Type="http://schemas.openxmlformats.org/officeDocument/2006/relationships/footer" Target="footer1.xml"/><Relationship Id="rId42" Type="http://schemas.openxmlformats.org/officeDocument/2006/relationships/hyperlink" Target="http://www.gov.me/ResourceManager/FileDownload.aspx?rId=266274&amp;rType=2" TargetMode="External"/><Relationship Id="rId47" Type="http://schemas.openxmlformats.org/officeDocument/2006/relationships/hyperlink" Target="http://www.gov.me/ResourceManager/FileDownload.aspx?rId=344486&amp;rType=2" TargetMode="External"/><Relationship Id="rId63" Type="http://schemas.openxmlformats.org/officeDocument/2006/relationships/hyperlink" Target="http://www.mif.gov.me/ResourceManager/FileDownload.aspx?rid=320946&amp;rType=2&amp;file=Program%20reforme%20upravljanja%20javnim%20finansijama%202016-2020.pdf" TargetMode="External"/><Relationship Id="rId68" Type="http://schemas.openxmlformats.org/officeDocument/2006/relationships/hyperlink" Target="http://www.msp.gov.me/ResourceManager/FileDownload.aspx?rid=55087&amp;rType=2&amp;file=strategija%20razvoja%20drzavnih%20puteva-nova.pdf" TargetMode="External"/><Relationship Id="rId84" Type="http://schemas.openxmlformats.org/officeDocument/2006/relationships/hyperlink" Target="http://www.mps.gov.me/ResourceManager/FileDownload.aspx?rid=244534&amp;rType=2&amp;file=Strategija%20razvoja%20visokog%20obrazovanja%20u%20Crnoj%20Gori%202016-2020.doc" TargetMode="External"/><Relationship Id="rId89" Type="http://schemas.openxmlformats.org/officeDocument/2006/relationships/hyperlink" Target="http://www.mps.gov.me/ResourceManager/FileDownload.aspx?rid=207298&amp;rType=2&amp;file=Strategija%20razvoja%20strucnog%20obrazovanja%20u%20Crnoj%20Gori%20(2015-2020)%20ap.doc" TargetMode="External"/><Relationship Id="rId112" Type="http://schemas.openxmlformats.org/officeDocument/2006/relationships/hyperlink" Target="http://www.gov.me/ResourceManager/FileDownload.aspx?rid=375875&amp;rType=2&amp;file=23_132_01_08_2019.pdf" TargetMode="External"/><Relationship Id="rId16" Type="http://schemas.openxmlformats.org/officeDocument/2006/relationships/hyperlink" Target="https://www.gov.me/ResourceManager/FileDownload.aspx?rId=413947&amp;rType=2" TargetMode="External"/><Relationship Id="rId107" Type="http://schemas.openxmlformats.org/officeDocument/2006/relationships/hyperlink" Target="http://www.mrs.gov.me/ResourceManager/FileDownload.aspx?rid=274449&amp;rType=2&amp;file=Strategija%20za%20prevenciju%20i%20za%C5%A1titu%20djece%20od%20nasilja%20sa%20AP%202017-2021-%20April%202017.docx" TargetMode="External"/><Relationship Id="rId11" Type="http://schemas.openxmlformats.org/officeDocument/2006/relationships/hyperlink" Target="https://mpa.gov.me/en/library/strategije" TargetMode="External"/><Relationship Id="rId32" Type="http://schemas.openxmlformats.org/officeDocument/2006/relationships/hyperlink" Target="https://msp.gov.me/en/library/strategije" TargetMode="External"/><Relationship Id="rId37" Type="http://schemas.openxmlformats.org/officeDocument/2006/relationships/hyperlink" Target="https://mek.gov.me/en/library/strategije" TargetMode="External"/><Relationship Id="rId53" Type="http://schemas.openxmlformats.org/officeDocument/2006/relationships/hyperlink" Target="http://www.gov.me/ResourceManager/FileDownload.aspx?rId=325611&amp;rType=2" TargetMode="External"/><Relationship Id="rId58" Type="http://schemas.openxmlformats.org/officeDocument/2006/relationships/hyperlink" Target="http://www.mif.gov.me/ResourceManager/FileDownload.aspx?rid=320946&amp;rType=2&amp;file=Program%20reforme%20upravljanja%20javnim%20finansijama%202016-2020.pdf" TargetMode="External"/><Relationship Id="rId74" Type="http://schemas.openxmlformats.org/officeDocument/2006/relationships/hyperlink" Target="http://www.gov.me/ResourceManager/FileDownload.aspx?rId=325628&amp;rType=2" TargetMode="External"/><Relationship Id="rId79" Type="http://schemas.openxmlformats.org/officeDocument/2006/relationships/hyperlink" Target="http://www.gov.me/ResourceManager/FileDownload.aspx?rId=343510&amp;rType=2" TargetMode="External"/><Relationship Id="rId102" Type="http://schemas.openxmlformats.org/officeDocument/2006/relationships/hyperlink" Target="http://www.gov.me/ResourceManager/FileDownload.aspx?rId=367877&amp;rType=2" TargetMode="External"/><Relationship Id="rId5" Type="http://schemas.openxmlformats.org/officeDocument/2006/relationships/webSettings" Target="webSettings.xml"/><Relationship Id="rId90" Type="http://schemas.openxmlformats.org/officeDocument/2006/relationships/hyperlink" Target="http://www.mps.gov.me/ResourceManager/FileDownload.aspx?rid=221458&amp;rType=2&amp;file=Strategija%20ranog%20i%20pred%C5%A1kolskog%20vaspitanja%20i%20obrazovanja%20u%20Crnoj%20Gori%20(2016-2020).pdf1.pdf" TargetMode="External"/><Relationship Id="rId95" Type="http://schemas.openxmlformats.org/officeDocument/2006/relationships/hyperlink" Target="http://www.mzd.gov.me/ResourceManager/FileDownload.aspx?rid=217258&amp;rType=2&amp;file=Zdravstvena%20politika%20u%20RCG%20do%202020.%20(2001).pdf" TargetMode="External"/><Relationship Id="rId22" Type="http://schemas.openxmlformats.org/officeDocument/2006/relationships/diagramData" Target="diagrams/data1.xml"/><Relationship Id="rId27" Type="http://schemas.openxmlformats.org/officeDocument/2006/relationships/hyperlink" Target="http://www.nssd2030.gov.me/" TargetMode="External"/><Relationship Id="rId43" Type="http://schemas.openxmlformats.org/officeDocument/2006/relationships/hyperlink" Target="http://www.kei.gov.me/ResourceManager/FileDownload.aspx?rid=375165&amp;rType=2&amp;file=Program%20bezbjednosti%20u%20drumskom%20saobra%C4%87aju%202020-%202022%20s%20AP%202020-2022.docx" TargetMode="External"/><Relationship Id="rId48" Type="http://schemas.openxmlformats.org/officeDocument/2006/relationships/hyperlink" Target="http://www.gov.me/ResourceManager/FileDownload.aspx?rId=344486&amp;rType=2" TargetMode="External"/><Relationship Id="rId64" Type="http://schemas.openxmlformats.org/officeDocument/2006/relationships/hyperlink" Target="http://www.gov.me/ResourceManager/FileDownload.aspx?rid=196403&amp;rType=2&amp;file=3_105_26_03_2015.pdf" TargetMode="External"/><Relationship Id="rId69" Type="http://schemas.openxmlformats.org/officeDocument/2006/relationships/hyperlink" Target="http://www.gov.me/ResourceManager/FileDownload.aspx?rId=367876&amp;rType=2" TargetMode="External"/><Relationship Id="rId113" Type="http://schemas.openxmlformats.org/officeDocument/2006/relationships/header" Target="header2.xml"/><Relationship Id="rId118" Type="http://schemas.openxmlformats.org/officeDocument/2006/relationships/footer" Target="footer4.xml"/><Relationship Id="rId80" Type="http://schemas.openxmlformats.org/officeDocument/2006/relationships/hyperlink" Target="http://www.gov.me/ResourceManager/FileDownload.aspx?rId=343510&amp;rType=2" TargetMode="External"/><Relationship Id="rId85" Type="http://schemas.openxmlformats.org/officeDocument/2006/relationships/hyperlink" Target="http://www.mps.gov.me/ResourceManager/FileDownload.aspx?rid=207298&amp;rType=2&amp;file=Strategija%20razvoja%20strucnog%20obrazovanja%20u%20Crnoj%20Gori%20(2015-2020)%20ap.doc" TargetMode="External"/><Relationship Id="rId12" Type="http://schemas.openxmlformats.org/officeDocument/2006/relationships/hyperlink" Target="https://mpa.gov.me/en/library/strategije" TargetMode="External"/><Relationship Id="rId17" Type="http://schemas.openxmlformats.org/officeDocument/2006/relationships/hyperlink" Target="https://mup.gov.me/biblioteka/strategije?pagerIndex=2" TargetMode="External"/><Relationship Id="rId33" Type="http://schemas.openxmlformats.org/officeDocument/2006/relationships/hyperlink" Target="https://mju.gov.me/en/library/strategije" TargetMode="External"/><Relationship Id="rId38" Type="http://schemas.openxmlformats.org/officeDocument/2006/relationships/hyperlink" Target="https://mek.gov.me/en/library/strategije" TargetMode="External"/><Relationship Id="rId59" Type="http://schemas.openxmlformats.org/officeDocument/2006/relationships/hyperlink" Target="http://www.gov.me/ResourceManager/FileDownload.aspx?rid=196403&amp;rType=2&amp;file=3_105_26_03_2015.pdf" TargetMode="External"/><Relationship Id="rId103" Type="http://schemas.openxmlformats.org/officeDocument/2006/relationships/hyperlink" Target="http://www.zsdzcg.me/images/Biblioteka/Strategija%20razvoja%20sistema%20socijalne%20za%C5%A1tite%20starijih%20za%20period%202018.%20do%202022.%20godine.pdf" TargetMode="External"/><Relationship Id="rId108" Type="http://schemas.openxmlformats.org/officeDocument/2006/relationships/hyperlink" Target="http://www.gov.me/ResourceManager/FileDownload.aspx?rId=363196&amp;rType=2" TargetMode="External"/><Relationship Id="rId54" Type="http://schemas.openxmlformats.org/officeDocument/2006/relationships/hyperlink" Target="http://www.gov.me/ResourceManager/FileDownload.aspx?rId=297334&amp;rType=2&amp;alphabet=cyr" TargetMode="External"/><Relationship Id="rId70" Type="http://schemas.openxmlformats.org/officeDocument/2006/relationships/hyperlink" Target="http://www.gov.me/ResourceManager/FileDownload.aspx?rId=367876&amp;rType=2" TargetMode="External"/><Relationship Id="rId75" Type="http://schemas.openxmlformats.org/officeDocument/2006/relationships/hyperlink" Target="http://www.mrt.gov.me/ResourceManager/FileDownload.aspx?rId=383465&amp;rType=2" TargetMode="External"/><Relationship Id="rId91" Type="http://schemas.openxmlformats.org/officeDocument/2006/relationships/hyperlink" Target="http://www.upravazasume.me/razni_fajlovi/1316593609.pdf" TargetMode="External"/><Relationship Id="rId96" Type="http://schemas.openxmlformats.org/officeDocument/2006/relationships/hyperlink" Target="http://www.mzd.gov.me/ResourceManager/FileDownload.aspx?rid=217283&amp;rType=2&amp;file=Strategija%20razvoja%20zdravstva%20Crne%20Gore%20(2003).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Layout" Target="diagrams/layout1.xml"/><Relationship Id="rId28" Type="http://schemas.openxmlformats.org/officeDocument/2006/relationships/hyperlink" Target="https://mif.gov.me/en/news/184592/Montenegro-Development-Directions-2018-2021.html" TargetMode="External"/><Relationship Id="rId49" Type="http://schemas.openxmlformats.org/officeDocument/2006/relationships/hyperlink" Target="http://www.mmp.gov.me/ResourceManager/FileDownload.aspx?rid=261494&amp;rType=2&amp;file=STRATEGIJA%20%20ZA%20ZA%C5%A0TITU%20LICA%20SA%20INVALIDITETOM%20sa%20AP.pdf" TargetMode="External"/><Relationship Id="rId114" Type="http://schemas.openxmlformats.org/officeDocument/2006/relationships/header" Target="header3.xml"/><Relationship Id="rId119" Type="http://schemas.openxmlformats.org/officeDocument/2006/relationships/fontTable" Target="fontTable.xml"/><Relationship Id="rId10" Type="http://schemas.openxmlformats.org/officeDocument/2006/relationships/hyperlink" Target="https://mpa.gov.me/en/library/strategije" TargetMode="External"/><Relationship Id="rId31" Type="http://schemas.openxmlformats.org/officeDocument/2006/relationships/hyperlink" Target="https://mrt.gov.me/en/library/strategije" TargetMode="External"/><Relationship Id="rId44" Type="http://schemas.openxmlformats.org/officeDocument/2006/relationships/hyperlink" Target="http://www.kei.gov.me/ResourceManager/FileDownload.aspx?rid=375165&amp;rType=2&amp;file=Program%20bezbjednosti%20u%20drumskom%20saobra%C4%87aju%202020-%202022%20s%20AP%202020-2022.docx" TargetMode="External"/><Relationship Id="rId52" Type="http://schemas.openxmlformats.org/officeDocument/2006/relationships/hyperlink" Target="http://www.gov.me/ResourceManager/FileDownload.aspx?rId=346293&amp;rType=2" TargetMode="External"/><Relationship Id="rId60" Type="http://schemas.openxmlformats.org/officeDocument/2006/relationships/hyperlink" Target="http://www.gov.me/ResourceManager/FileDownload.aspx?rid=210905&amp;rType=2&amp;file=13_122_30_07_2015.pdf" TargetMode="External"/><Relationship Id="rId65" Type="http://schemas.openxmlformats.org/officeDocument/2006/relationships/hyperlink" Target="http://www.gov.me/ResourceManager/FileDownload.aspx?rid=210905&amp;rType=2&amp;file=13_122_30_07_2015.pdf" TargetMode="External"/><Relationship Id="rId73" Type="http://schemas.openxmlformats.org/officeDocument/2006/relationships/hyperlink" Target="http://archive.erisee.org/sites/default/files/STRATEGIJA%20ZA%20CJELOZIVOTNO%20PREDUZETNICKO%20UCENJE%20RADNA%201.0.pdf" TargetMode="External"/><Relationship Id="rId78" Type="http://schemas.openxmlformats.org/officeDocument/2006/relationships/hyperlink" Target="http://www.gov.me/ResourceManager/FileDownload.aspx?rId=370698&amp;rType=2" TargetMode="External"/><Relationship Id="rId81" Type="http://schemas.openxmlformats.org/officeDocument/2006/relationships/hyperlink" Target="http://www.minpolj.gov.me/ResourceManager/FileDownload.aspx?rid=306280&amp;rType=2&amp;file=Strategija%20upravljanja%20vodama.pdf" TargetMode="External"/><Relationship Id="rId86" Type="http://schemas.openxmlformats.org/officeDocument/2006/relationships/hyperlink" Target="http://www.mps.gov.me/ResourceManager/FileDownload.aspx?rid=221458&amp;rType=2&amp;file=Strategija%20ranog%20i%20pred%C5%A1kolskog%20vaspitanja%20i%20obrazovanja%20u%20Crnoj%20Gori%20(2016-2020).pdf1.pdf" TargetMode="External"/><Relationship Id="rId94" Type="http://schemas.openxmlformats.org/officeDocument/2006/relationships/hyperlink" Target="http://www.minpolj.gov.me/ResourceManager/FileDownload.aspx?rid=253755&amp;rType=2&amp;file=Akcioni%20plan%20za%20usagla%C5%A1avanje%20sa%20pravnom%20tekovinom%20EU,%20PP11.pdf" TargetMode="External"/><Relationship Id="rId99" Type="http://schemas.openxmlformats.org/officeDocument/2006/relationships/hyperlink" Target="http://www.mzd.gov.me/ResourceManager/FileDownload.aspx?rid=217283&amp;rType=2&amp;file=Strategija%20razvoja%20zdravstva%20Crne%20Gore%20(2003).pdf" TargetMode="External"/><Relationship Id="rId101" Type="http://schemas.openxmlformats.org/officeDocument/2006/relationships/hyperlink" Target="http://www.gov.me/ResourceManager/FileDownload.aspx?rId=367877&amp;rType=2" TargetMode="External"/><Relationship Id="rId4" Type="http://schemas.openxmlformats.org/officeDocument/2006/relationships/settings" Target="settings.xml"/><Relationship Id="rId9" Type="http://schemas.openxmlformats.org/officeDocument/2006/relationships/hyperlink" Target="https://www.eu.me/poglavlje-24-pravda-sloboda-i-bezbjednost/" TargetMode="External"/><Relationship Id="rId13" Type="http://schemas.openxmlformats.org/officeDocument/2006/relationships/hyperlink" Target="https://mpa.gov.me/en/library/strategije" TargetMode="External"/><Relationship Id="rId18" Type="http://schemas.openxmlformats.org/officeDocument/2006/relationships/hyperlink" Target="https://mup.gov.me/biblioteka/strategije?pagerIndex=2" TargetMode="External"/><Relationship Id="rId39" Type="http://schemas.openxmlformats.org/officeDocument/2006/relationships/hyperlink" Target="https://mna.gov.me/en/ministry/Smart_Specialisation/" TargetMode="External"/><Relationship Id="rId109" Type="http://schemas.openxmlformats.org/officeDocument/2006/relationships/hyperlink" Target="http://www.mod.gov.me/ResourceManager/FileDownload.aspx?rid=53806&amp;rType=2&amp;file=1233665590.doc" TargetMode="External"/><Relationship Id="rId34" Type="http://schemas.openxmlformats.org/officeDocument/2006/relationships/hyperlink" Target="https://mju.gov.me/en/library/strategije" TargetMode="External"/><Relationship Id="rId50" Type="http://schemas.openxmlformats.org/officeDocument/2006/relationships/hyperlink" Target="http://www.mmp.gov.me/ResourceManager/FileDownload.aspx?rid=261494&amp;rType=2&amp;file=STRATEGIJA%20%20ZA%20ZA%C5%A0TITU%20LICA%20SA%20INVALIDITETOM%20sa%20AP.pdf" TargetMode="External"/><Relationship Id="rId55" Type="http://schemas.openxmlformats.org/officeDocument/2006/relationships/hyperlink" Target="http://www.gov.me/ResourceManager/FileDownload.aspx?rId=346293&amp;rType=2" TargetMode="External"/><Relationship Id="rId76" Type="http://schemas.openxmlformats.org/officeDocument/2006/relationships/hyperlink" Target="http://www.mrt.gov.me/ResourceManager/FileDownload.aspx?rId=383465&amp;rType=2" TargetMode="External"/><Relationship Id="rId97" Type="http://schemas.openxmlformats.org/officeDocument/2006/relationships/hyperlink" Target="http://www.gov.me/ResourceManager/FileDownload.aspx?rId=370687&amp;rType=2" TargetMode="External"/><Relationship Id="rId104" Type="http://schemas.openxmlformats.org/officeDocument/2006/relationships/hyperlink" Target="http://www.mrs.gov.me/ResourceManager/FileDownload.aspx?rid=274449&amp;rType=2&amp;file=Strategija%20za%20prevenciju%20i%20za%C5%A1titu%20djece%20od%20nasilja%20sa%20AP%202017-2021-%20April%202017.docx"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archive.erisee.org/sites/default/files/STRATEGIJA%20ZA%20CJELOZIVOTNO%20PREDUZETNICKO%20UCENJE%20RADNA%201.0.pdf" TargetMode="External"/><Relationship Id="rId92" Type="http://schemas.openxmlformats.org/officeDocument/2006/relationships/hyperlink" Target="http://www.minpolj.gov.me/ResourceManager/FileDownload.aspx?rid=253755&amp;rType=2&amp;file=Akcioni%20plan%20za%20usagla%C5%A1avanje%20sa%20pravnom%20tekovinom%20EU,%20PP11.pdf" TargetMode="External"/><Relationship Id="rId2" Type="http://schemas.openxmlformats.org/officeDocument/2006/relationships/numbering" Target="numbering.xml"/><Relationship Id="rId29" Type="http://schemas.openxmlformats.org/officeDocument/2006/relationships/hyperlink" Target="https://www.eu.me/dokumenti-pregovori-o-pristupanju/" TargetMode="External"/><Relationship Id="rId24" Type="http://schemas.openxmlformats.org/officeDocument/2006/relationships/diagramQuickStyle" Target="diagrams/quickStyle1.xml"/><Relationship Id="rId40" Type="http://schemas.openxmlformats.org/officeDocument/2006/relationships/hyperlink" Target="#DDU"/><Relationship Id="rId45" Type="http://schemas.openxmlformats.org/officeDocument/2006/relationships/hyperlink" Target="http://www.mid.gov.me/ResourceManager/FileDownload.aspx?rid=92665&amp;rType=2&amp;file=STRATEGIJA%20KORI%C5%A0%C4%86ENJA%20OPEN%20SOURCE%20TEHNOLOGIJA.pdf" TargetMode="External"/><Relationship Id="rId66" Type="http://schemas.openxmlformats.org/officeDocument/2006/relationships/hyperlink" Target="https://www.monstat.org/userfiles/file/strategija%20razvoja/Strategija%20razvoja%20zvani%C4%8Dne%20statistike%20za%20period%202019%20-%202023_%20godine%20sa%20akcionim%20planom.pdf" TargetMode="External"/><Relationship Id="rId87" Type="http://schemas.openxmlformats.org/officeDocument/2006/relationships/hyperlink" Target="http://www.mps.gov.me/ResourceManager/FileDownload.aspx?rid=265312&amp;rType=2&amp;file=Strategija%20obrazovanja%20nastavnika%20u%20Crnoj%20Gori%202017-%202024..doc" TargetMode="External"/><Relationship Id="rId110" Type="http://schemas.openxmlformats.org/officeDocument/2006/relationships/hyperlink" Target="http://www.mod.gov.me/ResourceManager/FileDownload.aspx?rid=53806&amp;rType=2&amp;file=1233665590.doc" TargetMode="External"/><Relationship Id="rId115" Type="http://schemas.openxmlformats.org/officeDocument/2006/relationships/footer" Target="footer2.xml"/><Relationship Id="rId61" Type="http://schemas.openxmlformats.org/officeDocument/2006/relationships/hyperlink" Target="https://www.monstat.org/userfiles/file/strategija%20razvoja/Strategija%20razvoja%20zvani%C4%8Dne%20statistike%20za%20period%202019%20-%202023_%20godine%20sa%20akcionim%20planom.pdf" TargetMode="External"/><Relationship Id="rId82" Type="http://schemas.openxmlformats.org/officeDocument/2006/relationships/hyperlink" Target="http://www.minpolj.gov.me/ResourceManager/FileDownload.aspx?rid=306280&amp;rType=2&amp;file=Strategija%20upravljanja%20vodama.pdf" TargetMode="External"/><Relationship Id="rId19" Type="http://schemas.openxmlformats.org/officeDocument/2006/relationships/hyperlink" Target="https://www.gov.me/dokumenta/33985332-d431-4c25-9643-e9a15d76e548" TargetMode="External"/><Relationship Id="rId14" Type="http://schemas.openxmlformats.org/officeDocument/2006/relationships/hyperlink" Target="https://mpa.gov.me/en/library/strategije" TargetMode="External"/><Relationship Id="rId30" Type="http://schemas.openxmlformats.org/officeDocument/2006/relationships/hyperlink" Target="https://mrt.gov.me/ResourceManager/FileDownloadaspx?rid=251034&amp;rType=" TargetMode="External"/><Relationship Id="rId35" Type="http://schemas.openxmlformats.org/officeDocument/2006/relationships/hyperlink" Target="https://mna.gov.me/en/ministry/Smart_Specialisation/" TargetMode="External"/><Relationship Id="rId56" Type="http://schemas.openxmlformats.org/officeDocument/2006/relationships/hyperlink" Target="http://www.gov.me/ResourceManager/FileDownload.aspx?rId=325611&amp;rType=2" TargetMode="External"/><Relationship Id="rId77" Type="http://schemas.openxmlformats.org/officeDocument/2006/relationships/hyperlink" Target="http://www.gov.me/ResourceManager/FileDownload.aspx?rId=370698&amp;rType=2" TargetMode="External"/><Relationship Id="rId100" Type="http://schemas.openxmlformats.org/officeDocument/2006/relationships/hyperlink" Target="http://www.gov.me/ResourceManager/FileDownload.aspx?rId=370687&amp;rType=2" TargetMode="External"/><Relationship Id="rId105" Type="http://schemas.openxmlformats.org/officeDocument/2006/relationships/hyperlink" Target="http://www.gov.me/ResourceManager/FileDownload.aspx?rId=363196&amp;rType=2" TargetMode="External"/><Relationship Id="rId8" Type="http://schemas.openxmlformats.org/officeDocument/2006/relationships/hyperlink" Target="https://www.eu.me/poglavlje-23-pravosudje-i-temeljna-prava/" TargetMode="External"/><Relationship Id="rId51" Type="http://schemas.openxmlformats.org/officeDocument/2006/relationships/hyperlink" Target="http://www.gov.me/ResourceManager/FileDownload.aspx?rId=297334&amp;rType=2&amp;alphabet=cyr" TargetMode="External"/><Relationship Id="rId72" Type="http://schemas.openxmlformats.org/officeDocument/2006/relationships/hyperlink" Target="http://www.gov.me/ResourceManager/FileDownload.aspx?rId=325628&amp;rType=2" TargetMode="External"/><Relationship Id="rId93" Type="http://schemas.openxmlformats.org/officeDocument/2006/relationships/hyperlink" Target="http://www.upravazasume.me/razni_fajlovi/1316593609.pdf" TargetMode="External"/><Relationship Id="rId98" Type="http://schemas.openxmlformats.org/officeDocument/2006/relationships/hyperlink" Target="http://www.mzd.gov.me/ResourceManager/FileDownload.aspx?rid=217258&amp;rType=2&amp;file=Zdravstvena%20politika%20u%20RCG%20do%202020.%20(2001).pdf" TargetMode="External"/><Relationship Id="rId3" Type="http://schemas.openxmlformats.org/officeDocument/2006/relationships/styles" Target="styles.xml"/><Relationship Id="rId25" Type="http://schemas.openxmlformats.org/officeDocument/2006/relationships/diagramColors" Target="diagrams/colors1.xml"/><Relationship Id="rId46" Type="http://schemas.openxmlformats.org/officeDocument/2006/relationships/hyperlink" Target="http://www.mid.gov.me/ResourceManager/FileDownload.aspx?rid=92665&amp;rType=2&amp;file=STRATEGIJA%20KORI%C5%A0%C4%86ENJA%20OPEN%20SOURCE%20TEHNOLOGIJA.pdf" TargetMode="External"/><Relationship Id="rId67" Type="http://schemas.openxmlformats.org/officeDocument/2006/relationships/hyperlink" Target="http://www.msp.gov.me/ResourceManager/FileDownload.aspx?rid=55087&amp;rType=2&amp;file=strategija%20razvoja%20drzavnih%20puteva-nova.pdf" TargetMode="External"/><Relationship Id="rId116" Type="http://schemas.openxmlformats.org/officeDocument/2006/relationships/footer" Target="footer3.xml"/><Relationship Id="rId20" Type="http://schemas.openxmlformats.org/officeDocument/2006/relationships/header" Target="header1.xml"/><Relationship Id="rId41" Type="http://schemas.openxmlformats.org/officeDocument/2006/relationships/hyperlink" Target="http://www.gov.me/ResourceManager/FileDownload.aspx?rId=266274&amp;rType=2" TargetMode="External"/><Relationship Id="rId62" Type="http://schemas.openxmlformats.org/officeDocument/2006/relationships/hyperlink" Target="http://www.mif.gov.me/ResourceManager/FileDownload.aspx?rid=311529&amp;rType=2&amp;file=Strategije%20trgovinskih%20olak%C5%A1ica%202018-2022.pdf" TargetMode="External"/><Relationship Id="rId83" Type="http://schemas.openxmlformats.org/officeDocument/2006/relationships/hyperlink" Target="http://www.mps.gov.me/ResourceManager/FileDownload.aspx?rid=265312&amp;rType=2&amp;file=Strategija%20obrazovanja%20nastavnika%20u%20Crnoj%20Gori%202017-%202024..doc" TargetMode="External"/><Relationship Id="rId88" Type="http://schemas.openxmlformats.org/officeDocument/2006/relationships/hyperlink" Target="http://www.mps.gov.me/ResourceManager/FileDownload.aspx?rid=244534&amp;rType=2&amp;file=Strategija%20razvoja%20visokog%20obrazovanja%20u%20Crnoj%20Gori%202016-2020.doc" TargetMode="External"/><Relationship Id="rId111" Type="http://schemas.openxmlformats.org/officeDocument/2006/relationships/hyperlink" Target="http://www.gov.me/ResourceManager/FileDownload.aspx?rid=375875&amp;rType=2&amp;file=23_132_01_08_2019.pdf" TargetMode="External"/><Relationship Id="rId15" Type="http://schemas.openxmlformats.org/officeDocument/2006/relationships/hyperlink" Target="https://centarzaars.me/strateska-dokumenta/" TargetMode="External"/><Relationship Id="rId36" Type="http://schemas.openxmlformats.org/officeDocument/2006/relationships/hyperlink" Target="https://mek.gov.me/en/library/strategije" TargetMode="External"/><Relationship Id="rId57" Type="http://schemas.openxmlformats.org/officeDocument/2006/relationships/hyperlink" Target="http://www.mif.gov.me/ResourceManager/FileDownload.aspx?rid=311529&amp;rType=2&amp;file=Strategije%20trgovinskih%20olak%C5%A1ica%202018-2022.pdf" TargetMode="External"/><Relationship Id="rId106" Type="http://schemas.openxmlformats.org/officeDocument/2006/relationships/hyperlink" Target="http://www.zsdzcg.me/images/Biblioteka/Strategija%20razvoja%20sistema%20socijalne%20za%C5%A1tite%20starijih%20za%20period%202018.%20do%202022.%20godin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2020/pdf/COMPLET%20EN%20BARROSO%20%20%20007%20-%20Europe%202020%20-%20EN%20version.pdf" TargetMode="External"/><Relationship Id="rId13" Type="http://schemas.openxmlformats.org/officeDocument/2006/relationships/hyperlink" Target="https://www.cedefop.europa.eu/files/9133_en.pdf" TargetMode="External"/><Relationship Id="rId18" Type="http://schemas.openxmlformats.org/officeDocument/2006/relationships/hyperlink" Target="file:///D:/Korisnicki%20podaci/Downloads/Montenegro%20Development%20Directions%202018-2021.pdf" TargetMode="External"/><Relationship Id="rId26" Type="http://schemas.openxmlformats.org/officeDocument/2006/relationships/hyperlink" Target="file:///D:/Korisnicki%20podaci/Downloads/Public%20Finance%20Management%20Reform%20Programme%20(1).pdf" TargetMode="External"/><Relationship Id="rId3" Type="http://schemas.openxmlformats.org/officeDocument/2006/relationships/hyperlink" Target="https://eur-lex.europa.eu/legal-content/EN/TXT/?uri=celex%3A52015DC0192" TargetMode="External"/><Relationship Id="rId21" Type="http://schemas.openxmlformats.org/officeDocument/2006/relationships/hyperlink" Target="file:///D:/Korisnicki%20podaci/Downloads/PUBLIC%20ADMINISTRATION%20REFORM%20STRATEGY%20IN%20MONTENEGRO%202016-2020%20(4).pdf" TargetMode="External"/><Relationship Id="rId7" Type="http://schemas.openxmlformats.org/officeDocument/2006/relationships/hyperlink" Target="https://eur-lex.europa.eu/legal-content/EN/TXT/HTML/?uri=LEGISSUM:4314909" TargetMode="External"/><Relationship Id="rId12" Type="http://schemas.openxmlformats.org/officeDocument/2006/relationships/hyperlink" Target="https://ec.europa.eu/education/policies/eu-policy-in-the-field-of-vocational-education-and-training-vet_en" TargetMode="External"/><Relationship Id="rId17" Type="http://schemas.openxmlformats.org/officeDocument/2006/relationships/hyperlink" Target="https://eacea.ec.europa.eu/national-policies/eurydice/content/montenegro_en" TargetMode="External"/><Relationship Id="rId25" Type="http://schemas.openxmlformats.org/officeDocument/2006/relationships/hyperlink" Target="https://www.otvorenauprava.me/wp-content/uploads/2018/12/NAP-engl.pdf" TargetMode="External"/><Relationship Id="rId2" Type="http://schemas.openxmlformats.org/officeDocument/2006/relationships/hyperlink" Target="https://eur-lex.europa.eu/legal-content/EN/TXT/PDF/?uri=CELEX:52010DC0245&amp;from=en" TargetMode="External"/><Relationship Id="rId16" Type="http://schemas.openxmlformats.org/officeDocument/2006/relationships/hyperlink" Target="https://eur-lex.europa.eu/legal-content/EN/TXT/PDF/?uri=CELEX:32018H0604(01)&amp;from=EN" TargetMode="External"/><Relationship Id="rId20" Type="http://schemas.openxmlformats.org/officeDocument/2006/relationships/hyperlink" Target="https://www.kei.gov.me/ResourceManager/FileDownload.aspx?rid=399773&amp;rType=2&amp;file=6%20II%2020%20Usvojeni%20PPCG%202020-2022.pdf" TargetMode="External"/><Relationship Id="rId29" Type="http://schemas.openxmlformats.org/officeDocument/2006/relationships/hyperlink" Target="http://www.ujn.gov.me/en/strategija-razvoja-sistema-javnih-nabavki-u-crnoj-gori-za-period-2016-2020-godine/" TargetMode="External"/><Relationship Id="rId1" Type="http://schemas.openxmlformats.org/officeDocument/2006/relationships/hyperlink" Target="https://ec.europa.eu/neighbourhood-enlargement/sites/near/files/communication_on_wb_economic_and_investment_plan_october_2020_en.pdf" TargetMode="External"/><Relationship Id="rId6" Type="http://schemas.openxmlformats.org/officeDocument/2006/relationships/hyperlink" Target="https://ec.europa.eu/commission/presscorner/detail/en/qanda_21_5279" TargetMode="External"/><Relationship Id="rId11" Type="http://schemas.openxmlformats.org/officeDocument/2006/relationships/hyperlink" Target="https://mps.gov.me/biblioteka/strategije" TargetMode="External"/><Relationship Id="rId24" Type="http://schemas.openxmlformats.org/officeDocument/2006/relationships/hyperlink" Target="file:///D:/Korisnicki%20podaci/Downloads/Strategija%20unapre%C4%91enja%20podsticajnog%20okru%C5%BEenja%20%202018-20120.pdf" TargetMode="External"/><Relationship Id="rId5" Type="http://schemas.openxmlformats.org/officeDocument/2006/relationships/hyperlink" Target="https://eur-lex.europa.eu/legal-content/EN/TXT/PDF/?uri=CELEX:52014DC0700&amp;from=en" TargetMode="External"/><Relationship Id="rId15" Type="http://schemas.openxmlformats.org/officeDocument/2006/relationships/hyperlink" Target="https://www.etf.europa.eu/en/publications-and-resources/publications/skills-smart-specialisation-montenegro-understanding-and" TargetMode="External"/><Relationship Id="rId23" Type="http://schemas.openxmlformats.org/officeDocument/2006/relationships/hyperlink" Target="file:///D:/Korisnicki%20podaci/Downloads/Cyber%20Security%20Strategy%20of%20Montenegro%202018-2021%20eng.pdf" TargetMode="External"/><Relationship Id="rId28" Type="http://schemas.openxmlformats.org/officeDocument/2006/relationships/hyperlink" Target="https://upravacarina.gov.me/en/library/strategije?alphabet=lat" TargetMode="External"/><Relationship Id="rId10" Type="http://schemas.openxmlformats.org/officeDocument/2006/relationships/hyperlink" Target="https://mps.gov.me/biblioteka/strategije" TargetMode="External"/><Relationship Id="rId19" Type="http://schemas.openxmlformats.org/officeDocument/2006/relationships/hyperlink" Target="http://www.nssd2030.gov.me/animations/MORTuvod-zakljucak/NSSD2030.pdf" TargetMode="External"/><Relationship Id="rId31" Type="http://schemas.openxmlformats.org/officeDocument/2006/relationships/hyperlink" Target="file:///D:/Korisnicki%20podaci/Downloads/Montenegro%20Economic%20Reform%20Programme%202020-2022%20(1).pdf" TargetMode="External"/><Relationship Id="rId4" Type="http://schemas.openxmlformats.org/officeDocument/2006/relationships/hyperlink" Target="https://ec.europa.eu/info/sites/info/files/communication-credible-enlargement-perspective-western-balkans_en.pdf" TargetMode="External"/><Relationship Id="rId9" Type="http://schemas.openxmlformats.org/officeDocument/2006/relationships/hyperlink" Target="https://mrt.gov.me/en/ministry/174209/National-Strategy-for-Sustainable-Development-by-2030-NSSD.html" TargetMode="External"/><Relationship Id="rId14" Type="http://schemas.openxmlformats.org/officeDocument/2006/relationships/hyperlink" Target="https://mps.gov.me/biblioteka/strategije" TargetMode="External"/><Relationship Id="rId22" Type="http://schemas.openxmlformats.org/officeDocument/2006/relationships/hyperlink" Target="file:///D:/Korisnicki%20podaci/Downloads/StrategijaMID_finalENG%20(1).pdf" TargetMode="External"/><Relationship Id="rId27" Type="http://schemas.openxmlformats.org/officeDocument/2006/relationships/hyperlink" Target="file:///D:/Korisnicki%20podaci/Downloads/Montenegro%20Trade%20Facilitation%20Strategy%20%202018-2022%20(ENG).pdf" TargetMode="External"/><Relationship Id="rId30" Type="http://schemas.openxmlformats.org/officeDocument/2006/relationships/hyperlink" Target="http://www.monstat.org/userfiles/file/strategija%20razvoja/19%20%2006%2019%20Strategija%20razvoja%20zvanicne%20statitike%202019-2023-%20eng.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FDF19B-EC09-4284-94EF-A795EA4A8A67}"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s-ES"/>
        </a:p>
      </dgm:t>
    </dgm:pt>
    <dgm:pt modelId="{4D701A6B-D0AF-405C-8A9E-C58B5739317A}">
      <dgm:prSet phldrT="[Texto]" custT="1"/>
      <dgm:spPr>
        <a:xfrm rot="5400000">
          <a:off x="-130938" y="134610"/>
          <a:ext cx="872923" cy="6110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x-none" sz="900">
              <a:solidFill>
                <a:sysClr val="window" lastClr="FFFFFF"/>
              </a:solidFill>
              <a:latin typeface="Calibri"/>
              <a:ea typeface="+mn-ea"/>
              <a:cs typeface="+mn-cs"/>
            </a:rPr>
            <a:t>Radionica</a:t>
          </a:r>
          <a:r>
            <a:rPr lang="es-ES" sz="900">
              <a:solidFill>
                <a:sysClr val="window" lastClr="FFFFFF"/>
              </a:solidFill>
              <a:latin typeface="Calibri"/>
              <a:ea typeface="+mn-ea"/>
              <a:cs typeface="+mn-cs"/>
            </a:rPr>
            <a:t> 1</a:t>
          </a:r>
        </a:p>
        <a:p>
          <a:endParaRPr lang="es-ES" sz="900">
            <a:solidFill>
              <a:sysClr val="window" lastClr="FFFFFF"/>
            </a:solidFill>
            <a:latin typeface="Calibri"/>
            <a:ea typeface="+mn-ea"/>
            <a:cs typeface="+mn-cs"/>
          </a:endParaRPr>
        </a:p>
      </dgm:t>
    </dgm:pt>
    <dgm:pt modelId="{EB64D628-417E-41CC-8C9A-FA0E61F59A0F}" type="parTrans" cxnId="{5CA5F432-FC99-41EB-A854-96CE161A1D03}">
      <dgm:prSet/>
      <dgm:spPr/>
      <dgm:t>
        <a:bodyPr/>
        <a:lstStyle/>
        <a:p>
          <a:endParaRPr lang="es-ES"/>
        </a:p>
      </dgm:t>
    </dgm:pt>
    <dgm:pt modelId="{091787D4-BFCC-4E08-9E4F-C5CA993B9438}" type="sibTrans" cxnId="{5CA5F432-FC99-41EB-A854-96CE161A1D03}">
      <dgm:prSet/>
      <dgm:spPr/>
      <dgm:t>
        <a:bodyPr/>
        <a:lstStyle/>
        <a:p>
          <a:endParaRPr lang="es-ES"/>
        </a:p>
      </dgm:t>
    </dgm:pt>
    <dgm:pt modelId="{F8509BC5-6FE6-480C-9C3B-C13EF93328C8}">
      <dgm:prSet phldrT="[Texto]" custT="1"/>
      <dgm:spPr>
        <a:xfrm rot="5400000">
          <a:off x="2212423" y="-1597705"/>
          <a:ext cx="567698" cy="37704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a:t>
          </a:r>
          <a:r>
            <a:rPr lang="x-none" sz="1000">
              <a:solidFill>
                <a:sysClr val="windowText" lastClr="000000">
                  <a:hueOff val="0"/>
                  <a:satOff val="0"/>
                  <a:lumOff val="0"/>
                  <a:alphaOff val="0"/>
                </a:sysClr>
              </a:solidFill>
              <a:latin typeface="Calibri"/>
              <a:ea typeface="+mn-ea"/>
              <a:cs typeface="+mn-cs"/>
            </a:rPr>
            <a:t>Početna radionica</a:t>
          </a:r>
          <a:r>
            <a:rPr lang="en-GB" sz="1000">
              <a:solidFill>
                <a:sysClr val="windowText" lastClr="000000">
                  <a:hueOff val="0"/>
                  <a:satOff val="0"/>
                  <a:lumOff val="0"/>
                  <a:alphaOff val="0"/>
                </a:sysClr>
              </a:solidFill>
              <a:latin typeface="Calibri"/>
              <a:ea typeface="+mn-ea"/>
              <a:cs typeface="+mn-cs"/>
            </a:rPr>
            <a:t>): </a:t>
          </a:r>
          <a:r>
            <a:rPr lang="x-none" sz="1000">
              <a:solidFill>
                <a:sysClr val="windowText" lastClr="000000">
                  <a:hueOff val="0"/>
                  <a:satOff val="0"/>
                  <a:lumOff val="0"/>
                  <a:alphaOff val="0"/>
                </a:sysClr>
              </a:solidFill>
              <a:latin typeface="Calibri"/>
              <a:ea typeface="+mn-ea"/>
              <a:cs typeface="+mn-cs"/>
            </a:rPr>
            <a:t>Strateški okvir za Prozor</a:t>
          </a:r>
          <a:r>
            <a:rPr lang="en-GB" sz="1000">
              <a:solidFill>
                <a:sysClr val="windowText" lastClr="000000">
                  <a:hueOff val="0"/>
                  <a:satOff val="0"/>
                  <a:lumOff val="0"/>
                  <a:alphaOff val="0"/>
                </a:sysClr>
              </a:solidFill>
              <a:latin typeface="Calibri"/>
              <a:ea typeface="+mn-ea"/>
              <a:cs typeface="+mn-cs"/>
            </a:rPr>
            <a:t> 3 - </a:t>
          </a:r>
          <a:r>
            <a:rPr lang="x-none" sz="1000">
              <a:solidFill>
                <a:sysClr val="windowText" lastClr="000000">
                  <a:hueOff val="0"/>
                  <a:satOff val="0"/>
                  <a:lumOff val="0"/>
                  <a:alphaOff val="0"/>
                </a:sysClr>
              </a:solidFill>
              <a:latin typeface="Calibri"/>
              <a:ea typeface="+mn-ea"/>
              <a:cs typeface="+mn-cs"/>
            </a:rPr>
            <a:t>ODRŽIVA POVEZANOST I ZELENA AGENDA</a:t>
          </a:r>
          <a:r>
            <a:rPr lang="en-GB" sz="1000">
              <a:solidFill>
                <a:sysClr val="windowText" lastClr="000000">
                  <a:hueOff val="0"/>
                  <a:satOff val="0"/>
                  <a:lumOff val="0"/>
                  <a:alphaOff val="0"/>
                </a:sysClr>
              </a:solidFill>
              <a:latin typeface="Calibri"/>
              <a:ea typeface="+mn-ea"/>
              <a:cs typeface="+mn-cs"/>
            </a:rPr>
            <a:t> (</a:t>
          </a:r>
          <a:r>
            <a:rPr lang="x-none" sz="1000">
              <a:solidFill>
                <a:sysClr val="windowText" lastClr="000000">
                  <a:hueOff val="0"/>
                  <a:satOff val="0"/>
                  <a:lumOff val="0"/>
                  <a:alphaOff val="0"/>
                </a:sysClr>
              </a:solidFill>
              <a:latin typeface="Calibri"/>
              <a:ea typeface="+mn-ea"/>
              <a:cs typeface="+mn-cs"/>
            </a:rPr>
            <a:t>pristup od vrha ka dnu- </a:t>
          </a:r>
          <a:r>
            <a:rPr lang="en-GB" sz="1000" i="1">
              <a:solidFill>
                <a:sysClr val="windowText" lastClr="000000">
                  <a:hueOff val="0"/>
                  <a:satOff val="0"/>
                  <a:lumOff val="0"/>
                  <a:alphaOff val="0"/>
                </a:sysClr>
              </a:solidFill>
              <a:latin typeface="Calibri"/>
              <a:ea typeface="+mn-ea"/>
              <a:cs typeface="+mn-cs"/>
            </a:rPr>
            <a:t>top-down</a:t>
          </a:r>
          <a:r>
            <a:rPr lang="en-GB" sz="1000">
              <a:solidFill>
                <a:sysClr val="windowText" lastClr="000000">
                  <a:hueOff val="0"/>
                  <a:satOff val="0"/>
                  <a:lumOff val="0"/>
                  <a:alphaOff val="0"/>
                </a:sysClr>
              </a:solidFill>
              <a:latin typeface="Calibri"/>
              <a:ea typeface="+mn-ea"/>
              <a:cs typeface="+mn-cs"/>
            </a:rPr>
            <a:t>)</a:t>
          </a:r>
          <a:endParaRPr lang="es-ES" sz="1000">
            <a:solidFill>
              <a:sysClr val="windowText" lastClr="000000">
                <a:hueOff val="0"/>
                <a:satOff val="0"/>
                <a:lumOff val="0"/>
                <a:alphaOff val="0"/>
              </a:sysClr>
            </a:solidFill>
            <a:latin typeface="Calibri"/>
            <a:ea typeface="+mn-ea"/>
            <a:cs typeface="+mn-cs"/>
          </a:endParaRPr>
        </a:p>
      </dgm:t>
    </dgm:pt>
    <dgm:pt modelId="{E6CF6102-BC2D-4302-A91B-27686F6E136D}" type="parTrans" cxnId="{A04904C4-A954-44FB-BE12-8BEEA8A9BA52}">
      <dgm:prSet/>
      <dgm:spPr/>
      <dgm:t>
        <a:bodyPr/>
        <a:lstStyle/>
        <a:p>
          <a:endParaRPr lang="es-ES"/>
        </a:p>
      </dgm:t>
    </dgm:pt>
    <dgm:pt modelId="{33E09C19-0745-40C5-84A3-0B520FC13499}" type="sibTrans" cxnId="{A04904C4-A954-44FB-BE12-8BEEA8A9BA52}">
      <dgm:prSet/>
      <dgm:spPr/>
      <dgm:t>
        <a:bodyPr/>
        <a:lstStyle/>
        <a:p>
          <a:endParaRPr lang="es-ES"/>
        </a:p>
      </dgm:t>
    </dgm:pt>
    <dgm:pt modelId="{FD9947BD-23A8-4D85-B3B7-6CB958915262}">
      <dgm:prSet phldrT="[Texto]" custT="1"/>
      <dgm:spPr>
        <a:xfrm rot="5400000">
          <a:off x="-130938" y="909152"/>
          <a:ext cx="872923" cy="6110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x-none" sz="900">
            <a:solidFill>
              <a:sysClr val="window" lastClr="FFFFFF"/>
            </a:solidFill>
            <a:latin typeface="Calibri"/>
            <a:ea typeface="+mn-ea"/>
            <a:cs typeface="+mn-cs"/>
          </a:endParaRPr>
        </a:p>
        <a:p>
          <a:endParaRPr lang="x-none" sz="900">
            <a:solidFill>
              <a:sysClr val="window" lastClr="FFFFFF"/>
            </a:solidFill>
            <a:latin typeface="Calibri"/>
            <a:ea typeface="+mn-ea"/>
            <a:cs typeface="+mn-cs"/>
          </a:endParaRPr>
        </a:p>
        <a:p>
          <a:r>
            <a:rPr lang="x-none" sz="900">
              <a:solidFill>
                <a:sysClr val="window" lastClr="FFFFFF"/>
              </a:solidFill>
              <a:latin typeface="Calibri"/>
              <a:ea typeface="+mn-ea"/>
              <a:cs typeface="+mn-cs"/>
            </a:rPr>
            <a:t>Radionica </a:t>
          </a:r>
          <a:r>
            <a:rPr lang="en-US" sz="900">
              <a:solidFill>
                <a:sysClr val="window" lastClr="FFFFFF"/>
              </a:solidFill>
              <a:latin typeface="Calibri"/>
              <a:ea typeface="+mn-ea"/>
              <a:cs typeface="+mn-cs"/>
            </a:rPr>
            <a:t>2 (Digital</a:t>
          </a:r>
          <a:r>
            <a:rPr lang="x-none" sz="900">
              <a:solidFill>
                <a:sysClr val="window" lastClr="FFFFFF"/>
              </a:solidFill>
              <a:latin typeface="Calibri"/>
              <a:ea typeface="+mn-ea"/>
              <a:cs typeface="+mn-cs"/>
            </a:rPr>
            <a:t>na</a:t>
          </a:r>
          <a:r>
            <a:rPr lang="en-US" sz="900">
              <a:solidFill>
                <a:sysClr val="window" lastClr="FFFFFF"/>
              </a:solidFill>
              <a:latin typeface="Calibri"/>
              <a:ea typeface="+mn-ea"/>
              <a:cs typeface="+mn-cs"/>
            </a:rPr>
            <a:t> </a:t>
          </a:r>
          <a:r>
            <a:rPr lang="x-none" sz="900">
              <a:solidFill>
                <a:sysClr val="window" lastClr="FFFFFF"/>
              </a:solidFill>
              <a:latin typeface="Calibri"/>
              <a:ea typeface="+mn-ea"/>
              <a:cs typeface="+mn-cs"/>
            </a:rPr>
            <a:t>ekonomija</a:t>
          </a:r>
          <a:r>
            <a:rPr lang="en-US" sz="900">
              <a:solidFill>
                <a:sysClr val="window" lastClr="FFFFFF"/>
              </a:solidFill>
              <a:latin typeface="Calibri"/>
              <a:ea typeface="+mn-ea"/>
              <a:cs typeface="+mn-cs"/>
            </a:rPr>
            <a:t>)</a:t>
          </a:r>
        </a:p>
        <a:p>
          <a:r>
            <a:rPr lang="en-US" sz="900">
              <a:solidFill>
                <a:sysClr val="window" lastClr="FFFFFF"/>
              </a:solidFill>
              <a:latin typeface="Calibri"/>
              <a:ea typeface="+mn-ea"/>
              <a:cs typeface="+mn-cs"/>
            </a:rPr>
            <a:t> </a:t>
          </a:r>
          <a:endParaRPr lang="es-ES" sz="900">
            <a:solidFill>
              <a:sysClr val="window" lastClr="FFFFFF"/>
            </a:solidFill>
            <a:latin typeface="Calibri"/>
            <a:ea typeface="+mn-ea"/>
            <a:cs typeface="+mn-cs"/>
          </a:endParaRPr>
        </a:p>
      </dgm:t>
    </dgm:pt>
    <dgm:pt modelId="{33A6928E-8380-4EE1-880C-E39FFA207DA0}" type="parTrans" cxnId="{3ED3DA8B-EC16-4DC1-80CD-4CF994B187E3}">
      <dgm:prSet/>
      <dgm:spPr/>
      <dgm:t>
        <a:bodyPr/>
        <a:lstStyle/>
        <a:p>
          <a:endParaRPr lang="es-ES"/>
        </a:p>
      </dgm:t>
    </dgm:pt>
    <dgm:pt modelId="{8F141B1F-4ABD-4326-A8C2-4BE94084C506}" type="sibTrans" cxnId="{3ED3DA8B-EC16-4DC1-80CD-4CF994B187E3}">
      <dgm:prSet/>
      <dgm:spPr/>
      <dgm:t>
        <a:bodyPr/>
        <a:lstStyle/>
        <a:p>
          <a:endParaRPr lang="es-ES"/>
        </a:p>
      </dgm:t>
    </dgm:pt>
    <dgm:pt modelId="{32710DFC-9C5F-47C9-AA6F-B761F8FEB751}">
      <dgm:prSet phldrT="[Texto]" custT="1"/>
      <dgm:spPr>
        <a:xfrm rot="5400000">
          <a:off x="-130938" y="1683693"/>
          <a:ext cx="872923" cy="6110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x-none" sz="900">
              <a:solidFill>
                <a:sysClr val="window" lastClr="FFFFFF"/>
              </a:solidFill>
              <a:latin typeface="Calibri"/>
              <a:ea typeface="+mn-ea"/>
              <a:cs typeface="+mn-cs"/>
            </a:rPr>
            <a:t>Radionica </a:t>
          </a:r>
          <a:r>
            <a:rPr lang="en-US" sz="900">
              <a:solidFill>
                <a:sysClr val="window" lastClr="FFFFFF"/>
              </a:solidFill>
              <a:latin typeface="Calibri"/>
              <a:ea typeface="+mn-ea"/>
              <a:cs typeface="+mn-cs"/>
            </a:rPr>
            <a:t>3 (Ener</a:t>
          </a:r>
          <a:r>
            <a:rPr lang="x-none" sz="900">
              <a:solidFill>
                <a:sysClr val="window" lastClr="FFFFFF"/>
              </a:solidFill>
              <a:latin typeface="Calibri"/>
              <a:ea typeface="+mn-ea"/>
              <a:cs typeface="+mn-cs"/>
            </a:rPr>
            <a:t>getika</a:t>
          </a:r>
          <a:r>
            <a:rPr lang="en-US" sz="900">
              <a:solidFill>
                <a:sysClr val="window" lastClr="FFFFFF"/>
              </a:solidFill>
              <a:latin typeface="Calibri"/>
              <a:ea typeface="+mn-ea"/>
              <a:cs typeface="+mn-cs"/>
            </a:rPr>
            <a:t>) </a:t>
          </a:r>
          <a:endParaRPr lang="es-ES" sz="900">
            <a:solidFill>
              <a:sysClr val="window" lastClr="FFFFFF"/>
            </a:solidFill>
            <a:latin typeface="Calibri"/>
            <a:ea typeface="+mn-ea"/>
            <a:cs typeface="+mn-cs"/>
          </a:endParaRPr>
        </a:p>
      </dgm:t>
    </dgm:pt>
    <dgm:pt modelId="{F71647A8-1B59-4C7C-B9CD-119905021A15}" type="parTrans" cxnId="{0079788E-9DD4-4094-814B-CF6D316CF613}">
      <dgm:prSet/>
      <dgm:spPr/>
      <dgm:t>
        <a:bodyPr/>
        <a:lstStyle/>
        <a:p>
          <a:endParaRPr lang="es-ES"/>
        </a:p>
      </dgm:t>
    </dgm:pt>
    <dgm:pt modelId="{0455D2B3-11A3-4076-A893-BEC9FCDB314C}" type="sibTrans" cxnId="{0079788E-9DD4-4094-814B-CF6D316CF613}">
      <dgm:prSet/>
      <dgm:spPr/>
      <dgm:t>
        <a:bodyPr/>
        <a:lstStyle/>
        <a:p>
          <a:endParaRPr lang="es-ES"/>
        </a:p>
      </dgm:t>
    </dgm:pt>
    <dgm:pt modelId="{C368BE84-F1E6-4602-8C1B-3FB68EBD42CC}">
      <dgm:prSet phldrT="[Texto]" custT="1"/>
      <dgm:spPr>
        <a:xfrm rot="5400000">
          <a:off x="-130938" y="2458234"/>
          <a:ext cx="872923" cy="6110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x-none" sz="900">
              <a:solidFill>
                <a:sysClr val="window" lastClr="FFFFFF"/>
              </a:solidFill>
              <a:latin typeface="Calibri"/>
              <a:ea typeface="+mn-ea"/>
              <a:cs typeface="+mn-cs"/>
            </a:rPr>
            <a:t>Radionica</a:t>
          </a:r>
          <a:r>
            <a:rPr lang="en-US" sz="900">
              <a:solidFill>
                <a:sysClr val="window" lastClr="FFFFFF"/>
              </a:solidFill>
              <a:latin typeface="Calibri"/>
              <a:ea typeface="+mn-ea"/>
              <a:cs typeface="+mn-cs"/>
            </a:rPr>
            <a:t> 4 (</a:t>
          </a:r>
          <a:r>
            <a:rPr lang="x-none" sz="900">
              <a:solidFill>
                <a:sysClr val="window" lastClr="FFFFFF"/>
              </a:solidFill>
              <a:latin typeface="Calibri"/>
              <a:ea typeface="+mn-ea"/>
              <a:cs typeface="+mn-cs"/>
            </a:rPr>
            <a:t>Životna sredina</a:t>
          </a:r>
          <a:r>
            <a:rPr lang="en-US" sz="900">
              <a:solidFill>
                <a:sysClr val="window" lastClr="FFFFFF"/>
              </a:solidFill>
              <a:latin typeface="Calibri"/>
              <a:ea typeface="+mn-ea"/>
              <a:cs typeface="+mn-cs"/>
            </a:rPr>
            <a:t>) </a:t>
          </a:r>
          <a:endParaRPr lang="es-ES" sz="900">
            <a:solidFill>
              <a:sysClr val="window" lastClr="FFFFFF"/>
            </a:solidFill>
            <a:latin typeface="Calibri"/>
            <a:ea typeface="+mn-ea"/>
            <a:cs typeface="+mn-cs"/>
          </a:endParaRPr>
        </a:p>
      </dgm:t>
    </dgm:pt>
    <dgm:pt modelId="{F4561DAF-9A8D-4C81-8C1C-C6386709814B}" type="parTrans" cxnId="{CAF340F7-BE26-44E4-AB21-7031FD2E3416}">
      <dgm:prSet/>
      <dgm:spPr/>
      <dgm:t>
        <a:bodyPr/>
        <a:lstStyle/>
        <a:p>
          <a:endParaRPr lang="es-ES"/>
        </a:p>
      </dgm:t>
    </dgm:pt>
    <dgm:pt modelId="{A3915EAA-027C-48DD-8011-82B17C83238B}" type="sibTrans" cxnId="{CAF340F7-BE26-44E4-AB21-7031FD2E3416}">
      <dgm:prSet/>
      <dgm:spPr/>
      <dgm:t>
        <a:bodyPr/>
        <a:lstStyle/>
        <a:p>
          <a:endParaRPr lang="es-ES"/>
        </a:p>
      </dgm:t>
    </dgm:pt>
    <dgm:pt modelId="{6E964645-9943-4F33-806D-7DC77D8E035E}">
      <dgm:prSet phldrT="[Texto]" custT="1"/>
      <dgm:spPr>
        <a:xfrm rot="5400000">
          <a:off x="2212573" y="725769"/>
          <a:ext cx="567400" cy="37704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Bilatera</a:t>
          </a:r>
          <a:r>
            <a:rPr lang="x-none" sz="1000">
              <a:solidFill>
                <a:sysClr val="windowText" lastClr="000000">
                  <a:hueOff val="0"/>
                  <a:satOff val="0"/>
                  <a:lumOff val="0"/>
                  <a:alphaOff val="0"/>
                </a:sysClr>
              </a:solidFill>
              <a:latin typeface="Calibri"/>
              <a:ea typeface="+mn-ea"/>
              <a:cs typeface="+mn-cs"/>
            </a:rPr>
            <a:t>lni sastanak sa predstavnicima</a:t>
          </a:r>
          <a:r>
            <a:rPr lang="en-US" sz="1000">
              <a:solidFill>
                <a:sysClr val="windowText" lastClr="000000">
                  <a:hueOff val="0"/>
                  <a:satOff val="0"/>
                  <a:lumOff val="0"/>
                  <a:alphaOff val="0"/>
                </a:sysClr>
              </a:solidFill>
              <a:latin typeface="Calibri"/>
              <a:ea typeface="+mn-ea"/>
              <a:cs typeface="+mn-cs"/>
            </a:rPr>
            <a:t> </a:t>
          </a:r>
          <a:r>
            <a:rPr lang="x-none" sz="1000">
              <a:solidFill>
                <a:sysClr val="windowText" lastClr="000000">
                  <a:hueOff val="0"/>
                  <a:satOff val="0"/>
                  <a:lumOff val="0"/>
                  <a:alphaOff val="0"/>
                </a:sysClr>
              </a:solidFill>
              <a:latin typeface="Calibri"/>
              <a:ea typeface="+mn-ea"/>
              <a:cs typeface="+mn-cs"/>
            </a:rPr>
            <a:t>Ministarstva ekologije, prostornog planiranja i urbanizma </a:t>
          </a:r>
          <a:r>
            <a:rPr lang="en-US" sz="1000">
              <a:solidFill>
                <a:sysClr val="windowText" lastClr="000000">
                  <a:hueOff val="0"/>
                  <a:satOff val="0"/>
                  <a:lumOff val="0"/>
                  <a:alphaOff val="0"/>
                </a:sysClr>
              </a:solidFill>
              <a:latin typeface="Calibri"/>
              <a:ea typeface="+mn-ea"/>
              <a:cs typeface="+mn-cs"/>
            </a:rPr>
            <a:t>(M</a:t>
          </a:r>
          <a:r>
            <a:rPr lang="x-none" sz="1000">
              <a:solidFill>
                <a:sysClr val="windowText" lastClr="000000">
                  <a:hueOff val="0"/>
                  <a:satOff val="0"/>
                  <a:lumOff val="0"/>
                  <a:alphaOff val="0"/>
                </a:sysClr>
              </a:solidFill>
              <a:latin typeface="Calibri"/>
              <a:ea typeface="+mn-ea"/>
              <a:cs typeface="+mn-cs"/>
            </a:rPr>
            <a:t>EPPU</a:t>
          </a:r>
          <a:r>
            <a:rPr lang="en-US" sz="1000">
              <a:solidFill>
                <a:sysClr val="windowText" lastClr="000000">
                  <a:hueOff val="0"/>
                  <a:satOff val="0"/>
                  <a:lumOff val="0"/>
                  <a:alphaOff val="0"/>
                </a:sysClr>
              </a:solidFill>
              <a:latin typeface="Calibri"/>
              <a:ea typeface="+mn-ea"/>
              <a:cs typeface="+mn-cs"/>
            </a:rPr>
            <a:t>) </a:t>
          </a:r>
          <a:endParaRPr lang="es-ES" sz="1000">
            <a:solidFill>
              <a:sysClr val="windowText" lastClr="000000">
                <a:hueOff val="0"/>
                <a:satOff val="0"/>
                <a:lumOff val="0"/>
                <a:alphaOff val="0"/>
              </a:sysClr>
            </a:solidFill>
            <a:latin typeface="Calibri"/>
            <a:ea typeface="+mn-ea"/>
            <a:cs typeface="+mn-cs"/>
          </a:endParaRPr>
        </a:p>
      </dgm:t>
    </dgm:pt>
    <dgm:pt modelId="{23B5FC69-6A80-410F-9E8E-188C90F0D84A}" type="parTrans" cxnId="{D5D6E7AF-2F42-415F-9990-878774878784}">
      <dgm:prSet/>
      <dgm:spPr/>
      <dgm:t>
        <a:bodyPr/>
        <a:lstStyle/>
        <a:p>
          <a:endParaRPr lang="es-ES"/>
        </a:p>
      </dgm:t>
    </dgm:pt>
    <dgm:pt modelId="{A46D2A9B-BFC5-4F60-86D4-36C193D4F026}" type="sibTrans" cxnId="{D5D6E7AF-2F42-415F-9990-878774878784}">
      <dgm:prSet/>
      <dgm:spPr/>
      <dgm:t>
        <a:bodyPr/>
        <a:lstStyle/>
        <a:p>
          <a:endParaRPr lang="es-ES"/>
        </a:p>
      </dgm:t>
    </dgm:pt>
    <dgm:pt modelId="{C2CA4D49-DE4F-418E-ADF8-EB12C5CCCA9B}">
      <dgm:prSet phldrT="[Texto]" custT="1"/>
      <dgm:spPr>
        <a:xfrm rot="5400000">
          <a:off x="-130938" y="4007317"/>
          <a:ext cx="872923" cy="6110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x-none" sz="900">
              <a:solidFill>
                <a:sysClr val="window" lastClr="FFFFFF"/>
              </a:solidFill>
              <a:latin typeface="Calibri"/>
              <a:ea typeface="+mn-ea"/>
              <a:cs typeface="+mn-cs"/>
            </a:rPr>
            <a:t>Radionica</a:t>
          </a:r>
          <a:r>
            <a:rPr lang="es-ES" sz="900">
              <a:solidFill>
                <a:sysClr val="window" lastClr="FFFFFF"/>
              </a:solidFill>
              <a:latin typeface="Calibri"/>
              <a:ea typeface="+mn-ea"/>
              <a:cs typeface="+mn-cs"/>
            </a:rPr>
            <a:t> 6 (16</a:t>
          </a:r>
          <a:r>
            <a:rPr lang="x-none" sz="900">
              <a:solidFill>
                <a:sysClr val="window" lastClr="FFFFFF"/>
              </a:solidFill>
              <a:latin typeface="Calibri"/>
              <a:ea typeface="+mn-ea"/>
              <a:cs typeface="+mn-cs"/>
            </a:rPr>
            <a:t>.</a:t>
          </a:r>
          <a:r>
            <a:rPr lang="es-ES" sz="900">
              <a:solidFill>
                <a:sysClr val="window" lastClr="FFFFFF"/>
              </a:solidFill>
              <a:latin typeface="Calibri"/>
              <a:ea typeface="+mn-ea"/>
              <a:cs typeface="+mn-cs"/>
            </a:rPr>
            <a:t> </a:t>
          </a:r>
          <a:r>
            <a:rPr lang="x-none" sz="900">
              <a:solidFill>
                <a:sysClr val="window" lastClr="FFFFFF"/>
              </a:solidFill>
              <a:latin typeface="Calibri"/>
              <a:ea typeface="+mn-ea"/>
              <a:cs typeface="+mn-cs"/>
            </a:rPr>
            <a:t>mart</a:t>
          </a:r>
          <a:r>
            <a:rPr lang="es-ES" sz="900">
              <a:solidFill>
                <a:sysClr val="window" lastClr="FFFFFF"/>
              </a:solidFill>
              <a:latin typeface="Calibri"/>
              <a:ea typeface="+mn-ea"/>
              <a:cs typeface="+mn-cs"/>
            </a:rPr>
            <a:t> 2021) </a:t>
          </a:r>
        </a:p>
      </dgm:t>
    </dgm:pt>
    <dgm:pt modelId="{41F8C553-4205-4DDB-8C0C-AD24BCCB5E8B}" type="parTrans" cxnId="{F9554588-5EDB-4A32-854E-3DD83A9D37A7}">
      <dgm:prSet/>
      <dgm:spPr/>
      <dgm:t>
        <a:bodyPr/>
        <a:lstStyle/>
        <a:p>
          <a:endParaRPr lang="es-ES"/>
        </a:p>
      </dgm:t>
    </dgm:pt>
    <dgm:pt modelId="{1949CA18-AF63-439B-8764-7398F3C86009}" type="sibTrans" cxnId="{F9554588-5EDB-4A32-854E-3DD83A9D37A7}">
      <dgm:prSet/>
      <dgm:spPr/>
      <dgm:t>
        <a:bodyPr/>
        <a:lstStyle/>
        <a:p>
          <a:endParaRPr lang="es-ES"/>
        </a:p>
      </dgm:t>
    </dgm:pt>
    <dgm:pt modelId="{F8B21A97-865B-48BE-BC59-384C07B1F15F}">
      <dgm:prSet phldrT="[Texto]" custT="1"/>
      <dgm:spPr>
        <a:xfrm rot="5400000">
          <a:off x="2212573" y="2274852"/>
          <a:ext cx="567400" cy="37704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a:t>
          </a:r>
          <a:r>
            <a:rPr lang="x-none" sz="1000">
              <a:solidFill>
                <a:sysClr val="windowText" lastClr="000000">
                  <a:hueOff val="0"/>
                  <a:satOff val="0"/>
                  <a:lumOff val="0"/>
                  <a:alphaOff val="0"/>
                </a:sysClr>
              </a:solidFill>
              <a:latin typeface="Calibri"/>
              <a:ea typeface="+mn-ea"/>
              <a:cs typeface="+mn-cs"/>
            </a:rPr>
            <a:t>Završna radionica</a:t>
          </a:r>
          <a:r>
            <a:rPr lang="en-GB" sz="1000">
              <a:solidFill>
                <a:sysClr val="windowText" lastClr="000000">
                  <a:hueOff val="0"/>
                  <a:satOff val="0"/>
                  <a:lumOff val="0"/>
                  <a:alphaOff val="0"/>
                </a:sysClr>
              </a:solidFill>
              <a:latin typeface="Calibri"/>
              <a:ea typeface="+mn-ea"/>
              <a:cs typeface="+mn-cs"/>
            </a:rPr>
            <a:t>): </a:t>
          </a:r>
          <a:r>
            <a:rPr lang="x-none" sz="1000">
              <a:solidFill>
                <a:sysClr val="windowText" lastClr="000000">
                  <a:hueOff val="0"/>
                  <a:satOff val="0"/>
                  <a:lumOff val="0"/>
                  <a:alphaOff val="0"/>
                </a:sysClr>
              </a:solidFill>
              <a:latin typeface="Calibri"/>
              <a:ea typeface="+mn-ea"/>
              <a:cs typeface="+mn-cs"/>
            </a:rPr>
            <a:t>Nacrt Strateškog odgovora za Prozor </a:t>
          </a:r>
          <a:r>
            <a:rPr lang="en-GB" sz="1000">
              <a:solidFill>
                <a:sysClr val="windowText" lastClr="000000">
                  <a:hueOff val="0"/>
                  <a:satOff val="0"/>
                  <a:lumOff val="0"/>
                  <a:alphaOff val="0"/>
                </a:sysClr>
              </a:solidFill>
              <a:latin typeface="Calibri"/>
              <a:ea typeface="+mn-ea"/>
              <a:cs typeface="+mn-cs"/>
            </a:rPr>
            <a:t>3 - </a:t>
          </a:r>
          <a:r>
            <a:rPr lang="x-none" sz="1000">
              <a:solidFill>
                <a:sysClr val="windowText" lastClr="000000">
                  <a:hueOff val="0"/>
                  <a:satOff val="0"/>
                  <a:lumOff val="0"/>
                  <a:alphaOff val="0"/>
                </a:sysClr>
              </a:solidFill>
              <a:latin typeface="Calibri"/>
              <a:ea typeface="+mn-ea"/>
              <a:cs typeface="+mn-cs"/>
            </a:rPr>
            <a:t>ODRŽIVA POVEZANOST I ZELENA AGENDA </a:t>
          </a:r>
          <a:r>
            <a:rPr lang="en-GB" sz="1000">
              <a:solidFill>
                <a:sysClr val="windowText" lastClr="000000">
                  <a:hueOff val="0"/>
                  <a:satOff val="0"/>
                  <a:lumOff val="0"/>
                  <a:alphaOff val="0"/>
                </a:sysClr>
              </a:solidFill>
              <a:latin typeface="Calibri"/>
              <a:ea typeface="+mn-ea"/>
              <a:cs typeface="+mn-cs"/>
            </a:rPr>
            <a:t>(</a:t>
          </a:r>
          <a:r>
            <a:rPr lang="x-none" sz="1000">
              <a:solidFill>
                <a:sysClr val="windowText" lastClr="000000">
                  <a:hueOff val="0"/>
                  <a:satOff val="0"/>
                  <a:lumOff val="0"/>
                  <a:alphaOff val="0"/>
                </a:sysClr>
              </a:solidFill>
              <a:latin typeface="Calibri"/>
              <a:ea typeface="+mn-ea"/>
              <a:cs typeface="+mn-cs"/>
            </a:rPr>
            <a:t>pristup od vrha ka dnu-</a:t>
          </a:r>
          <a:r>
            <a:rPr lang="en-GB" sz="1000" i="1">
              <a:solidFill>
                <a:sysClr val="windowText" lastClr="000000">
                  <a:hueOff val="0"/>
                  <a:satOff val="0"/>
                  <a:lumOff val="0"/>
                  <a:alphaOff val="0"/>
                </a:sysClr>
              </a:solidFill>
              <a:latin typeface="Calibri"/>
              <a:ea typeface="+mn-ea"/>
              <a:cs typeface="+mn-cs"/>
            </a:rPr>
            <a:t>top-down</a:t>
          </a:r>
          <a:r>
            <a:rPr lang="en-GB" sz="1000">
              <a:solidFill>
                <a:sysClr val="windowText" lastClr="000000">
                  <a:hueOff val="0"/>
                  <a:satOff val="0"/>
                  <a:lumOff val="0"/>
                  <a:alphaOff val="0"/>
                </a:sysClr>
              </a:solidFill>
              <a:latin typeface="Calibri"/>
              <a:ea typeface="+mn-ea"/>
              <a:cs typeface="+mn-cs"/>
            </a:rPr>
            <a:t>)</a:t>
          </a:r>
          <a:endParaRPr lang="es-ES" sz="1000">
            <a:solidFill>
              <a:sysClr val="windowText" lastClr="000000">
                <a:hueOff val="0"/>
                <a:satOff val="0"/>
                <a:lumOff val="0"/>
                <a:alphaOff val="0"/>
              </a:sysClr>
            </a:solidFill>
            <a:latin typeface="Calibri"/>
            <a:ea typeface="+mn-ea"/>
            <a:cs typeface="+mn-cs"/>
          </a:endParaRPr>
        </a:p>
      </dgm:t>
    </dgm:pt>
    <dgm:pt modelId="{C0ABB8B1-92C8-48D2-A0C2-90E6D9D3C687}" type="parTrans" cxnId="{B5C0AC97-3BEA-4B4C-90A6-BE8036F7B6D3}">
      <dgm:prSet/>
      <dgm:spPr/>
      <dgm:t>
        <a:bodyPr/>
        <a:lstStyle/>
        <a:p>
          <a:endParaRPr lang="es-ES"/>
        </a:p>
      </dgm:t>
    </dgm:pt>
    <dgm:pt modelId="{D337DB29-B3CB-4B7C-AA04-C90D33B6B317}" type="sibTrans" cxnId="{B5C0AC97-3BEA-4B4C-90A6-BE8036F7B6D3}">
      <dgm:prSet/>
      <dgm:spPr/>
      <dgm:t>
        <a:bodyPr/>
        <a:lstStyle/>
        <a:p>
          <a:endParaRPr lang="es-ES"/>
        </a:p>
      </dgm:t>
    </dgm:pt>
    <dgm:pt modelId="{BD93C636-880C-4C11-A2E8-2F58B0A4B416}">
      <dgm:prSet phldrT="[Texto]" custT="1"/>
      <dgm:spPr>
        <a:xfrm rot="5400000">
          <a:off x="2212573" y="-48771"/>
          <a:ext cx="567400" cy="37704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Bilatera</a:t>
          </a:r>
          <a:r>
            <a:rPr lang="x-none" sz="1000">
              <a:solidFill>
                <a:sysClr val="windowText" lastClr="000000">
                  <a:hueOff val="0"/>
                  <a:satOff val="0"/>
                  <a:lumOff val="0"/>
                  <a:alphaOff val="0"/>
                </a:sysClr>
              </a:solidFill>
              <a:latin typeface="Calibri"/>
              <a:ea typeface="+mn-ea"/>
              <a:cs typeface="+mn-cs"/>
            </a:rPr>
            <a:t>lni sastanak sa </a:t>
          </a:r>
          <a:r>
            <a:rPr lang="en-US" sz="1000">
              <a:solidFill>
                <a:sysClr val="windowText" lastClr="000000">
                  <a:hueOff val="0"/>
                  <a:satOff val="0"/>
                  <a:lumOff val="0"/>
                  <a:alphaOff val="0"/>
                </a:sysClr>
              </a:solidFill>
              <a:latin typeface="Calibri"/>
              <a:ea typeface="+mn-ea"/>
              <a:cs typeface="+mn-cs"/>
            </a:rPr>
            <a:t> </a:t>
          </a:r>
          <a:r>
            <a:rPr lang="x-none" sz="1000">
              <a:solidFill>
                <a:sysClr val="windowText" lastClr="000000">
                  <a:hueOff val="0"/>
                  <a:satOff val="0"/>
                  <a:lumOff val="0"/>
                  <a:alphaOff val="0"/>
                </a:sysClr>
              </a:solidFill>
              <a:latin typeface="Calibri"/>
              <a:ea typeface="+mn-ea"/>
              <a:cs typeface="+mn-cs"/>
            </a:rPr>
            <a:t>predstavnicima Ministarstva kapitalnih investicija</a:t>
          </a:r>
          <a:r>
            <a:rPr lang="en-US" sz="1000">
              <a:solidFill>
                <a:sysClr val="windowText" lastClr="000000">
                  <a:hueOff val="0"/>
                  <a:satOff val="0"/>
                  <a:lumOff val="0"/>
                  <a:alphaOff val="0"/>
                </a:sysClr>
              </a:solidFill>
              <a:latin typeface="Calibri"/>
              <a:ea typeface="+mn-ea"/>
              <a:cs typeface="+mn-cs"/>
            </a:rPr>
            <a:t>– Dire</a:t>
          </a:r>
          <a:r>
            <a:rPr lang="x-none" sz="1000">
              <a:solidFill>
                <a:sysClr val="windowText" lastClr="000000">
                  <a:hueOff val="0"/>
                  <a:satOff val="0"/>
                  <a:lumOff val="0"/>
                  <a:alphaOff val="0"/>
                </a:sysClr>
              </a:solidFill>
              <a:latin typeface="Calibri"/>
              <a:ea typeface="+mn-ea"/>
              <a:cs typeface="+mn-cs"/>
            </a:rPr>
            <a:t>ktorat za energetiku i energetsku efikasnost</a:t>
          </a:r>
          <a:endParaRPr lang="es-ES" sz="1000">
            <a:solidFill>
              <a:sysClr val="windowText" lastClr="000000">
                <a:hueOff val="0"/>
                <a:satOff val="0"/>
                <a:lumOff val="0"/>
                <a:alphaOff val="0"/>
              </a:sysClr>
            </a:solidFill>
            <a:latin typeface="Calibri"/>
            <a:ea typeface="+mn-ea"/>
            <a:cs typeface="+mn-cs"/>
          </a:endParaRPr>
        </a:p>
      </dgm:t>
    </dgm:pt>
    <dgm:pt modelId="{2F0B3BF7-4EFF-44F4-A22D-60894D6C7307}" type="sibTrans" cxnId="{D7516832-F507-4AC9-B739-6D5A01211C19}">
      <dgm:prSet/>
      <dgm:spPr/>
      <dgm:t>
        <a:bodyPr/>
        <a:lstStyle/>
        <a:p>
          <a:endParaRPr lang="es-ES"/>
        </a:p>
      </dgm:t>
    </dgm:pt>
    <dgm:pt modelId="{DCF3E3A8-8E75-4840-96DA-1455D0D5AA29}" type="parTrans" cxnId="{D7516832-F507-4AC9-B739-6D5A01211C19}">
      <dgm:prSet/>
      <dgm:spPr/>
      <dgm:t>
        <a:bodyPr/>
        <a:lstStyle/>
        <a:p>
          <a:endParaRPr lang="es-ES"/>
        </a:p>
      </dgm:t>
    </dgm:pt>
    <dgm:pt modelId="{89BC5EEE-170D-47CE-8BA1-452252EA3A8E}">
      <dgm:prSet custT="1"/>
      <dgm:spPr>
        <a:xfrm rot="5400000">
          <a:off x="2212573" y="-823313"/>
          <a:ext cx="567400" cy="37704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000">
              <a:solidFill>
                <a:sysClr val="windowText" lastClr="000000">
                  <a:hueOff val="0"/>
                  <a:satOff val="0"/>
                  <a:lumOff val="0"/>
                  <a:alphaOff val="0"/>
                </a:sysClr>
              </a:solidFill>
              <a:latin typeface="Calibri"/>
              <a:ea typeface="+mn-ea"/>
              <a:cs typeface="+mn-cs"/>
            </a:rPr>
            <a:t>Minist</a:t>
          </a:r>
          <a:r>
            <a:rPr lang="x-none" sz="1000">
              <a:solidFill>
                <a:sysClr val="windowText" lastClr="000000">
                  <a:hueOff val="0"/>
                  <a:satOff val="0"/>
                  <a:lumOff val="0"/>
                  <a:alphaOff val="0"/>
                </a:sysClr>
              </a:solidFill>
              <a:latin typeface="Calibri"/>
              <a:ea typeface="+mn-ea"/>
              <a:cs typeface="+mn-cs"/>
            </a:rPr>
            <a:t>arstvo ekonomskog razvoja</a:t>
          </a:r>
          <a:r>
            <a:rPr lang="es-ES" sz="1000">
              <a:solidFill>
                <a:sysClr val="windowText" lastClr="000000">
                  <a:hueOff val="0"/>
                  <a:satOff val="0"/>
                  <a:lumOff val="0"/>
                  <a:alphaOff val="0"/>
                </a:sysClr>
              </a:solidFill>
              <a:latin typeface="Calibri"/>
              <a:ea typeface="+mn-ea"/>
              <a:cs typeface="+mn-cs"/>
            </a:rPr>
            <a:t>– Dire</a:t>
          </a:r>
          <a:r>
            <a:rPr lang="x-none" sz="1000">
              <a:solidFill>
                <a:sysClr val="windowText" lastClr="000000">
                  <a:hueOff val="0"/>
                  <a:satOff val="0"/>
                  <a:lumOff val="0"/>
                  <a:alphaOff val="0"/>
                </a:sysClr>
              </a:solidFill>
              <a:latin typeface="Calibri"/>
              <a:ea typeface="+mn-ea"/>
              <a:cs typeface="+mn-cs"/>
            </a:rPr>
            <a:t>ktorat za elektronske komunikacije, </a:t>
          </a:r>
          <a:r>
            <a:rPr lang="es-ES" sz="1000">
              <a:solidFill>
                <a:sysClr val="windowText" lastClr="000000">
                  <a:hueOff val="0"/>
                  <a:satOff val="0"/>
                  <a:lumOff val="0"/>
                  <a:alphaOff val="0"/>
                </a:sysClr>
              </a:solidFill>
              <a:latin typeface="Calibri"/>
              <a:ea typeface="+mn-ea"/>
              <a:cs typeface="+mn-cs"/>
            </a:rPr>
            <a:t> </a:t>
          </a:r>
          <a:r>
            <a:rPr lang="x-none" sz="1000">
              <a:solidFill>
                <a:sysClr val="windowText" lastClr="000000">
                  <a:hueOff val="0"/>
                  <a:satOff val="0"/>
                  <a:lumOff val="0"/>
                  <a:alphaOff val="0"/>
                </a:sysClr>
              </a:solidFill>
              <a:latin typeface="Calibri"/>
              <a:ea typeface="+mn-ea"/>
              <a:cs typeface="+mn-cs"/>
            </a:rPr>
            <a:t>poštansku djelatnost i radio-spektar</a:t>
          </a:r>
          <a:endParaRPr lang="es-ES" sz="1000">
            <a:solidFill>
              <a:sysClr val="windowText" lastClr="000000">
                <a:hueOff val="0"/>
                <a:satOff val="0"/>
                <a:lumOff val="0"/>
                <a:alphaOff val="0"/>
              </a:sysClr>
            </a:solidFill>
            <a:latin typeface="Calibri"/>
            <a:ea typeface="+mn-ea"/>
            <a:cs typeface="+mn-cs"/>
          </a:endParaRPr>
        </a:p>
      </dgm:t>
    </dgm:pt>
    <dgm:pt modelId="{A465F2F7-A828-4244-B09F-05A511BDCCC8}" type="parTrans" cxnId="{856712ED-5556-4C40-BC93-CB5DF3D40595}">
      <dgm:prSet/>
      <dgm:spPr/>
      <dgm:t>
        <a:bodyPr/>
        <a:lstStyle/>
        <a:p>
          <a:endParaRPr lang="es-ES"/>
        </a:p>
      </dgm:t>
    </dgm:pt>
    <dgm:pt modelId="{3E046BC8-2384-40C8-853F-4B92B9B58F9B}" type="sibTrans" cxnId="{856712ED-5556-4C40-BC93-CB5DF3D40595}">
      <dgm:prSet/>
      <dgm:spPr/>
      <dgm:t>
        <a:bodyPr/>
        <a:lstStyle/>
        <a:p>
          <a:endParaRPr lang="es-ES"/>
        </a:p>
      </dgm:t>
    </dgm:pt>
    <dgm:pt modelId="{BE8C0E6A-F60E-4C67-B7C8-1A7E433D35B1}">
      <dgm:prSet phldrT="[Texto]" custT="1"/>
      <dgm:spPr>
        <a:xfrm rot="5400000">
          <a:off x="2212573" y="-823313"/>
          <a:ext cx="567400" cy="37704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ES" sz="1000">
              <a:solidFill>
                <a:sysClr val="windowText" lastClr="000000">
                  <a:hueOff val="0"/>
                  <a:satOff val="0"/>
                  <a:lumOff val="0"/>
                  <a:alphaOff val="0"/>
                </a:sysClr>
              </a:solidFill>
              <a:latin typeface="Calibri"/>
              <a:ea typeface="+mn-ea"/>
              <a:cs typeface="+mn-cs"/>
            </a:rPr>
            <a:t>Minist</a:t>
          </a:r>
          <a:r>
            <a:rPr lang="x-none" sz="1000">
              <a:solidFill>
                <a:sysClr val="windowText" lastClr="000000">
                  <a:hueOff val="0"/>
                  <a:satOff val="0"/>
                  <a:lumOff val="0"/>
                  <a:alphaOff val="0"/>
                </a:sysClr>
              </a:solidFill>
              <a:latin typeface="Calibri"/>
              <a:ea typeface="+mn-ea"/>
              <a:cs typeface="+mn-cs"/>
            </a:rPr>
            <a:t>arstvo javne uprave</a:t>
          </a:r>
          <a:r>
            <a:rPr lang="es-ES" sz="1000">
              <a:solidFill>
                <a:sysClr val="windowText" lastClr="000000">
                  <a:hueOff val="0"/>
                  <a:satOff val="0"/>
                  <a:lumOff val="0"/>
                  <a:alphaOff val="0"/>
                </a:sysClr>
              </a:solidFill>
              <a:latin typeface="Calibri"/>
              <a:ea typeface="+mn-ea"/>
              <a:cs typeface="+mn-cs"/>
            </a:rPr>
            <a:t>, </a:t>
          </a:r>
          <a:r>
            <a:rPr lang="x-none" sz="1000">
              <a:solidFill>
                <a:sysClr val="windowText" lastClr="000000">
                  <a:hueOff val="0"/>
                  <a:satOff val="0"/>
                  <a:lumOff val="0"/>
                  <a:alphaOff val="0"/>
                </a:sysClr>
              </a:solidFill>
              <a:latin typeface="Calibri"/>
              <a:ea typeface="+mn-ea"/>
              <a:cs typeface="+mn-cs"/>
            </a:rPr>
            <a:t>digitalnog društva i medija</a:t>
          </a:r>
          <a:r>
            <a:rPr lang="es-ES" sz="1000">
              <a:solidFill>
                <a:sysClr val="windowText" lastClr="000000">
                  <a:hueOff val="0"/>
                  <a:satOff val="0"/>
                  <a:lumOff val="0"/>
                  <a:alphaOff val="0"/>
                </a:sysClr>
              </a:solidFill>
              <a:latin typeface="Calibri"/>
              <a:ea typeface="+mn-ea"/>
              <a:cs typeface="+mn-cs"/>
            </a:rPr>
            <a:t>– Dire</a:t>
          </a:r>
          <a:r>
            <a:rPr lang="x-none" sz="1000">
              <a:solidFill>
                <a:sysClr val="windowText" lastClr="000000">
                  <a:hueOff val="0"/>
                  <a:satOff val="0"/>
                  <a:lumOff val="0"/>
                  <a:alphaOff val="0"/>
                </a:sysClr>
              </a:solidFill>
              <a:latin typeface="Calibri"/>
              <a:ea typeface="+mn-ea"/>
              <a:cs typeface="+mn-cs"/>
            </a:rPr>
            <a:t>ktorat</a:t>
          </a:r>
          <a:r>
            <a:rPr lang="es-ES" sz="1000">
              <a:solidFill>
                <a:sysClr val="windowText" lastClr="000000">
                  <a:hueOff val="0"/>
                  <a:satOff val="0"/>
                  <a:lumOff val="0"/>
                  <a:alphaOff val="0"/>
                </a:sysClr>
              </a:solidFill>
              <a:latin typeface="Calibri"/>
              <a:ea typeface="+mn-ea"/>
              <a:cs typeface="+mn-cs"/>
            </a:rPr>
            <a:t> </a:t>
          </a:r>
          <a:r>
            <a:rPr lang="x-none" sz="1000">
              <a:solidFill>
                <a:sysClr val="windowText" lastClr="000000">
                  <a:hueOff val="0"/>
                  <a:satOff val="0"/>
                  <a:lumOff val="0"/>
                  <a:alphaOff val="0"/>
                </a:sysClr>
              </a:solidFill>
              <a:latin typeface="Calibri"/>
              <a:ea typeface="+mn-ea"/>
              <a:cs typeface="+mn-cs"/>
            </a:rPr>
            <a:t>za elektronsku upravu</a:t>
          </a:r>
          <a:r>
            <a:rPr lang="es-ES" sz="1000">
              <a:solidFill>
                <a:sysClr val="windowText" lastClr="000000">
                  <a:hueOff val="0"/>
                  <a:satOff val="0"/>
                  <a:lumOff val="0"/>
                  <a:alphaOff val="0"/>
                </a:sysClr>
              </a:solidFill>
              <a:latin typeface="Calibri"/>
              <a:ea typeface="+mn-ea"/>
              <a:cs typeface="+mn-cs"/>
            </a:rPr>
            <a:t> (Digi</a:t>
          </a:r>
          <a:r>
            <a:rPr lang="x-none" sz="1000">
              <a:solidFill>
                <a:sysClr val="windowText" lastClr="000000">
                  <a:hueOff val="0"/>
                  <a:satOff val="0"/>
                  <a:lumOff val="0"/>
                  <a:alphaOff val="0"/>
                </a:sysClr>
              </a:solidFill>
              <a:latin typeface="Calibri"/>
              <a:ea typeface="+mn-ea"/>
              <a:cs typeface="+mn-cs"/>
            </a:rPr>
            <a:t>talna ekonomija</a:t>
          </a:r>
          <a:r>
            <a:rPr lang="es-ES" sz="1000">
              <a:solidFill>
                <a:sysClr val="windowText" lastClr="000000">
                  <a:hueOff val="0"/>
                  <a:satOff val="0"/>
                  <a:lumOff val="0"/>
                  <a:alphaOff val="0"/>
                </a:sysClr>
              </a:solidFill>
              <a:latin typeface="Calibri"/>
              <a:ea typeface="+mn-ea"/>
              <a:cs typeface="+mn-cs"/>
            </a:rPr>
            <a:t>)</a:t>
          </a:r>
        </a:p>
      </dgm:t>
    </dgm:pt>
    <dgm:pt modelId="{C42AC4EE-35BC-45D0-9DE7-14A266549188}" type="parTrans" cxnId="{01361F30-FE4C-4E35-A6C3-DF8C8B555483}">
      <dgm:prSet/>
      <dgm:spPr/>
      <dgm:t>
        <a:bodyPr/>
        <a:lstStyle/>
        <a:p>
          <a:endParaRPr lang="es-ES"/>
        </a:p>
      </dgm:t>
    </dgm:pt>
    <dgm:pt modelId="{43398328-E49F-4224-9553-1A8E153EB556}" type="sibTrans" cxnId="{01361F30-FE4C-4E35-A6C3-DF8C8B555483}">
      <dgm:prSet/>
      <dgm:spPr/>
      <dgm:t>
        <a:bodyPr/>
        <a:lstStyle/>
        <a:p>
          <a:endParaRPr lang="es-ES"/>
        </a:p>
      </dgm:t>
    </dgm:pt>
    <dgm:pt modelId="{1CEB554A-D28E-4293-9E5F-CD0A291F5019}">
      <dgm:prSet phldrT="[Texto]" custT="1"/>
      <dgm:spPr>
        <a:xfrm rot="5400000">
          <a:off x="-130938" y="3232776"/>
          <a:ext cx="872923" cy="61104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x-none" sz="1000">
            <a:solidFill>
              <a:sysClr val="window" lastClr="FFFFFF"/>
            </a:solidFill>
            <a:latin typeface="Calibri"/>
            <a:ea typeface="+mn-ea"/>
            <a:cs typeface="+mn-cs"/>
          </a:endParaRPr>
        </a:p>
        <a:p>
          <a:r>
            <a:rPr lang="x-none" sz="1000">
              <a:solidFill>
                <a:sysClr val="window" lastClr="FFFFFF"/>
              </a:solidFill>
              <a:latin typeface="Calibri"/>
              <a:ea typeface="+mn-ea"/>
              <a:cs typeface="+mn-cs"/>
            </a:rPr>
            <a:t>Radionica</a:t>
          </a:r>
          <a:r>
            <a:rPr lang="es-ES" sz="1000">
              <a:solidFill>
                <a:sysClr val="window" lastClr="FFFFFF"/>
              </a:solidFill>
              <a:latin typeface="Calibri"/>
              <a:ea typeface="+mn-ea"/>
              <a:cs typeface="+mn-cs"/>
            </a:rPr>
            <a:t> 5 (</a:t>
          </a:r>
          <a:r>
            <a:rPr lang="x-none" sz="1000">
              <a:solidFill>
                <a:sysClr val="window" lastClr="FFFFFF"/>
              </a:solidFill>
              <a:latin typeface="Calibri"/>
              <a:ea typeface="+mn-ea"/>
              <a:cs typeface="+mn-cs"/>
            </a:rPr>
            <a:t>Saobraćaj</a:t>
          </a:r>
          <a:r>
            <a:rPr lang="es-ES" sz="1000">
              <a:solidFill>
                <a:sysClr val="window" lastClr="FFFFFF"/>
              </a:solidFill>
              <a:latin typeface="Calibri"/>
              <a:ea typeface="+mn-ea"/>
              <a:cs typeface="+mn-cs"/>
            </a:rPr>
            <a:t>)</a:t>
          </a:r>
        </a:p>
      </dgm:t>
    </dgm:pt>
    <dgm:pt modelId="{30132802-80F8-47D3-8DD6-86B9948D962B}" type="parTrans" cxnId="{75FFC571-D10D-4CD8-8F97-04EE7AE2A009}">
      <dgm:prSet/>
      <dgm:spPr/>
      <dgm:t>
        <a:bodyPr/>
        <a:lstStyle/>
        <a:p>
          <a:endParaRPr lang="es-ES"/>
        </a:p>
      </dgm:t>
    </dgm:pt>
    <dgm:pt modelId="{E29C29BD-C50A-4F4C-9EAC-885899F2F098}" type="sibTrans" cxnId="{75FFC571-D10D-4CD8-8F97-04EE7AE2A009}">
      <dgm:prSet/>
      <dgm:spPr/>
      <dgm:t>
        <a:bodyPr/>
        <a:lstStyle/>
        <a:p>
          <a:endParaRPr lang="es-ES"/>
        </a:p>
      </dgm:t>
    </dgm:pt>
    <dgm:pt modelId="{EF489818-9637-48AF-B7E9-9C69A362447A}">
      <dgm:prSet phldrT="[Texto]" custT="1"/>
      <dgm:spPr>
        <a:xfrm rot="5400000">
          <a:off x="2212573" y="1500311"/>
          <a:ext cx="567400" cy="377045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sz="1000">
              <a:solidFill>
                <a:sysClr val="windowText" lastClr="000000">
                  <a:hueOff val="0"/>
                  <a:satOff val="0"/>
                  <a:lumOff val="0"/>
                  <a:alphaOff val="0"/>
                </a:sysClr>
              </a:solidFill>
              <a:latin typeface="Calibri"/>
              <a:ea typeface="+mn-ea"/>
              <a:cs typeface="+mn-cs"/>
            </a:rPr>
            <a:t>Bilatera</a:t>
          </a:r>
          <a:r>
            <a:rPr lang="x-none" sz="1000">
              <a:solidFill>
                <a:sysClr val="windowText" lastClr="000000">
                  <a:hueOff val="0"/>
                  <a:satOff val="0"/>
                  <a:lumOff val="0"/>
                  <a:alphaOff val="0"/>
                </a:sysClr>
              </a:solidFill>
              <a:latin typeface="Calibri"/>
              <a:ea typeface="+mn-ea"/>
              <a:cs typeface="+mn-cs"/>
            </a:rPr>
            <a:t>lni sastanak sa </a:t>
          </a:r>
          <a:r>
            <a:rPr lang="en-US" sz="1000">
              <a:solidFill>
                <a:sysClr val="windowText" lastClr="000000">
                  <a:hueOff val="0"/>
                  <a:satOff val="0"/>
                  <a:lumOff val="0"/>
                  <a:alphaOff val="0"/>
                </a:sysClr>
              </a:solidFill>
              <a:latin typeface="Calibri"/>
              <a:ea typeface="+mn-ea"/>
              <a:cs typeface="+mn-cs"/>
            </a:rPr>
            <a:t> </a:t>
          </a:r>
          <a:r>
            <a:rPr lang="x-none" sz="1000">
              <a:solidFill>
                <a:sysClr val="windowText" lastClr="000000">
                  <a:hueOff val="0"/>
                  <a:satOff val="0"/>
                  <a:lumOff val="0"/>
                  <a:alphaOff val="0"/>
                </a:sysClr>
              </a:solidFill>
              <a:latin typeface="Calibri"/>
              <a:ea typeface="+mn-ea"/>
              <a:cs typeface="+mn-cs"/>
            </a:rPr>
            <a:t>predstavnicima Ministarstva kapitalnih investicija </a:t>
          </a:r>
          <a:r>
            <a:rPr lang="en-US" sz="1000">
              <a:solidFill>
                <a:sysClr val="windowText" lastClr="000000">
                  <a:hueOff val="0"/>
                  <a:satOff val="0"/>
                  <a:lumOff val="0"/>
                  <a:alphaOff val="0"/>
                </a:sysClr>
              </a:solidFill>
              <a:latin typeface="Calibri"/>
              <a:ea typeface="+mn-ea"/>
              <a:cs typeface="+mn-cs"/>
            </a:rPr>
            <a:t>- </a:t>
          </a:r>
          <a:r>
            <a:rPr lang="x-none" sz="1000">
              <a:solidFill>
                <a:sysClr val="windowText" lastClr="000000">
                  <a:hueOff val="0"/>
                  <a:satOff val="0"/>
                  <a:lumOff val="0"/>
                  <a:alphaOff val="0"/>
                </a:sysClr>
              </a:solidFill>
              <a:latin typeface="Calibri"/>
              <a:ea typeface="+mn-ea"/>
              <a:cs typeface="+mn-cs"/>
            </a:rPr>
            <a:t>Saobraćaj</a:t>
          </a:r>
          <a:endParaRPr lang="es-ES" sz="1000">
            <a:solidFill>
              <a:sysClr val="windowText" lastClr="000000">
                <a:hueOff val="0"/>
                <a:satOff val="0"/>
                <a:lumOff val="0"/>
                <a:alphaOff val="0"/>
              </a:sysClr>
            </a:solidFill>
            <a:latin typeface="Calibri"/>
            <a:ea typeface="+mn-ea"/>
            <a:cs typeface="+mn-cs"/>
          </a:endParaRPr>
        </a:p>
      </dgm:t>
    </dgm:pt>
    <dgm:pt modelId="{F7231406-C30F-4D86-99E5-59DA14989E15}" type="parTrans" cxnId="{3EB0BED5-205B-4B88-8626-E1F35682FE1D}">
      <dgm:prSet/>
      <dgm:spPr/>
      <dgm:t>
        <a:bodyPr/>
        <a:lstStyle/>
        <a:p>
          <a:endParaRPr lang="es-ES"/>
        </a:p>
      </dgm:t>
    </dgm:pt>
    <dgm:pt modelId="{66093665-8412-48EC-9C3F-D048AB76063E}" type="sibTrans" cxnId="{3EB0BED5-205B-4B88-8626-E1F35682FE1D}">
      <dgm:prSet/>
      <dgm:spPr/>
      <dgm:t>
        <a:bodyPr/>
        <a:lstStyle/>
        <a:p>
          <a:endParaRPr lang="es-ES"/>
        </a:p>
      </dgm:t>
    </dgm:pt>
    <dgm:pt modelId="{72B0865E-28A5-46AB-9B3A-57B2339C101C}" type="pres">
      <dgm:prSet presAssocID="{B6FDF19B-EC09-4284-94EF-A795EA4A8A67}" presName="linearFlow" presStyleCnt="0">
        <dgm:presLayoutVars>
          <dgm:dir/>
          <dgm:animLvl val="lvl"/>
          <dgm:resizeHandles val="exact"/>
        </dgm:presLayoutVars>
      </dgm:prSet>
      <dgm:spPr/>
      <dgm:t>
        <a:bodyPr/>
        <a:lstStyle/>
        <a:p>
          <a:endParaRPr lang="en-US"/>
        </a:p>
      </dgm:t>
    </dgm:pt>
    <dgm:pt modelId="{D967CC88-FE00-4DC4-95C3-995F069FB0F2}" type="pres">
      <dgm:prSet presAssocID="{4D701A6B-D0AF-405C-8A9E-C58B5739317A}" presName="composite" presStyleCnt="0"/>
      <dgm:spPr/>
    </dgm:pt>
    <dgm:pt modelId="{605FDD2C-C5B4-44AF-A673-EFE4A245BB9C}" type="pres">
      <dgm:prSet presAssocID="{4D701A6B-D0AF-405C-8A9E-C58B5739317A}" presName="parentText" presStyleLbl="alignNode1" presStyleIdx="0" presStyleCnt="6">
        <dgm:presLayoutVars>
          <dgm:chMax val="1"/>
          <dgm:bulletEnabled val="1"/>
        </dgm:presLayoutVars>
      </dgm:prSet>
      <dgm:spPr>
        <a:prstGeom prst="chevron">
          <a:avLst/>
        </a:prstGeom>
      </dgm:spPr>
      <dgm:t>
        <a:bodyPr/>
        <a:lstStyle/>
        <a:p>
          <a:endParaRPr lang="en-US"/>
        </a:p>
      </dgm:t>
    </dgm:pt>
    <dgm:pt modelId="{CE6783C5-5AC6-4983-9BB9-F7E3E69486A4}" type="pres">
      <dgm:prSet presAssocID="{4D701A6B-D0AF-405C-8A9E-C58B5739317A}" presName="descendantText" presStyleLbl="alignAcc1" presStyleIdx="0" presStyleCnt="6">
        <dgm:presLayoutVars>
          <dgm:bulletEnabled val="1"/>
        </dgm:presLayoutVars>
      </dgm:prSet>
      <dgm:spPr>
        <a:prstGeom prst="round2SameRect">
          <a:avLst/>
        </a:prstGeom>
      </dgm:spPr>
      <dgm:t>
        <a:bodyPr/>
        <a:lstStyle/>
        <a:p>
          <a:endParaRPr lang="en-US"/>
        </a:p>
      </dgm:t>
    </dgm:pt>
    <dgm:pt modelId="{74ADA5A2-1922-4466-83CF-29DF74A6BF66}" type="pres">
      <dgm:prSet presAssocID="{091787D4-BFCC-4E08-9E4F-C5CA993B9438}" presName="sp" presStyleCnt="0"/>
      <dgm:spPr/>
    </dgm:pt>
    <dgm:pt modelId="{097A21EB-01F2-456C-AC3B-C351A7493560}" type="pres">
      <dgm:prSet presAssocID="{FD9947BD-23A8-4D85-B3B7-6CB958915262}" presName="composite" presStyleCnt="0"/>
      <dgm:spPr/>
    </dgm:pt>
    <dgm:pt modelId="{321F20D1-39EB-40F2-A904-0AD8932F0F9D}" type="pres">
      <dgm:prSet presAssocID="{FD9947BD-23A8-4D85-B3B7-6CB958915262}" presName="parentText" presStyleLbl="alignNode1" presStyleIdx="1" presStyleCnt="6">
        <dgm:presLayoutVars>
          <dgm:chMax val="1"/>
          <dgm:bulletEnabled val="1"/>
        </dgm:presLayoutVars>
      </dgm:prSet>
      <dgm:spPr>
        <a:prstGeom prst="chevron">
          <a:avLst/>
        </a:prstGeom>
      </dgm:spPr>
      <dgm:t>
        <a:bodyPr/>
        <a:lstStyle/>
        <a:p>
          <a:endParaRPr lang="en-US"/>
        </a:p>
      </dgm:t>
    </dgm:pt>
    <dgm:pt modelId="{2615C480-D2DA-4470-96AF-66CFA865AA84}" type="pres">
      <dgm:prSet presAssocID="{FD9947BD-23A8-4D85-B3B7-6CB958915262}" presName="descendantText" presStyleLbl="alignAcc1" presStyleIdx="1" presStyleCnt="6">
        <dgm:presLayoutVars>
          <dgm:bulletEnabled val="1"/>
        </dgm:presLayoutVars>
      </dgm:prSet>
      <dgm:spPr>
        <a:prstGeom prst="round2SameRect">
          <a:avLst/>
        </a:prstGeom>
      </dgm:spPr>
      <dgm:t>
        <a:bodyPr/>
        <a:lstStyle/>
        <a:p>
          <a:endParaRPr lang="en-US"/>
        </a:p>
      </dgm:t>
    </dgm:pt>
    <dgm:pt modelId="{C47F54CC-0F86-40C7-8534-FB82EE6A8D6E}" type="pres">
      <dgm:prSet presAssocID="{8F141B1F-4ABD-4326-A8C2-4BE94084C506}" presName="sp" presStyleCnt="0"/>
      <dgm:spPr/>
    </dgm:pt>
    <dgm:pt modelId="{942A6644-09FF-4CE4-914D-09BB42E3DE83}" type="pres">
      <dgm:prSet presAssocID="{32710DFC-9C5F-47C9-AA6F-B761F8FEB751}" presName="composite" presStyleCnt="0"/>
      <dgm:spPr/>
    </dgm:pt>
    <dgm:pt modelId="{3C0BDBBF-F6B1-4B9E-BF94-A3CC89103217}" type="pres">
      <dgm:prSet presAssocID="{32710DFC-9C5F-47C9-AA6F-B761F8FEB751}" presName="parentText" presStyleLbl="alignNode1" presStyleIdx="2" presStyleCnt="6">
        <dgm:presLayoutVars>
          <dgm:chMax val="1"/>
          <dgm:bulletEnabled val="1"/>
        </dgm:presLayoutVars>
      </dgm:prSet>
      <dgm:spPr>
        <a:prstGeom prst="chevron">
          <a:avLst/>
        </a:prstGeom>
      </dgm:spPr>
      <dgm:t>
        <a:bodyPr/>
        <a:lstStyle/>
        <a:p>
          <a:endParaRPr lang="en-US"/>
        </a:p>
      </dgm:t>
    </dgm:pt>
    <dgm:pt modelId="{9F4CD51A-A901-4F37-9192-1A62CC4E8908}" type="pres">
      <dgm:prSet presAssocID="{32710DFC-9C5F-47C9-AA6F-B761F8FEB751}" presName="descendantText" presStyleLbl="alignAcc1" presStyleIdx="2" presStyleCnt="6">
        <dgm:presLayoutVars>
          <dgm:bulletEnabled val="1"/>
        </dgm:presLayoutVars>
      </dgm:prSet>
      <dgm:spPr>
        <a:prstGeom prst="round2SameRect">
          <a:avLst/>
        </a:prstGeom>
      </dgm:spPr>
      <dgm:t>
        <a:bodyPr/>
        <a:lstStyle/>
        <a:p>
          <a:endParaRPr lang="en-US"/>
        </a:p>
      </dgm:t>
    </dgm:pt>
    <dgm:pt modelId="{8B7C1FE7-58D8-451F-8827-1FC90C01DAE6}" type="pres">
      <dgm:prSet presAssocID="{0455D2B3-11A3-4076-A893-BEC9FCDB314C}" presName="sp" presStyleCnt="0"/>
      <dgm:spPr/>
    </dgm:pt>
    <dgm:pt modelId="{D24D008F-A2E7-42A5-BD1F-5C7FAAD5DAF6}" type="pres">
      <dgm:prSet presAssocID="{C368BE84-F1E6-4602-8C1B-3FB68EBD42CC}" presName="composite" presStyleCnt="0"/>
      <dgm:spPr/>
    </dgm:pt>
    <dgm:pt modelId="{E2586653-4CDB-4916-B831-606329857CF1}" type="pres">
      <dgm:prSet presAssocID="{C368BE84-F1E6-4602-8C1B-3FB68EBD42CC}" presName="parentText" presStyleLbl="alignNode1" presStyleIdx="3" presStyleCnt="6">
        <dgm:presLayoutVars>
          <dgm:chMax val="1"/>
          <dgm:bulletEnabled val="1"/>
        </dgm:presLayoutVars>
      </dgm:prSet>
      <dgm:spPr>
        <a:prstGeom prst="chevron">
          <a:avLst/>
        </a:prstGeom>
      </dgm:spPr>
      <dgm:t>
        <a:bodyPr/>
        <a:lstStyle/>
        <a:p>
          <a:endParaRPr lang="en-US"/>
        </a:p>
      </dgm:t>
    </dgm:pt>
    <dgm:pt modelId="{BACBA2E5-39F1-4227-B896-BF46E2593432}" type="pres">
      <dgm:prSet presAssocID="{C368BE84-F1E6-4602-8C1B-3FB68EBD42CC}" presName="descendantText" presStyleLbl="alignAcc1" presStyleIdx="3" presStyleCnt="6">
        <dgm:presLayoutVars>
          <dgm:bulletEnabled val="1"/>
        </dgm:presLayoutVars>
      </dgm:prSet>
      <dgm:spPr>
        <a:prstGeom prst="round2SameRect">
          <a:avLst/>
        </a:prstGeom>
      </dgm:spPr>
      <dgm:t>
        <a:bodyPr/>
        <a:lstStyle/>
        <a:p>
          <a:endParaRPr lang="en-US"/>
        </a:p>
      </dgm:t>
    </dgm:pt>
    <dgm:pt modelId="{D3F2A7AA-01C1-41C3-9BCC-D547126AD5FD}" type="pres">
      <dgm:prSet presAssocID="{A3915EAA-027C-48DD-8011-82B17C83238B}" presName="sp" presStyleCnt="0"/>
      <dgm:spPr/>
    </dgm:pt>
    <dgm:pt modelId="{2929F725-E40B-4C1C-B152-DCFC07EC1E6B}" type="pres">
      <dgm:prSet presAssocID="{1CEB554A-D28E-4293-9E5F-CD0A291F5019}" presName="composite" presStyleCnt="0"/>
      <dgm:spPr/>
    </dgm:pt>
    <dgm:pt modelId="{3E16E4BC-4A42-4083-995D-0B90E1C2F3EF}" type="pres">
      <dgm:prSet presAssocID="{1CEB554A-D28E-4293-9E5F-CD0A291F5019}" presName="parentText" presStyleLbl="alignNode1" presStyleIdx="4" presStyleCnt="6">
        <dgm:presLayoutVars>
          <dgm:chMax val="1"/>
          <dgm:bulletEnabled val="1"/>
        </dgm:presLayoutVars>
      </dgm:prSet>
      <dgm:spPr>
        <a:prstGeom prst="chevron">
          <a:avLst/>
        </a:prstGeom>
      </dgm:spPr>
      <dgm:t>
        <a:bodyPr/>
        <a:lstStyle/>
        <a:p>
          <a:endParaRPr lang="en-US"/>
        </a:p>
      </dgm:t>
    </dgm:pt>
    <dgm:pt modelId="{16521F66-CF8D-499F-BE59-E66772C868E5}" type="pres">
      <dgm:prSet presAssocID="{1CEB554A-D28E-4293-9E5F-CD0A291F5019}" presName="descendantText" presStyleLbl="alignAcc1" presStyleIdx="4" presStyleCnt="6">
        <dgm:presLayoutVars>
          <dgm:bulletEnabled val="1"/>
        </dgm:presLayoutVars>
      </dgm:prSet>
      <dgm:spPr>
        <a:prstGeom prst="round2SameRect">
          <a:avLst/>
        </a:prstGeom>
      </dgm:spPr>
      <dgm:t>
        <a:bodyPr/>
        <a:lstStyle/>
        <a:p>
          <a:endParaRPr lang="en-US"/>
        </a:p>
      </dgm:t>
    </dgm:pt>
    <dgm:pt modelId="{EF28F34E-5A2B-4A3D-9571-28B225A52168}" type="pres">
      <dgm:prSet presAssocID="{E29C29BD-C50A-4F4C-9EAC-885899F2F098}" presName="sp" presStyleCnt="0"/>
      <dgm:spPr/>
    </dgm:pt>
    <dgm:pt modelId="{25AC5064-F659-440A-BBBE-AC4BC2C74F28}" type="pres">
      <dgm:prSet presAssocID="{C2CA4D49-DE4F-418E-ADF8-EB12C5CCCA9B}" presName="composite" presStyleCnt="0"/>
      <dgm:spPr/>
    </dgm:pt>
    <dgm:pt modelId="{4E2FABC8-B5C5-4BB8-8607-E012E1562642}" type="pres">
      <dgm:prSet presAssocID="{C2CA4D49-DE4F-418E-ADF8-EB12C5CCCA9B}" presName="parentText" presStyleLbl="alignNode1" presStyleIdx="5" presStyleCnt="6">
        <dgm:presLayoutVars>
          <dgm:chMax val="1"/>
          <dgm:bulletEnabled val="1"/>
        </dgm:presLayoutVars>
      </dgm:prSet>
      <dgm:spPr>
        <a:prstGeom prst="chevron">
          <a:avLst/>
        </a:prstGeom>
      </dgm:spPr>
      <dgm:t>
        <a:bodyPr/>
        <a:lstStyle/>
        <a:p>
          <a:endParaRPr lang="en-US"/>
        </a:p>
      </dgm:t>
    </dgm:pt>
    <dgm:pt modelId="{084F1E12-2188-42E0-B5AF-79F02B8CC388}" type="pres">
      <dgm:prSet presAssocID="{C2CA4D49-DE4F-418E-ADF8-EB12C5CCCA9B}" presName="descendantText" presStyleLbl="alignAcc1" presStyleIdx="5" presStyleCnt="6">
        <dgm:presLayoutVars>
          <dgm:bulletEnabled val="1"/>
        </dgm:presLayoutVars>
      </dgm:prSet>
      <dgm:spPr>
        <a:prstGeom prst="round2SameRect">
          <a:avLst/>
        </a:prstGeom>
      </dgm:spPr>
      <dgm:t>
        <a:bodyPr/>
        <a:lstStyle/>
        <a:p>
          <a:endParaRPr lang="en-US"/>
        </a:p>
      </dgm:t>
    </dgm:pt>
  </dgm:ptLst>
  <dgm:cxnLst>
    <dgm:cxn modelId="{5CA5F432-FC99-41EB-A854-96CE161A1D03}" srcId="{B6FDF19B-EC09-4284-94EF-A795EA4A8A67}" destId="{4D701A6B-D0AF-405C-8A9E-C58B5739317A}" srcOrd="0" destOrd="0" parTransId="{EB64D628-417E-41CC-8C9A-FA0E61F59A0F}" sibTransId="{091787D4-BFCC-4E08-9E4F-C5CA993B9438}"/>
    <dgm:cxn modelId="{802AC487-18EC-4601-AEBA-4646C8BB1A50}" type="presOf" srcId="{C368BE84-F1E6-4602-8C1B-3FB68EBD42CC}" destId="{E2586653-4CDB-4916-B831-606329857CF1}" srcOrd="0" destOrd="0" presId="urn:microsoft.com/office/officeart/2005/8/layout/chevron2"/>
    <dgm:cxn modelId="{DDCF9CE2-A502-40D9-B9B8-56DFB4F53C32}" type="presOf" srcId="{C2CA4D49-DE4F-418E-ADF8-EB12C5CCCA9B}" destId="{4E2FABC8-B5C5-4BB8-8607-E012E1562642}" srcOrd="0" destOrd="0" presId="urn:microsoft.com/office/officeart/2005/8/layout/chevron2"/>
    <dgm:cxn modelId="{CAF340F7-BE26-44E4-AB21-7031FD2E3416}" srcId="{B6FDF19B-EC09-4284-94EF-A795EA4A8A67}" destId="{C368BE84-F1E6-4602-8C1B-3FB68EBD42CC}" srcOrd="3" destOrd="0" parTransId="{F4561DAF-9A8D-4C81-8C1C-C6386709814B}" sibTransId="{A3915EAA-027C-48DD-8011-82B17C83238B}"/>
    <dgm:cxn modelId="{A8A6601D-4556-425E-ACD1-33FE3F9EF2BE}" type="presOf" srcId="{1CEB554A-D28E-4293-9E5F-CD0A291F5019}" destId="{3E16E4BC-4A42-4083-995D-0B90E1C2F3EF}" srcOrd="0" destOrd="0" presId="urn:microsoft.com/office/officeart/2005/8/layout/chevron2"/>
    <dgm:cxn modelId="{05E3A7D3-480B-41B8-BD07-07C50FB98FE1}" type="presOf" srcId="{6E964645-9943-4F33-806D-7DC77D8E035E}" destId="{BACBA2E5-39F1-4227-B896-BF46E2593432}" srcOrd="0" destOrd="0" presId="urn:microsoft.com/office/officeart/2005/8/layout/chevron2"/>
    <dgm:cxn modelId="{75FFC571-D10D-4CD8-8F97-04EE7AE2A009}" srcId="{B6FDF19B-EC09-4284-94EF-A795EA4A8A67}" destId="{1CEB554A-D28E-4293-9E5F-CD0A291F5019}" srcOrd="4" destOrd="0" parTransId="{30132802-80F8-47D3-8DD6-86B9948D962B}" sibTransId="{E29C29BD-C50A-4F4C-9EAC-885899F2F098}"/>
    <dgm:cxn modelId="{054610C6-EEF7-4DB6-8367-C4E0D4240F9F}" type="presOf" srcId="{32710DFC-9C5F-47C9-AA6F-B761F8FEB751}" destId="{3C0BDBBF-F6B1-4B9E-BF94-A3CC89103217}" srcOrd="0" destOrd="0" presId="urn:microsoft.com/office/officeart/2005/8/layout/chevron2"/>
    <dgm:cxn modelId="{3ED3DA8B-EC16-4DC1-80CD-4CF994B187E3}" srcId="{B6FDF19B-EC09-4284-94EF-A795EA4A8A67}" destId="{FD9947BD-23A8-4D85-B3B7-6CB958915262}" srcOrd="1" destOrd="0" parTransId="{33A6928E-8380-4EE1-880C-E39FFA207DA0}" sibTransId="{8F141B1F-4ABD-4326-A8C2-4BE94084C506}"/>
    <dgm:cxn modelId="{856712ED-5556-4C40-BC93-CB5DF3D40595}" srcId="{FD9947BD-23A8-4D85-B3B7-6CB958915262}" destId="{89BC5EEE-170D-47CE-8BA1-452252EA3A8E}" srcOrd="1" destOrd="0" parTransId="{A465F2F7-A828-4244-B09F-05A511BDCCC8}" sibTransId="{3E046BC8-2384-40C8-853F-4B92B9B58F9B}"/>
    <dgm:cxn modelId="{278A4AA4-FDD0-47AE-92AE-43B8A0E1489F}" type="presOf" srcId="{89BC5EEE-170D-47CE-8BA1-452252EA3A8E}" destId="{2615C480-D2DA-4470-96AF-66CFA865AA84}" srcOrd="0" destOrd="1" presId="urn:microsoft.com/office/officeart/2005/8/layout/chevron2"/>
    <dgm:cxn modelId="{B5C0AC97-3BEA-4B4C-90A6-BE8036F7B6D3}" srcId="{C2CA4D49-DE4F-418E-ADF8-EB12C5CCCA9B}" destId="{F8B21A97-865B-48BE-BC59-384C07B1F15F}" srcOrd="0" destOrd="0" parTransId="{C0ABB8B1-92C8-48D2-A0C2-90E6D9D3C687}" sibTransId="{D337DB29-B3CB-4B7C-AA04-C90D33B6B317}"/>
    <dgm:cxn modelId="{0079788E-9DD4-4094-814B-CF6D316CF613}" srcId="{B6FDF19B-EC09-4284-94EF-A795EA4A8A67}" destId="{32710DFC-9C5F-47C9-AA6F-B761F8FEB751}" srcOrd="2" destOrd="0" parTransId="{F71647A8-1B59-4C7C-B9CD-119905021A15}" sibTransId="{0455D2B3-11A3-4076-A893-BEC9FCDB314C}"/>
    <dgm:cxn modelId="{4E6350DC-61F0-41E1-8804-12C409CA3603}" type="presOf" srcId="{BD93C636-880C-4C11-A2E8-2F58B0A4B416}" destId="{9F4CD51A-A901-4F37-9192-1A62CC4E8908}" srcOrd="0" destOrd="0" presId="urn:microsoft.com/office/officeart/2005/8/layout/chevron2"/>
    <dgm:cxn modelId="{F9554588-5EDB-4A32-854E-3DD83A9D37A7}" srcId="{B6FDF19B-EC09-4284-94EF-A795EA4A8A67}" destId="{C2CA4D49-DE4F-418E-ADF8-EB12C5CCCA9B}" srcOrd="5" destOrd="0" parTransId="{41F8C553-4205-4DDB-8C0C-AD24BCCB5E8B}" sibTransId="{1949CA18-AF63-439B-8764-7398F3C86009}"/>
    <dgm:cxn modelId="{E34797A7-4E2D-42C5-AE9D-FF348808DF3F}" type="presOf" srcId="{EF489818-9637-48AF-B7E9-9C69A362447A}" destId="{16521F66-CF8D-499F-BE59-E66772C868E5}" srcOrd="0" destOrd="0" presId="urn:microsoft.com/office/officeart/2005/8/layout/chevron2"/>
    <dgm:cxn modelId="{01361F30-FE4C-4E35-A6C3-DF8C8B555483}" srcId="{FD9947BD-23A8-4D85-B3B7-6CB958915262}" destId="{BE8C0E6A-F60E-4C67-B7C8-1A7E433D35B1}" srcOrd="0" destOrd="0" parTransId="{C42AC4EE-35BC-45D0-9DE7-14A266549188}" sibTransId="{43398328-E49F-4224-9553-1A8E153EB556}"/>
    <dgm:cxn modelId="{3EB0BED5-205B-4B88-8626-E1F35682FE1D}" srcId="{1CEB554A-D28E-4293-9E5F-CD0A291F5019}" destId="{EF489818-9637-48AF-B7E9-9C69A362447A}" srcOrd="0" destOrd="0" parTransId="{F7231406-C30F-4D86-99E5-59DA14989E15}" sibTransId="{66093665-8412-48EC-9C3F-D048AB76063E}"/>
    <dgm:cxn modelId="{A04904C4-A954-44FB-BE12-8BEEA8A9BA52}" srcId="{4D701A6B-D0AF-405C-8A9E-C58B5739317A}" destId="{F8509BC5-6FE6-480C-9C3B-C13EF93328C8}" srcOrd="0" destOrd="0" parTransId="{E6CF6102-BC2D-4302-A91B-27686F6E136D}" sibTransId="{33E09C19-0745-40C5-84A3-0B520FC13499}"/>
    <dgm:cxn modelId="{D7516832-F507-4AC9-B739-6D5A01211C19}" srcId="{32710DFC-9C5F-47C9-AA6F-B761F8FEB751}" destId="{BD93C636-880C-4C11-A2E8-2F58B0A4B416}" srcOrd="0" destOrd="0" parTransId="{DCF3E3A8-8E75-4840-96DA-1455D0D5AA29}" sibTransId="{2F0B3BF7-4EFF-44F4-A22D-60894D6C7307}"/>
    <dgm:cxn modelId="{401EEB75-D5A3-4AF0-99BE-180A58A83826}" type="presOf" srcId="{BE8C0E6A-F60E-4C67-B7C8-1A7E433D35B1}" destId="{2615C480-D2DA-4470-96AF-66CFA865AA84}" srcOrd="0" destOrd="0" presId="urn:microsoft.com/office/officeart/2005/8/layout/chevron2"/>
    <dgm:cxn modelId="{F8815F1E-CE96-425F-8ABF-AE17DDC60053}" type="presOf" srcId="{4D701A6B-D0AF-405C-8A9E-C58B5739317A}" destId="{605FDD2C-C5B4-44AF-A673-EFE4A245BB9C}" srcOrd="0" destOrd="0" presId="urn:microsoft.com/office/officeart/2005/8/layout/chevron2"/>
    <dgm:cxn modelId="{40DEB558-076E-4EB6-B5D8-B3720BE3CD7F}" type="presOf" srcId="{FD9947BD-23A8-4D85-B3B7-6CB958915262}" destId="{321F20D1-39EB-40F2-A904-0AD8932F0F9D}" srcOrd="0" destOrd="0" presId="urn:microsoft.com/office/officeart/2005/8/layout/chevron2"/>
    <dgm:cxn modelId="{F3648A8F-9A12-4A17-BA2C-78562E8F67DC}" type="presOf" srcId="{F8509BC5-6FE6-480C-9C3B-C13EF93328C8}" destId="{CE6783C5-5AC6-4983-9BB9-F7E3E69486A4}" srcOrd="0" destOrd="0" presId="urn:microsoft.com/office/officeart/2005/8/layout/chevron2"/>
    <dgm:cxn modelId="{D5D6E7AF-2F42-415F-9990-878774878784}" srcId="{C368BE84-F1E6-4602-8C1B-3FB68EBD42CC}" destId="{6E964645-9943-4F33-806D-7DC77D8E035E}" srcOrd="0" destOrd="0" parTransId="{23B5FC69-6A80-410F-9E8E-188C90F0D84A}" sibTransId="{A46D2A9B-BFC5-4F60-86D4-36C193D4F026}"/>
    <dgm:cxn modelId="{353E66C4-FC36-4A14-B165-818666B95B60}" type="presOf" srcId="{F8B21A97-865B-48BE-BC59-384C07B1F15F}" destId="{084F1E12-2188-42E0-B5AF-79F02B8CC388}" srcOrd="0" destOrd="0" presId="urn:microsoft.com/office/officeart/2005/8/layout/chevron2"/>
    <dgm:cxn modelId="{452DC8C4-38F7-4907-82BB-851DD472AD25}" type="presOf" srcId="{B6FDF19B-EC09-4284-94EF-A795EA4A8A67}" destId="{72B0865E-28A5-46AB-9B3A-57B2339C101C}" srcOrd="0" destOrd="0" presId="urn:microsoft.com/office/officeart/2005/8/layout/chevron2"/>
    <dgm:cxn modelId="{8314DC93-0B23-4586-923B-81F7F3544F5E}" type="presParOf" srcId="{72B0865E-28A5-46AB-9B3A-57B2339C101C}" destId="{D967CC88-FE00-4DC4-95C3-995F069FB0F2}" srcOrd="0" destOrd="0" presId="urn:microsoft.com/office/officeart/2005/8/layout/chevron2"/>
    <dgm:cxn modelId="{D8CFD2BF-0650-4725-9E07-EF361E86CB3E}" type="presParOf" srcId="{D967CC88-FE00-4DC4-95C3-995F069FB0F2}" destId="{605FDD2C-C5B4-44AF-A673-EFE4A245BB9C}" srcOrd="0" destOrd="0" presId="urn:microsoft.com/office/officeart/2005/8/layout/chevron2"/>
    <dgm:cxn modelId="{20F4F12F-5F7D-45D5-BDDE-494EBC71372B}" type="presParOf" srcId="{D967CC88-FE00-4DC4-95C3-995F069FB0F2}" destId="{CE6783C5-5AC6-4983-9BB9-F7E3E69486A4}" srcOrd="1" destOrd="0" presId="urn:microsoft.com/office/officeart/2005/8/layout/chevron2"/>
    <dgm:cxn modelId="{F7741C18-C082-4552-B999-5D75521D23A1}" type="presParOf" srcId="{72B0865E-28A5-46AB-9B3A-57B2339C101C}" destId="{74ADA5A2-1922-4466-83CF-29DF74A6BF66}" srcOrd="1" destOrd="0" presId="urn:microsoft.com/office/officeart/2005/8/layout/chevron2"/>
    <dgm:cxn modelId="{EBC49E91-B429-4CB8-BB4E-FE42D7A54D1F}" type="presParOf" srcId="{72B0865E-28A5-46AB-9B3A-57B2339C101C}" destId="{097A21EB-01F2-456C-AC3B-C351A7493560}" srcOrd="2" destOrd="0" presId="urn:microsoft.com/office/officeart/2005/8/layout/chevron2"/>
    <dgm:cxn modelId="{D8890D36-B80C-478F-8F2B-686892AFBCB9}" type="presParOf" srcId="{097A21EB-01F2-456C-AC3B-C351A7493560}" destId="{321F20D1-39EB-40F2-A904-0AD8932F0F9D}" srcOrd="0" destOrd="0" presId="urn:microsoft.com/office/officeart/2005/8/layout/chevron2"/>
    <dgm:cxn modelId="{AD202E79-5827-4A2B-85E5-F13A181C301A}" type="presParOf" srcId="{097A21EB-01F2-456C-AC3B-C351A7493560}" destId="{2615C480-D2DA-4470-96AF-66CFA865AA84}" srcOrd="1" destOrd="0" presId="urn:microsoft.com/office/officeart/2005/8/layout/chevron2"/>
    <dgm:cxn modelId="{4C377E26-8DA0-4FB0-8834-E6DABAC61340}" type="presParOf" srcId="{72B0865E-28A5-46AB-9B3A-57B2339C101C}" destId="{C47F54CC-0F86-40C7-8534-FB82EE6A8D6E}" srcOrd="3" destOrd="0" presId="urn:microsoft.com/office/officeart/2005/8/layout/chevron2"/>
    <dgm:cxn modelId="{A7A89117-4279-4956-B927-A1C4F8ACEB7D}" type="presParOf" srcId="{72B0865E-28A5-46AB-9B3A-57B2339C101C}" destId="{942A6644-09FF-4CE4-914D-09BB42E3DE83}" srcOrd="4" destOrd="0" presId="urn:microsoft.com/office/officeart/2005/8/layout/chevron2"/>
    <dgm:cxn modelId="{D78EBC3A-F0AF-459F-A534-5B970FD79E46}" type="presParOf" srcId="{942A6644-09FF-4CE4-914D-09BB42E3DE83}" destId="{3C0BDBBF-F6B1-4B9E-BF94-A3CC89103217}" srcOrd="0" destOrd="0" presId="urn:microsoft.com/office/officeart/2005/8/layout/chevron2"/>
    <dgm:cxn modelId="{130E0ACC-2F79-4260-9DC3-5849218BB17F}" type="presParOf" srcId="{942A6644-09FF-4CE4-914D-09BB42E3DE83}" destId="{9F4CD51A-A901-4F37-9192-1A62CC4E8908}" srcOrd="1" destOrd="0" presId="urn:microsoft.com/office/officeart/2005/8/layout/chevron2"/>
    <dgm:cxn modelId="{C1F9C6CC-F946-49F3-A47A-540C60C5ED15}" type="presParOf" srcId="{72B0865E-28A5-46AB-9B3A-57B2339C101C}" destId="{8B7C1FE7-58D8-451F-8827-1FC90C01DAE6}" srcOrd="5" destOrd="0" presId="urn:microsoft.com/office/officeart/2005/8/layout/chevron2"/>
    <dgm:cxn modelId="{08742439-2A90-434B-BDA3-75D24CEB2ED8}" type="presParOf" srcId="{72B0865E-28A5-46AB-9B3A-57B2339C101C}" destId="{D24D008F-A2E7-42A5-BD1F-5C7FAAD5DAF6}" srcOrd="6" destOrd="0" presId="urn:microsoft.com/office/officeart/2005/8/layout/chevron2"/>
    <dgm:cxn modelId="{A3056AFF-665B-40D4-9EA4-2B7F7161E835}" type="presParOf" srcId="{D24D008F-A2E7-42A5-BD1F-5C7FAAD5DAF6}" destId="{E2586653-4CDB-4916-B831-606329857CF1}" srcOrd="0" destOrd="0" presId="urn:microsoft.com/office/officeart/2005/8/layout/chevron2"/>
    <dgm:cxn modelId="{A33EAED4-B084-4B8A-86B7-7C9D68D349E4}" type="presParOf" srcId="{D24D008F-A2E7-42A5-BD1F-5C7FAAD5DAF6}" destId="{BACBA2E5-39F1-4227-B896-BF46E2593432}" srcOrd="1" destOrd="0" presId="urn:microsoft.com/office/officeart/2005/8/layout/chevron2"/>
    <dgm:cxn modelId="{2455F36A-0316-40C3-9AC9-EF05C7959375}" type="presParOf" srcId="{72B0865E-28A5-46AB-9B3A-57B2339C101C}" destId="{D3F2A7AA-01C1-41C3-9BCC-D547126AD5FD}" srcOrd="7" destOrd="0" presId="urn:microsoft.com/office/officeart/2005/8/layout/chevron2"/>
    <dgm:cxn modelId="{CFB9128F-517E-42E0-86AC-9CBDFC374EEC}" type="presParOf" srcId="{72B0865E-28A5-46AB-9B3A-57B2339C101C}" destId="{2929F725-E40B-4C1C-B152-DCFC07EC1E6B}" srcOrd="8" destOrd="0" presId="urn:microsoft.com/office/officeart/2005/8/layout/chevron2"/>
    <dgm:cxn modelId="{D9CDB25B-E78D-45E8-82D6-2AB1ACB1DF43}" type="presParOf" srcId="{2929F725-E40B-4C1C-B152-DCFC07EC1E6B}" destId="{3E16E4BC-4A42-4083-995D-0B90E1C2F3EF}" srcOrd="0" destOrd="0" presId="urn:microsoft.com/office/officeart/2005/8/layout/chevron2"/>
    <dgm:cxn modelId="{109F260A-F580-4F68-8F69-FA807EF3ECA6}" type="presParOf" srcId="{2929F725-E40B-4C1C-B152-DCFC07EC1E6B}" destId="{16521F66-CF8D-499F-BE59-E66772C868E5}" srcOrd="1" destOrd="0" presId="urn:microsoft.com/office/officeart/2005/8/layout/chevron2"/>
    <dgm:cxn modelId="{B5260363-1B9C-40B9-85E7-9D9D4533D3B7}" type="presParOf" srcId="{72B0865E-28A5-46AB-9B3A-57B2339C101C}" destId="{EF28F34E-5A2B-4A3D-9571-28B225A52168}" srcOrd="9" destOrd="0" presId="urn:microsoft.com/office/officeart/2005/8/layout/chevron2"/>
    <dgm:cxn modelId="{8DD74311-3DC6-4169-B0CC-8C9D4CDD47A8}" type="presParOf" srcId="{72B0865E-28A5-46AB-9B3A-57B2339C101C}" destId="{25AC5064-F659-440A-BBBE-AC4BC2C74F28}" srcOrd="10" destOrd="0" presId="urn:microsoft.com/office/officeart/2005/8/layout/chevron2"/>
    <dgm:cxn modelId="{C674635E-C843-45B6-9E09-9CF1EB5FD1BE}" type="presParOf" srcId="{25AC5064-F659-440A-BBBE-AC4BC2C74F28}" destId="{4E2FABC8-B5C5-4BB8-8607-E012E1562642}" srcOrd="0" destOrd="0" presId="urn:microsoft.com/office/officeart/2005/8/layout/chevron2"/>
    <dgm:cxn modelId="{86195EEC-B6CF-479C-9E2C-D1507EA2AE43}" type="presParOf" srcId="{25AC5064-F659-440A-BBBE-AC4BC2C74F28}" destId="{084F1E12-2188-42E0-B5AF-79F02B8CC388}"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5FDD2C-C5B4-44AF-A673-EFE4A245BB9C}">
      <dsp:nvSpPr>
        <dsp:cNvPr id="0" name=""/>
        <dsp:cNvSpPr/>
      </dsp:nvSpPr>
      <dsp:spPr>
        <a:xfrm rot="5400000">
          <a:off x="-130938" y="134610"/>
          <a:ext cx="872923" cy="61104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x-none" sz="900" kern="1200">
              <a:solidFill>
                <a:sysClr val="window" lastClr="FFFFFF"/>
              </a:solidFill>
              <a:latin typeface="Calibri"/>
              <a:ea typeface="+mn-ea"/>
              <a:cs typeface="+mn-cs"/>
            </a:rPr>
            <a:t>Radionica</a:t>
          </a:r>
          <a:r>
            <a:rPr lang="es-ES" sz="900" kern="1200">
              <a:solidFill>
                <a:sysClr val="window" lastClr="FFFFFF"/>
              </a:solidFill>
              <a:latin typeface="Calibri"/>
              <a:ea typeface="+mn-ea"/>
              <a:cs typeface="+mn-cs"/>
            </a:rPr>
            <a:t> 1</a:t>
          </a:r>
        </a:p>
        <a:p>
          <a:pPr lvl="0" algn="ctr" defTabSz="400050">
            <a:lnSpc>
              <a:spcPct val="90000"/>
            </a:lnSpc>
            <a:spcBef>
              <a:spcPct val="0"/>
            </a:spcBef>
            <a:spcAft>
              <a:spcPct val="35000"/>
            </a:spcAft>
          </a:pPr>
          <a:endParaRPr lang="es-ES" sz="900" kern="1200">
            <a:solidFill>
              <a:sysClr val="window" lastClr="FFFFFF"/>
            </a:solidFill>
            <a:latin typeface="Calibri"/>
            <a:ea typeface="+mn-ea"/>
            <a:cs typeface="+mn-cs"/>
          </a:endParaRPr>
        </a:p>
      </dsp:txBody>
      <dsp:txXfrm rot="-5400000">
        <a:off x="1" y="309194"/>
        <a:ext cx="611046" cy="261877"/>
      </dsp:txXfrm>
    </dsp:sp>
    <dsp:sp modelId="{CE6783C5-5AC6-4983-9BB9-F7E3E69486A4}">
      <dsp:nvSpPr>
        <dsp:cNvPr id="0" name=""/>
        <dsp:cNvSpPr/>
      </dsp:nvSpPr>
      <dsp:spPr>
        <a:xfrm rot="5400000">
          <a:off x="2212423" y="-1597705"/>
          <a:ext cx="567698" cy="377045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a:ea typeface="+mn-ea"/>
              <a:cs typeface="+mn-cs"/>
            </a:rPr>
            <a:t>(</a:t>
          </a:r>
          <a:r>
            <a:rPr lang="x-none" sz="1000" kern="1200">
              <a:solidFill>
                <a:sysClr val="windowText" lastClr="000000">
                  <a:hueOff val="0"/>
                  <a:satOff val="0"/>
                  <a:lumOff val="0"/>
                  <a:alphaOff val="0"/>
                </a:sysClr>
              </a:solidFill>
              <a:latin typeface="Calibri"/>
              <a:ea typeface="+mn-ea"/>
              <a:cs typeface="+mn-cs"/>
            </a:rPr>
            <a:t>Početna radionica</a:t>
          </a:r>
          <a:r>
            <a:rPr lang="en-GB" sz="1000" kern="1200">
              <a:solidFill>
                <a:sysClr val="windowText" lastClr="000000">
                  <a:hueOff val="0"/>
                  <a:satOff val="0"/>
                  <a:lumOff val="0"/>
                  <a:alphaOff val="0"/>
                </a:sysClr>
              </a:solidFill>
              <a:latin typeface="Calibri"/>
              <a:ea typeface="+mn-ea"/>
              <a:cs typeface="+mn-cs"/>
            </a:rPr>
            <a:t>): </a:t>
          </a:r>
          <a:r>
            <a:rPr lang="x-none" sz="1000" kern="1200">
              <a:solidFill>
                <a:sysClr val="windowText" lastClr="000000">
                  <a:hueOff val="0"/>
                  <a:satOff val="0"/>
                  <a:lumOff val="0"/>
                  <a:alphaOff val="0"/>
                </a:sysClr>
              </a:solidFill>
              <a:latin typeface="Calibri"/>
              <a:ea typeface="+mn-ea"/>
              <a:cs typeface="+mn-cs"/>
            </a:rPr>
            <a:t>Strateški okvir za Prozor</a:t>
          </a:r>
          <a:r>
            <a:rPr lang="en-GB" sz="1000" kern="1200">
              <a:solidFill>
                <a:sysClr val="windowText" lastClr="000000">
                  <a:hueOff val="0"/>
                  <a:satOff val="0"/>
                  <a:lumOff val="0"/>
                  <a:alphaOff val="0"/>
                </a:sysClr>
              </a:solidFill>
              <a:latin typeface="Calibri"/>
              <a:ea typeface="+mn-ea"/>
              <a:cs typeface="+mn-cs"/>
            </a:rPr>
            <a:t> 3 - </a:t>
          </a:r>
          <a:r>
            <a:rPr lang="x-none" sz="1000" kern="1200">
              <a:solidFill>
                <a:sysClr val="windowText" lastClr="000000">
                  <a:hueOff val="0"/>
                  <a:satOff val="0"/>
                  <a:lumOff val="0"/>
                  <a:alphaOff val="0"/>
                </a:sysClr>
              </a:solidFill>
              <a:latin typeface="Calibri"/>
              <a:ea typeface="+mn-ea"/>
              <a:cs typeface="+mn-cs"/>
            </a:rPr>
            <a:t>ODRŽIVA POVEZANOST I ZELENA AGENDA</a:t>
          </a:r>
          <a:r>
            <a:rPr lang="en-GB" sz="1000" kern="1200">
              <a:solidFill>
                <a:sysClr val="windowText" lastClr="000000">
                  <a:hueOff val="0"/>
                  <a:satOff val="0"/>
                  <a:lumOff val="0"/>
                  <a:alphaOff val="0"/>
                </a:sysClr>
              </a:solidFill>
              <a:latin typeface="Calibri"/>
              <a:ea typeface="+mn-ea"/>
              <a:cs typeface="+mn-cs"/>
            </a:rPr>
            <a:t> (</a:t>
          </a:r>
          <a:r>
            <a:rPr lang="x-none" sz="1000" kern="1200">
              <a:solidFill>
                <a:sysClr val="windowText" lastClr="000000">
                  <a:hueOff val="0"/>
                  <a:satOff val="0"/>
                  <a:lumOff val="0"/>
                  <a:alphaOff val="0"/>
                </a:sysClr>
              </a:solidFill>
              <a:latin typeface="Calibri"/>
              <a:ea typeface="+mn-ea"/>
              <a:cs typeface="+mn-cs"/>
            </a:rPr>
            <a:t>pristup od vrha ka dnu- </a:t>
          </a:r>
          <a:r>
            <a:rPr lang="en-GB" sz="1000" i="1" kern="1200">
              <a:solidFill>
                <a:sysClr val="windowText" lastClr="000000">
                  <a:hueOff val="0"/>
                  <a:satOff val="0"/>
                  <a:lumOff val="0"/>
                  <a:alphaOff val="0"/>
                </a:sysClr>
              </a:solidFill>
              <a:latin typeface="Calibri"/>
              <a:ea typeface="+mn-ea"/>
              <a:cs typeface="+mn-cs"/>
            </a:rPr>
            <a:t>top-down</a:t>
          </a:r>
          <a:r>
            <a:rPr lang="en-GB" sz="1000" kern="1200">
              <a:solidFill>
                <a:sysClr val="windowText" lastClr="000000">
                  <a:hueOff val="0"/>
                  <a:satOff val="0"/>
                  <a:lumOff val="0"/>
                  <a:alphaOff val="0"/>
                </a:sysClr>
              </a:solidFill>
              <a:latin typeface="Calibri"/>
              <a:ea typeface="+mn-ea"/>
              <a:cs typeface="+mn-cs"/>
            </a:rPr>
            <a:t>)</a:t>
          </a:r>
          <a:endParaRPr lang="es-ES" sz="1000" kern="1200">
            <a:solidFill>
              <a:sysClr val="windowText" lastClr="000000">
                <a:hueOff val="0"/>
                <a:satOff val="0"/>
                <a:lumOff val="0"/>
                <a:alphaOff val="0"/>
              </a:sysClr>
            </a:solidFill>
            <a:latin typeface="Calibri"/>
            <a:ea typeface="+mn-ea"/>
            <a:cs typeface="+mn-cs"/>
          </a:endParaRPr>
        </a:p>
      </dsp:txBody>
      <dsp:txXfrm rot="-5400000">
        <a:off x="611046" y="31385"/>
        <a:ext cx="3742740" cy="512272"/>
      </dsp:txXfrm>
    </dsp:sp>
    <dsp:sp modelId="{321F20D1-39EB-40F2-A904-0AD8932F0F9D}">
      <dsp:nvSpPr>
        <dsp:cNvPr id="0" name=""/>
        <dsp:cNvSpPr/>
      </dsp:nvSpPr>
      <dsp:spPr>
        <a:xfrm rot="5400000">
          <a:off x="-130938" y="909152"/>
          <a:ext cx="872923" cy="61104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x-none" sz="900" kern="1200">
            <a:solidFill>
              <a:sysClr val="window" lastClr="FFFFFF"/>
            </a:solidFill>
            <a:latin typeface="Calibri"/>
            <a:ea typeface="+mn-ea"/>
            <a:cs typeface="+mn-cs"/>
          </a:endParaRPr>
        </a:p>
        <a:p>
          <a:pPr lvl="0" algn="ctr" defTabSz="400050">
            <a:lnSpc>
              <a:spcPct val="90000"/>
            </a:lnSpc>
            <a:spcBef>
              <a:spcPct val="0"/>
            </a:spcBef>
            <a:spcAft>
              <a:spcPct val="35000"/>
            </a:spcAft>
          </a:pPr>
          <a:endParaRPr lang="x-none" sz="900" kern="1200">
            <a:solidFill>
              <a:sysClr val="window" lastClr="FFFFFF"/>
            </a:solidFill>
            <a:latin typeface="Calibri"/>
            <a:ea typeface="+mn-ea"/>
            <a:cs typeface="+mn-cs"/>
          </a:endParaRPr>
        </a:p>
        <a:p>
          <a:pPr lvl="0" algn="ctr" defTabSz="400050">
            <a:lnSpc>
              <a:spcPct val="90000"/>
            </a:lnSpc>
            <a:spcBef>
              <a:spcPct val="0"/>
            </a:spcBef>
            <a:spcAft>
              <a:spcPct val="35000"/>
            </a:spcAft>
          </a:pPr>
          <a:r>
            <a:rPr lang="x-none" sz="900" kern="1200">
              <a:solidFill>
                <a:sysClr val="window" lastClr="FFFFFF"/>
              </a:solidFill>
              <a:latin typeface="Calibri"/>
              <a:ea typeface="+mn-ea"/>
              <a:cs typeface="+mn-cs"/>
            </a:rPr>
            <a:t>Radionica </a:t>
          </a:r>
          <a:r>
            <a:rPr lang="en-US" sz="900" kern="1200">
              <a:solidFill>
                <a:sysClr val="window" lastClr="FFFFFF"/>
              </a:solidFill>
              <a:latin typeface="Calibri"/>
              <a:ea typeface="+mn-ea"/>
              <a:cs typeface="+mn-cs"/>
            </a:rPr>
            <a:t>2 (Digital</a:t>
          </a:r>
          <a:r>
            <a:rPr lang="x-none" sz="900" kern="1200">
              <a:solidFill>
                <a:sysClr val="window" lastClr="FFFFFF"/>
              </a:solidFill>
              <a:latin typeface="Calibri"/>
              <a:ea typeface="+mn-ea"/>
              <a:cs typeface="+mn-cs"/>
            </a:rPr>
            <a:t>na</a:t>
          </a:r>
          <a:r>
            <a:rPr lang="en-US" sz="900" kern="1200">
              <a:solidFill>
                <a:sysClr val="window" lastClr="FFFFFF"/>
              </a:solidFill>
              <a:latin typeface="Calibri"/>
              <a:ea typeface="+mn-ea"/>
              <a:cs typeface="+mn-cs"/>
            </a:rPr>
            <a:t> </a:t>
          </a:r>
          <a:r>
            <a:rPr lang="x-none" sz="900" kern="1200">
              <a:solidFill>
                <a:sysClr val="window" lastClr="FFFFFF"/>
              </a:solidFill>
              <a:latin typeface="Calibri"/>
              <a:ea typeface="+mn-ea"/>
              <a:cs typeface="+mn-cs"/>
            </a:rPr>
            <a:t>ekonomija</a:t>
          </a:r>
          <a:r>
            <a:rPr lang="en-US" sz="900" kern="1200">
              <a:solidFill>
                <a:sysClr val="window" lastClr="FFFFFF"/>
              </a:solidFill>
              <a:latin typeface="Calibri"/>
              <a:ea typeface="+mn-ea"/>
              <a:cs typeface="+mn-cs"/>
            </a:rPr>
            <a:t>)</a:t>
          </a:r>
        </a:p>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 </a:t>
          </a:r>
          <a:endParaRPr lang="es-ES" sz="900" kern="1200">
            <a:solidFill>
              <a:sysClr val="window" lastClr="FFFFFF"/>
            </a:solidFill>
            <a:latin typeface="Calibri"/>
            <a:ea typeface="+mn-ea"/>
            <a:cs typeface="+mn-cs"/>
          </a:endParaRPr>
        </a:p>
      </dsp:txBody>
      <dsp:txXfrm rot="-5400000">
        <a:off x="1" y="1083736"/>
        <a:ext cx="611046" cy="261877"/>
      </dsp:txXfrm>
    </dsp:sp>
    <dsp:sp modelId="{2615C480-D2DA-4470-96AF-66CFA865AA84}">
      <dsp:nvSpPr>
        <dsp:cNvPr id="0" name=""/>
        <dsp:cNvSpPr/>
      </dsp:nvSpPr>
      <dsp:spPr>
        <a:xfrm rot="5400000">
          <a:off x="2212573" y="-823313"/>
          <a:ext cx="567400" cy="377045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Calibri"/>
              <a:ea typeface="+mn-ea"/>
              <a:cs typeface="+mn-cs"/>
            </a:rPr>
            <a:t>Minist</a:t>
          </a:r>
          <a:r>
            <a:rPr lang="x-none" sz="1000" kern="1200">
              <a:solidFill>
                <a:sysClr val="windowText" lastClr="000000">
                  <a:hueOff val="0"/>
                  <a:satOff val="0"/>
                  <a:lumOff val="0"/>
                  <a:alphaOff val="0"/>
                </a:sysClr>
              </a:solidFill>
              <a:latin typeface="Calibri"/>
              <a:ea typeface="+mn-ea"/>
              <a:cs typeface="+mn-cs"/>
            </a:rPr>
            <a:t>arstvo javne uprave</a:t>
          </a:r>
          <a:r>
            <a:rPr lang="es-ES" sz="1000" kern="1200">
              <a:solidFill>
                <a:sysClr val="windowText" lastClr="000000">
                  <a:hueOff val="0"/>
                  <a:satOff val="0"/>
                  <a:lumOff val="0"/>
                  <a:alphaOff val="0"/>
                </a:sysClr>
              </a:solidFill>
              <a:latin typeface="Calibri"/>
              <a:ea typeface="+mn-ea"/>
              <a:cs typeface="+mn-cs"/>
            </a:rPr>
            <a:t>, </a:t>
          </a:r>
          <a:r>
            <a:rPr lang="x-none" sz="1000" kern="1200">
              <a:solidFill>
                <a:sysClr val="windowText" lastClr="000000">
                  <a:hueOff val="0"/>
                  <a:satOff val="0"/>
                  <a:lumOff val="0"/>
                  <a:alphaOff val="0"/>
                </a:sysClr>
              </a:solidFill>
              <a:latin typeface="Calibri"/>
              <a:ea typeface="+mn-ea"/>
              <a:cs typeface="+mn-cs"/>
            </a:rPr>
            <a:t>digitalnog društva i medija</a:t>
          </a:r>
          <a:r>
            <a:rPr lang="es-ES" sz="1000" kern="1200">
              <a:solidFill>
                <a:sysClr val="windowText" lastClr="000000">
                  <a:hueOff val="0"/>
                  <a:satOff val="0"/>
                  <a:lumOff val="0"/>
                  <a:alphaOff val="0"/>
                </a:sysClr>
              </a:solidFill>
              <a:latin typeface="Calibri"/>
              <a:ea typeface="+mn-ea"/>
              <a:cs typeface="+mn-cs"/>
            </a:rPr>
            <a:t>– Dire</a:t>
          </a:r>
          <a:r>
            <a:rPr lang="x-none" sz="1000" kern="1200">
              <a:solidFill>
                <a:sysClr val="windowText" lastClr="000000">
                  <a:hueOff val="0"/>
                  <a:satOff val="0"/>
                  <a:lumOff val="0"/>
                  <a:alphaOff val="0"/>
                </a:sysClr>
              </a:solidFill>
              <a:latin typeface="Calibri"/>
              <a:ea typeface="+mn-ea"/>
              <a:cs typeface="+mn-cs"/>
            </a:rPr>
            <a:t>ktorat</a:t>
          </a:r>
          <a:r>
            <a:rPr lang="es-ES" sz="1000" kern="1200">
              <a:solidFill>
                <a:sysClr val="windowText" lastClr="000000">
                  <a:hueOff val="0"/>
                  <a:satOff val="0"/>
                  <a:lumOff val="0"/>
                  <a:alphaOff val="0"/>
                </a:sysClr>
              </a:solidFill>
              <a:latin typeface="Calibri"/>
              <a:ea typeface="+mn-ea"/>
              <a:cs typeface="+mn-cs"/>
            </a:rPr>
            <a:t> </a:t>
          </a:r>
          <a:r>
            <a:rPr lang="x-none" sz="1000" kern="1200">
              <a:solidFill>
                <a:sysClr val="windowText" lastClr="000000">
                  <a:hueOff val="0"/>
                  <a:satOff val="0"/>
                  <a:lumOff val="0"/>
                  <a:alphaOff val="0"/>
                </a:sysClr>
              </a:solidFill>
              <a:latin typeface="Calibri"/>
              <a:ea typeface="+mn-ea"/>
              <a:cs typeface="+mn-cs"/>
            </a:rPr>
            <a:t>za elektronsku upravu</a:t>
          </a:r>
          <a:r>
            <a:rPr lang="es-ES" sz="1000" kern="1200">
              <a:solidFill>
                <a:sysClr val="windowText" lastClr="000000">
                  <a:hueOff val="0"/>
                  <a:satOff val="0"/>
                  <a:lumOff val="0"/>
                  <a:alphaOff val="0"/>
                </a:sysClr>
              </a:solidFill>
              <a:latin typeface="Calibri"/>
              <a:ea typeface="+mn-ea"/>
              <a:cs typeface="+mn-cs"/>
            </a:rPr>
            <a:t> (Digi</a:t>
          </a:r>
          <a:r>
            <a:rPr lang="x-none" sz="1000" kern="1200">
              <a:solidFill>
                <a:sysClr val="windowText" lastClr="000000">
                  <a:hueOff val="0"/>
                  <a:satOff val="0"/>
                  <a:lumOff val="0"/>
                  <a:alphaOff val="0"/>
                </a:sysClr>
              </a:solidFill>
              <a:latin typeface="Calibri"/>
              <a:ea typeface="+mn-ea"/>
              <a:cs typeface="+mn-cs"/>
            </a:rPr>
            <a:t>talna ekonomija</a:t>
          </a:r>
          <a:r>
            <a:rPr lang="es-ES" sz="1000" kern="1200">
              <a:solidFill>
                <a:sysClr val="windowText" lastClr="000000">
                  <a:hueOff val="0"/>
                  <a:satOff val="0"/>
                  <a:lumOff val="0"/>
                  <a:alphaOff val="0"/>
                </a:sysClr>
              </a:solidFill>
              <a:latin typeface="Calibri"/>
              <a:ea typeface="+mn-ea"/>
              <a:cs typeface="+mn-cs"/>
            </a:rPr>
            <a:t>)</a:t>
          </a:r>
        </a:p>
        <a:p>
          <a:pPr marL="57150" lvl="1" indent="-57150" algn="l"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Calibri"/>
              <a:ea typeface="+mn-ea"/>
              <a:cs typeface="+mn-cs"/>
            </a:rPr>
            <a:t>Minist</a:t>
          </a:r>
          <a:r>
            <a:rPr lang="x-none" sz="1000" kern="1200">
              <a:solidFill>
                <a:sysClr val="windowText" lastClr="000000">
                  <a:hueOff val="0"/>
                  <a:satOff val="0"/>
                  <a:lumOff val="0"/>
                  <a:alphaOff val="0"/>
                </a:sysClr>
              </a:solidFill>
              <a:latin typeface="Calibri"/>
              <a:ea typeface="+mn-ea"/>
              <a:cs typeface="+mn-cs"/>
            </a:rPr>
            <a:t>arstvo ekonomskog razvoja</a:t>
          </a:r>
          <a:r>
            <a:rPr lang="es-ES" sz="1000" kern="1200">
              <a:solidFill>
                <a:sysClr val="windowText" lastClr="000000">
                  <a:hueOff val="0"/>
                  <a:satOff val="0"/>
                  <a:lumOff val="0"/>
                  <a:alphaOff val="0"/>
                </a:sysClr>
              </a:solidFill>
              <a:latin typeface="Calibri"/>
              <a:ea typeface="+mn-ea"/>
              <a:cs typeface="+mn-cs"/>
            </a:rPr>
            <a:t>– Dire</a:t>
          </a:r>
          <a:r>
            <a:rPr lang="x-none" sz="1000" kern="1200">
              <a:solidFill>
                <a:sysClr val="windowText" lastClr="000000">
                  <a:hueOff val="0"/>
                  <a:satOff val="0"/>
                  <a:lumOff val="0"/>
                  <a:alphaOff val="0"/>
                </a:sysClr>
              </a:solidFill>
              <a:latin typeface="Calibri"/>
              <a:ea typeface="+mn-ea"/>
              <a:cs typeface="+mn-cs"/>
            </a:rPr>
            <a:t>ktorat za elektronske komunikacije, </a:t>
          </a:r>
          <a:r>
            <a:rPr lang="es-ES" sz="1000" kern="1200">
              <a:solidFill>
                <a:sysClr val="windowText" lastClr="000000">
                  <a:hueOff val="0"/>
                  <a:satOff val="0"/>
                  <a:lumOff val="0"/>
                  <a:alphaOff val="0"/>
                </a:sysClr>
              </a:solidFill>
              <a:latin typeface="Calibri"/>
              <a:ea typeface="+mn-ea"/>
              <a:cs typeface="+mn-cs"/>
            </a:rPr>
            <a:t> </a:t>
          </a:r>
          <a:r>
            <a:rPr lang="x-none" sz="1000" kern="1200">
              <a:solidFill>
                <a:sysClr val="windowText" lastClr="000000">
                  <a:hueOff val="0"/>
                  <a:satOff val="0"/>
                  <a:lumOff val="0"/>
                  <a:alphaOff val="0"/>
                </a:sysClr>
              </a:solidFill>
              <a:latin typeface="Calibri"/>
              <a:ea typeface="+mn-ea"/>
              <a:cs typeface="+mn-cs"/>
            </a:rPr>
            <a:t>poštansku djelatnost i radio-spektar</a:t>
          </a:r>
          <a:endParaRPr lang="es-ES" sz="1000" kern="1200">
            <a:solidFill>
              <a:sysClr val="windowText" lastClr="000000">
                <a:hueOff val="0"/>
                <a:satOff val="0"/>
                <a:lumOff val="0"/>
                <a:alphaOff val="0"/>
              </a:sysClr>
            </a:solidFill>
            <a:latin typeface="Calibri"/>
            <a:ea typeface="+mn-ea"/>
            <a:cs typeface="+mn-cs"/>
          </a:endParaRPr>
        </a:p>
      </dsp:txBody>
      <dsp:txXfrm rot="-5400000">
        <a:off x="611047" y="805911"/>
        <a:ext cx="3742755" cy="512004"/>
      </dsp:txXfrm>
    </dsp:sp>
    <dsp:sp modelId="{3C0BDBBF-F6B1-4B9E-BF94-A3CC89103217}">
      <dsp:nvSpPr>
        <dsp:cNvPr id="0" name=""/>
        <dsp:cNvSpPr/>
      </dsp:nvSpPr>
      <dsp:spPr>
        <a:xfrm rot="5400000">
          <a:off x="-130938" y="1683693"/>
          <a:ext cx="872923" cy="61104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x-none" sz="900" kern="1200">
              <a:solidFill>
                <a:sysClr val="window" lastClr="FFFFFF"/>
              </a:solidFill>
              <a:latin typeface="Calibri"/>
              <a:ea typeface="+mn-ea"/>
              <a:cs typeface="+mn-cs"/>
            </a:rPr>
            <a:t>Radionica </a:t>
          </a:r>
          <a:r>
            <a:rPr lang="en-US" sz="900" kern="1200">
              <a:solidFill>
                <a:sysClr val="window" lastClr="FFFFFF"/>
              </a:solidFill>
              <a:latin typeface="Calibri"/>
              <a:ea typeface="+mn-ea"/>
              <a:cs typeface="+mn-cs"/>
            </a:rPr>
            <a:t>3 (Ener</a:t>
          </a:r>
          <a:r>
            <a:rPr lang="x-none" sz="900" kern="1200">
              <a:solidFill>
                <a:sysClr val="window" lastClr="FFFFFF"/>
              </a:solidFill>
              <a:latin typeface="Calibri"/>
              <a:ea typeface="+mn-ea"/>
              <a:cs typeface="+mn-cs"/>
            </a:rPr>
            <a:t>getika</a:t>
          </a:r>
          <a:r>
            <a:rPr lang="en-US" sz="900" kern="1200">
              <a:solidFill>
                <a:sysClr val="window" lastClr="FFFFFF"/>
              </a:solidFill>
              <a:latin typeface="Calibri"/>
              <a:ea typeface="+mn-ea"/>
              <a:cs typeface="+mn-cs"/>
            </a:rPr>
            <a:t>) </a:t>
          </a:r>
          <a:endParaRPr lang="es-ES" sz="900" kern="1200">
            <a:solidFill>
              <a:sysClr val="window" lastClr="FFFFFF"/>
            </a:solidFill>
            <a:latin typeface="Calibri"/>
            <a:ea typeface="+mn-ea"/>
            <a:cs typeface="+mn-cs"/>
          </a:endParaRPr>
        </a:p>
      </dsp:txBody>
      <dsp:txXfrm rot="-5400000">
        <a:off x="1" y="1858277"/>
        <a:ext cx="611046" cy="261877"/>
      </dsp:txXfrm>
    </dsp:sp>
    <dsp:sp modelId="{9F4CD51A-A901-4F37-9192-1A62CC4E8908}">
      <dsp:nvSpPr>
        <dsp:cNvPr id="0" name=""/>
        <dsp:cNvSpPr/>
      </dsp:nvSpPr>
      <dsp:spPr>
        <a:xfrm rot="5400000">
          <a:off x="2212573" y="-48771"/>
          <a:ext cx="567400" cy="377045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Bilatera</a:t>
          </a:r>
          <a:r>
            <a:rPr lang="x-none" sz="1000" kern="1200">
              <a:solidFill>
                <a:sysClr val="windowText" lastClr="000000">
                  <a:hueOff val="0"/>
                  <a:satOff val="0"/>
                  <a:lumOff val="0"/>
                  <a:alphaOff val="0"/>
                </a:sysClr>
              </a:solidFill>
              <a:latin typeface="Calibri"/>
              <a:ea typeface="+mn-ea"/>
              <a:cs typeface="+mn-cs"/>
            </a:rPr>
            <a:t>lni sastanak sa </a:t>
          </a:r>
          <a:r>
            <a:rPr lang="en-US" sz="1000" kern="1200">
              <a:solidFill>
                <a:sysClr val="windowText" lastClr="000000">
                  <a:hueOff val="0"/>
                  <a:satOff val="0"/>
                  <a:lumOff val="0"/>
                  <a:alphaOff val="0"/>
                </a:sysClr>
              </a:solidFill>
              <a:latin typeface="Calibri"/>
              <a:ea typeface="+mn-ea"/>
              <a:cs typeface="+mn-cs"/>
            </a:rPr>
            <a:t> </a:t>
          </a:r>
          <a:r>
            <a:rPr lang="x-none" sz="1000" kern="1200">
              <a:solidFill>
                <a:sysClr val="windowText" lastClr="000000">
                  <a:hueOff val="0"/>
                  <a:satOff val="0"/>
                  <a:lumOff val="0"/>
                  <a:alphaOff val="0"/>
                </a:sysClr>
              </a:solidFill>
              <a:latin typeface="Calibri"/>
              <a:ea typeface="+mn-ea"/>
              <a:cs typeface="+mn-cs"/>
            </a:rPr>
            <a:t>predstavnicima Ministarstva kapitalnih investicija</a:t>
          </a:r>
          <a:r>
            <a:rPr lang="en-US" sz="1000" kern="1200">
              <a:solidFill>
                <a:sysClr val="windowText" lastClr="000000">
                  <a:hueOff val="0"/>
                  <a:satOff val="0"/>
                  <a:lumOff val="0"/>
                  <a:alphaOff val="0"/>
                </a:sysClr>
              </a:solidFill>
              <a:latin typeface="Calibri"/>
              <a:ea typeface="+mn-ea"/>
              <a:cs typeface="+mn-cs"/>
            </a:rPr>
            <a:t>– Dire</a:t>
          </a:r>
          <a:r>
            <a:rPr lang="x-none" sz="1000" kern="1200">
              <a:solidFill>
                <a:sysClr val="windowText" lastClr="000000">
                  <a:hueOff val="0"/>
                  <a:satOff val="0"/>
                  <a:lumOff val="0"/>
                  <a:alphaOff val="0"/>
                </a:sysClr>
              </a:solidFill>
              <a:latin typeface="Calibri"/>
              <a:ea typeface="+mn-ea"/>
              <a:cs typeface="+mn-cs"/>
            </a:rPr>
            <a:t>ktorat za energetiku i energetsku efikasnost</a:t>
          </a:r>
          <a:endParaRPr lang="es-ES" sz="1000" kern="1200">
            <a:solidFill>
              <a:sysClr val="windowText" lastClr="000000">
                <a:hueOff val="0"/>
                <a:satOff val="0"/>
                <a:lumOff val="0"/>
                <a:alphaOff val="0"/>
              </a:sysClr>
            </a:solidFill>
            <a:latin typeface="Calibri"/>
            <a:ea typeface="+mn-ea"/>
            <a:cs typeface="+mn-cs"/>
          </a:endParaRPr>
        </a:p>
      </dsp:txBody>
      <dsp:txXfrm rot="-5400000">
        <a:off x="611047" y="1580453"/>
        <a:ext cx="3742755" cy="512004"/>
      </dsp:txXfrm>
    </dsp:sp>
    <dsp:sp modelId="{E2586653-4CDB-4916-B831-606329857CF1}">
      <dsp:nvSpPr>
        <dsp:cNvPr id="0" name=""/>
        <dsp:cNvSpPr/>
      </dsp:nvSpPr>
      <dsp:spPr>
        <a:xfrm rot="5400000">
          <a:off x="-130938" y="2458234"/>
          <a:ext cx="872923" cy="61104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x-none" sz="900" kern="1200">
              <a:solidFill>
                <a:sysClr val="window" lastClr="FFFFFF"/>
              </a:solidFill>
              <a:latin typeface="Calibri"/>
              <a:ea typeface="+mn-ea"/>
              <a:cs typeface="+mn-cs"/>
            </a:rPr>
            <a:t>Radionica</a:t>
          </a:r>
          <a:r>
            <a:rPr lang="en-US" sz="900" kern="1200">
              <a:solidFill>
                <a:sysClr val="window" lastClr="FFFFFF"/>
              </a:solidFill>
              <a:latin typeface="Calibri"/>
              <a:ea typeface="+mn-ea"/>
              <a:cs typeface="+mn-cs"/>
            </a:rPr>
            <a:t> 4 (</a:t>
          </a:r>
          <a:r>
            <a:rPr lang="x-none" sz="900" kern="1200">
              <a:solidFill>
                <a:sysClr val="window" lastClr="FFFFFF"/>
              </a:solidFill>
              <a:latin typeface="Calibri"/>
              <a:ea typeface="+mn-ea"/>
              <a:cs typeface="+mn-cs"/>
            </a:rPr>
            <a:t>Životna sredina</a:t>
          </a:r>
          <a:r>
            <a:rPr lang="en-US" sz="900" kern="1200">
              <a:solidFill>
                <a:sysClr val="window" lastClr="FFFFFF"/>
              </a:solidFill>
              <a:latin typeface="Calibri"/>
              <a:ea typeface="+mn-ea"/>
              <a:cs typeface="+mn-cs"/>
            </a:rPr>
            <a:t>) </a:t>
          </a:r>
          <a:endParaRPr lang="es-ES" sz="900" kern="1200">
            <a:solidFill>
              <a:sysClr val="window" lastClr="FFFFFF"/>
            </a:solidFill>
            <a:latin typeface="Calibri"/>
            <a:ea typeface="+mn-ea"/>
            <a:cs typeface="+mn-cs"/>
          </a:endParaRPr>
        </a:p>
      </dsp:txBody>
      <dsp:txXfrm rot="-5400000">
        <a:off x="1" y="2632818"/>
        <a:ext cx="611046" cy="261877"/>
      </dsp:txXfrm>
    </dsp:sp>
    <dsp:sp modelId="{BACBA2E5-39F1-4227-B896-BF46E2593432}">
      <dsp:nvSpPr>
        <dsp:cNvPr id="0" name=""/>
        <dsp:cNvSpPr/>
      </dsp:nvSpPr>
      <dsp:spPr>
        <a:xfrm rot="5400000">
          <a:off x="2212573" y="725769"/>
          <a:ext cx="567400" cy="377045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Bilatera</a:t>
          </a:r>
          <a:r>
            <a:rPr lang="x-none" sz="1000" kern="1200">
              <a:solidFill>
                <a:sysClr val="windowText" lastClr="000000">
                  <a:hueOff val="0"/>
                  <a:satOff val="0"/>
                  <a:lumOff val="0"/>
                  <a:alphaOff val="0"/>
                </a:sysClr>
              </a:solidFill>
              <a:latin typeface="Calibri"/>
              <a:ea typeface="+mn-ea"/>
              <a:cs typeface="+mn-cs"/>
            </a:rPr>
            <a:t>lni sastanak sa predstavnicima</a:t>
          </a:r>
          <a:r>
            <a:rPr lang="en-US" sz="1000" kern="1200">
              <a:solidFill>
                <a:sysClr val="windowText" lastClr="000000">
                  <a:hueOff val="0"/>
                  <a:satOff val="0"/>
                  <a:lumOff val="0"/>
                  <a:alphaOff val="0"/>
                </a:sysClr>
              </a:solidFill>
              <a:latin typeface="Calibri"/>
              <a:ea typeface="+mn-ea"/>
              <a:cs typeface="+mn-cs"/>
            </a:rPr>
            <a:t> </a:t>
          </a:r>
          <a:r>
            <a:rPr lang="x-none" sz="1000" kern="1200">
              <a:solidFill>
                <a:sysClr val="windowText" lastClr="000000">
                  <a:hueOff val="0"/>
                  <a:satOff val="0"/>
                  <a:lumOff val="0"/>
                  <a:alphaOff val="0"/>
                </a:sysClr>
              </a:solidFill>
              <a:latin typeface="Calibri"/>
              <a:ea typeface="+mn-ea"/>
              <a:cs typeface="+mn-cs"/>
            </a:rPr>
            <a:t>Ministarstva ekologije, prostornog planiranja i urbanizma </a:t>
          </a:r>
          <a:r>
            <a:rPr lang="en-US" sz="1000" kern="1200">
              <a:solidFill>
                <a:sysClr val="windowText" lastClr="000000">
                  <a:hueOff val="0"/>
                  <a:satOff val="0"/>
                  <a:lumOff val="0"/>
                  <a:alphaOff val="0"/>
                </a:sysClr>
              </a:solidFill>
              <a:latin typeface="Calibri"/>
              <a:ea typeface="+mn-ea"/>
              <a:cs typeface="+mn-cs"/>
            </a:rPr>
            <a:t>(M</a:t>
          </a:r>
          <a:r>
            <a:rPr lang="x-none" sz="1000" kern="1200">
              <a:solidFill>
                <a:sysClr val="windowText" lastClr="000000">
                  <a:hueOff val="0"/>
                  <a:satOff val="0"/>
                  <a:lumOff val="0"/>
                  <a:alphaOff val="0"/>
                </a:sysClr>
              </a:solidFill>
              <a:latin typeface="Calibri"/>
              <a:ea typeface="+mn-ea"/>
              <a:cs typeface="+mn-cs"/>
            </a:rPr>
            <a:t>EPPU</a:t>
          </a:r>
          <a:r>
            <a:rPr lang="en-US" sz="1000" kern="1200">
              <a:solidFill>
                <a:sysClr val="windowText" lastClr="000000">
                  <a:hueOff val="0"/>
                  <a:satOff val="0"/>
                  <a:lumOff val="0"/>
                  <a:alphaOff val="0"/>
                </a:sysClr>
              </a:solidFill>
              <a:latin typeface="Calibri"/>
              <a:ea typeface="+mn-ea"/>
              <a:cs typeface="+mn-cs"/>
            </a:rPr>
            <a:t>) </a:t>
          </a:r>
          <a:endParaRPr lang="es-ES" sz="1000" kern="1200">
            <a:solidFill>
              <a:sysClr val="windowText" lastClr="000000">
                <a:hueOff val="0"/>
                <a:satOff val="0"/>
                <a:lumOff val="0"/>
                <a:alphaOff val="0"/>
              </a:sysClr>
            </a:solidFill>
            <a:latin typeface="Calibri"/>
            <a:ea typeface="+mn-ea"/>
            <a:cs typeface="+mn-cs"/>
          </a:endParaRPr>
        </a:p>
      </dsp:txBody>
      <dsp:txXfrm rot="-5400000">
        <a:off x="611047" y="2354993"/>
        <a:ext cx="3742755" cy="512004"/>
      </dsp:txXfrm>
    </dsp:sp>
    <dsp:sp modelId="{3E16E4BC-4A42-4083-995D-0B90E1C2F3EF}">
      <dsp:nvSpPr>
        <dsp:cNvPr id="0" name=""/>
        <dsp:cNvSpPr/>
      </dsp:nvSpPr>
      <dsp:spPr>
        <a:xfrm rot="5400000">
          <a:off x="-130938" y="3232776"/>
          <a:ext cx="872923" cy="61104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x-none" sz="1000" kern="1200">
            <a:solidFill>
              <a:sysClr val="window" lastClr="FFFFFF"/>
            </a:solidFill>
            <a:latin typeface="Calibri"/>
            <a:ea typeface="+mn-ea"/>
            <a:cs typeface="+mn-cs"/>
          </a:endParaRPr>
        </a:p>
        <a:p>
          <a:pPr lvl="0" algn="ctr" defTabSz="444500">
            <a:lnSpc>
              <a:spcPct val="90000"/>
            </a:lnSpc>
            <a:spcBef>
              <a:spcPct val="0"/>
            </a:spcBef>
            <a:spcAft>
              <a:spcPct val="35000"/>
            </a:spcAft>
          </a:pPr>
          <a:r>
            <a:rPr lang="x-none" sz="1000" kern="1200">
              <a:solidFill>
                <a:sysClr val="window" lastClr="FFFFFF"/>
              </a:solidFill>
              <a:latin typeface="Calibri"/>
              <a:ea typeface="+mn-ea"/>
              <a:cs typeface="+mn-cs"/>
            </a:rPr>
            <a:t>Radionica</a:t>
          </a:r>
          <a:r>
            <a:rPr lang="es-ES" sz="1000" kern="1200">
              <a:solidFill>
                <a:sysClr val="window" lastClr="FFFFFF"/>
              </a:solidFill>
              <a:latin typeface="Calibri"/>
              <a:ea typeface="+mn-ea"/>
              <a:cs typeface="+mn-cs"/>
            </a:rPr>
            <a:t> 5 (</a:t>
          </a:r>
          <a:r>
            <a:rPr lang="x-none" sz="1000" kern="1200">
              <a:solidFill>
                <a:sysClr val="window" lastClr="FFFFFF"/>
              </a:solidFill>
              <a:latin typeface="Calibri"/>
              <a:ea typeface="+mn-ea"/>
              <a:cs typeface="+mn-cs"/>
            </a:rPr>
            <a:t>Saobraćaj</a:t>
          </a:r>
          <a:r>
            <a:rPr lang="es-ES" sz="1000" kern="1200">
              <a:solidFill>
                <a:sysClr val="window" lastClr="FFFFFF"/>
              </a:solidFill>
              <a:latin typeface="Calibri"/>
              <a:ea typeface="+mn-ea"/>
              <a:cs typeface="+mn-cs"/>
            </a:rPr>
            <a:t>)</a:t>
          </a:r>
        </a:p>
      </dsp:txBody>
      <dsp:txXfrm rot="-5400000">
        <a:off x="1" y="3407360"/>
        <a:ext cx="611046" cy="261877"/>
      </dsp:txXfrm>
    </dsp:sp>
    <dsp:sp modelId="{16521F66-CF8D-499F-BE59-E66772C868E5}">
      <dsp:nvSpPr>
        <dsp:cNvPr id="0" name=""/>
        <dsp:cNvSpPr/>
      </dsp:nvSpPr>
      <dsp:spPr>
        <a:xfrm rot="5400000">
          <a:off x="2212573" y="1500311"/>
          <a:ext cx="567400" cy="377045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Bilatera</a:t>
          </a:r>
          <a:r>
            <a:rPr lang="x-none" sz="1000" kern="1200">
              <a:solidFill>
                <a:sysClr val="windowText" lastClr="000000">
                  <a:hueOff val="0"/>
                  <a:satOff val="0"/>
                  <a:lumOff val="0"/>
                  <a:alphaOff val="0"/>
                </a:sysClr>
              </a:solidFill>
              <a:latin typeface="Calibri"/>
              <a:ea typeface="+mn-ea"/>
              <a:cs typeface="+mn-cs"/>
            </a:rPr>
            <a:t>lni sastanak sa </a:t>
          </a:r>
          <a:r>
            <a:rPr lang="en-US" sz="1000" kern="1200">
              <a:solidFill>
                <a:sysClr val="windowText" lastClr="000000">
                  <a:hueOff val="0"/>
                  <a:satOff val="0"/>
                  <a:lumOff val="0"/>
                  <a:alphaOff val="0"/>
                </a:sysClr>
              </a:solidFill>
              <a:latin typeface="Calibri"/>
              <a:ea typeface="+mn-ea"/>
              <a:cs typeface="+mn-cs"/>
            </a:rPr>
            <a:t> </a:t>
          </a:r>
          <a:r>
            <a:rPr lang="x-none" sz="1000" kern="1200">
              <a:solidFill>
                <a:sysClr val="windowText" lastClr="000000">
                  <a:hueOff val="0"/>
                  <a:satOff val="0"/>
                  <a:lumOff val="0"/>
                  <a:alphaOff val="0"/>
                </a:sysClr>
              </a:solidFill>
              <a:latin typeface="Calibri"/>
              <a:ea typeface="+mn-ea"/>
              <a:cs typeface="+mn-cs"/>
            </a:rPr>
            <a:t>predstavnicima Ministarstva kapitalnih investicija </a:t>
          </a:r>
          <a:r>
            <a:rPr lang="en-US" sz="1000" kern="1200">
              <a:solidFill>
                <a:sysClr val="windowText" lastClr="000000">
                  <a:hueOff val="0"/>
                  <a:satOff val="0"/>
                  <a:lumOff val="0"/>
                  <a:alphaOff val="0"/>
                </a:sysClr>
              </a:solidFill>
              <a:latin typeface="Calibri"/>
              <a:ea typeface="+mn-ea"/>
              <a:cs typeface="+mn-cs"/>
            </a:rPr>
            <a:t>- </a:t>
          </a:r>
          <a:r>
            <a:rPr lang="x-none" sz="1000" kern="1200">
              <a:solidFill>
                <a:sysClr val="windowText" lastClr="000000">
                  <a:hueOff val="0"/>
                  <a:satOff val="0"/>
                  <a:lumOff val="0"/>
                  <a:alphaOff val="0"/>
                </a:sysClr>
              </a:solidFill>
              <a:latin typeface="Calibri"/>
              <a:ea typeface="+mn-ea"/>
              <a:cs typeface="+mn-cs"/>
            </a:rPr>
            <a:t>Saobraćaj</a:t>
          </a:r>
          <a:endParaRPr lang="es-ES" sz="1000" kern="1200">
            <a:solidFill>
              <a:sysClr val="windowText" lastClr="000000">
                <a:hueOff val="0"/>
                <a:satOff val="0"/>
                <a:lumOff val="0"/>
                <a:alphaOff val="0"/>
              </a:sysClr>
            </a:solidFill>
            <a:latin typeface="Calibri"/>
            <a:ea typeface="+mn-ea"/>
            <a:cs typeface="+mn-cs"/>
          </a:endParaRPr>
        </a:p>
      </dsp:txBody>
      <dsp:txXfrm rot="-5400000">
        <a:off x="611047" y="3129535"/>
        <a:ext cx="3742755" cy="512004"/>
      </dsp:txXfrm>
    </dsp:sp>
    <dsp:sp modelId="{4E2FABC8-B5C5-4BB8-8607-E012E1562642}">
      <dsp:nvSpPr>
        <dsp:cNvPr id="0" name=""/>
        <dsp:cNvSpPr/>
      </dsp:nvSpPr>
      <dsp:spPr>
        <a:xfrm rot="5400000">
          <a:off x="-130938" y="4007317"/>
          <a:ext cx="872923" cy="611046"/>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x-none" sz="900" kern="1200">
              <a:solidFill>
                <a:sysClr val="window" lastClr="FFFFFF"/>
              </a:solidFill>
              <a:latin typeface="Calibri"/>
              <a:ea typeface="+mn-ea"/>
              <a:cs typeface="+mn-cs"/>
            </a:rPr>
            <a:t>Radionica</a:t>
          </a:r>
          <a:r>
            <a:rPr lang="es-ES" sz="900" kern="1200">
              <a:solidFill>
                <a:sysClr val="window" lastClr="FFFFFF"/>
              </a:solidFill>
              <a:latin typeface="Calibri"/>
              <a:ea typeface="+mn-ea"/>
              <a:cs typeface="+mn-cs"/>
            </a:rPr>
            <a:t> 6 (16</a:t>
          </a:r>
          <a:r>
            <a:rPr lang="x-none" sz="900" kern="1200">
              <a:solidFill>
                <a:sysClr val="window" lastClr="FFFFFF"/>
              </a:solidFill>
              <a:latin typeface="Calibri"/>
              <a:ea typeface="+mn-ea"/>
              <a:cs typeface="+mn-cs"/>
            </a:rPr>
            <a:t>.</a:t>
          </a:r>
          <a:r>
            <a:rPr lang="es-ES" sz="900" kern="1200">
              <a:solidFill>
                <a:sysClr val="window" lastClr="FFFFFF"/>
              </a:solidFill>
              <a:latin typeface="Calibri"/>
              <a:ea typeface="+mn-ea"/>
              <a:cs typeface="+mn-cs"/>
            </a:rPr>
            <a:t> </a:t>
          </a:r>
          <a:r>
            <a:rPr lang="x-none" sz="900" kern="1200">
              <a:solidFill>
                <a:sysClr val="window" lastClr="FFFFFF"/>
              </a:solidFill>
              <a:latin typeface="Calibri"/>
              <a:ea typeface="+mn-ea"/>
              <a:cs typeface="+mn-cs"/>
            </a:rPr>
            <a:t>mart</a:t>
          </a:r>
          <a:r>
            <a:rPr lang="es-ES" sz="900" kern="1200">
              <a:solidFill>
                <a:sysClr val="window" lastClr="FFFFFF"/>
              </a:solidFill>
              <a:latin typeface="Calibri"/>
              <a:ea typeface="+mn-ea"/>
              <a:cs typeface="+mn-cs"/>
            </a:rPr>
            <a:t> 2021) </a:t>
          </a:r>
        </a:p>
      </dsp:txBody>
      <dsp:txXfrm rot="-5400000">
        <a:off x="1" y="4181901"/>
        <a:ext cx="611046" cy="261877"/>
      </dsp:txXfrm>
    </dsp:sp>
    <dsp:sp modelId="{084F1E12-2188-42E0-B5AF-79F02B8CC388}">
      <dsp:nvSpPr>
        <dsp:cNvPr id="0" name=""/>
        <dsp:cNvSpPr/>
      </dsp:nvSpPr>
      <dsp:spPr>
        <a:xfrm rot="5400000">
          <a:off x="2212573" y="2274852"/>
          <a:ext cx="567400" cy="377045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Calibri"/>
              <a:ea typeface="+mn-ea"/>
              <a:cs typeface="+mn-cs"/>
            </a:rPr>
            <a:t>(</a:t>
          </a:r>
          <a:r>
            <a:rPr lang="x-none" sz="1000" kern="1200">
              <a:solidFill>
                <a:sysClr val="windowText" lastClr="000000">
                  <a:hueOff val="0"/>
                  <a:satOff val="0"/>
                  <a:lumOff val="0"/>
                  <a:alphaOff val="0"/>
                </a:sysClr>
              </a:solidFill>
              <a:latin typeface="Calibri"/>
              <a:ea typeface="+mn-ea"/>
              <a:cs typeface="+mn-cs"/>
            </a:rPr>
            <a:t>Završna radionica</a:t>
          </a:r>
          <a:r>
            <a:rPr lang="en-GB" sz="1000" kern="1200">
              <a:solidFill>
                <a:sysClr val="windowText" lastClr="000000">
                  <a:hueOff val="0"/>
                  <a:satOff val="0"/>
                  <a:lumOff val="0"/>
                  <a:alphaOff val="0"/>
                </a:sysClr>
              </a:solidFill>
              <a:latin typeface="Calibri"/>
              <a:ea typeface="+mn-ea"/>
              <a:cs typeface="+mn-cs"/>
            </a:rPr>
            <a:t>): </a:t>
          </a:r>
          <a:r>
            <a:rPr lang="x-none" sz="1000" kern="1200">
              <a:solidFill>
                <a:sysClr val="windowText" lastClr="000000">
                  <a:hueOff val="0"/>
                  <a:satOff val="0"/>
                  <a:lumOff val="0"/>
                  <a:alphaOff val="0"/>
                </a:sysClr>
              </a:solidFill>
              <a:latin typeface="Calibri"/>
              <a:ea typeface="+mn-ea"/>
              <a:cs typeface="+mn-cs"/>
            </a:rPr>
            <a:t>Nacrt Strateškog odgovora za Prozor </a:t>
          </a:r>
          <a:r>
            <a:rPr lang="en-GB" sz="1000" kern="1200">
              <a:solidFill>
                <a:sysClr val="windowText" lastClr="000000">
                  <a:hueOff val="0"/>
                  <a:satOff val="0"/>
                  <a:lumOff val="0"/>
                  <a:alphaOff val="0"/>
                </a:sysClr>
              </a:solidFill>
              <a:latin typeface="Calibri"/>
              <a:ea typeface="+mn-ea"/>
              <a:cs typeface="+mn-cs"/>
            </a:rPr>
            <a:t>3 - </a:t>
          </a:r>
          <a:r>
            <a:rPr lang="x-none" sz="1000" kern="1200">
              <a:solidFill>
                <a:sysClr val="windowText" lastClr="000000">
                  <a:hueOff val="0"/>
                  <a:satOff val="0"/>
                  <a:lumOff val="0"/>
                  <a:alphaOff val="0"/>
                </a:sysClr>
              </a:solidFill>
              <a:latin typeface="Calibri"/>
              <a:ea typeface="+mn-ea"/>
              <a:cs typeface="+mn-cs"/>
            </a:rPr>
            <a:t>ODRŽIVA POVEZANOST I ZELENA AGENDA </a:t>
          </a:r>
          <a:r>
            <a:rPr lang="en-GB" sz="1000" kern="1200">
              <a:solidFill>
                <a:sysClr val="windowText" lastClr="000000">
                  <a:hueOff val="0"/>
                  <a:satOff val="0"/>
                  <a:lumOff val="0"/>
                  <a:alphaOff val="0"/>
                </a:sysClr>
              </a:solidFill>
              <a:latin typeface="Calibri"/>
              <a:ea typeface="+mn-ea"/>
              <a:cs typeface="+mn-cs"/>
            </a:rPr>
            <a:t>(</a:t>
          </a:r>
          <a:r>
            <a:rPr lang="x-none" sz="1000" kern="1200">
              <a:solidFill>
                <a:sysClr val="windowText" lastClr="000000">
                  <a:hueOff val="0"/>
                  <a:satOff val="0"/>
                  <a:lumOff val="0"/>
                  <a:alphaOff val="0"/>
                </a:sysClr>
              </a:solidFill>
              <a:latin typeface="Calibri"/>
              <a:ea typeface="+mn-ea"/>
              <a:cs typeface="+mn-cs"/>
            </a:rPr>
            <a:t>pristup od vrha ka dnu-</a:t>
          </a:r>
          <a:r>
            <a:rPr lang="en-GB" sz="1000" i="1" kern="1200">
              <a:solidFill>
                <a:sysClr val="windowText" lastClr="000000">
                  <a:hueOff val="0"/>
                  <a:satOff val="0"/>
                  <a:lumOff val="0"/>
                  <a:alphaOff val="0"/>
                </a:sysClr>
              </a:solidFill>
              <a:latin typeface="Calibri"/>
              <a:ea typeface="+mn-ea"/>
              <a:cs typeface="+mn-cs"/>
            </a:rPr>
            <a:t>top-down</a:t>
          </a:r>
          <a:r>
            <a:rPr lang="en-GB" sz="1000" kern="1200">
              <a:solidFill>
                <a:sysClr val="windowText" lastClr="000000">
                  <a:hueOff val="0"/>
                  <a:satOff val="0"/>
                  <a:lumOff val="0"/>
                  <a:alphaOff val="0"/>
                </a:sysClr>
              </a:solidFill>
              <a:latin typeface="Calibri"/>
              <a:ea typeface="+mn-ea"/>
              <a:cs typeface="+mn-cs"/>
            </a:rPr>
            <a:t>)</a:t>
          </a:r>
          <a:endParaRPr lang="es-ES" sz="1000" kern="1200">
            <a:solidFill>
              <a:sysClr val="windowText" lastClr="000000">
                <a:hueOff val="0"/>
                <a:satOff val="0"/>
                <a:lumOff val="0"/>
                <a:alphaOff val="0"/>
              </a:sysClr>
            </a:solidFill>
            <a:latin typeface="Calibri"/>
            <a:ea typeface="+mn-ea"/>
            <a:cs typeface="+mn-cs"/>
          </a:endParaRPr>
        </a:p>
      </dsp:txBody>
      <dsp:txXfrm rot="-5400000">
        <a:off x="611047" y="3904076"/>
        <a:ext cx="3742755" cy="5120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2B08C-6718-444C-85B2-3492D3E5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129</Pages>
  <Words>74826</Words>
  <Characters>426510</Characters>
  <Application>Microsoft Office Word</Application>
  <DocSecurity>0</DocSecurity>
  <Lines>3554</Lines>
  <Paragraphs>1000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Lenovo</cp:lastModifiedBy>
  <cp:revision>4</cp:revision>
  <dcterms:created xsi:type="dcterms:W3CDTF">2021-12-27T12:50:00Z</dcterms:created>
  <dcterms:modified xsi:type="dcterms:W3CDTF">2021-12-27T17:37:00Z</dcterms:modified>
</cp:coreProperties>
</file>