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289CB" w14:textId="77777777" w:rsidR="00DA785B" w:rsidRPr="00D03D51" w:rsidRDefault="00DA785B" w:rsidP="00AB37C0">
      <w:pPr>
        <w:spacing w:line="276" w:lineRule="auto"/>
        <w:rPr>
          <w:rFonts w:ascii="Arial" w:hAnsi="Arial" w:cs="Arial"/>
          <w:b/>
          <w:color w:val="365F91"/>
          <w:sz w:val="20"/>
          <w:szCs w:val="20"/>
          <w:lang w:val="sr-Latn-ME"/>
        </w:rPr>
      </w:pPr>
    </w:p>
    <w:tbl>
      <w:tblPr>
        <w:tblW w:w="9710" w:type="dxa"/>
        <w:tblLayout w:type="fixed"/>
        <w:tblLook w:val="0000" w:firstRow="0" w:lastRow="0" w:firstColumn="0" w:lastColumn="0" w:noHBand="0" w:noVBand="0"/>
      </w:tblPr>
      <w:tblGrid>
        <w:gridCol w:w="5211"/>
        <w:gridCol w:w="4499"/>
      </w:tblGrid>
      <w:tr w:rsidR="00DA785B" w:rsidRPr="00EB6982" w14:paraId="74B29C42" w14:textId="77777777" w:rsidTr="004F5678">
        <w:tc>
          <w:tcPr>
            <w:tcW w:w="9710" w:type="dxa"/>
            <w:gridSpan w:val="2"/>
            <w:tcBorders>
              <w:top w:val="single" w:sz="8" w:space="0" w:color="C0C0C0"/>
              <w:left w:val="single" w:sz="8" w:space="0" w:color="C0C0C0"/>
              <w:bottom w:val="single" w:sz="20" w:space="0" w:color="C0C0C0"/>
              <w:right w:val="single" w:sz="8" w:space="0" w:color="C0C0C0"/>
            </w:tcBorders>
            <w:shd w:val="clear" w:color="auto" w:fill="auto"/>
          </w:tcPr>
          <w:p w14:paraId="77DD026A" w14:textId="77777777" w:rsidR="00DA785B" w:rsidRPr="00EB6982" w:rsidRDefault="00B30552" w:rsidP="00AB37C0">
            <w:pPr>
              <w:spacing w:line="276" w:lineRule="auto"/>
              <w:jc w:val="center"/>
              <w:rPr>
                <w:rFonts w:ascii="Times New Roman" w:hAnsi="Times New Roman"/>
                <w:b/>
                <w:color w:val="365F91"/>
                <w:sz w:val="22"/>
                <w:lang w:val="pl-PL"/>
              </w:rPr>
            </w:pPr>
            <w:r w:rsidRPr="00EB6982">
              <w:rPr>
                <w:rFonts w:ascii="Times New Roman" w:hAnsi="Times New Roman"/>
                <w:b/>
                <w:color w:val="365F91"/>
                <w:sz w:val="22"/>
                <w:lang w:val="pl-PL"/>
              </w:rPr>
              <w:t>IZVJEŠTAJ O SPROVEDENOJ ANALIZI PROCJENE UTICAJA PROPISA</w:t>
            </w:r>
          </w:p>
        </w:tc>
      </w:tr>
      <w:tr w:rsidR="00DA785B" w:rsidRPr="00EB6982" w14:paraId="3499E3B4" w14:textId="77777777" w:rsidTr="004F5678">
        <w:tc>
          <w:tcPr>
            <w:tcW w:w="5211" w:type="dxa"/>
            <w:tcBorders>
              <w:top w:val="single" w:sz="8" w:space="0" w:color="C0C0C0"/>
              <w:left w:val="single" w:sz="8" w:space="0" w:color="C0C0C0"/>
              <w:bottom w:val="single" w:sz="8" w:space="0" w:color="C0C0C0"/>
              <w:right w:val="single" w:sz="8" w:space="0" w:color="C0C0C0"/>
            </w:tcBorders>
            <w:shd w:val="clear" w:color="auto" w:fill="D2EAF1"/>
          </w:tcPr>
          <w:p w14:paraId="032184A5" w14:textId="77777777" w:rsidR="00DA785B" w:rsidRPr="00EB6982" w:rsidRDefault="00DA785B" w:rsidP="00AB37C0">
            <w:pPr>
              <w:spacing w:before="120" w:line="276" w:lineRule="auto"/>
              <w:rPr>
                <w:rFonts w:ascii="Times New Roman" w:hAnsi="Times New Roman"/>
                <w:b/>
                <w:color w:val="365F91"/>
                <w:sz w:val="22"/>
              </w:rPr>
            </w:pPr>
            <w:r w:rsidRPr="00EB6982">
              <w:rPr>
                <w:rFonts w:ascii="Times New Roman" w:hAnsi="Times New Roman"/>
                <w:b/>
                <w:color w:val="365F91"/>
                <w:sz w:val="22"/>
              </w:rPr>
              <w:t>PREDLAGAČ</w:t>
            </w:r>
          </w:p>
        </w:tc>
        <w:tc>
          <w:tcPr>
            <w:tcW w:w="4499" w:type="dxa"/>
            <w:tcBorders>
              <w:top w:val="single" w:sz="8" w:space="0" w:color="C0C0C0"/>
              <w:left w:val="single" w:sz="8" w:space="0" w:color="C0C0C0"/>
              <w:bottom w:val="single" w:sz="8" w:space="0" w:color="C0C0C0"/>
              <w:right w:val="single" w:sz="8" w:space="0" w:color="C0C0C0"/>
            </w:tcBorders>
            <w:shd w:val="clear" w:color="auto" w:fill="D2EAF1"/>
          </w:tcPr>
          <w:p w14:paraId="37EA5A60" w14:textId="607EF71F" w:rsidR="00DA785B" w:rsidRPr="00EB6982" w:rsidRDefault="00DA785B" w:rsidP="00AB37C0">
            <w:pPr>
              <w:spacing w:before="120" w:line="276" w:lineRule="auto"/>
              <w:rPr>
                <w:rFonts w:ascii="Times New Roman" w:hAnsi="Times New Roman"/>
                <w:b/>
                <w:color w:val="365F91"/>
                <w:sz w:val="22"/>
                <w:lang w:val="pl-PL"/>
              </w:rPr>
            </w:pPr>
            <w:r w:rsidRPr="00EB6982">
              <w:rPr>
                <w:rFonts w:ascii="Times New Roman" w:hAnsi="Times New Roman"/>
                <w:b/>
                <w:color w:val="365F91"/>
                <w:sz w:val="22"/>
                <w:lang w:val="pl-PL"/>
              </w:rPr>
              <w:t xml:space="preserve">MINISTARSTVO </w:t>
            </w:r>
            <w:r w:rsidR="00381BDE" w:rsidRPr="00EB6982">
              <w:rPr>
                <w:rFonts w:ascii="Times New Roman" w:hAnsi="Times New Roman"/>
                <w:b/>
                <w:color w:val="365F91"/>
                <w:sz w:val="22"/>
                <w:lang w:val="pl-PL"/>
              </w:rPr>
              <w:t>FINANSIJA</w:t>
            </w:r>
            <w:r w:rsidR="004F5678" w:rsidRPr="00EB6982">
              <w:rPr>
                <w:rFonts w:ascii="Times New Roman" w:hAnsi="Times New Roman"/>
                <w:b/>
                <w:color w:val="365F91"/>
                <w:sz w:val="22"/>
                <w:lang w:val="pl-PL"/>
              </w:rPr>
              <w:t xml:space="preserve"> </w:t>
            </w:r>
          </w:p>
        </w:tc>
      </w:tr>
      <w:tr w:rsidR="00DA785B" w:rsidRPr="00EB6982" w14:paraId="4E21CBCD" w14:textId="77777777" w:rsidTr="004F5678">
        <w:tc>
          <w:tcPr>
            <w:tcW w:w="5211" w:type="dxa"/>
            <w:tcBorders>
              <w:top w:val="single" w:sz="8" w:space="0" w:color="C0C0C0"/>
              <w:left w:val="single" w:sz="8" w:space="0" w:color="C0C0C0"/>
              <w:bottom w:val="single" w:sz="8" w:space="0" w:color="C0C0C0"/>
              <w:right w:val="single" w:sz="8" w:space="0" w:color="C0C0C0"/>
            </w:tcBorders>
            <w:shd w:val="clear" w:color="auto" w:fill="auto"/>
          </w:tcPr>
          <w:p w14:paraId="0EC13E2B" w14:textId="77777777" w:rsidR="00DA785B" w:rsidRPr="00EB6982" w:rsidRDefault="00DA785B" w:rsidP="00AB37C0">
            <w:pPr>
              <w:spacing w:before="120" w:line="276" w:lineRule="auto"/>
              <w:rPr>
                <w:rFonts w:ascii="Times New Roman" w:hAnsi="Times New Roman"/>
                <w:b/>
                <w:color w:val="365F91"/>
                <w:sz w:val="22"/>
              </w:rPr>
            </w:pPr>
            <w:r w:rsidRPr="00EB6982">
              <w:rPr>
                <w:rFonts w:ascii="Times New Roman" w:hAnsi="Times New Roman"/>
                <w:b/>
                <w:color w:val="365F91"/>
                <w:sz w:val="22"/>
              </w:rPr>
              <w:t>NASLOV PROPISA</w:t>
            </w:r>
          </w:p>
        </w:tc>
        <w:tc>
          <w:tcPr>
            <w:tcW w:w="4499" w:type="dxa"/>
            <w:tcBorders>
              <w:top w:val="single" w:sz="8" w:space="0" w:color="C0C0C0"/>
              <w:left w:val="single" w:sz="8" w:space="0" w:color="C0C0C0"/>
              <w:bottom w:val="single" w:sz="8" w:space="0" w:color="C0C0C0"/>
              <w:right w:val="single" w:sz="8" w:space="0" w:color="C0C0C0"/>
            </w:tcBorders>
            <w:shd w:val="clear" w:color="auto" w:fill="auto"/>
          </w:tcPr>
          <w:p w14:paraId="267ABFEE" w14:textId="3EA852EB" w:rsidR="00DA785B" w:rsidRPr="00EB6982" w:rsidRDefault="00B91486" w:rsidP="00AB37C0">
            <w:pPr>
              <w:spacing w:before="120" w:line="276" w:lineRule="auto"/>
              <w:rPr>
                <w:rFonts w:ascii="Times New Roman" w:hAnsi="Times New Roman"/>
                <w:b/>
                <w:color w:val="44546A" w:themeColor="text2"/>
                <w:sz w:val="22"/>
                <w:lang w:val="sr-Latn-RS"/>
              </w:rPr>
            </w:pPr>
            <w:r>
              <w:rPr>
                <w:rFonts w:ascii="Times New Roman" w:hAnsi="Times New Roman"/>
                <w:b/>
                <w:color w:val="000000" w:themeColor="text1"/>
                <w:sz w:val="22"/>
                <w:lang w:val="pl-PL"/>
              </w:rPr>
              <w:t xml:space="preserve">Nacrt </w:t>
            </w:r>
            <w:r w:rsidR="00F81BCE">
              <w:rPr>
                <w:rFonts w:ascii="Times New Roman" w:hAnsi="Times New Roman"/>
                <w:b/>
                <w:color w:val="000000" w:themeColor="text1"/>
                <w:sz w:val="22"/>
                <w:lang w:val="pl-PL"/>
              </w:rPr>
              <w:t>z</w:t>
            </w:r>
            <w:r w:rsidR="00F81BCE" w:rsidRPr="00F81BCE">
              <w:rPr>
                <w:rFonts w:ascii="Times New Roman" w:hAnsi="Times New Roman"/>
                <w:b/>
                <w:color w:val="000000" w:themeColor="text1"/>
                <w:sz w:val="22"/>
                <w:lang w:val="pl-PL"/>
              </w:rPr>
              <w:t>akona o izmjenama i dopun</w:t>
            </w:r>
            <w:r w:rsidR="009B4298">
              <w:rPr>
                <w:rFonts w:ascii="Times New Roman" w:hAnsi="Times New Roman"/>
                <w:b/>
                <w:color w:val="000000" w:themeColor="text1"/>
                <w:sz w:val="22"/>
                <w:lang w:val="pl-PL"/>
              </w:rPr>
              <w:t>ama</w:t>
            </w:r>
            <w:r w:rsidR="00F81BCE" w:rsidRPr="00F81BCE">
              <w:rPr>
                <w:rFonts w:ascii="Times New Roman" w:hAnsi="Times New Roman"/>
                <w:b/>
                <w:color w:val="000000" w:themeColor="text1"/>
                <w:sz w:val="22"/>
                <w:lang w:val="pl-PL"/>
              </w:rPr>
              <w:t xml:space="preserve"> Zakona o akcizama</w:t>
            </w:r>
          </w:p>
        </w:tc>
      </w:tr>
      <w:tr w:rsidR="00DA785B" w:rsidRPr="00EB6982" w14:paraId="654823F4"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D6E3C9D" w14:textId="77777777" w:rsidR="00DA785B" w:rsidRPr="00EB6982" w:rsidRDefault="00DA785B" w:rsidP="00AB37C0">
            <w:pPr>
              <w:spacing w:before="120" w:line="276" w:lineRule="auto"/>
              <w:rPr>
                <w:rFonts w:ascii="Times New Roman" w:hAnsi="Times New Roman"/>
                <w:b/>
                <w:color w:val="365F91"/>
                <w:sz w:val="22"/>
              </w:rPr>
            </w:pPr>
            <w:proofErr w:type="spellStart"/>
            <w:r w:rsidRPr="00EB6982">
              <w:rPr>
                <w:rFonts w:ascii="Times New Roman" w:hAnsi="Times New Roman"/>
                <w:b/>
                <w:color w:val="365F91"/>
                <w:sz w:val="22"/>
              </w:rPr>
              <w:t>Odjeljak</w:t>
            </w:r>
            <w:proofErr w:type="spellEnd"/>
            <w:r w:rsidRPr="00EB6982">
              <w:rPr>
                <w:rFonts w:ascii="Times New Roman" w:hAnsi="Times New Roman"/>
                <w:b/>
                <w:color w:val="365F91"/>
                <w:sz w:val="22"/>
              </w:rPr>
              <w:t xml:space="preserve"> 1: </w:t>
            </w:r>
            <w:proofErr w:type="spellStart"/>
            <w:r w:rsidRPr="00EB6982">
              <w:rPr>
                <w:rFonts w:ascii="Times New Roman" w:hAnsi="Times New Roman"/>
                <w:b/>
                <w:color w:val="365F91"/>
                <w:sz w:val="22"/>
              </w:rPr>
              <w:t>Definisanje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problema</w:t>
            </w:r>
            <w:proofErr w:type="spellEnd"/>
          </w:p>
          <w:p w14:paraId="491819FE"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Koje probleme  treba da riješi predloženi akt?</w:t>
            </w:r>
          </w:p>
          <w:p w14:paraId="3CA9FFA3"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rPr>
            </w:pPr>
            <w:proofErr w:type="spellStart"/>
            <w:r w:rsidRPr="00EB6982">
              <w:rPr>
                <w:rFonts w:ascii="Times New Roman" w:hAnsi="Times New Roman"/>
                <w:b/>
                <w:color w:val="365F91"/>
                <w:sz w:val="22"/>
              </w:rPr>
              <w:t>Što</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su</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uzroci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problema</w:t>
            </w:r>
            <w:proofErr w:type="spellEnd"/>
            <w:r w:rsidRPr="00EB6982">
              <w:rPr>
                <w:rFonts w:ascii="Times New Roman" w:hAnsi="Times New Roman"/>
                <w:b/>
                <w:color w:val="365F91"/>
                <w:sz w:val="22"/>
              </w:rPr>
              <w:t>?</w:t>
            </w:r>
          </w:p>
          <w:p w14:paraId="60C0EC4D"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rPr>
            </w:pPr>
            <w:proofErr w:type="spellStart"/>
            <w:r w:rsidRPr="00EB6982">
              <w:rPr>
                <w:rFonts w:ascii="Times New Roman" w:hAnsi="Times New Roman"/>
                <w:b/>
                <w:color w:val="365F91"/>
                <w:sz w:val="22"/>
              </w:rPr>
              <w:t>Što</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su</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posljedice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problema</w:t>
            </w:r>
            <w:proofErr w:type="spellEnd"/>
            <w:r w:rsidRPr="00EB6982">
              <w:rPr>
                <w:rFonts w:ascii="Times New Roman" w:hAnsi="Times New Roman"/>
                <w:b/>
                <w:color w:val="365F91"/>
                <w:sz w:val="22"/>
              </w:rPr>
              <w:t>?</w:t>
            </w:r>
          </w:p>
          <w:p w14:paraId="643628E0"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Ko je oštećen, na koji način i koliko?</w:t>
            </w:r>
          </w:p>
          <w:p w14:paraId="0CCB1097"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Kako bi problem evoluirao bez promjene propisa (“status quo” opcija)?</w:t>
            </w:r>
          </w:p>
        </w:tc>
      </w:tr>
      <w:tr w:rsidR="00DA785B" w:rsidRPr="00EB6982" w14:paraId="567E1D16"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60ADAEF4" w14:textId="73765ADB" w:rsidR="00B91486" w:rsidRPr="00B91486" w:rsidRDefault="00B91486" w:rsidP="00B91486">
            <w:pPr>
              <w:tabs>
                <w:tab w:val="left" w:pos="279"/>
              </w:tabs>
              <w:rPr>
                <w:rFonts w:ascii="Times New Roman" w:hAnsi="Times New Roman"/>
                <w:bCs w:val="0"/>
                <w:sz w:val="22"/>
                <w:lang w:val="hr" w:eastAsia="sr-Latn-ME"/>
              </w:rPr>
            </w:pPr>
            <w:r>
              <w:rPr>
                <w:rFonts w:ascii="Arial" w:hAnsi="Arial" w:cs="Arial"/>
                <w:bCs w:val="0"/>
                <w:sz w:val="22"/>
                <w:lang w:val="hr" w:eastAsia="sr-Latn-ME"/>
              </w:rPr>
              <w:tab/>
            </w:r>
            <w:r w:rsidRPr="00B91486">
              <w:rPr>
                <w:rFonts w:ascii="Times New Roman" w:hAnsi="Times New Roman"/>
                <w:bCs w:val="0"/>
                <w:sz w:val="22"/>
                <w:lang w:val="hr" w:eastAsia="sr-Latn-ME"/>
              </w:rPr>
              <w:t>Polazeći od ciljeva predstavljenih Fiskalnom strategijom Crne Gore za period 2024-2027 godina, prilikom donošenja novih i izmjena postojećih politika želi se izvršiti usaglašavanje propisa iz domena fiskalne politike sa relevantnom regulativom EU, što je u skladu sa preuzetim obavezama u okviru agende iz pregovaračkog poglavlja 16 (oporezivanje). S tim u vezi, ovim zakonom se predlaže nastavak usaglašavanja važećeg Zakona o akcizama, sa:</w:t>
            </w:r>
          </w:p>
          <w:p w14:paraId="021DB83C" w14:textId="77777777" w:rsidR="00B91486" w:rsidRPr="00B91486" w:rsidRDefault="00B91486" w:rsidP="00B91486">
            <w:p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 Direktivom Savjeta (EU) 2020/262 od 19. decembra o opštim aranžmanima za akcize, kojom se mijenja Direktiva 2008/118 (EU) od 16.decembra 2008. o opštim aranžmanima za akcize i stavljanju van snage Direktive 92/12/EE;</w:t>
            </w:r>
          </w:p>
          <w:p w14:paraId="4931975C" w14:textId="77777777" w:rsidR="00B91486" w:rsidRPr="00B91486" w:rsidRDefault="00B91486" w:rsidP="00B91486">
            <w:p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 Direktivom Savjeta (EU) 2003/96/EZ od 27. oktobra 2003. o restrukturiranju sistema Zajednice za oporezivanje energenata i električne energije;</w:t>
            </w:r>
          </w:p>
          <w:p w14:paraId="552EB537" w14:textId="77777777" w:rsidR="00F81BCE" w:rsidRDefault="00B91486" w:rsidP="00B91486">
            <w:p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 Direktivom Savjeta (EU) 2020/1151 od 29. jula 2020. o izmjeni Direktive 92/83/EEZ o usklađivanju struktura akciza na alkohol i alkoholna pića.</w:t>
            </w:r>
          </w:p>
          <w:p w14:paraId="6899271B" w14:textId="203C2579" w:rsidR="002A34DB" w:rsidRPr="00B91486" w:rsidRDefault="002A34DB" w:rsidP="00B91486">
            <w:pPr>
              <w:tabs>
                <w:tab w:val="left" w:pos="279"/>
              </w:tabs>
              <w:rPr>
                <w:rFonts w:ascii="Times New Roman" w:hAnsi="Times New Roman"/>
                <w:bCs w:val="0"/>
                <w:sz w:val="22"/>
                <w:lang w:val="hr" w:eastAsia="sr-Latn-ME"/>
              </w:rPr>
            </w:pPr>
            <w:r>
              <w:rPr>
                <w:rFonts w:ascii="Times New Roman" w:hAnsi="Times New Roman"/>
                <w:bCs w:val="0"/>
                <w:sz w:val="22"/>
                <w:lang w:val="hr" w:eastAsia="sr-Latn-ME"/>
              </w:rPr>
              <w:t xml:space="preserve">Na ovaj način će se obezbijediti ciljevi koji su postavljeni dinamikom usklađivanja zakona iz oblasti Poglavlja 16 (oporezivanje), sa direktivama EU a sa ciljem privremenog zatvaranja Poglavlja do kraja 2026. godine. </w:t>
            </w:r>
          </w:p>
        </w:tc>
      </w:tr>
      <w:tr w:rsidR="00DA785B" w:rsidRPr="00EB6982" w14:paraId="39FE57A0"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F2EAC82" w14:textId="77777777" w:rsidR="00DA785B" w:rsidRPr="00EB6982" w:rsidRDefault="00DA785B" w:rsidP="00AB37C0">
            <w:pPr>
              <w:spacing w:before="120" w:line="276" w:lineRule="auto"/>
              <w:rPr>
                <w:rFonts w:ascii="Times New Roman" w:hAnsi="Times New Roman"/>
                <w:b/>
                <w:color w:val="365F91"/>
                <w:sz w:val="22"/>
              </w:rPr>
            </w:pPr>
            <w:r w:rsidRPr="00EB6982">
              <w:rPr>
                <w:rFonts w:ascii="Times New Roman" w:hAnsi="Times New Roman"/>
                <w:b/>
                <w:color w:val="365F91"/>
                <w:sz w:val="22"/>
              </w:rPr>
              <w:t>2</w:t>
            </w:r>
            <w:r w:rsidR="00864B6A" w:rsidRPr="00EB6982">
              <w:rPr>
                <w:rFonts w:ascii="Times New Roman" w:hAnsi="Times New Roman"/>
                <w:b/>
                <w:color w:val="365F91"/>
                <w:sz w:val="22"/>
              </w:rPr>
              <w:t>.</w:t>
            </w:r>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Ciljevi</w:t>
            </w:r>
            <w:proofErr w:type="spellEnd"/>
          </w:p>
          <w:p w14:paraId="7C9CD70E" w14:textId="77777777" w:rsidR="00DA785B" w:rsidRPr="00EB6982" w:rsidRDefault="00DA785B" w:rsidP="00AB37C0">
            <w:pPr>
              <w:pStyle w:val="ListParagraph"/>
              <w:numPr>
                <w:ilvl w:val="0"/>
                <w:numId w:val="3"/>
              </w:numPr>
              <w:spacing w:before="120" w:line="276" w:lineRule="auto"/>
              <w:jc w:val="left"/>
              <w:rPr>
                <w:rFonts w:ascii="Times New Roman" w:hAnsi="Times New Roman"/>
                <w:b/>
                <w:color w:val="365F91"/>
                <w:sz w:val="22"/>
                <w:lang w:val="nb-NO"/>
              </w:rPr>
            </w:pPr>
            <w:r w:rsidRPr="00EB6982">
              <w:rPr>
                <w:rFonts w:ascii="Times New Roman" w:hAnsi="Times New Roman"/>
                <w:b/>
                <w:color w:val="365F91"/>
                <w:sz w:val="22"/>
                <w:lang w:val="nb-NO"/>
              </w:rPr>
              <w:t>Koji ciljevi se postižu predloženim propisom ?</w:t>
            </w:r>
          </w:p>
          <w:p w14:paraId="27F34081" w14:textId="77777777" w:rsidR="00DA785B" w:rsidRPr="00EB6982" w:rsidRDefault="00DA785B" w:rsidP="00AB37C0">
            <w:pPr>
              <w:pStyle w:val="ListParagraph"/>
              <w:numPr>
                <w:ilvl w:val="0"/>
                <w:numId w:val="3"/>
              </w:numPr>
              <w:spacing w:before="120" w:line="276" w:lineRule="auto"/>
              <w:rPr>
                <w:rFonts w:ascii="Times New Roman" w:hAnsi="Times New Roman"/>
                <w:b/>
                <w:color w:val="365F91"/>
                <w:sz w:val="22"/>
                <w:lang w:val="nb-NO"/>
              </w:rPr>
            </w:pPr>
            <w:r w:rsidRPr="00EB6982">
              <w:rPr>
                <w:rFonts w:ascii="Times New Roman" w:hAnsi="Times New Roman"/>
                <w:b/>
                <w:color w:val="365F91"/>
                <w:sz w:val="22"/>
                <w:lang w:val="nb-NO"/>
              </w:rPr>
              <w:t>Navesti dosljednost ovih ciljeva sa postojećim strategijama ili programima Vlade, ako je primjenljivo.</w:t>
            </w:r>
          </w:p>
        </w:tc>
      </w:tr>
      <w:tr w:rsidR="00DA785B" w:rsidRPr="00EB6982" w14:paraId="43F276D8"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53E24115" w14:textId="77777777" w:rsidR="00B13F4F" w:rsidRPr="00B91486" w:rsidRDefault="00B13F4F" w:rsidP="00B13F4F">
            <w:pPr>
              <w:suppressAutoHyphens w:val="0"/>
              <w:spacing w:after="160" w:line="276" w:lineRule="auto"/>
              <w:contextualSpacing/>
              <w:rPr>
                <w:rFonts w:ascii="Times New Roman" w:hAnsi="Times New Roman"/>
                <w:color w:val="000000" w:themeColor="text1"/>
                <w:sz w:val="22"/>
                <w:lang w:val="hr"/>
              </w:rPr>
            </w:pPr>
          </w:p>
          <w:p w14:paraId="0D2E1CA9" w14:textId="69E22F83" w:rsidR="00B91486" w:rsidRPr="00B91486" w:rsidRDefault="00B91486" w:rsidP="00B91486">
            <w:pPr>
              <w:tabs>
                <w:tab w:val="left" w:pos="279"/>
              </w:tabs>
              <w:rPr>
                <w:rFonts w:ascii="Times New Roman" w:hAnsi="Times New Roman"/>
                <w:bCs w:val="0"/>
                <w:sz w:val="22"/>
                <w:lang w:val="hr" w:eastAsia="sr-Latn-ME"/>
              </w:rPr>
            </w:pPr>
            <w:r>
              <w:rPr>
                <w:rFonts w:ascii="Times New Roman" w:hAnsi="Times New Roman"/>
                <w:bCs w:val="0"/>
                <w:sz w:val="22"/>
                <w:lang w:val="hr" w:eastAsia="sr-Latn-ME"/>
              </w:rPr>
              <w:t xml:space="preserve">      </w:t>
            </w:r>
            <w:r w:rsidR="0065633A">
              <w:rPr>
                <w:rFonts w:ascii="Times New Roman" w:hAnsi="Times New Roman"/>
                <w:bCs w:val="0"/>
                <w:sz w:val="22"/>
                <w:lang w:val="hr" w:eastAsia="sr-Latn-ME"/>
              </w:rPr>
              <w:t>Ciljevi koji se žele postići predloženim propisom se odnosi na u</w:t>
            </w:r>
            <w:r w:rsidRPr="00B91486">
              <w:rPr>
                <w:rFonts w:ascii="Times New Roman" w:hAnsi="Times New Roman"/>
                <w:bCs w:val="0"/>
                <w:sz w:val="22"/>
                <w:lang w:val="hr" w:eastAsia="sr-Latn-ME"/>
              </w:rPr>
              <w:t>sklađivanje Zakona o akcizama sa Direktivom Savjeta (EU) 2020/262 u dijelu odredaba koje se odnose na proizvodnju, preradu, držanje i skladištenje akcizne robe (Poglavlje III Direktive), kao i odredaba o kretanju akcizne robe u režimu odloženog plaćanja akcize (Poglavlje IV Direktive), koji se odvija uz primjenu kompjuterizovanog sistema za evidentiranje i praćenje kretanja akcizne robe (Excise Movement and Control System – EMCS). Navedeni sistem u Evropskoj uniji koristi 190.000 privrednih subjekata što je ključni instrument za olakšavanje njihovog poslovanja prilikom prometa akciznim proizvodima i sredstvo za saradnju i razmjenu informacija između zemalja Evropske unije, u skladu i sa zahtjevima iz Odluke (EU) 2020/263 Evropskog parlamenta i Savjeta o elektronskoj obradi kretanja i nadzora akciznih proizvoda.</w:t>
            </w:r>
          </w:p>
          <w:p w14:paraId="1EBAAB79" w14:textId="77777777" w:rsidR="00B91486" w:rsidRPr="00B91486" w:rsidRDefault="00B91486" w:rsidP="00B91486">
            <w:p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ab/>
              <w:t xml:space="preserve">Usklađivanje Zakona o akcizama sa Direktivom Savjeta (EU) 2003/96/EZ  o restrukturiranju sistema Zajednice za oporezivanje energenata i električne energije, se odnosi na odredbe kojima je propisano da </w:t>
            </w:r>
            <w:r w:rsidRPr="00B91486">
              <w:rPr>
                <w:rFonts w:ascii="Times New Roman" w:hAnsi="Times New Roman"/>
                <w:bCs w:val="0"/>
                <w:sz w:val="22"/>
                <w:lang w:val="hr" w:eastAsia="sr-Latn-ME"/>
              </w:rPr>
              <w:lastRenderedPageBreak/>
              <w:t xml:space="preserve">države članice mogu odobravati oslobođenje od poreza ili snižene visine oporezivanja, i to direktno, putem različitih stopa ili povraćajem cijelog ili dijela naplaćenih poreza, uz uslov da se poštuju najniže visine poreza propisanih ovom direktivom. Ministarstvo finansija se od mogućih opcija opredijelilo za sistem povraćaja, pa se predloženim odredbama vrši  unaprjeđenje postojećeg zakonskog rješenja u dijelu obuhvata korisnika prava, kao i uslova za ostvarivanje prava na povraćaj cijele ili dijela plaćenje akcize za gasna ulja (dizel) koja se upotrebljavaju: </w:t>
            </w:r>
          </w:p>
          <w:p w14:paraId="7A5111E0" w14:textId="77777777" w:rsidR="00B91486" w:rsidRPr="00B91486" w:rsidRDefault="00B91486" w:rsidP="00B91486">
            <w:pPr>
              <w:tabs>
                <w:tab w:val="left" w:pos="279"/>
              </w:tabs>
              <w:spacing w:line="276" w:lineRule="auto"/>
              <w:rPr>
                <w:rFonts w:ascii="Times New Roman" w:hAnsi="Times New Roman"/>
                <w:bCs w:val="0"/>
                <w:sz w:val="22"/>
                <w:lang w:val="hr" w:eastAsia="sr-Latn-ME"/>
              </w:rPr>
            </w:pPr>
            <w:r w:rsidRPr="00B91486">
              <w:rPr>
                <w:rFonts w:ascii="Times New Roman" w:hAnsi="Times New Roman"/>
                <w:bCs w:val="0"/>
                <w:sz w:val="22"/>
                <w:lang w:val="hr" w:eastAsia="sr-Latn-ME"/>
              </w:rPr>
              <w:tab/>
              <w:t>-</w:t>
            </w:r>
            <w:r w:rsidRPr="00B91486">
              <w:rPr>
                <w:rFonts w:ascii="Times New Roman" w:hAnsi="Times New Roman"/>
                <w:bCs w:val="0"/>
                <w:sz w:val="22"/>
                <w:lang w:val="hr" w:eastAsia="sr-Latn-ME"/>
              </w:rPr>
              <w:tab/>
              <w:t>za industrijske i komercijalne svrhe;</w:t>
            </w:r>
          </w:p>
          <w:p w14:paraId="1327C52D" w14:textId="77777777" w:rsidR="00B91486" w:rsidRPr="00B91486" w:rsidRDefault="00B91486" w:rsidP="00B91486">
            <w:pPr>
              <w:tabs>
                <w:tab w:val="left" w:pos="279"/>
              </w:tabs>
              <w:spacing w:line="276" w:lineRule="auto"/>
              <w:rPr>
                <w:rFonts w:ascii="Times New Roman" w:hAnsi="Times New Roman"/>
                <w:bCs w:val="0"/>
                <w:sz w:val="22"/>
                <w:lang w:val="hr" w:eastAsia="sr-Latn-ME"/>
              </w:rPr>
            </w:pPr>
            <w:r w:rsidRPr="00B91486">
              <w:rPr>
                <w:rFonts w:ascii="Times New Roman" w:hAnsi="Times New Roman"/>
                <w:bCs w:val="0"/>
                <w:sz w:val="22"/>
                <w:lang w:val="hr" w:eastAsia="sr-Latn-ME"/>
              </w:rPr>
              <w:tab/>
              <w:t>-</w:t>
            </w:r>
            <w:r w:rsidRPr="00B91486">
              <w:rPr>
                <w:rFonts w:ascii="Times New Roman" w:hAnsi="Times New Roman"/>
                <w:bCs w:val="0"/>
                <w:sz w:val="22"/>
                <w:lang w:val="hr" w:eastAsia="sr-Latn-ME"/>
              </w:rPr>
              <w:tab/>
              <w:t>za grijanje;</w:t>
            </w:r>
          </w:p>
          <w:p w14:paraId="77C3FA21" w14:textId="77777777" w:rsidR="00B91486" w:rsidRPr="00B91486" w:rsidRDefault="00B91486" w:rsidP="00B91486">
            <w:pPr>
              <w:tabs>
                <w:tab w:val="left" w:pos="279"/>
              </w:tabs>
              <w:spacing w:line="276" w:lineRule="auto"/>
              <w:rPr>
                <w:rFonts w:ascii="Times New Roman" w:hAnsi="Times New Roman"/>
                <w:bCs w:val="0"/>
                <w:sz w:val="22"/>
                <w:lang w:val="hr" w:eastAsia="sr-Latn-ME"/>
              </w:rPr>
            </w:pPr>
            <w:r w:rsidRPr="00B91486">
              <w:rPr>
                <w:rFonts w:ascii="Times New Roman" w:hAnsi="Times New Roman"/>
                <w:bCs w:val="0"/>
                <w:sz w:val="22"/>
                <w:lang w:val="hr" w:eastAsia="sr-Latn-ME"/>
              </w:rPr>
              <w:tab/>
              <w:t>-</w:t>
            </w:r>
            <w:r w:rsidRPr="00B91486">
              <w:rPr>
                <w:rFonts w:ascii="Times New Roman" w:hAnsi="Times New Roman"/>
                <w:bCs w:val="0"/>
                <w:sz w:val="22"/>
                <w:lang w:val="hr" w:eastAsia="sr-Latn-ME"/>
              </w:rPr>
              <w:tab/>
              <w:t>u avionskom i pomorskom saobraćaju;</w:t>
            </w:r>
          </w:p>
          <w:p w14:paraId="345FB954" w14:textId="77777777" w:rsidR="00B91486" w:rsidRPr="00B91486" w:rsidRDefault="00B91486" w:rsidP="00B91486">
            <w:pPr>
              <w:tabs>
                <w:tab w:val="left" w:pos="279"/>
              </w:tabs>
              <w:spacing w:line="276" w:lineRule="auto"/>
              <w:rPr>
                <w:rFonts w:ascii="Times New Roman" w:hAnsi="Times New Roman"/>
                <w:bCs w:val="0"/>
                <w:sz w:val="22"/>
                <w:lang w:val="hr" w:eastAsia="sr-Latn-ME"/>
              </w:rPr>
            </w:pPr>
            <w:r w:rsidRPr="00B91486">
              <w:rPr>
                <w:rFonts w:ascii="Times New Roman" w:hAnsi="Times New Roman"/>
                <w:bCs w:val="0"/>
                <w:sz w:val="22"/>
                <w:lang w:val="hr" w:eastAsia="sr-Latn-ME"/>
              </w:rPr>
              <w:tab/>
              <w:t>-</w:t>
            </w:r>
            <w:r w:rsidRPr="00B91486">
              <w:rPr>
                <w:rFonts w:ascii="Times New Roman" w:hAnsi="Times New Roman"/>
                <w:bCs w:val="0"/>
                <w:sz w:val="22"/>
                <w:lang w:val="hr" w:eastAsia="sr-Latn-ME"/>
              </w:rPr>
              <w:tab/>
              <w:t>za pogon poljoprivrednih mašina;</w:t>
            </w:r>
          </w:p>
          <w:p w14:paraId="05C07919" w14:textId="487C3A76" w:rsidR="00B13F4F" w:rsidRPr="0065633A" w:rsidRDefault="00B91486" w:rsidP="0065633A">
            <w:pPr>
              <w:tabs>
                <w:tab w:val="left" w:pos="279"/>
              </w:tabs>
              <w:spacing w:line="276" w:lineRule="auto"/>
              <w:rPr>
                <w:rFonts w:ascii="Times New Roman" w:hAnsi="Times New Roman"/>
                <w:bCs w:val="0"/>
                <w:sz w:val="22"/>
                <w:lang w:val="hr" w:eastAsia="sr-Latn-ME"/>
              </w:rPr>
            </w:pPr>
            <w:r w:rsidRPr="00B91486">
              <w:rPr>
                <w:rFonts w:ascii="Times New Roman" w:hAnsi="Times New Roman"/>
                <w:bCs w:val="0"/>
                <w:sz w:val="22"/>
                <w:lang w:val="hr" w:eastAsia="sr-Latn-ME"/>
              </w:rPr>
              <w:tab/>
              <w:t>-</w:t>
            </w:r>
            <w:r w:rsidRPr="00B91486">
              <w:rPr>
                <w:rFonts w:ascii="Times New Roman" w:hAnsi="Times New Roman"/>
                <w:bCs w:val="0"/>
                <w:sz w:val="22"/>
                <w:lang w:val="hr" w:eastAsia="sr-Latn-ME"/>
              </w:rPr>
              <w:tab/>
              <w:t>za pogon ribolovnih plovnih objekata.</w:t>
            </w:r>
          </w:p>
        </w:tc>
      </w:tr>
      <w:tr w:rsidR="00DA785B" w:rsidRPr="00EB6982" w14:paraId="0A7102B9"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7C6103D" w14:textId="77777777" w:rsidR="00DA785B" w:rsidRPr="00EB6982" w:rsidRDefault="00DA785B" w:rsidP="00AB37C0">
            <w:pPr>
              <w:spacing w:line="276" w:lineRule="auto"/>
              <w:rPr>
                <w:rFonts w:ascii="Times New Roman" w:hAnsi="Times New Roman"/>
                <w:b/>
                <w:color w:val="365F91"/>
                <w:sz w:val="22"/>
              </w:rPr>
            </w:pPr>
            <w:r w:rsidRPr="00EB6982">
              <w:rPr>
                <w:rFonts w:ascii="Times New Roman" w:hAnsi="Times New Roman"/>
                <w:b/>
                <w:color w:val="365F91"/>
                <w:sz w:val="22"/>
              </w:rPr>
              <w:lastRenderedPageBreak/>
              <w:t>3</w:t>
            </w:r>
            <w:r w:rsidR="00864B6A" w:rsidRPr="00EB6982">
              <w:rPr>
                <w:rFonts w:ascii="Times New Roman" w:hAnsi="Times New Roman"/>
                <w:b/>
                <w:color w:val="365F91"/>
                <w:sz w:val="22"/>
              </w:rPr>
              <w:t>.</w:t>
            </w:r>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Opcije</w:t>
            </w:r>
            <w:proofErr w:type="spellEnd"/>
          </w:p>
          <w:p w14:paraId="1469D0D9" w14:textId="77777777" w:rsidR="00DA785B" w:rsidRPr="00EB6982" w:rsidRDefault="00DA785B" w:rsidP="00AB37C0">
            <w:pPr>
              <w:pStyle w:val="ListParagraph"/>
              <w:numPr>
                <w:ilvl w:val="0"/>
                <w:numId w:val="5"/>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Koje su moguće opcije za ispunjavanje ciljeva i rješavanje problema? (uvijek treba razmatrati “status quo” opciju i preporučljivo je uključiti i neregulatornu opciju, osim ako postoji obaveza pravnog djelovanja).</w:t>
            </w:r>
          </w:p>
          <w:p w14:paraId="3A7DE2C2" w14:textId="77777777" w:rsidR="00DA785B" w:rsidRPr="00EB6982" w:rsidRDefault="00DA785B" w:rsidP="00AB37C0">
            <w:pPr>
              <w:pStyle w:val="ListParagraph"/>
              <w:numPr>
                <w:ilvl w:val="0"/>
                <w:numId w:val="5"/>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Obrazložiti preferiranu, tj izabranu opciju.</w:t>
            </w:r>
          </w:p>
        </w:tc>
      </w:tr>
      <w:tr w:rsidR="00DA785B" w:rsidRPr="00EB6982" w14:paraId="1F65FF5D"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631EC1EB" w14:textId="0DC2ADB5" w:rsidR="009B077B" w:rsidRDefault="00B91486" w:rsidP="00B91486">
            <w:pPr>
              <w:pStyle w:val="ListParagraph"/>
              <w:numPr>
                <w:ilvl w:val="0"/>
                <w:numId w:val="25"/>
              </w:num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Usklađivanje Zakona o akcizama sa Direktivom Savjeta (EU) 2020/262 planirano je u dijelu odredaba koje se odnose na proizvodnju, preradu, držanje i skladištenje akcizne robe (Poglavlje III Direktive), kao i odredaba o kretanju akcizne robe u režimu odloženog plaćanja akcize (Poglavlje IV Direktive), koji se odvija uz primjenu kompjuterizovanog sistema za evidentiranje i praćenje kretanja akcizne robe (Excise Movement and Control System – EMCS). Navedeni sistem u Evropskoj uniji koristi 190.000 privrednih subjekata što je ključni instrument za olakšavanje njihovog poslovanja prilikom prometa akciznim proizvodima i sredstvo za saradnju i razmjenu informacija između zemalja Evropske unije, u skladu i sa zahtjevima iz Odluke (EU) 2020/263 Evropskog parlamenta i Savjeta o elektronskoj obradi kretanja i nadzora akciznih proizvoda.</w:t>
            </w:r>
            <w:r>
              <w:rPr>
                <w:rFonts w:ascii="Times New Roman" w:hAnsi="Times New Roman"/>
                <w:bCs w:val="0"/>
                <w:sz w:val="22"/>
                <w:lang w:val="hr" w:eastAsia="sr-Latn-ME"/>
              </w:rPr>
              <w:t xml:space="preserve"> </w:t>
            </w:r>
            <w:r w:rsidRPr="00B91486">
              <w:rPr>
                <w:rFonts w:ascii="Times New Roman" w:hAnsi="Times New Roman"/>
                <w:bCs w:val="0"/>
                <w:sz w:val="22"/>
                <w:lang w:val="hr" w:eastAsia="sr-Latn-ME"/>
              </w:rPr>
              <w:t xml:space="preserve">U skladu sa ciljevama sadržanim u navedenim propisima, </w:t>
            </w:r>
            <w:bookmarkStart w:id="0" w:name="_Hlk199758648"/>
            <w:r w:rsidRPr="00B91486">
              <w:rPr>
                <w:rFonts w:ascii="Times New Roman" w:hAnsi="Times New Roman"/>
                <w:bCs w:val="0"/>
                <w:sz w:val="22"/>
                <w:lang w:val="hr" w:eastAsia="sr-Latn-ME"/>
              </w:rPr>
              <w:t>Ministarstvo finansija i Uprava carina iz sredstava obezbijeđenih u okviru Instrumenta pred-pristupne pomoći (IPA III), 2021-2027, u iznosu od cca 600.000,00 eura, do polovine 2025. godine pokreću tendersku proceduru za implementaciju projekta "Nadogradnja nacionalne aplikacije za akcize u skladu sa svim funkcionalnostima EU EMCS sistema". Planirano je da, nakon odabira izvođača, implementacija nadogradnje traje 18 mjeseci, a održavanje tokom sledećih 12 mjeseci.</w:t>
            </w:r>
            <w:r w:rsidRPr="00B91486">
              <w:rPr>
                <w:rFonts w:ascii="Times New Roman" w:hAnsi="Times New Roman"/>
                <w:bCs w:val="0"/>
                <w:sz w:val="22"/>
                <w:lang w:eastAsia="sr-Latn-ME"/>
              </w:rPr>
              <w:t xml:space="preserve"> </w:t>
            </w:r>
            <w:r w:rsidRPr="00B91486">
              <w:rPr>
                <w:rFonts w:ascii="Times New Roman" w:hAnsi="Times New Roman"/>
                <w:bCs w:val="0"/>
                <w:sz w:val="22"/>
                <w:lang w:val="hr" w:eastAsia="sr-Latn-ME"/>
              </w:rPr>
              <w:t>Predložene odredbe će se primjenjivati od dana pristupanja Crne Gore Evropskoj uniji, a u međuvremenu će se pripremiti i usvojiti neophodni podzakonski propisi za njihovu implementaciju.</w:t>
            </w:r>
            <w:bookmarkEnd w:id="0"/>
          </w:p>
          <w:p w14:paraId="008EA6EA" w14:textId="77777777" w:rsidR="00B91486" w:rsidRDefault="00B91486" w:rsidP="00B91486">
            <w:pPr>
              <w:pStyle w:val="ListParagraph"/>
              <w:tabs>
                <w:tab w:val="left" w:pos="279"/>
              </w:tabs>
              <w:ind w:left="720"/>
              <w:rPr>
                <w:rFonts w:ascii="Times New Roman" w:hAnsi="Times New Roman"/>
                <w:bCs w:val="0"/>
                <w:sz w:val="22"/>
                <w:lang w:val="hr" w:eastAsia="sr-Latn-ME"/>
              </w:rPr>
            </w:pPr>
          </w:p>
          <w:p w14:paraId="1880C72E" w14:textId="14E63746" w:rsidR="00B91486" w:rsidRPr="00B91486" w:rsidRDefault="00B91486" w:rsidP="00B91486">
            <w:pPr>
              <w:pStyle w:val="ListParagraph"/>
              <w:numPr>
                <w:ilvl w:val="0"/>
                <w:numId w:val="25"/>
              </w:numPr>
              <w:tabs>
                <w:tab w:val="left" w:pos="279"/>
              </w:tabs>
              <w:rPr>
                <w:rFonts w:ascii="Times New Roman" w:hAnsi="Times New Roman"/>
                <w:bCs w:val="0"/>
                <w:sz w:val="22"/>
                <w:lang w:val="hr" w:eastAsia="sr-Latn-ME"/>
              </w:rPr>
            </w:pPr>
            <w:r w:rsidRPr="00B91486">
              <w:rPr>
                <w:rFonts w:ascii="Times New Roman" w:hAnsi="Times New Roman"/>
                <w:bCs w:val="0"/>
                <w:sz w:val="22"/>
                <w:lang w:val="hr" w:eastAsia="sr-Latn-ME"/>
              </w:rPr>
              <w:t xml:space="preserve">Unaprjeđenje postojećeg pravnog okvira u dijelu odredaba koje se odnos na povraćaj plaćene akcize u skladu sa Direktivom </w:t>
            </w:r>
            <w:r w:rsidRPr="00B91486">
              <w:rPr>
                <w:rFonts w:ascii="Times New Roman" w:hAnsi="Times New Roman"/>
                <w:bCs w:val="0"/>
                <w:sz w:val="22"/>
                <w:lang w:val="hr" w:eastAsia="sr-Latn-ME"/>
              </w:rPr>
              <w:t>Savjeta (EU) 2003/96/EZ od 27. oktobra 2003. o restrukturiranju sistema Zajednice za oporezivanje energenata i električne energije;</w:t>
            </w:r>
          </w:p>
        </w:tc>
      </w:tr>
      <w:tr w:rsidR="00DA785B" w:rsidRPr="00EB6982" w14:paraId="157D7D61"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2702497C" w14:textId="77777777" w:rsidR="00DA785B" w:rsidRPr="00EB6982" w:rsidRDefault="00DA785B" w:rsidP="00AB37C0">
            <w:pPr>
              <w:spacing w:line="276" w:lineRule="auto"/>
              <w:rPr>
                <w:rFonts w:ascii="Times New Roman" w:hAnsi="Times New Roman"/>
                <w:b/>
                <w:color w:val="365F91"/>
                <w:sz w:val="22"/>
              </w:rPr>
            </w:pPr>
            <w:r w:rsidRPr="00EB6982">
              <w:rPr>
                <w:rFonts w:ascii="Times New Roman" w:hAnsi="Times New Roman"/>
                <w:b/>
                <w:color w:val="365F91"/>
                <w:sz w:val="22"/>
              </w:rPr>
              <w:t>4</w:t>
            </w:r>
            <w:r w:rsidR="00864B6A" w:rsidRPr="00EB6982">
              <w:rPr>
                <w:rFonts w:ascii="Times New Roman" w:hAnsi="Times New Roman"/>
                <w:b/>
                <w:color w:val="365F91"/>
                <w:sz w:val="22"/>
              </w:rPr>
              <w:t>.</w:t>
            </w:r>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Analiza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uticaja</w:t>
            </w:r>
            <w:proofErr w:type="spellEnd"/>
          </w:p>
          <w:p w14:paraId="1DC9E474"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rPr>
            </w:pPr>
            <w:proofErr w:type="spellStart"/>
            <w:r w:rsidRPr="00EB6982">
              <w:rPr>
                <w:rFonts w:ascii="Times New Roman" w:hAnsi="Times New Roman"/>
                <w:b/>
                <w:color w:val="365F91"/>
                <w:sz w:val="22"/>
              </w:rPr>
              <w:t>na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koga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će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kako</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će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najvjerovatnije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uticati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rješenja</w:t>
            </w:r>
            <w:proofErr w:type="spellEnd"/>
            <w:r w:rsidRPr="00EB6982">
              <w:rPr>
                <w:rFonts w:ascii="Times New Roman" w:hAnsi="Times New Roman"/>
                <w:b/>
                <w:color w:val="365F91"/>
                <w:sz w:val="22"/>
              </w:rPr>
              <w:t xml:space="preserve"> u </w:t>
            </w:r>
            <w:proofErr w:type="spellStart"/>
            <w:r w:rsidRPr="00EB6982">
              <w:rPr>
                <w:rFonts w:ascii="Times New Roman" w:hAnsi="Times New Roman"/>
                <w:b/>
                <w:color w:val="365F91"/>
                <w:sz w:val="22"/>
              </w:rPr>
              <w:t>propisu</w:t>
            </w:r>
            <w:proofErr w:type="spellEnd"/>
            <w:r w:rsidRPr="00EB6982">
              <w:rPr>
                <w:rFonts w:ascii="Times New Roman" w:hAnsi="Times New Roman"/>
                <w:b/>
                <w:color w:val="365F91"/>
                <w:sz w:val="22"/>
              </w:rPr>
              <w:t xml:space="preserve"> - </w:t>
            </w:r>
            <w:proofErr w:type="spellStart"/>
            <w:r w:rsidRPr="00EB6982">
              <w:rPr>
                <w:rFonts w:ascii="Times New Roman" w:hAnsi="Times New Roman"/>
                <w:b/>
                <w:color w:val="365F91"/>
                <w:sz w:val="22"/>
              </w:rPr>
              <w:t>Nabrojati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pozitivne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negativne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uticaje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direktne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indirektne</w:t>
            </w:r>
            <w:proofErr w:type="spellEnd"/>
          </w:p>
          <w:p w14:paraId="654DF7C7"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rPr>
            </w:pPr>
            <w:proofErr w:type="spellStart"/>
            <w:r w:rsidRPr="00EB6982">
              <w:rPr>
                <w:rFonts w:ascii="Times New Roman" w:hAnsi="Times New Roman"/>
                <w:b/>
                <w:color w:val="365F91"/>
                <w:sz w:val="22"/>
              </w:rPr>
              <w:t>kakve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troškove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će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primjena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propisa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stvoriti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građanima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privredi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naročito</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malim</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srednjim</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preduzećima</w:t>
            </w:r>
            <w:proofErr w:type="spellEnd"/>
            <w:r w:rsidRPr="00EB6982">
              <w:rPr>
                <w:rFonts w:ascii="Times New Roman" w:hAnsi="Times New Roman"/>
                <w:b/>
                <w:color w:val="365F91"/>
                <w:sz w:val="22"/>
              </w:rPr>
              <w:t>),</w:t>
            </w:r>
          </w:p>
          <w:p w14:paraId="7B276BA0"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rPr>
            </w:pPr>
            <w:r w:rsidRPr="00EB6982">
              <w:rPr>
                <w:rFonts w:ascii="Times New Roman" w:hAnsi="Times New Roman"/>
                <w:b/>
                <w:color w:val="365F91"/>
                <w:sz w:val="22"/>
              </w:rPr>
              <w:t xml:space="preserve">da li </w:t>
            </w:r>
            <w:proofErr w:type="spellStart"/>
            <w:r w:rsidRPr="00EB6982">
              <w:rPr>
                <w:rFonts w:ascii="Times New Roman" w:hAnsi="Times New Roman"/>
                <w:b/>
                <w:color w:val="365F91"/>
                <w:sz w:val="22"/>
              </w:rPr>
              <w:t>su</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pozitivne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posljedice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donošenja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propisa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takve</w:t>
            </w:r>
            <w:proofErr w:type="spellEnd"/>
            <w:r w:rsidRPr="00EB6982">
              <w:rPr>
                <w:rFonts w:ascii="Times New Roman" w:hAnsi="Times New Roman"/>
                <w:b/>
                <w:color w:val="365F91"/>
                <w:sz w:val="22"/>
              </w:rPr>
              <w:t xml:space="preserve"> da </w:t>
            </w:r>
            <w:proofErr w:type="spellStart"/>
            <w:r w:rsidRPr="00EB6982">
              <w:rPr>
                <w:rFonts w:ascii="Times New Roman" w:hAnsi="Times New Roman"/>
                <w:b/>
                <w:color w:val="365F91"/>
                <w:sz w:val="22"/>
              </w:rPr>
              <w:t>opravdavaju</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troškove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koje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će</w:t>
            </w:r>
            <w:proofErr w:type="spellEnd"/>
            <w:r w:rsidRPr="00EB6982">
              <w:rPr>
                <w:rFonts w:ascii="Times New Roman" w:hAnsi="Times New Roman"/>
                <w:b/>
                <w:color w:val="365F91"/>
                <w:sz w:val="22"/>
              </w:rPr>
              <w:t xml:space="preserve"> on </w:t>
            </w:r>
            <w:proofErr w:type="spellStart"/>
            <w:r w:rsidRPr="00EB6982">
              <w:rPr>
                <w:rFonts w:ascii="Times New Roman" w:hAnsi="Times New Roman"/>
                <w:b/>
                <w:color w:val="365F91"/>
                <w:sz w:val="22"/>
              </w:rPr>
              <w:t>stvoriti</w:t>
            </w:r>
            <w:proofErr w:type="spellEnd"/>
            <w:r w:rsidRPr="00EB6982">
              <w:rPr>
                <w:rFonts w:ascii="Times New Roman" w:hAnsi="Times New Roman"/>
                <w:b/>
                <w:color w:val="365F91"/>
                <w:sz w:val="22"/>
              </w:rPr>
              <w:t xml:space="preserve">, </w:t>
            </w:r>
          </w:p>
          <w:p w14:paraId="3258CD44"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rPr>
            </w:pPr>
            <w:r w:rsidRPr="00EB6982">
              <w:rPr>
                <w:rFonts w:ascii="Times New Roman" w:hAnsi="Times New Roman"/>
                <w:b/>
                <w:color w:val="365F91"/>
                <w:sz w:val="22"/>
              </w:rPr>
              <w:t xml:space="preserve">da li se </w:t>
            </w:r>
            <w:proofErr w:type="spellStart"/>
            <w:r w:rsidRPr="00EB6982">
              <w:rPr>
                <w:rFonts w:ascii="Times New Roman" w:hAnsi="Times New Roman"/>
                <w:b/>
                <w:color w:val="365F91"/>
                <w:sz w:val="22"/>
              </w:rPr>
              <w:t>propisom</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podržava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stvaranje</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novih</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privrednih</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subjekata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na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tržištu</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i</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tržišna</w:t>
            </w:r>
            <w:proofErr w:type="spellEnd"/>
            <w:r w:rsidRPr="00EB6982">
              <w:rPr>
                <w:rFonts w:ascii="Times New Roman" w:hAnsi="Times New Roman"/>
                <w:b/>
                <w:color w:val="365F91"/>
                <w:sz w:val="22"/>
              </w:rPr>
              <w:t xml:space="preserve"> </w:t>
            </w:r>
            <w:proofErr w:type="spellStart"/>
            <w:r w:rsidRPr="00EB6982">
              <w:rPr>
                <w:rFonts w:ascii="Times New Roman" w:hAnsi="Times New Roman"/>
                <w:b/>
                <w:color w:val="365F91"/>
                <w:sz w:val="22"/>
              </w:rPr>
              <w:t>konkurencija</w:t>
            </w:r>
            <w:proofErr w:type="spellEnd"/>
          </w:p>
          <w:p w14:paraId="65735B2B" w14:textId="1C9C9B7D" w:rsidR="00DA785B" w:rsidRPr="00A0451D" w:rsidRDefault="00DA785B" w:rsidP="00AB37C0">
            <w:pPr>
              <w:pStyle w:val="ListParagraph"/>
              <w:numPr>
                <w:ilvl w:val="0"/>
                <w:numId w:val="4"/>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uključiti procjenu administrativnih opterećenja i biznis barijera.</w:t>
            </w:r>
          </w:p>
        </w:tc>
      </w:tr>
      <w:tr w:rsidR="00DA785B" w:rsidRPr="00EB6982" w14:paraId="7F40D1C6"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377E061B" w14:textId="0B96779F" w:rsidR="00B91486" w:rsidRPr="0065633A" w:rsidRDefault="00B91486" w:rsidP="00B91486">
            <w:pPr>
              <w:tabs>
                <w:tab w:val="left" w:pos="279"/>
              </w:tabs>
              <w:rPr>
                <w:rFonts w:ascii="Times New Roman" w:hAnsi="Times New Roman"/>
                <w:bCs w:val="0"/>
                <w:sz w:val="22"/>
                <w:lang w:val="hr" w:eastAsia="sr-Latn-ME"/>
              </w:rPr>
            </w:pPr>
            <w:r w:rsidRPr="0065633A">
              <w:rPr>
                <w:rFonts w:ascii="Times New Roman" w:hAnsi="Times New Roman"/>
                <w:bCs w:val="0"/>
                <w:sz w:val="22"/>
                <w:lang w:val="hr" w:eastAsia="sr-Latn-ME"/>
              </w:rPr>
              <w:lastRenderedPageBreak/>
              <w:t xml:space="preserve">Usklađivanje Zakona o akcizama sa Direktivom Savjeta (EU) 2003/96/EZ  o restrukturiranju sistema Zajednice za oporezivanje energenata i električne energije, se odnosi na odredbe kojima je propisano da države članice mogu odobravati oslobođenje od poreza ili snižene visine oporezivanja, i to direktno, putem različitih stopa ili povraćajem cijelog ili dijela naplaćenih poreza, uz uslov da se poštuju najniže visine poreza propisanih ovom direktivom. Ministarstvo finansija se od mogućih opcija opredijelilo za sistem povraćaja, pa se predloženim odredbama vrši  unaprjeđenje postojećeg zakonskog rješenja u dijelu obuhvata korisnika prava, kao i uslova za ostvarivanje prava na povraćaj cijele ili dijela plaćenje akcize za gasna ulja (dizel) koja se upotrebljavaju: </w:t>
            </w:r>
          </w:p>
          <w:p w14:paraId="78BD1AEA" w14:textId="77777777" w:rsidR="00B91486" w:rsidRPr="0065633A" w:rsidRDefault="00B91486" w:rsidP="00B91486">
            <w:pPr>
              <w:tabs>
                <w:tab w:val="left" w:pos="279"/>
              </w:tabs>
              <w:spacing w:line="276" w:lineRule="auto"/>
              <w:rPr>
                <w:rFonts w:ascii="Times New Roman" w:hAnsi="Times New Roman"/>
                <w:bCs w:val="0"/>
                <w:sz w:val="22"/>
                <w:lang w:val="hr" w:eastAsia="sr-Latn-ME"/>
              </w:rPr>
            </w:pPr>
            <w:r w:rsidRPr="0065633A">
              <w:rPr>
                <w:rFonts w:ascii="Times New Roman" w:hAnsi="Times New Roman"/>
                <w:bCs w:val="0"/>
                <w:sz w:val="22"/>
                <w:lang w:val="hr" w:eastAsia="sr-Latn-ME"/>
              </w:rPr>
              <w:tab/>
              <w:t>-</w:t>
            </w:r>
            <w:r w:rsidRPr="0065633A">
              <w:rPr>
                <w:rFonts w:ascii="Times New Roman" w:hAnsi="Times New Roman"/>
                <w:bCs w:val="0"/>
                <w:sz w:val="22"/>
                <w:lang w:val="hr" w:eastAsia="sr-Latn-ME"/>
              </w:rPr>
              <w:tab/>
              <w:t>za industrijske i komercijalne svrhe;</w:t>
            </w:r>
          </w:p>
          <w:p w14:paraId="09BE6C70" w14:textId="77777777" w:rsidR="00B91486" w:rsidRPr="0065633A" w:rsidRDefault="00B91486" w:rsidP="00B91486">
            <w:pPr>
              <w:tabs>
                <w:tab w:val="left" w:pos="279"/>
              </w:tabs>
              <w:spacing w:line="276" w:lineRule="auto"/>
              <w:rPr>
                <w:rFonts w:ascii="Times New Roman" w:hAnsi="Times New Roman"/>
                <w:bCs w:val="0"/>
                <w:sz w:val="22"/>
                <w:lang w:val="hr" w:eastAsia="sr-Latn-ME"/>
              </w:rPr>
            </w:pPr>
            <w:r w:rsidRPr="0065633A">
              <w:rPr>
                <w:rFonts w:ascii="Times New Roman" w:hAnsi="Times New Roman"/>
                <w:bCs w:val="0"/>
                <w:sz w:val="22"/>
                <w:lang w:val="hr" w:eastAsia="sr-Latn-ME"/>
              </w:rPr>
              <w:tab/>
              <w:t>-</w:t>
            </w:r>
            <w:r w:rsidRPr="0065633A">
              <w:rPr>
                <w:rFonts w:ascii="Times New Roman" w:hAnsi="Times New Roman"/>
                <w:bCs w:val="0"/>
                <w:sz w:val="22"/>
                <w:lang w:val="hr" w:eastAsia="sr-Latn-ME"/>
              </w:rPr>
              <w:tab/>
              <w:t>za grijanje;</w:t>
            </w:r>
          </w:p>
          <w:p w14:paraId="6952A7AD" w14:textId="77777777" w:rsidR="00B91486" w:rsidRPr="0065633A" w:rsidRDefault="00B91486" w:rsidP="00B91486">
            <w:pPr>
              <w:tabs>
                <w:tab w:val="left" w:pos="279"/>
              </w:tabs>
              <w:spacing w:line="276" w:lineRule="auto"/>
              <w:rPr>
                <w:rFonts w:ascii="Times New Roman" w:hAnsi="Times New Roman"/>
                <w:bCs w:val="0"/>
                <w:sz w:val="22"/>
                <w:lang w:val="hr" w:eastAsia="sr-Latn-ME"/>
              </w:rPr>
            </w:pPr>
            <w:r w:rsidRPr="0065633A">
              <w:rPr>
                <w:rFonts w:ascii="Times New Roman" w:hAnsi="Times New Roman"/>
                <w:bCs w:val="0"/>
                <w:sz w:val="22"/>
                <w:lang w:val="hr" w:eastAsia="sr-Latn-ME"/>
              </w:rPr>
              <w:tab/>
              <w:t>-</w:t>
            </w:r>
            <w:r w:rsidRPr="0065633A">
              <w:rPr>
                <w:rFonts w:ascii="Times New Roman" w:hAnsi="Times New Roman"/>
                <w:bCs w:val="0"/>
                <w:sz w:val="22"/>
                <w:lang w:val="hr" w:eastAsia="sr-Latn-ME"/>
              </w:rPr>
              <w:tab/>
              <w:t>u avionskom i pomorskom saobraćaju;</w:t>
            </w:r>
          </w:p>
          <w:p w14:paraId="22F79162" w14:textId="77777777" w:rsidR="00B91486" w:rsidRPr="0065633A" w:rsidRDefault="00B91486" w:rsidP="00B91486">
            <w:pPr>
              <w:tabs>
                <w:tab w:val="left" w:pos="279"/>
              </w:tabs>
              <w:spacing w:line="276" w:lineRule="auto"/>
              <w:rPr>
                <w:rFonts w:ascii="Times New Roman" w:hAnsi="Times New Roman"/>
                <w:bCs w:val="0"/>
                <w:sz w:val="22"/>
                <w:lang w:val="hr" w:eastAsia="sr-Latn-ME"/>
              </w:rPr>
            </w:pPr>
            <w:r w:rsidRPr="0065633A">
              <w:rPr>
                <w:rFonts w:ascii="Times New Roman" w:hAnsi="Times New Roman"/>
                <w:bCs w:val="0"/>
                <w:sz w:val="22"/>
                <w:lang w:val="hr" w:eastAsia="sr-Latn-ME"/>
              </w:rPr>
              <w:tab/>
              <w:t>-</w:t>
            </w:r>
            <w:r w:rsidRPr="0065633A">
              <w:rPr>
                <w:rFonts w:ascii="Times New Roman" w:hAnsi="Times New Roman"/>
                <w:bCs w:val="0"/>
                <w:sz w:val="22"/>
                <w:lang w:val="hr" w:eastAsia="sr-Latn-ME"/>
              </w:rPr>
              <w:tab/>
              <w:t>za pogon poljoprivrednih mašina;</w:t>
            </w:r>
          </w:p>
          <w:p w14:paraId="71B4B7CF" w14:textId="2677CDC7" w:rsidR="00B91486" w:rsidRPr="0065633A" w:rsidRDefault="00B91486" w:rsidP="00B91486">
            <w:pPr>
              <w:tabs>
                <w:tab w:val="left" w:pos="279"/>
              </w:tabs>
              <w:spacing w:line="276" w:lineRule="auto"/>
              <w:rPr>
                <w:rFonts w:ascii="Times New Roman" w:hAnsi="Times New Roman"/>
                <w:bCs w:val="0"/>
                <w:sz w:val="22"/>
                <w:lang w:val="hr" w:eastAsia="sr-Latn-ME"/>
              </w:rPr>
            </w:pPr>
            <w:r w:rsidRPr="0065633A">
              <w:rPr>
                <w:rFonts w:ascii="Times New Roman" w:hAnsi="Times New Roman"/>
                <w:bCs w:val="0"/>
                <w:sz w:val="22"/>
                <w:lang w:val="hr" w:eastAsia="sr-Latn-ME"/>
              </w:rPr>
              <w:tab/>
              <w:t>-</w:t>
            </w:r>
            <w:r w:rsidRPr="0065633A">
              <w:rPr>
                <w:rFonts w:ascii="Times New Roman" w:hAnsi="Times New Roman"/>
                <w:bCs w:val="0"/>
                <w:sz w:val="22"/>
                <w:lang w:val="hr" w:eastAsia="sr-Latn-ME"/>
              </w:rPr>
              <w:tab/>
              <w:t>za pogon ribolovnih plovnih objekata.</w:t>
            </w:r>
          </w:p>
          <w:p w14:paraId="3CFC79CF" w14:textId="77777777" w:rsidR="00B91486" w:rsidRPr="0065633A" w:rsidRDefault="00B91486" w:rsidP="00B91486">
            <w:pPr>
              <w:tabs>
                <w:tab w:val="left" w:pos="279"/>
              </w:tabs>
              <w:rPr>
                <w:rFonts w:ascii="Times New Roman" w:hAnsi="Times New Roman"/>
                <w:bCs w:val="0"/>
                <w:sz w:val="22"/>
                <w:lang w:val="hr" w:eastAsia="sr-Latn-ME"/>
              </w:rPr>
            </w:pPr>
            <w:r w:rsidRPr="0065633A">
              <w:rPr>
                <w:rFonts w:ascii="Times New Roman" w:hAnsi="Times New Roman"/>
                <w:bCs w:val="0"/>
                <w:sz w:val="22"/>
                <w:lang w:val="hr" w:eastAsia="sr-Latn-ME"/>
              </w:rPr>
              <w:tab/>
              <w:t xml:space="preserve">Povraćaj plaćene akcize za industrijske Ili komercijalne svrhe do iznosa iz člana 52 stav 3 tačka 4 alineja 3 (iznos od 330e) mogu da ostvare kupci gasnih ulja, ako se gasno ulje koristi kao motorno gorivo: </w:t>
            </w:r>
          </w:p>
          <w:p w14:paraId="3CD9CC8C" w14:textId="77777777" w:rsidR="00B91486" w:rsidRPr="0065633A" w:rsidRDefault="00B91486" w:rsidP="00B91486">
            <w:pPr>
              <w:tabs>
                <w:tab w:val="left" w:pos="279"/>
              </w:tabs>
              <w:rPr>
                <w:rFonts w:ascii="Times New Roman" w:hAnsi="Times New Roman"/>
                <w:bCs w:val="0"/>
                <w:sz w:val="22"/>
                <w:lang w:val="hr" w:eastAsia="sr-Latn-ME"/>
              </w:rPr>
            </w:pPr>
            <w:r w:rsidRPr="0065633A">
              <w:rPr>
                <w:rFonts w:ascii="Times New Roman" w:hAnsi="Times New Roman"/>
                <w:bCs w:val="0"/>
                <w:sz w:val="22"/>
                <w:lang w:val="hr" w:eastAsia="sr-Latn-ME"/>
              </w:rPr>
              <w:tab/>
            </w:r>
            <w:r w:rsidRPr="0065633A">
              <w:rPr>
                <w:rFonts w:ascii="Times New Roman" w:hAnsi="Times New Roman"/>
                <w:bCs w:val="0"/>
                <w:sz w:val="22"/>
                <w:lang w:val="hr" w:eastAsia="sr-Latn-ME"/>
              </w:rPr>
              <w:tab/>
              <w:t xml:space="preserve">- u komercijalnom prevozu tereta, za svoj ili tuđi račun za drumski prevoz tereta razvrstanog u okviru grupe 49.41 Zakona o klasifikaciji djelatnosti , isključujući prevoz automobila; </w:t>
            </w:r>
          </w:p>
          <w:p w14:paraId="0A88E23E" w14:textId="77777777" w:rsidR="00B91486" w:rsidRPr="0065633A" w:rsidRDefault="00B91486" w:rsidP="00B91486">
            <w:pPr>
              <w:tabs>
                <w:tab w:val="left" w:pos="279"/>
              </w:tabs>
              <w:rPr>
                <w:rFonts w:ascii="Times New Roman" w:hAnsi="Times New Roman"/>
                <w:bCs w:val="0"/>
                <w:sz w:val="22"/>
                <w:lang w:val="hr" w:eastAsia="sr-Latn-ME"/>
              </w:rPr>
            </w:pPr>
            <w:r w:rsidRPr="0065633A">
              <w:rPr>
                <w:rFonts w:ascii="Times New Roman" w:hAnsi="Times New Roman"/>
                <w:bCs w:val="0"/>
                <w:sz w:val="22"/>
                <w:lang w:val="hr" w:eastAsia="sr-Latn-ME"/>
              </w:rPr>
              <w:tab/>
            </w:r>
            <w:r w:rsidRPr="0065633A">
              <w:rPr>
                <w:rFonts w:ascii="Times New Roman" w:hAnsi="Times New Roman"/>
                <w:bCs w:val="0"/>
                <w:sz w:val="22"/>
                <w:lang w:val="hr" w:eastAsia="sr-Latn-ME"/>
              </w:rPr>
              <w:tab/>
              <w:t xml:space="preserve">- u komercijalnom prevozu putnika, za svoj ili tuđi račun, drumskim prevoznim sredstvima kategorije M2 ili M3, za prevoz koji je prema Zakonu o prevozu  u drumskom saobraćaju  definisan kao djelatnost redovnog ili privremenog javnog prevoza putnika, u unutrašnjem lokalnom drumskom saobraćaju (linijski gradski i prigradski prevoz), uključujući međugradski i međudržavni prevoz putnika. </w:t>
            </w:r>
          </w:p>
          <w:p w14:paraId="65EE3A56" w14:textId="5EDB755F" w:rsidR="00DA263B" w:rsidRPr="0065633A" w:rsidRDefault="00B91486" w:rsidP="00B91486">
            <w:pPr>
              <w:tabs>
                <w:tab w:val="left" w:pos="279"/>
              </w:tabs>
              <w:rPr>
                <w:rFonts w:ascii="Times New Roman" w:hAnsi="Times New Roman"/>
                <w:bCs w:val="0"/>
                <w:sz w:val="22"/>
                <w:lang w:val="hr" w:eastAsia="sr-Latn-ME"/>
              </w:rPr>
            </w:pPr>
            <w:r w:rsidRPr="0065633A">
              <w:rPr>
                <w:rFonts w:ascii="Times New Roman" w:hAnsi="Times New Roman"/>
                <w:bCs w:val="0"/>
                <w:sz w:val="22"/>
                <w:lang w:val="hr" w:eastAsia="sr-Latn-ME"/>
              </w:rPr>
              <w:t xml:space="preserve"> </w:t>
            </w:r>
            <w:r w:rsidRPr="0065633A">
              <w:rPr>
                <w:rFonts w:ascii="Times New Roman" w:hAnsi="Times New Roman"/>
                <w:bCs w:val="0"/>
                <w:sz w:val="22"/>
                <w:lang w:val="hr" w:eastAsia="sr-Latn-ME"/>
              </w:rPr>
              <w:t xml:space="preserve">U odnosu na trenutno zakonsko rješenje, izmijenjenim odredbama se obuhvata i prevoz tereta i putnika (npr. kada vlasnik građevinske firme organizuje spopstvenim prevoznim sredstvom prevoz radnika na gradilište), za svoj račun, što do sada nije bio slučaj. U odnosu na prevoz putnika, izmjenom je jasnije i u skladu sa Zakonom o drumskom prevozu putnika, definisan koji prevoz ima pravo na povraćaj, tako da se to pravo propisuje za javni prevoz putnika u međunarodnom linijskom i vanlinijskom prevozu i unutrašnjem linijskom (međugradski prevoz, gradski i prigradski prevoz) i vanlinijskom prevozu (povremenom i naizmjeničnom). U odnosu na dosadašnje rješenje razlika je da se i linijskom gradskom prevozu ukida povraćaj cijele plaćene akcize i daje pravo samo na povraćaj dijela plaćene akcize. </w:t>
            </w:r>
          </w:p>
        </w:tc>
      </w:tr>
      <w:tr w:rsidR="00DA785B" w:rsidRPr="00EB6982" w14:paraId="27997D1B"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74BCA5A4" w14:textId="256C548E" w:rsidR="00DA785B" w:rsidRPr="00EB6982" w:rsidRDefault="00012D55" w:rsidP="00AB37C0">
            <w:pPr>
              <w:spacing w:line="276" w:lineRule="auto"/>
              <w:rPr>
                <w:rFonts w:ascii="Times New Roman" w:hAnsi="Times New Roman"/>
                <w:b/>
                <w:color w:val="365F91"/>
                <w:sz w:val="22"/>
              </w:rPr>
            </w:pPr>
            <w:r w:rsidRPr="00EB6982">
              <w:rPr>
                <w:rFonts w:ascii="Times New Roman" w:hAnsi="Times New Roman"/>
                <w:b/>
                <w:color w:val="365F91"/>
                <w:sz w:val="22"/>
              </w:rPr>
              <w:t xml:space="preserve">5. </w:t>
            </w:r>
            <w:proofErr w:type="spellStart"/>
            <w:r w:rsidR="00DA785B" w:rsidRPr="00EB6982">
              <w:rPr>
                <w:rFonts w:ascii="Times New Roman" w:hAnsi="Times New Roman"/>
                <w:b/>
                <w:color w:val="365F91"/>
                <w:sz w:val="22"/>
              </w:rPr>
              <w:t>Procjena</w:t>
            </w:r>
            <w:proofErr w:type="spellEnd"/>
            <w:r w:rsidR="00DA785B" w:rsidRPr="00EB6982">
              <w:rPr>
                <w:rFonts w:ascii="Times New Roman" w:hAnsi="Times New Roman"/>
                <w:b/>
                <w:color w:val="365F91"/>
                <w:sz w:val="22"/>
              </w:rPr>
              <w:t xml:space="preserve"> </w:t>
            </w:r>
            <w:proofErr w:type="spellStart"/>
            <w:r w:rsidR="00DA785B" w:rsidRPr="00EB6982">
              <w:rPr>
                <w:rFonts w:ascii="Times New Roman" w:hAnsi="Times New Roman"/>
                <w:b/>
                <w:color w:val="365F91"/>
                <w:sz w:val="22"/>
              </w:rPr>
              <w:t>fiskalnog</w:t>
            </w:r>
            <w:proofErr w:type="spellEnd"/>
            <w:r w:rsidR="00DA785B" w:rsidRPr="00EB6982">
              <w:rPr>
                <w:rFonts w:ascii="Times New Roman" w:hAnsi="Times New Roman"/>
                <w:b/>
                <w:color w:val="365F91"/>
                <w:sz w:val="22"/>
              </w:rPr>
              <w:t xml:space="preserve"> </w:t>
            </w:r>
            <w:proofErr w:type="spellStart"/>
            <w:r w:rsidR="00DA785B" w:rsidRPr="00EB6982">
              <w:rPr>
                <w:rFonts w:ascii="Times New Roman" w:hAnsi="Times New Roman"/>
                <w:b/>
                <w:color w:val="365F91"/>
                <w:sz w:val="22"/>
              </w:rPr>
              <w:t>uticaja</w:t>
            </w:r>
            <w:proofErr w:type="spellEnd"/>
          </w:p>
          <w:p w14:paraId="042B8994"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Da li je potrebno izdvajanje finansijskih sredstava za implementaciju propisa i u kom iznosu?</w:t>
            </w:r>
          </w:p>
          <w:p w14:paraId="1549B621"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rPr>
            </w:pPr>
            <w:r w:rsidRPr="00EB6982">
              <w:rPr>
                <w:rFonts w:ascii="Times New Roman" w:hAnsi="Times New Roman"/>
                <w:b/>
                <w:color w:val="365F91"/>
                <w:sz w:val="22"/>
                <w:lang w:val="pl-PL"/>
              </w:rPr>
              <w:t xml:space="preserve">Da li je izdvajanje finansijskih sredstava jednokratno, ili tokom određenog vremenskog perioda?  </w:t>
            </w:r>
            <w:proofErr w:type="spellStart"/>
            <w:r w:rsidRPr="00EB6982">
              <w:rPr>
                <w:rFonts w:ascii="Times New Roman" w:hAnsi="Times New Roman"/>
                <w:b/>
                <w:color w:val="365F91"/>
                <w:sz w:val="22"/>
              </w:rPr>
              <w:t>Obrazložiti</w:t>
            </w:r>
            <w:proofErr w:type="spellEnd"/>
            <w:r w:rsidRPr="00EB6982">
              <w:rPr>
                <w:rFonts w:ascii="Times New Roman" w:hAnsi="Times New Roman"/>
                <w:b/>
                <w:color w:val="365F91"/>
                <w:sz w:val="22"/>
              </w:rPr>
              <w:t>.</w:t>
            </w:r>
          </w:p>
          <w:p w14:paraId="47DCCEC7"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rPr>
            </w:pPr>
            <w:r w:rsidRPr="00EB6982">
              <w:rPr>
                <w:rFonts w:ascii="Times New Roman" w:hAnsi="Times New Roman"/>
                <w:b/>
                <w:color w:val="365F91"/>
                <w:sz w:val="22"/>
                <w:lang w:val="pl-PL"/>
              </w:rPr>
              <w:t xml:space="preserve">Da li implementacijom propisa proizilaze međunarodne finansijske obaveze? </w:t>
            </w:r>
            <w:proofErr w:type="spellStart"/>
            <w:r w:rsidRPr="00EB6982">
              <w:rPr>
                <w:rFonts w:ascii="Times New Roman" w:hAnsi="Times New Roman"/>
                <w:b/>
                <w:color w:val="365F91"/>
                <w:sz w:val="22"/>
              </w:rPr>
              <w:t>Obrazložiti</w:t>
            </w:r>
            <w:proofErr w:type="spellEnd"/>
            <w:r w:rsidRPr="00EB6982">
              <w:rPr>
                <w:rFonts w:ascii="Times New Roman" w:hAnsi="Times New Roman"/>
                <w:b/>
                <w:color w:val="365F91"/>
                <w:sz w:val="22"/>
              </w:rPr>
              <w:t>.</w:t>
            </w:r>
          </w:p>
          <w:p w14:paraId="7CF58A5F" w14:textId="181935D1"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Da li su neophodna finansijska sredstva obezbijeđena u budžetu za tekuću fiskalnu godinu, odnosno da li su planirana u budžetu za narednu fiska</w:t>
            </w:r>
            <w:r w:rsidR="006B352B" w:rsidRPr="00EB6982">
              <w:rPr>
                <w:rFonts w:ascii="Times New Roman" w:hAnsi="Times New Roman"/>
                <w:b/>
                <w:color w:val="365F91"/>
                <w:sz w:val="22"/>
                <w:lang w:val="pl-PL"/>
              </w:rPr>
              <w:t>l</w:t>
            </w:r>
            <w:r w:rsidRPr="00EB6982">
              <w:rPr>
                <w:rFonts w:ascii="Times New Roman" w:hAnsi="Times New Roman"/>
                <w:b/>
                <w:color w:val="365F91"/>
                <w:sz w:val="22"/>
                <w:lang w:val="pl-PL"/>
              </w:rPr>
              <w:t>nu godinu?</w:t>
            </w:r>
          </w:p>
          <w:p w14:paraId="72CA55CB"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Da li je usvajanjem propisa predviđeno donošenje podzakonskih akata iz kojih će proisteći finansijske obaveze?</w:t>
            </w:r>
          </w:p>
          <w:p w14:paraId="574A538A"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nb-NO"/>
              </w:rPr>
            </w:pPr>
            <w:r w:rsidRPr="00EB6982">
              <w:rPr>
                <w:rFonts w:ascii="Times New Roman" w:hAnsi="Times New Roman"/>
                <w:b/>
                <w:color w:val="365F91"/>
                <w:sz w:val="22"/>
                <w:lang w:val="nb-NO"/>
              </w:rPr>
              <w:t>Da li će se implementacijom propisa ostvariti prihoda za budžet Crne Gore?</w:t>
            </w:r>
          </w:p>
          <w:p w14:paraId="5973CCA4"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Obraložiti metodologiju kojom je korišćenja prilikom obračuna finansijskih izdataka/prihoda.</w:t>
            </w:r>
          </w:p>
          <w:p w14:paraId="4A7EA4EA"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rPr>
            </w:pPr>
            <w:r w:rsidRPr="00EB6982">
              <w:rPr>
                <w:rFonts w:ascii="Times New Roman" w:hAnsi="Times New Roman"/>
                <w:b/>
                <w:color w:val="365F91"/>
                <w:sz w:val="22"/>
                <w:lang w:val="pl-PL"/>
              </w:rPr>
              <w:t xml:space="preserve">Da li su postojali problemi u preciznom obračunu finansijskih izdataka/prihoda? </w:t>
            </w:r>
            <w:proofErr w:type="spellStart"/>
            <w:r w:rsidRPr="00EB6982">
              <w:rPr>
                <w:rFonts w:ascii="Times New Roman" w:hAnsi="Times New Roman"/>
                <w:b/>
                <w:color w:val="365F91"/>
                <w:sz w:val="22"/>
              </w:rPr>
              <w:t>Obrazložiti</w:t>
            </w:r>
            <w:proofErr w:type="spellEnd"/>
            <w:r w:rsidRPr="00EB6982">
              <w:rPr>
                <w:rFonts w:ascii="Times New Roman" w:hAnsi="Times New Roman"/>
                <w:b/>
                <w:color w:val="365F91"/>
                <w:sz w:val="22"/>
              </w:rPr>
              <w:t>.</w:t>
            </w:r>
          </w:p>
          <w:p w14:paraId="77899014" w14:textId="2218EA2A"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 xml:space="preserve">Da li su postojale sugestije Ministarstva finansija </w:t>
            </w:r>
            <w:r w:rsidR="002A160D" w:rsidRPr="00EB6982">
              <w:rPr>
                <w:rFonts w:ascii="Times New Roman" w:hAnsi="Times New Roman"/>
                <w:b/>
                <w:color w:val="365F91"/>
                <w:sz w:val="22"/>
                <w:lang w:val="pl-PL"/>
              </w:rPr>
              <w:t>na in</w:t>
            </w:r>
            <w:r w:rsidRPr="00EB6982">
              <w:rPr>
                <w:rFonts w:ascii="Times New Roman" w:hAnsi="Times New Roman"/>
                <w:b/>
                <w:color w:val="365F91"/>
                <w:sz w:val="22"/>
                <w:lang w:val="pl-PL"/>
              </w:rPr>
              <w:t>i</w:t>
            </w:r>
            <w:r w:rsidR="002A160D" w:rsidRPr="00EB6982">
              <w:rPr>
                <w:rFonts w:ascii="Times New Roman" w:hAnsi="Times New Roman"/>
                <w:b/>
                <w:color w:val="365F91"/>
                <w:sz w:val="22"/>
                <w:lang w:val="pl-PL"/>
              </w:rPr>
              <w:t>c</w:t>
            </w:r>
            <w:r w:rsidR="000A41F1" w:rsidRPr="00EB6982">
              <w:rPr>
                <w:rFonts w:ascii="Times New Roman" w:hAnsi="Times New Roman"/>
                <w:b/>
                <w:color w:val="365F91"/>
                <w:sz w:val="22"/>
                <w:lang w:val="pl-PL"/>
              </w:rPr>
              <w:t>i</w:t>
            </w:r>
            <w:r w:rsidRPr="00EB6982">
              <w:rPr>
                <w:rFonts w:ascii="Times New Roman" w:hAnsi="Times New Roman"/>
                <w:b/>
                <w:color w:val="365F91"/>
                <w:sz w:val="22"/>
                <w:lang w:val="pl-PL"/>
              </w:rPr>
              <w:t>jativu za donošenje predloga propisa?</w:t>
            </w:r>
          </w:p>
          <w:p w14:paraId="73693EC2"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rPr>
            </w:pPr>
            <w:r w:rsidRPr="00EB6982">
              <w:rPr>
                <w:rFonts w:ascii="Times New Roman" w:hAnsi="Times New Roman"/>
                <w:b/>
                <w:color w:val="365F91"/>
                <w:sz w:val="22"/>
                <w:lang w:val="pl-PL"/>
              </w:rPr>
              <w:t xml:space="preserve">Da li su dobijene primjedbe implementirane u tekst propisa? </w:t>
            </w:r>
            <w:proofErr w:type="spellStart"/>
            <w:r w:rsidRPr="00EB6982">
              <w:rPr>
                <w:rFonts w:ascii="Times New Roman" w:hAnsi="Times New Roman"/>
                <w:b/>
                <w:color w:val="365F91"/>
                <w:sz w:val="22"/>
              </w:rPr>
              <w:t>Obrazložiti</w:t>
            </w:r>
            <w:proofErr w:type="spellEnd"/>
            <w:r w:rsidRPr="00EB6982">
              <w:rPr>
                <w:rFonts w:ascii="Times New Roman" w:hAnsi="Times New Roman"/>
                <w:b/>
                <w:color w:val="365F91"/>
                <w:sz w:val="22"/>
              </w:rPr>
              <w:t>.</w:t>
            </w:r>
          </w:p>
        </w:tc>
      </w:tr>
      <w:tr w:rsidR="00DA785B" w:rsidRPr="00EB6982" w14:paraId="79FEAF29"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00DF23EA" w14:textId="1AB16232" w:rsidR="006B352B" w:rsidRPr="00C1173E" w:rsidRDefault="00F94075" w:rsidP="00AB37C0">
            <w:pPr>
              <w:spacing w:line="276" w:lineRule="auto"/>
              <w:rPr>
                <w:rFonts w:ascii="Times New Roman" w:hAnsi="Times New Roman"/>
                <w:color w:val="000000" w:themeColor="text1"/>
                <w:sz w:val="22"/>
                <w:lang w:val="pl-PL"/>
              </w:rPr>
            </w:pPr>
            <w:r w:rsidRPr="00C1173E">
              <w:rPr>
                <w:rFonts w:ascii="Times New Roman" w:hAnsi="Times New Roman"/>
                <w:color w:val="000000" w:themeColor="text1"/>
                <w:sz w:val="22"/>
                <w:lang w:val="pl-PL"/>
              </w:rPr>
              <w:t>Za impl</w:t>
            </w:r>
            <w:r w:rsidR="004F5678" w:rsidRPr="00C1173E">
              <w:rPr>
                <w:rFonts w:ascii="Times New Roman" w:hAnsi="Times New Roman"/>
                <w:color w:val="000000" w:themeColor="text1"/>
                <w:sz w:val="22"/>
                <w:lang w:val="pl-PL"/>
              </w:rPr>
              <w:t xml:space="preserve">ementaciju propisa </w:t>
            </w:r>
            <w:r w:rsidR="000F0E14" w:rsidRPr="00C1173E">
              <w:rPr>
                <w:rFonts w:ascii="Times New Roman" w:hAnsi="Times New Roman"/>
                <w:color w:val="000000" w:themeColor="text1"/>
                <w:sz w:val="22"/>
                <w:lang w:val="pl-PL"/>
              </w:rPr>
              <w:t>nijesu</w:t>
            </w:r>
            <w:r w:rsidR="004F5678" w:rsidRPr="00C1173E">
              <w:rPr>
                <w:rFonts w:ascii="Times New Roman" w:hAnsi="Times New Roman"/>
                <w:color w:val="000000" w:themeColor="text1"/>
                <w:sz w:val="22"/>
                <w:lang w:val="pl-PL"/>
              </w:rPr>
              <w:t xml:space="preserve"> potrebna</w:t>
            </w:r>
            <w:r w:rsidRPr="00C1173E">
              <w:rPr>
                <w:rFonts w:ascii="Times New Roman" w:hAnsi="Times New Roman"/>
                <w:color w:val="000000" w:themeColor="text1"/>
                <w:sz w:val="22"/>
                <w:lang w:val="pl-PL"/>
              </w:rPr>
              <w:t xml:space="preserve"> izdvajanja</w:t>
            </w:r>
            <w:r w:rsidR="007A1D31" w:rsidRPr="00C1173E">
              <w:rPr>
                <w:rFonts w:ascii="Times New Roman" w:hAnsi="Times New Roman"/>
                <w:color w:val="000000" w:themeColor="text1"/>
                <w:sz w:val="22"/>
                <w:lang w:val="pl-PL"/>
              </w:rPr>
              <w:t xml:space="preserve"> iz budžeta</w:t>
            </w:r>
            <w:r w:rsidR="003A521E" w:rsidRPr="00C1173E">
              <w:rPr>
                <w:rFonts w:ascii="Times New Roman" w:hAnsi="Times New Roman"/>
                <w:color w:val="000000" w:themeColor="text1"/>
                <w:sz w:val="22"/>
                <w:lang w:val="pl-PL"/>
              </w:rPr>
              <w:t>.</w:t>
            </w:r>
            <w:r w:rsidR="007A1D31" w:rsidRPr="00C1173E">
              <w:rPr>
                <w:rFonts w:ascii="Times New Roman" w:hAnsi="Times New Roman"/>
                <w:color w:val="000000" w:themeColor="text1"/>
                <w:sz w:val="22"/>
                <w:lang w:val="pl-PL"/>
              </w:rPr>
              <w:t xml:space="preserve"> </w:t>
            </w:r>
          </w:p>
          <w:p w14:paraId="4B724645" w14:textId="3280CD63" w:rsidR="0077200C" w:rsidRPr="00B91486" w:rsidRDefault="006B352B" w:rsidP="00B91486">
            <w:pPr>
              <w:spacing w:line="276" w:lineRule="auto"/>
              <w:rPr>
                <w:rFonts w:ascii="Times New Roman" w:hAnsi="Times New Roman"/>
                <w:color w:val="000000" w:themeColor="text1"/>
                <w:sz w:val="22"/>
                <w:lang w:val="pl-PL"/>
              </w:rPr>
            </w:pPr>
            <w:r w:rsidRPr="00C1173E">
              <w:rPr>
                <w:rFonts w:ascii="Times New Roman" w:hAnsi="Times New Roman"/>
                <w:color w:val="000000" w:themeColor="text1"/>
                <w:sz w:val="22"/>
                <w:lang w:val="pl-PL"/>
              </w:rPr>
              <w:lastRenderedPageBreak/>
              <w:t>Implementacijom navedenog propisa ne proizilaze međunarodne finansijske obaveze.</w:t>
            </w:r>
          </w:p>
        </w:tc>
      </w:tr>
      <w:tr w:rsidR="00DA785B" w:rsidRPr="00EB6982" w14:paraId="167278B0"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3A92BFE4" w14:textId="77777777" w:rsidR="00DA785B" w:rsidRPr="00EB6982" w:rsidRDefault="00DA785B" w:rsidP="00AB37C0">
            <w:pPr>
              <w:spacing w:line="276" w:lineRule="auto"/>
              <w:rPr>
                <w:rFonts w:ascii="Times New Roman" w:hAnsi="Times New Roman"/>
                <w:b/>
                <w:color w:val="365F91"/>
                <w:sz w:val="22"/>
                <w:lang w:val="pl-PL"/>
              </w:rPr>
            </w:pPr>
            <w:r w:rsidRPr="00EB6982">
              <w:rPr>
                <w:rFonts w:ascii="Times New Roman" w:hAnsi="Times New Roman"/>
                <w:b/>
                <w:color w:val="365F91"/>
                <w:sz w:val="22"/>
                <w:lang w:val="pl-PL"/>
              </w:rPr>
              <w:lastRenderedPageBreak/>
              <w:t>6</w:t>
            </w:r>
            <w:r w:rsidR="00012D55" w:rsidRPr="00EB6982">
              <w:rPr>
                <w:rFonts w:ascii="Times New Roman" w:hAnsi="Times New Roman"/>
                <w:b/>
                <w:color w:val="365F91"/>
                <w:sz w:val="22"/>
                <w:lang w:val="pl-PL"/>
              </w:rPr>
              <w:t>.</w:t>
            </w:r>
            <w:r w:rsidRPr="00EB6982">
              <w:rPr>
                <w:rFonts w:ascii="Times New Roman" w:hAnsi="Times New Roman"/>
                <w:b/>
                <w:color w:val="365F91"/>
                <w:sz w:val="22"/>
                <w:lang w:val="pl-PL"/>
              </w:rPr>
              <w:t xml:space="preserve"> Konsultacije zainteresovanih strana</w:t>
            </w:r>
          </w:p>
          <w:p w14:paraId="2AD85B61"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naznačiti da li je korišćena eksterna ekspertiza i ako da, kako</w:t>
            </w:r>
          </w:p>
          <w:p w14:paraId="49367201"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naznačiti koje su grupe zainteresovanih strana konsultovane, u kojoj fazi RIA procesa i kako (javne ili ciljane konsultacije)</w:t>
            </w:r>
          </w:p>
          <w:p w14:paraId="48C05B11" w14:textId="77777777" w:rsidR="00DA785B" w:rsidRPr="00EB6982" w:rsidRDefault="00DA785B" w:rsidP="00AB37C0">
            <w:pPr>
              <w:pStyle w:val="ListParagraph"/>
              <w:numPr>
                <w:ilvl w:val="0"/>
                <w:numId w:val="4"/>
              </w:numPr>
              <w:spacing w:line="276" w:lineRule="auto"/>
              <w:rPr>
                <w:rFonts w:ascii="Times New Roman" w:hAnsi="Times New Roman"/>
                <w:b/>
                <w:color w:val="365F91"/>
                <w:sz w:val="22"/>
                <w:lang w:val="pl-PL"/>
              </w:rPr>
            </w:pPr>
            <w:r w:rsidRPr="00EB6982">
              <w:rPr>
                <w:rFonts w:ascii="Times New Roman" w:hAnsi="Times New Roman"/>
                <w:b/>
                <w:color w:val="365F91"/>
                <w:sz w:val="22"/>
                <w:lang w:val="pl-PL"/>
              </w:rPr>
              <w:t>naznačiti glavne rezultate, i kako je input zainteresovanih strana bio uzet u obzir ili zašto nije bio uzet u obzir</w:t>
            </w:r>
          </w:p>
        </w:tc>
      </w:tr>
      <w:tr w:rsidR="00DA785B" w:rsidRPr="00EB6982" w14:paraId="75BBFE9C"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781A2F89" w14:textId="04873F6D" w:rsidR="004F05AA" w:rsidRPr="00B91486" w:rsidRDefault="008B48DA" w:rsidP="00AB37C0">
            <w:pPr>
              <w:spacing w:line="276" w:lineRule="auto"/>
              <w:rPr>
                <w:rFonts w:ascii="Times New Roman" w:hAnsi="Times New Roman"/>
                <w:color w:val="000000" w:themeColor="text1"/>
                <w:sz w:val="22"/>
                <w:lang w:val="pl-PL"/>
              </w:rPr>
            </w:pPr>
            <w:r w:rsidRPr="004F05AA">
              <w:rPr>
                <w:rFonts w:ascii="Times New Roman" w:hAnsi="Times New Roman"/>
                <w:color w:val="000000" w:themeColor="text1"/>
                <w:sz w:val="22"/>
                <w:lang w:val="pl-PL"/>
              </w:rPr>
              <w:t xml:space="preserve">Prilikom izrade propisa </w:t>
            </w:r>
            <w:r w:rsidR="00B91486">
              <w:rPr>
                <w:rFonts w:ascii="Times New Roman" w:hAnsi="Times New Roman"/>
                <w:color w:val="000000" w:themeColor="text1"/>
                <w:sz w:val="22"/>
                <w:lang w:val="pl-PL"/>
              </w:rPr>
              <w:t xml:space="preserve">je </w:t>
            </w:r>
            <w:r w:rsidR="008905BE" w:rsidRPr="004F05AA">
              <w:rPr>
                <w:rFonts w:ascii="Times New Roman" w:hAnsi="Times New Roman"/>
                <w:color w:val="000000" w:themeColor="text1"/>
                <w:sz w:val="22"/>
                <w:lang w:val="pl-PL"/>
              </w:rPr>
              <w:t>korišćena eksterna ekspertiza.</w:t>
            </w:r>
          </w:p>
          <w:p w14:paraId="738CA5A7" w14:textId="586FC67F" w:rsidR="004F05AA" w:rsidRPr="00EB6982" w:rsidRDefault="0055310B" w:rsidP="00AB37C0">
            <w:pPr>
              <w:spacing w:line="276" w:lineRule="auto"/>
              <w:rPr>
                <w:rFonts w:ascii="Times New Roman" w:hAnsi="Times New Roman"/>
                <w:color w:val="000000" w:themeColor="text1"/>
                <w:sz w:val="22"/>
                <w:lang w:val="pl-PL"/>
              </w:rPr>
            </w:pPr>
            <w:r w:rsidRPr="0055310B">
              <w:rPr>
                <w:rFonts w:ascii="Times New Roman" w:hAnsi="Times New Roman"/>
                <w:color w:val="000000" w:themeColor="text1"/>
                <w:sz w:val="22"/>
                <w:lang w:val="pl-PL"/>
              </w:rPr>
              <w:t>Nakon sproved</w:t>
            </w:r>
            <w:r w:rsidR="00CE3E7C">
              <w:rPr>
                <w:rFonts w:ascii="Times New Roman" w:hAnsi="Times New Roman"/>
                <w:color w:val="000000" w:themeColor="text1"/>
                <w:sz w:val="22"/>
                <w:lang w:val="pl-PL"/>
              </w:rPr>
              <w:t>e</w:t>
            </w:r>
            <w:r w:rsidRPr="0055310B">
              <w:rPr>
                <w:rFonts w:ascii="Times New Roman" w:hAnsi="Times New Roman"/>
                <w:color w:val="000000" w:themeColor="text1"/>
                <w:sz w:val="22"/>
                <w:lang w:val="pl-PL"/>
              </w:rPr>
              <w:t xml:space="preserve">ne javne rasprave za fiskalnu strategiju, u Izvještaju o sprovedenoj javnoj raspravi biće navedeni svi pristigli predlozi, primjedbe i sugestije, kao i pregled usvojenih odnosno odbijenih predloga. </w:t>
            </w:r>
          </w:p>
        </w:tc>
      </w:tr>
      <w:tr w:rsidR="00DA785B" w:rsidRPr="00EB6982" w14:paraId="73C11559" w14:textId="77777777" w:rsidTr="00E4403B">
        <w:trPr>
          <w:trHeight w:val="1285"/>
        </w:trPr>
        <w:tc>
          <w:tcPr>
            <w:tcW w:w="9710" w:type="dxa"/>
            <w:gridSpan w:val="2"/>
            <w:tcBorders>
              <w:top w:val="single" w:sz="8" w:space="0" w:color="C0C0C0"/>
              <w:left w:val="single" w:sz="8" w:space="0" w:color="C0C0C0"/>
              <w:bottom w:val="single" w:sz="8" w:space="0" w:color="C0C0C0"/>
              <w:right w:val="single" w:sz="8" w:space="0" w:color="C0C0C0"/>
            </w:tcBorders>
            <w:shd w:val="clear" w:color="auto" w:fill="D2EAF1"/>
          </w:tcPr>
          <w:p w14:paraId="4823AC1E" w14:textId="77777777" w:rsidR="00DA785B" w:rsidRPr="00EB6982" w:rsidRDefault="00012D55" w:rsidP="00AB37C0">
            <w:pPr>
              <w:spacing w:line="276" w:lineRule="auto"/>
              <w:rPr>
                <w:rFonts w:ascii="Times New Roman" w:hAnsi="Times New Roman"/>
                <w:b/>
                <w:color w:val="365F91"/>
                <w:sz w:val="22"/>
              </w:rPr>
            </w:pPr>
            <w:r w:rsidRPr="00EB6982">
              <w:rPr>
                <w:rFonts w:ascii="Times New Roman" w:hAnsi="Times New Roman"/>
                <w:b/>
                <w:color w:val="365F91"/>
                <w:sz w:val="22"/>
              </w:rPr>
              <w:t>7.</w:t>
            </w:r>
            <w:r w:rsidR="00DA785B" w:rsidRPr="00EB6982">
              <w:rPr>
                <w:rFonts w:ascii="Times New Roman" w:hAnsi="Times New Roman"/>
                <w:b/>
                <w:color w:val="365F91"/>
                <w:sz w:val="22"/>
              </w:rPr>
              <w:t xml:space="preserve"> Monitoring </w:t>
            </w:r>
            <w:proofErr w:type="spellStart"/>
            <w:r w:rsidR="00DA785B" w:rsidRPr="00EB6982">
              <w:rPr>
                <w:rFonts w:ascii="Times New Roman" w:hAnsi="Times New Roman"/>
                <w:b/>
                <w:color w:val="365F91"/>
                <w:sz w:val="22"/>
              </w:rPr>
              <w:t>i</w:t>
            </w:r>
            <w:proofErr w:type="spellEnd"/>
            <w:r w:rsidR="00DA785B" w:rsidRPr="00EB6982">
              <w:rPr>
                <w:rFonts w:ascii="Times New Roman" w:hAnsi="Times New Roman"/>
                <w:b/>
                <w:color w:val="365F91"/>
                <w:sz w:val="22"/>
              </w:rPr>
              <w:t xml:space="preserve"> </w:t>
            </w:r>
            <w:proofErr w:type="spellStart"/>
            <w:r w:rsidR="00DA785B" w:rsidRPr="00EB6982">
              <w:rPr>
                <w:rFonts w:ascii="Times New Roman" w:hAnsi="Times New Roman"/>
                <w:b/>
                <w:color w:val="365F91"/>
                <w:sz w:val="22"/>
              </w:rPr>
              <w:t>evaluacija</w:t>
            </w:r>
            <w:proofErr w:type="spellEnd"/>
          </w:p>
          <w:p w14:paraId="1B8EE812"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 xml:space="preserve">Koje su potencijalne prepreke za implementaciju propisa? </w:t>
            </w:r>
          </w:p>
          <w:p w14:paraId="5469C6F7" w14:textId="77777777" w:rsidR="00DA785B" w:rsidRPr="00EB6982" w:rsidRDefault="00DA785B" w:rsidP="00AB37C0">
            <w:pPr>
              <w:pStyle w:val="ListParagraph"/>
              <w:numPr>
                <w:ilvl w:val="0"/>
                <w:numId w:val="4"/>
              </w:numPr>
              <w:spacing w:line="276" w:lineRule="auto"/>
              <w:jc w:val="left"/>
              <w:rPr>
                <w:rFonts w:ascii="Times New Roman" w:hAnsi="Times New Roman"/>
                <w:b/>
                <w:color w:val="365F91"/>
                <w:sz w:val="22"/>
                <w:lang w:val="nb-NO"/>
              </w:rPr>
            </w:pPr>
            <w:r w:rsidRPr="00EB6982">
              <w:rPr>
                <w:rFonts w:ascii="Times New Roman" w:hAnsi="Times New Roman"/>
                <w:b/>
                <w:color w:val="365F91"/>
                <w:sz w:val="22"/>
                <w:lang w:val="nb-NO"/>
              </w:rPr>
              <w:t>Koje će mjere biti preduzete tokom primjene propisa da bi se ispunili ciljevi?</w:t>
            </w:r>
          </w:p>
          <w:p w14:paraId="7902D60E" w14:textId="77777777" w:rsidR="00DA785B" w:rsidRPr="00EB6982" w:rsidRDefault="00DA785B" w:rsidP="00AB37C0">
            <w:pPr>
              <w:pStyle w:val="ListParagraph"/>
              <w:numPr>
                <w:ilvl w:val="0"/>
                <w:numId w:val="7"/>
              </w:numPr>
              <w:spacing w:line="276" w:lineRule="auto"/>
              <w:jc w:val="left"/>
              <w:rPr>
                <w:rFonts w:ascii="Times New Roman" w:hAnsi="Times New Roman"/>
                <w:b/>
                <w:color w:val="365F91"/>
                <w:sz w:val="22"/>
                <w:lang w:val="nb-NO"/>
              </w:rPr>
            </w:pPr>
            <w:r w:rsidRPr="00EB6982">
              <w:rPr>
                <w:rFonts w:ascii="Times New Roman" w:hAnsi="Times New Roman"/>
                <w:b/>
                <w:color w:val="365F91"/>
                <w:sz w:val="22"/>
                <w:lang w:val="nb-NO"/>
              </w:rPr>
              <w:t>Koji su glavni indikatori prema kojima će se mjeriti ispunjenje ciljeva?</w:t>
            </w:r>
          </w:p>
          <w:p w14:paraId="7CDADF9A" w14:textId="77777777" w:rsidR="00DA785B" w:rsidRPr="00EB6982" w:rsidRDefault="00DA785B" w:rsidP="00AB37C0">
            <w:pPr>
              <w:pStyle w:val="ListParagraph"/>
              <w:numPr>
                <w:ilvl w:val="0"/>
                <w:numId w:val="7"/>
              </w:numPr>
              <w:spacing w:line="276" w:lineRule="auto"/>
              <w:jc w:val="left"/>
              <w:rPr>
                <w:rFonts w:ascii="Times New Roman" w:hAnsi="Times New Roman"/>
                <w:b/>
                <w:color w:val="365F91"/>
                <w:sz w:val="22"/>
                <w:lang w:val="pl-PL"/>
              </w:rPr>
            </w:pPr>
            <w:r w:rsidRPr="00EB6982">
              <w:rPr>
                <w:rFonts w:ascii="Times New Roman" w:hAnsi="Times New Roman"/>
                <w:b/>
                <w:color w:val="365F91"/>
                <w:sz w:val="22"/>
                <w:lang w:val="pl-PL"/>
              </w:rPr>
              <w:t>Ko će biti zadužen za sprovođenje monitoringa i evaluacije primjene propisa?</w:t>
            </w:r>
          </w:p>
        </w:tc>
      </w:tr>
      <w:tr w:rsidR="00DA785B" w:rsidRPr="00EB6982" w14:paraId="764EECD1" w14:textId="77777777" w:rsidTr="004F5678">
        <w:tc>
          <w:tcPr>
            <w:tcW w:w="9710" w:type="dxa"/>
            <w:gridSpan w:val="2"/>
            <w:tcBorders>
              <w:top w:val="single" w:sz="8" w:space="0" w:color="C0C0C0"/>
              <w:left w:val="single" w:sz="8" w:space="0" w:color="C0C0C0"/>
              <w:bottom w:val="single" w:sz="8" w:space="0" w:color="C0C0C0"/>
              <w:right w:val="single" w:sz="8" w:space="0" w:color="C0C0C0"/>
            </w:tcBorders>
            <w:shd w:val="clear" w:color="auto" w:fill="auto"/>
          </w:tcPr>
          <w:p w14:paraId="44F9A236" w14:textId="77777777" w:rsidR="00210BBF" w:rsidRDefault="00210BBF" w:rsidP="00AB37C0">
            <w:pPr>
              <w:spacing w:line="276" w:lineRule="auto"/>
              <w:rPr>
                <w:rFonts w:ascii="Times New Roman" w:hAnsi="Times New Roman"/>
                <w:color w:val="000000" w:themeColor="text1"/>
                <w:sz w:val="22"/>
                <w:lang w:val="pl-PL"/>
              </w:rPr>
            </w:pPr>
            <w:bookmarkStart w:id="1" w:name="_GoBack"/>
            <w:bookmarkEnd w:id="1"/>
          </w:p>
          <w:p w14:paraId="1343C6DB" w14:textId="77777777" w:rsidR="0013325A" w:rsidRDefault="002206BB" w:rsidP="00AB37C0">
            <w:pPr>
              <w:spacing w:line="276" w:lineRule="auto"/>
              <w:rPr>
                <w:rFonts w:ascii="Times New Roman" w:hAnsi="Times New Roman"/>
                <w:color w:val="000000" w:themeColor="text1"/>
                <w:sz w:val="22"/>
                <w:lang w:val="pl-PL"/>
              </w:rPr>
            </w:pPr>
            <w:r>
              <w:rPr>
                <w:rFonts w:ascii="Times New Roman" w:hAnsi="Times New Roman"/>
                <w:color w:val="000000" w:themeColor="text1"/>
                <w:sz w:val="22"/>
                <w:lang w:val="pl-PL"/>
              </w:rPr>
              <w:t>Ne postoje prepreke za imp</w:t>
            </w:r>
            <w:r w:rsidR="00313AB2">
              <w:rPr>
                <w:rFonts w:ascii="Times New Roman" w:hAnsi="Times New Roman"/>
                <w:color w:val="000000" w:themeColor="text1"/>
                <w:sz w:val="22"/>
                <w:lang w:val="pl-PL"/>
              </w:rPr>
              <w:t>le</w:t>
            </w:r>
            <w:r>
              <w:rPr>
                <w:rFonts w:ascii="Times New Roman" w:hAnsi="Times New Roman"/>
                <w:color w:val="000000" w:themeColor="text1"/>
                <w:sz w:val="22"/>
                <w:lang w:val="pl-PL"/>
              </w:rPr>
              <w:t xml:space="preserve">mentaciju propisa. </w:t>
            </w:r>
          </w:p>
          <w:p w14:paraId="56547B88" w14:textId="31416F3D" w:rsidR="00C81E38" w:rsidRPr="00C81E38" w:rsidRDefault="00C81E38" w:rsidP="00AB37C0">
            <w:pPr>
              <w:spacing w:line="276" w:lineRule="auto"/>
              <w:rPr>
                <w:rFonts w:ascii="Times New Roman" w:hAnsi="Times New Roman"/>
                <w:color w:val="000000" w:themeColor="text1"/>
                <w:sz w:val="22"/>
                <w:lang w:val="pl-PL"/>
              </w:rPr>
            </w:pPr>
            <w:r w:rsidRPr="00C81E38">
              <w:rPr>
                <w:rFonts w:ascii="Times New Roman" w:hAnsi="Times New Roman"/>
                <w:color w:val="000000" w:themeColor="text1"/>
                <w:sz w:val="22"/>
                <w:lang w:val="pl-PL"/>
              </w:rPr>
              <w:t xml:space="preserve">Ispunjenost ciljeva mjeriće se kroz povećanje naplate </w:t>
            </w:r>
            <w:r w:rsidR="006E789E">
              <w:rPr>
                <w:rFonts w:ascii="Times New Roman" w:hAnsi="Times New Roman"/>
                <w:color w:val="000000" w:themeColor="text1"/>
                <w:sz w:val="22"/>
                <w:lang w:val="pl-PL"/>
              </w:rPr>
              <w:t>akciza</w:t>
            </w:r>
            <w:r w:rsidRPr="00C81E38">
              <w:rPr>
                <w:rFonts w:ascii="Times New Roman" w:hAnsi="Times New Roman"/>
                <w:color w:val="000000" w:themeColor="text1"/>
                <w:sz w:val="22"/>
                <w:lang w:val="pl-PL"/>
              </w:rPr>
              <w:t xml:space="preserve"> na godišnjem nivou. </w:t>
            </w:r>
          </w:p>
          <w:p w14:paraId="2B87081C" w14:textId="6AC7A886" w:rsidR="00C81E38" w:rsidRPr="0013325A" w:rsidRDefault="00C81E38" w:rsidP="00AB37C0">
            <w:pPr>
              <w:spacing w:line="276" w:lineRule="auto"/>
              <w:rPr>
                <w:rFonts w:ascii="Times New Roman" w:hAnsi="Times New Roman"/>
                <w:color w:val="000000" w:themeColor="text1"/>
                <w:sz w:val="22"/>
                <w:lang w:val="pl-PL"/>
              </w:rPr>
            </w:pPr>
            <w:r w:rsidRPr="00C81E38">
              <w:rPr>
                <w:rFonts w:ascii="Times New Roman" w:hAnsi="Times New Roman"/>
                <w:color w:val="000000" w:themeColor="text1"/>
                <w:sz w:val="22"/>
                <w:lang w:val="pl-PL"/>
              </w:rPr>
              <w:t>Nadzor nad sprovođenjem propisa vrši Ministarstvo finansija.</w:t>
            </w:r>
          </w:p>
        </w:tc>
      </w:tr>
    </w:tbl>
    <w:p w14:paraId="4CDFF52D" w14:textId="77777777" w:rsidR="00DA785B" w:rsidRPr="009A6A24" w:rsidRDefault="00DA785B" w:rsidP="00AB37C0">
      <w:pPr>
        <w:spacing w:line="276" w:lineRule="auto"/>
        <w:rPr>
          <w:rFonts w:ascii="Arial" w:hAnsi="Arial" w:cs="Arial"/>
          <w:b/>
          <w:color w:val="365F91"/>
          <w:sz w:val="20"/>
          <w:szCs w:val="20"/>
          <w:lang w:val="pl-PL"/>
        </w:rPr>
      </w:pPr>
    </w:p>
    <w:p w14:paraId="5EF8B1E6" w14:textId="77777777" w:rsidR="0055310B" w:rsidRPr="00AA280B" w:rsidRDefault="0055310B" w:rsidP="00AB37C0">
      <w:pPr>
        <w:spacing w:line="276" w:lineRule="auto"/>
        <w:rPr>
          <w:color w:val="365F91"/>
          <w:lang w:val="pl-PL"/>
        </w:rPr>
      </w:pPr>
    </w:p>
    <w:sectPr w:rsidR="0055310B" w:rsidRPr="00AA280B" w:rsidSect="00336F99">
      <w:pgSz w:w="12240" w:h="15840"/>
      <w:pgMar w:top="1440" w:right="1440" w:bottom="1440" w:left="1440"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A19FB" w14:textId="77777777" w:rsidR="00DA513D" w:rsidRDefault="00DA513D" w:rsidP="006122E1">
      <w:pPr>
        <w:spacing w:line="240" w:lineRule="auto"/>
      </w:pPr>
      <w:r>
        <w:separator/>
      </w:r>
    </w:p>
  </w:endnote>
  <w:endnote w:type="continuationSeparator" w:id="0">
    <w:p w14:paraId="01709F5D" w14:textId="77777777" w:rsidR="00DA513D" w:rsidRDefault="00DA513D" w:rsidP="00612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5C23C" w14:textId="77777777" w:rsidR="00DA513D" w:rsidRDefault="00DA513D" w:rsidP="006122E1">
      <w:pPr>
        <w:spacing w:line="240" w:lineRule="auto"/>
      </w:pPr>
      <w:r>
        <w:separator/>
      </w:r>
    </w:p>
  </w:footnote>
  <w:footnote w:type="continuationSeparator" w:id="0">
    <w:p w14:paraId="4D16E2D5" w14:textId="77777777" w:rsidR="00DA513D" w:rsidRDefault="00DA513D" w:rsidP="006122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12"/>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13"/>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14"/>
    <w:lvl w:ilvl="0">
      <w:start w:val="1"/>
      <w:numFmt w:val="bullet"/>
      <w:lvlText w:val=""/>
      <w:lvlJc w:val="left"/>
      <w:pPr>
        <w:tabs>
          <w:tab w:val="num" w:pos="0"/>
        </w:tabs>
        <w:ind w:left="720" w:hanging="360"/>
      </w:pPr>
      <w:rPr>
        <w:rFonts w:ascii="Wingdings" w:hAnsi="Wingdings"/>
        <w:color w:val="365F91"/>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AED590A"/>
    <w:multiLevelType w:val="hybridMultilevel"/>
    <w:tmpl w:val="1AA6A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41E70"/>
    <w:multiLevelType w:val="hybridMultilevel"/>
    <w:tmpl w:val="A976956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A3BA5"/>
    <w:multiLevelType w:val="hybridMultilevel"/>
    <w:tmpl w:val="F378E1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216F0"/>
    <w:multiLevelType w:val="hybridMultilevel"/>
    <w:tmpl w:val="94DE82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626B8"/>
    <w:multiLevelType w:val="hybridMultilevel"/>
    <w:tmpl w:val="2F2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90747"/>
    <w:multiLevelType w:val="hybridMultilevel"/>
    <w:tmpl w:val="191C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A110E"/>
    <w:multiLevelType w:val="hybridMultilevel"/>
    <w:tmpl w:val="4B84645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6656C"/>
    <w:multiLevelType w:val="hybridMultilevel"/>
    <w:tmpl w:val="49D62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3430CC"/>
    <w:multiLevelType w:val="hybridMultilevel"/>
    <w:tmpl w:val="60DE9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416278"/>
    <w:multiLevelType w:val="hybridMultilevel"/>
    <w:tmpl w:val="2AD0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F69A0"/>
    <w:multiLevelType w:val="hybridMultilevel"/>
    <w:tmpl w:val="CD469A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717F7"/>
    <w:multiLevelType w:val="hybridMultilevel"/>
    <w:tmpl w:val="434AB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782738"/>
    <w:multiLevelType w:val="hybridMultilevel"/>
    <w:tmpl w:val="A06AB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A2509"/>
    <w:multiLevelType w:val="hybridMultilevel"/>
    <w:tmpl w:val="002295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2095F"/>
    <w:multiLevelType w:val="hybridMultilevel"/>
    <w:tmpl w:val="41C0C85C"/>
    <w:lvl w:ilvl="0" w:tplc="76C496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576D3"/>
    <w:multiLevelType w:val="hybridMultilevel"/>
    <w:tmpl w:val="7B6E9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1A2819"/>
    <w:multiLevelType w:val="hybridMultilevel"/>
    <w:tmpl w:val="0F94F3AC"/>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7D4F1B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8"/>
  </w:num>
  <w:num w:numId="10">
    <w:abstractNumId w:val="18"/>
  </w:num>
  <w:num w:numId="11">
    <w:abstractNumId w:val="24"/>
  </w:num>
  <w:num w:numId="12">
    <w:abstractNumId w:val="10"/>
  </w:num>
  <w:num w:numId="13">
    <w:abstractNumId w:val="11"/>
  </w:num>
  <w:num w:numId="14">
    <w:abstractNumId w:val="12"/>
  </w:num>
  <w:num w:numId="15">
    <w:abstractNumId w:val="16"/>
  </w:num>
  <w:num w:numId="16">
    <w:abstractNumId w:val="9"/>
  </w:num>
  <w:num w:numId="17">
    <w:abstractNumId w:val="13"/>
  </w:num>
  <w:num w:numId="18">
    <w:abstractNumId w:val="21"/>
  </w:num>
  <w:num w:numId="19">
    <w:abstractNumId w:val="17"/>
  </w:num>
  <w:num w:numId="20">
    <w:abstractNumId w:val="14"/>
  </w:num>
  <w:num w:numId="21">
    <w:abstractNumId w:val="19"/>
  </w:num>
  <w:num w:numId="22">
    <w:abstractNumId w:val="22"/>
  </w:num>
  <w:num w:numId="23">
    <w:abstractNumId w:val="23"/>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E4"/>
    <w:rsid w:val="00010235"/>
    <w:rsid w:val="00012D55"/>
    <w:rsid w:val="000131A9"/>
    <w:rsid w:val="00016948"/>
    <w:rsid w:val="00016F6B"/>
    <w:rsid w:val="00026EB5"/>
    <w:rsid w:val="00037E68"/>
    <w:rsid w:val="00042B40"/>
    <w:rsid w:val="00050961"/>
    <w:rsid w:val="00051EE6"/>
    <w:rsid w:val="00056145"/>
    <w:rsid w:val="00057C17"/>
    <w:rsid w:val="00063664"/>
    <w:rsid w:val="00075438"/>
    <w:rsid w:val="00077290"/>
    <w:rsid w:val="00080204"/>
    <w:rsid w:val="000826CD"/>
    <w:rsid w:val="000866D1"/>
    <w:rsid w:val="00086C10"/>
    <w:rsid w:val="000A0AF9"/>
    <w:rsid w:val="000A1128"/>
    <w:rsid w:val="000A41F1"/>
    <w:rsid w:val="000B1B77"/>
    <w:rsid w:val="000C0015"/>
    <w:rsid w:val="000D425C"/>
    <w:rsid w:val="000E2CDA"/>
    <w:rsid w:val="000E5CE4"/>
    <w:rsid w:val="000E5DD5"/>
    <w:rsid w:val="000F0E14"/>
    <w:rsid w:val="000F65C1"/>
    <w:rsid w:val="000F72B2"/>
    <w:rsid w:val="00107BEF"/>
    <w:rsid w:val="0011003E"/>
    <w:rsid w:val="001114B7"/>
    <w:rsid w:val="00113B06"/>
    <w:rsid w:val="00121B72"/>
    <w:rsid w:val="00122C22"/>
    <w:rsid w:val="00125A3B"/>
    <w:rsid w:val="00126E41"/>
    <w:rsid w:val="0013325A"/>
    <w:rsid w:val="0013479D"/>
    <w:rsid w:val="00134A82"/>
    <w:rsid w:val="0013746C"/>
    <w:rsid w:val="00137493"/>
    <w:rsid w:val="001460AB"/>
    <w:rsid w:val="001541CC"/>
    <w:rsid w:val="0015676E"/>
    <w:rsid w:val="00156F5A"/>
    <w:rsid w:val="00161BA8"/>
    <w:rsid w:val="00161CFE"/>
    <w:rsid w:val="00165048"/>
    <w:rsid w:val="00165624"/>
    <w:rsid w:val="0016575A"/>
    <w:rsid w:val="00170892"/>
    <w:rsid w:val="001771A3"/>
    <w:rsid w:val="0018052C"/>
    <w:rsid w:val="00187868"/>
    <w:rsid w:val="001A6A75"/>
    <w:rsid w:val="001B1AF9"/>
    <w:rsid w:val="001B2B46"/>
    <w:rsid w:val="001C2431"/>
    <w:rsid w:val="001C7919"/>
    <w:rsid w:val="001E120A"/>
    <w:rsid w:val="001E4A80"/>
    <w:rsid w:val="001E7969"/>
    <w:rsid w:val="001F21FA"/>
    <w:rsid w:val="001F5335"/>
    <w:rsid w:val="00200F9B"/>
    <w:rsid w:val="00201544"/>
    <w:rsid w:val="00201C4D"/>
    <w:rsid w:val="00210BBF"/>
    <w:rsid w:val="00216135"/>
    <w:rsid w:val="00216642"/>
    <w:rsid w:val="00216C52"/>
    <w:rsid w:val="002206BB"/>
    <w:rsid w:val="002256FB"/>
    <w:rsid w:val="00226B1D"/>
    <w:rsid w:val="00233C7A"/>
    <w:rsid w:val="00235F1B"/>
    <w:rsid w:val="00240886"/>
    <w:rsid w:val="00246646"/>
    <w:rsid w:val="00255CED"/>
    <w:rsid w:val="00255EBE"/>
    <w:rsid w:val="002620DE"/>
    <w:rsid w:val="0026277C"/>
    <w:rsid w:val="00264D44"/>
    <w:rsid w:val="00273118"/>
    <w:rsid w:val="00281899"/>
    <w:rsid w:val="00284E01"/>
    <w:rsid w:val="002A160D"/>
    <w:rsid w:val="002A34DB"/>
    <w:rsid w:val="002A4763"/>
    <w:rsid w:val="002C0F4C"/>
    <w:rsid w:val="002C3CF0"/>
    <w:rsid w:val="002C46E4"/>
    <w:rsid w:val="002E16FE"/>
    <w:rsid w:val="0030166C"/>
    <w:rsid w:val="00302409"/>
    <w:rsid w:val="00304EAA"/>
    <w:rsid w:val="00305D60"/>
    <w:rsid w:val="00310554"/>
    <w:rsid w:val="003119A4"/>
    <w:rsid w:val="00313AB2"/>
    <w:rsid w:val="0033178F"/>
    <w:rsid w:val="003320EC"/>
    <w:rsid w:val="003340BB"/>
    <w:rsid w:val="00336D92"/>
    <w:rsid w:val="00336F99"/>
    <w:rsid w:val="00340ED3"/>
    <w:rsid w:val="00342F88"/>
    <w:rsid w:val="003462FE"/>
    <w:rsid w:val="00355072"/>
    <w:rsid w:val="00360147"/>
    <w:rsid w:val="003645D1"/>
    <w:rsid w:val="003649B5"/>
    <w:rsid w:val="00370FC2"/>
    <w:rsid w:val="00373060"/>
    <w:rsid w:val="00374499"/>
    <w:rsid w:val="003747D5"/>
    <w:rsid w:val="00381959"/>
    <w:rsid w:val="00381BDE"/>
    <w:rsid w:val="00382E0B"/>
    <w:rsid w:val="003A3534"/>
    <w:rsid w:val="003A521E"/>
    <w:rsid w:val="003B0C3D"/>
    <w:rsid w:val="003C010E"/>
    <w:rsid w:val="003C6219"/>
    <w:rsid w:val="003D263B"/>
    <w:rsid w:val="003D50FA"/>
    <w:rsid w:val="003D6B5A"/>
    <w:rsid w:val="003E5C2A"/>
    <w:rsid w:val="003E6195"/>
    <w:rsid w:val="003E67A2"/>
    <w:rsid w:val="003E6EAE"/>
    <w:rsid w:val="00402289"/>
    <w:rsid w:val="00414958"/>
    <w:rsid w:val="00417269"/>
    <w:rsid w:val="00417EC2"/>
    <w:rsid w:val="00417F5B"/>
    <w:rsid w:val="00430F59"/>
    <w:rsid w:val="00436D87"/>
    <w:rsid w:val="00441067"/>
    <w:rsid w:val="0045260A"/>
    <w:rsid w:val="004550B7"/>
    <w:rsid w:val="004722D5"/>
    <w:rsid w:val="004761B4"/>
    <w:rsid w:val="00476F6E"/>
    <w:rsid w:val="00483B16"/>
    <w:rsid w:val="004865AA"/>
    <w:rsid w:val="00495DF0"/>
    <w:rsid w:val="004A2776"/>
    <w:rsid w:val="004A2EB9"/>
    <w:rsid w:val="004A7276"/>
    <w:rsid w:val="004C2134"/>
    <w:rsid w:val="004C2454"/>
    <w:rsid w:val="004C2C49"/>
    <w:rsid w:val="004C5EB0"/>
    <w:rsid w:val="004C60C0"/>
    <w:rsid w:val="004D1BC2"/>
    <w:rsid w:val="004D7DB7"/>
    <w:rsid w:val="004E00A0"/>
    <w:rsid w:val="004E24BE"/>
    <w:rsid w:val="004E2D0B"/>
    <w:rsid w:val="004E43CA"/>
    <w:rsid w:val="004F05AA"/>
    <w:rsid w:val="004F13B6"/>
    <w:rsid w:val="004F14F5"/>
    <w:rsid w:val="004F5678"/>
    <w:rsid w:val="0050278D"/>
    <w:rsid w:val="005062BB"/>
    <w:rsid w:val="00507926"/>
    <w:rsid w:val="0051577D"/>
    <w:rsid w:val="00517309"/>
    <w:rsid w:val="0052684C"/>
    <w:rsid w:val="0053511C"/>
    <w:rsid w:val="00535238"/>
    <w:rsid w:val="00537944"/>
    <w:rsid w:val="005416FE"/>
    <w:rsid w:val="00547C64"/>
    <w:rsid w:val="005511BF"/>
    <w:rsid w:val="00551E0C"/>
    <w:rsid w:val="0055310B"/>
    <w:rsid w:val="005537BE"/>
    <w:rsid w:val="00553DEB"/>
    <w:rsid w:val="0056116A"/>
    <w:rsid w:val="005647CB"/>
    <w:rsid w:val="00567BA6"/>
    <w:rsid w:val="00567E80"/>
    <w:rsid w:val="00577258"/>
    <w:rsid w:val="00582EDF"/>
    <w:rsid w:val="00582FE6"/>
    <w:rsid w:val="00583BEB"/>
    <w:rsid w:val="00584E59"/>
    <w:rsid w:val="0059070A"/>
    <w:rsid w:val="005A31A7"/>
    <w:rsid w:val="005A32F2"/>
    <w:rsid w:val="005A3B66"/>
    <w:rsid w:val="005A5FAA"/>
    <w:rsid w:val="005C1779"/>
    <w:rsid w:val="005C5CC4"/>
    <w:rsid w:val="005D1EA3"/>
    <w:rsid w:val="005D729E"/>
    <w:rsid w:val="005E164A"/>
    <w:rsid w:val="005E6849"/>
    <w:rsid w:val="005F19B6"/>
    <w:rsid w:val="006047E5"/>
    <w:rsid w:val="00606214"/>
    <w:rsid w:val="0060671C"/>
    <w:rsid w:val="00611C27"/>
    <w:rsid w:val="006122E1"/>
    <w:rsid w:val="0061533D"/>
    <w:rsid w:val="00616C80"/>
    <w:rsid w:val="00623139"/>
    <w:rsid w:val="00625EF1"/>
    <w:rsid w:val="00633B25"/>
    <w:rsid w:val="0063618D"/>
    <w:rsid w:val="006369DE"/>
    <w:rsid w:val="00640DC2"/>
    <w:rsid w:val="00643ADC"/>
    <w:rsid w:val="00644640"/>
    <w:rsid w:val="0065633A"/>
    <w:rsid w:val="006607AF"/>
    <w:rsid w:val="006661B2"/>
    <w:rsid w:val="00671CD8"/>
    <w:rsid w:val="00684550"/>
    <w:rsid w:val="00693416"/>
    <w:rsid w:val="006A1105"/>
    <w:rsid w:val="006A2BE9"/>
    <w:rsid w:val="006B2E1A"/>
    <w:rsid w:val="006B352B"/>
    <w:rsid w:val="006B3C51"/>
    <w:rsid w:val="006B4172"/>
    <w:rsid w:val="006C1133"/>
    <w:rsid w:val="006C2F4F"/>
    <w:rsid w:val="006D1328"/>
    <w:rsid w:val="006D561A"/>
    <w:rsid w:val="006E2ED9"/>
    <w:rsid w:val="006E44EC"/>
    <w:rsid w:val="006E4854"/>
    <w:rsid w:val="006E565C"/>
    <w:rsid w:val="006E789E"/>
    <w:rsid w:val="006F0F6C"/>
    <w:rsid w:val="006F1B10"/>
    <w:rsid w:val="006F2106"/>
    <w:rsid w:val="006F2480"/>
    <w:rsid w:val="006F2E02"/>
    <w:rsid w:val="006F7A56"/>
    <w:rsid w:val="007001C4"/>
    <w:rsid w:val="0070539A"/>
    <w:rsid w:val="0070590B"/>
    <w:rsid w:val="00705CE3"/>
    <w:rsid w:val="00713497"/>
    <w:rsid w:val="0072252C"/>
    <w:rsid w:val="00726934"/>
    <w:rsid w:val="0073246A"/>
    <w:rsid w:val="00732D50"/>
    <w:rsid w:val="007376D0"/>
    <w:rsid w:val="00746198"/>
    <w:rsid w:val="007543FE"/>
    <w:rsid w:val="007624EA"/>
    <w:rsid w:val="0076254A"/>
    <w:rsid w:val="007626F0"/>
    <w:rsid w:val="0076736A"/>
    <w:rsid w:val="0077200C"/>
    <w:rsid w:val="00793178"/>
    <w:rsid w:val="00795774"/>
    <w:rsid w:val="007A1D31"/>
    <w:rsid w:val="007A537C"/>
    <w:rsid w:val="007A6CCC"/>
    <w:rsid w:val="007B1CDB"/>
    <w:rsid w:val="007B2191"/>
    <w:rsid w:val="007C0192"/>
    <w:rsid w:val="007C2A6B"/>
    <w:rsid w:val="007C6DCB"/>
    <w:rsid w:val="007D3068"/>
    <w:rsid w:val="007D31A4"/>
    <w:rsid w:val="007D756B"/>
    <w:rsid w:val="007E3F73"/>
    <w:rsid w:val="007E6E34"/>
    <w:rsid w:val="007F7A3D"/>
    <w:rsid w:val="008033D0"/>
    <w:rsid w:val="0080379C"/>
    <w:rsid w:val="008079CA"/>
    <w:rsid w:val="0083326A"/>
    <w:rsid w:val="00846CE7"/>
    <w:rsid w:val="00852E35"/>
    <w:rsid w:val="008604E3"/>
    <w:rsid w:val="0086197F"/>
    <w:rsid w:val="00864B6A"/>
    <w:rsid w:val="00867196"/>
    <w:rsid w:val="008723D5"/>
    <w:rsid w:val="00873F53"/>
    <w:rsid w:val="00874B47"/>
    <w:rsid w:val="00876ACA"/>
    <w:rsid w:val="0088240A"/>
    <w:rsid w:val="00882FDB"/>
    <w:rsid w:val="00883E4D"/>
    <w:rsid w:val="00887618"/>
    <w:rsid w:val="00887C06"/>
    <w:rsid w:val="008905BE"/>
    <w:rsid w:val="008A03CC"/>
    <w:rsid w:val="008A44C0"/>
    <w:rsid w:val="008A6D82"/>
    <w:rsid w:val="008B335D"/>
    <w:rsid w:val="008B48DA"/>
    <w:rsid w:val="008B4EB5"/>
    <w:rsid w:val="008C24EA"/>
    <w:rsid w:val="008C45F3"/>
    <w:rsid w:val="008C68B9"/>
    <w:rsid w:val="008C7658"/>
    <w:rsid w:val="008D2F51"/>
    <w:rsid w:val="008E0E49"/>
    <w:rsid w:val="008F20D6"/>
    <w:rsid w:val="008F288D"/>
    <w:rsid w:val="008F3DBB"/>
    <w:rsid w:val="008F4D08"/>
    <w:rsid w:val="009028EE"/>
    <w:rsid w:val="009077E3"/>
    <w:rsid w:val="0091263C"/>
    <w:rsid w:val="0091490E"/>
    <w:rsid w:val="00920F8E"/>
    <w:rsid w:val="00921E17"/>
    <w:rsid w:val="00926F55"/>
    <w:rsid w:val="00941DC8"/>
    <w:rsid w:val="00956B30"/>
    <w:rsid w:val="009667A1"/>
    <w:rsid w:val="00971A2E"/>
    <w:rsid w:val="00995244"/>
    <w:rsid w:val="00996772"/>
    <w:rsid w:val="009A11E1"/>
    <w:rsid w:val="009A6A24"/>
    <w:rsid w:val="009B077B"/>
    <w:rsid w:val="009B1872"/>
    <w:rsid w:val="009B2B13"/>
    <w:rsid w:val="009B308F"/>
    <w:rsid w:val="009B4298"/>
    <w:rsid w:val="009B5807"/>
    <w:rsid w:val="009C25F7"/>
    <w:rsid w:val="009C305D"/>
    <w:rsid w:val="009D1E4A"/>
    <w:rsid w:val="009E36BB"/>
    <w:rsid w:val="009E6E7D"/>
    <w:rsid w:val="009F3818"/>
    <w:rsid w:val="009F522A"/>
    <w:rsid w:val="009F6A8E"/>
    <w:rsid w:val="00A02D24"/>
    <w:rsid w:val="00A03FBC"/>
    <w:rsid w:val="00A04084"/>
    <w:rsid w:val="00A04322"/>
    <w:rsid w:val="00A0451D"/>
    <w:rsid w:val="00A12AD0"/>
    <w:rsid w:val="00A1780A"/>
    <w:rsid w:val="00A2257A"/>
    <w:rsid w:val="00A24399"/>
    <w:rsid w:val="00A27181"/>
    <w:rsid w:val="00A356F8"/>
    <w:rsid w:val="00A400E3"/>
    <w:rsid w:val="00A43ABC"/>
    <w:rsid w:val="00A444A7"/>
    <w:rsid w:val="00A55CAE"/>
    <w:rsid w:val="00A5799F"/>
    <w:rsid w:val="00A67A17"/>
    <w:rsid w:val="00A72722"/>
    <w:rsid w:val="00A878C0"/>
    <w:rsid w:val="00A932DD"/>
    <w:rsid w:val="00A95C0E"/>
    <w:rsid w:val="00AA0799"/>
    <w:rsid w:val="00AA280B"/>
    <w:rsid w:val="00AA6A1B"/>
    <w:rsid w:val="00AA6D24"/>
    <w:rsid w:val="00AB19CA"/>
    <w:rsid w:val="00AB2954"/>
    <w:rsid w:val="00AB3649"/>
    <w:rsid w:val="00AB37C0"/>
    <w:rsid w:val="00AC151E"/>
    <w:rsid w:val="00AD0DF8"/>
    <w:rsid w:val="00AD7AE4"/>
    <w:rsid w:val="00AE0CC6"/>
    <w:rsid w:val="00AE20AF"/>
    <w:rsid w:val="00AE3F7E"/>
    <w:rsid w:val="00AE3FEB"/>
    <w:rsid w:val="00AE5151"/>
    <w:rsid w:val="00B01B91"/>
    <w:rsid w:val="00B01E88"/>
    <w:rsid w:val="00B13536"/>
    <w:rsid w:val="00B13F4F"/>
    <w:rsid w:val="00B1794B"/>
    <w:rsid w:val="00B23ED5"/>
    <w:rsid w:val="00B30552"/>
    <w:rsid w:val="00B412C7"/>
    <w:rsid w:val="00B419DC"/>
    <w:rsid w:val="00B47FD4"/>
    <w:rsid w:val="00B53A99"/>
    <w:rsid w:val="00B53E6D"/>
    <w:rsid w:val="00B55329"/>
    <w:rsid w:val="00B64243"/>
    <w:rsid w:val="00B7049D"/>
    <w:rsid w:val="00B74DE1"/>
    <w:rsid w:val="00B7560D"/>
    <w:rsid w:val="00B7644A"/>
    <w:rsid w:val="00B77401"/>
    <w:rsid w:val="00B9144B"/>
    <w:rsid w:val="00B91486"/>
    <w:rsid w:val="00B950AC"/>
    <w:rsid w:val="00B956DE"/>
    <w:rsid w:val="00BB3E93"/>
    <w:rsid w:val="00BB7116"/>
    <w:rsid w:val="00BB7158"/>
    <w:rsid w:val="00BC2B09"/>
    <w:rsid w:val="00BC43CF"/>
    <w:rsid w:val="00BC4841"/>
    <w:rsid w:val="00BC5441"/>
    <w:rsid w:val="00BD056D"/>
    <w:rsid w:val="00BD4303"/>
    <w:rsid w:val="00BD4807"/>
    <w:rsid w:val="00BE69B5"/>
    <w:rsid w:val="00BF5366"/>
    <w:rsid w:val="00BF6C8C"/>
    <w:rsid w:val="00C03452"/>
    <w:rsid w:val="00C101AF"/>
    <w:rsid w:val="00C1173E"/>
    <w:rsid w:val="00C1591C"/>
    <w:rsid w:val="00C254E9"/>
    <w:rsid w:val="00C34D6A"/>
    <w:rsid w:val="00C46661"/>
    <w:rsid w:val="00C51D4E"/>
    <w:rsid w:val="00C57483"/>
    <w:rsid w:val="00C61907"/>
    <w:rsid w:val="00C70C94"/>
    <w:rsid w:val="00C70CBE"/>
    <w:rsid w:val="00C756AE"/>
    <w:rsid w:val="00C77189"/>
    <w:rsid w:val="00C81E38"/>
    <w:rsid w:val="00C90A1A"/>
    <w:rsid w:val="00C90EB7"/>
    <w:rsid w:val="00C91871"/>
    <w:rsid w:val="00C92972"/>
    <w:rsid w:val="00C94201"/>
    <w:rsid w:val="00C979D7"/>
    <w:rsid w:val="00CA1AFE"/>
    <w:rsid w:val="00CA1C1E"/>
    <w:rsid w:val="00CA2CE2"/>
    <w:rsid w:val="00CA6F53"/>
    <w:rsid w:val="00CA7FFB"/>
    <w:rsid w:val="00CB0DF6"/>
    <w:rsid w:val="00CB19FE"/>
    <w:rsid w:val="00CB4747"/>
    <w:rsid w:val="00CB6B04"/>
    <w:rsid w:val="00CB7F97"/>
    <w:rsid w:val="00CC1E96"/>
    <w:rsid w:val="00CC2C27"/>
    <w:rsid w:val="00CD735B"/>
    <w:rsid w:val="00CE3E7C"/>
    <w:rsid w:val="00CE69B6"/>
    <w:rsid w:val="00CE7B76"/>
    <w:rsid w:val="00CF2EE1"/>
    <w:rsid w:val="00CF77EE"/>
    <w:rsid w:val="00D00D8B"/>
    <w:rsid w:val="00D01243"/>
    <w:rsid w:val="00D03D51"/>
    <w:rsid w:val="00D04B16"/>
    <w:rsid w:val="00D05A7D"/>
    <w:rsid w:val="00D07005"/>
    <w:rsid w:val="00D07747"/>
    <w:rsid w:val="00D16797"/>
    <w:rsid w:val="00D17C72"/>
    <w:rsid w:val="00D238E0"/>
    <w:rsid w:val="00D27F45"/>
    <w:rsid w:val="00D30E1D"/>
    <w:rsid w:val="00D379B3"/>
    <w:rsid w:val="00D451F0"/>
    <w:rsid w:val="00D51863"/>
    <w:rsid w:val="00D51D7D"/>
    <w:rsid w:val="00D55C94"/>
    <w:rsid w:val="00D56AF5"/>
    <w:rsid w:val="00D60A82"/>
    <w:rsid w:val="00D669D3"/>
    <w:rsid w:val="00D73F82"/>
    <w:rsid w:val="00D76795"/>
    <w:rsid w:val="00D97D8F"/>
    <w:rsid w:val="00DA073E"/>
    <w:rsid w:val="00DA1783"/>
    <w:rsid w:val="00DA263B"/>
    <w:rsid w:val="00DA513D"/>
    <w:rsid w:val="00DA785B"/>
    <w:rsid w:val="00DB5038"/>
    <w:rsid w:val="00DB62CE"/>
    <w:rsid w:val="00DC0A26"/>
    <w:rsid w:val="00DC6635"/>
    <w:rsid w:val="00DC7552"/>
    <w:rsid w:val="00DC7C2B"/>
    <w:rsid w:val="00DD3C2E"/>
    <w:rsid w:val="00DD4790"/>
    <w:rsid w:val="00DD7921"/>
    <w:rsid w:val="00DE4B4C"/>
    <w:rsid w:val="00DF1DFA"/>
    <w:rsid w:val="00E05C56"/>
    <w:rsid w:val="00E11C61"/>
    <w:rsid w:val="00E1348A"/>
    <w:rsid w:val="00E20D0A"/>
    <w:rsid w:val="00E3555F"/>
    <w:rsid w:val="00E4403B"/>
    <w:rsid w:val="00E44CAF"/>
    <w:rsid w:val="00E45725"/>
    <w:rsid w:val="00E45C02"/>
    <w:rsid w:val="00E46AF7"/>
    <w:rsid w:val="00E479B3"/>
    <w:rsid w:val="00E5317D"/>
    <w:rsid w:val="00E70541"/>
    <w:rsid w:val="00E71E39"/>
    <w:rsid w:val="00E74A16"/>
    <w:rsid w:val="00E77C97"/>
    <w:rsid w:val="00E80198"/>
    <w:rsid w:val="00E82F52"/>
    <w:rsid w:val="00E870D4"/>
    <w:rsid w:val="00E92D73"/>
    <w:rsid w:val="00E931EC"/>
    <w:rsid w:val="00E93E66"/>
    <w:rsid w:val="00EA32B1"/>
    <w:rsid w:val="00EA3D9A"/>
    <w:rsid w:val="00EA475C"/>
    <w:rsid w:val="00EB0421"/>
    <w:rsid w:val="00EB4324"/>
    <w:rsid w:val="00EB6982"/>
    <w:rsid w:val="00EC0479"/>
    <w:rsid w:val="00EC13D6"/>
    <w:rsid w:val="00ED3EFA"/>
    <w:rsid w:val="00ED40D8"/>
    <w:rsid w:val="00ED5322"/>
    <w:rsid w:val="00ED5881"/>
    <w:rsid w:val="00EF0BF0"/>
    <w:rsid w:val="00F02C2E"/>
    <w:rsid w:val="00F067B9"/>
    <w:rsid w:val="00F108DD"/>
    <w:rsid w:val="00F14350"/>
    <w:rsid w:val="00F148A5"/>
    <w:rsid w:val="00F24D0C"/>
    <w:rsid w:val="00F31C5F"/>
    <w:rsid w:val="00F32445"/>
    <w:rsid w:val="00F3336D"/>
    <w:rsid w:val="00F42D98"/>
    <w:rsid w:val="00F47C0E"/>
    <w:rsid w:val="00F53D66"/>
    <w:rsid w:val="00F552B9"/>
    <w:rsid w:val="00F723BB"/>
    <w:rsid w:val="00F77D5A"/>
    <w:rsid w:val="00F80477"/>
    <w:rsid w:val="00F81BCE"/>
    <w:rsid w:val="00F84216"/>
    <w:rsid w:val="00F85684"/>
    <w:rsid w:val="00F85750"/>
    <w:rsid w:val="00F8721E"/>
    <w:rsid w:val="00F934D1"/>
    <w:rsid w:val="00F93686"/>
    <w:rsid w:val="00F94075"/>
    <w:rsid w:val="00F944A8"/>
    <w:rsid w:val="00F97AA5"/>
    <w:rsid w:val="00F97E06"/>
    <w:rsid w:val="00FA1110"/>
    <w:rsid w:val="00FA26F3"/>
    <w:rsid w:val="00FA29DB"/>
    <w:rsid w:val="00FA49DA"/>
    <w:rsid w:val="00FA6437"/>
    <w:rsid w:val="00FB10D6"/>
    <w:rsid w:val="00FB1A22"/>
    <w:rsid w:val="00FC4930"/>
    <w:rsid w:val="00FC516D"/>
    <w:rsid w:val="00FC7DF4"/>
    <w:rsid w:val="00FD58A2"/>
    <w:rsid w:val="00FD63D3"/>
    <w:rsid w:val="00FE3EE2"/>
    <w:rsid w:val="00FE5203"/>
    <w:rsid w:val="00FE7DBF"/>
    <w:rsid w:val="00FF031A"/>
    <w:rsid w:val="00FF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4C54F93"/>
  <w15:docId w15:val="{D168F1B4-FD5D-49A0-8D3A-6602BE4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F99"/>
    <w:pPr>
      <w:suppressAutoHyphens/>
      <w:spacing w:line="100" w:lineRule="atLeast"/>
      <w:jc w:val="both"/>
    </w:pPr>
    <w:rPr>
      <w:rFonts w:ascii="Garamond" w:hAnsi="Garamond"/>
      <w:bCs/>
      <w:kern w:val="1"/>
      <w:sz w:val="24"/>
      <w:szCs w:val="22"/>
      <w:lang w:eastAsia="ar-SA"/>
    </w:rPr>
  </w:style>
  <w:style w:type="paragraph" w:styleId="Heading1">
    <w:name w:val="heading 1"/>
    <w:basedOn w:val="Normal"/>
    <w:next w:val="Normal"/>
    <w:link w:val="Heading1Char"/>
    <w:uiPriority w:val="9"/>
    <w:qFormat/>
    <w:rsid w:val="006D1328"/>
    <w:pPr>
      <w:keepNext/>
      <w:keepLines/>
      <w:suppressAutoHyphens w:val="0"/>
      <w:spacing w:before="240" w:line="240" w:lineRule="auto"/>
      <w:jc w:val="left"/>
      <w:outlineLvl w:val="0"/>
    </w:pPr>
    <w:rPr>
      <w:rFonts w:asciiTheme="majorHAnsi" w:eastAsiaTheme="majorEastAsia" w:hAnsiTheme="majorHAnsi" w:cstheme="majorBidi"/>
      <w:bCs w:val="0"/>
      <w:color w:val="2F5496" w:themeColor="accent1" w:themeShade="BF"/>
      <w:kern w:val="0"/>
      <w:sz w:val="32"/>
      <w:szCs w:val="32"/>
      <w:lang w:eastAsia="en-GB"/>
    </w:rPr>
  </w:style>
  <w:style w:type="paragraph" w:styleId="Heading2">
    <w:name w:val="heading 2"/>
    <w:basedOn w:val="Normal"/>
    <w:next w:val="BodyText"/>
    <w:qFormat/>
    <w:rsid w:val="00336F99"/>
    <w:pPr>
      <w:keepNext/>
      <w:numPr>
        <w:ilvl w:val="1"/>
        <w:numId w:val="1"/>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336F99"/>
    <w:rPr>
      <w:color w:val="365F91"/>
    </w:rPr>
  </w:style>
  <w:style w:type="character" w:customStyle="1" w:styleId="ListLabel2">
    <w:name w:val="ListLabel 2"/>
    <w:rsid w:val="00336F99"/>
    <w:rPr>
      <w:rFonts w:cs="Courier New"/>
    </w:rPr>
  </w:style>
  <w:style w:type="character" w:customStyle="1" w:styleId="ListLabel3">
    <w:name w:val="ListLabel 3"/>
    <w:rsid w:val="00336F99"/>
    <w:rPr>
      <w:rFonts w:eastAsia="Times New Roman" w:cs="Arial"/>
    </w:rPr>
  </w:style>
  <w:style w:type="character" w:customStyle="1" w:styleId="Heading2Char">
    <w:name w:val="Heading 2 Char"/>
    <w:basedOn w:val="DefaultParagraphFont"/>
    <w:rsid w:val="00336F99"/>
  </w:style>
  <w:style w:type="character" w:customStyle="1" w:styleId="FootnoteTextChar">
    <w:name w:val="Footnote Text Char"/>
    <w:basedOn w:val="DefaultParagraphFont"/>
    <w:link w:val="FootnoteText"/>
    <w:uiPriority w:val="99"/>
    <w:rsid w:val="00336F99"/>
  </w:style>
  <w:style w:type="character" w:customStyle="1" w:styleId="FootnoteReference1">
    <w:name w:val="Footnote Reference1"/>
    <w:basedOn w:val="DefaultParagraphFont"/>
    <w:rsid w:val="00336F99"/>
  </w:style>
  <w:style w:type="character" w:customStyle="1" w:styleId="expand1">
    <w:name w:val="expand1"/>
    <w:basedOn w:val="DefaultParagraphFont"/>
    <w:rsid w:val="00336F99"/>
  </w:style>
  <w:style w:type="paragraph" w:customStyle="1" w:styleId="Heading">
    <w:name w:val="Heading"/>
    <w:basedOn w:val="Normal"/>
    <w:next w:val="BodyText"/>
    <w:rsid w:val="00336F99"/>
    <w:pPr>
      <w:keepNext/>
      <w:spacing w:before="240" w:after="120"/>
    </w:pPr>
    <w:rPr>
      <w:rFonts w:ascii="Arial" w:eastAsia="Lucida Sans Unicode" w:hAnsi="Arial" w:cs="Tahoma"/>
      <w:sz w:val="28"/>
      <w:szCs w:val="28"/>
    </w:rPr>
  </w:style>
  <w:style w:type="paragraph" w:styleId="BodyText">
    <w:name w:val="Body Text"/>
    <w:basedOn w:val="Normal"/>
    <w:rsid w:val="00336F99"/>
    <w:pPr>
      <w:spacing w:after="120"/>
    </w:pPr>
  </w:style>
  <w:style w:type="paragraph" w:styleId="List">
    <w:name w:val="List"/>
    <w:basedOn w:val="BodyText"/>
    <w:rsid w:val="00336F99"/>
    <w:rPr>
      <w:rFonts w:cs="Tahoma"/>
    </w:rPr>
  </w:style>
  <w:style w:type="paragraph" w:styleId="Caption">
    <w:name w:val="caption"/>
    <w:basedOn w:val="Normal"/>
    <w:qFormat/>
    <w:rsid w:val="00336F99"/>
    <w:pPr>
      <w:suppressLineNumbers/>
      <w:spacing w:before="120" w:after="120"/>
    </w:pPr>
    <w:rPr>
      <w:rFonts w:cs="Tahoma"/>
      <w:i/>
      <w:iCs/>
      <w:szCs w:val="24"/>
    </w:rPr>
  </w:style>
  <w:style w:type="paragraph" w:customStyle="1" w:styleId="Index">
    <w:name w:val="Index"/>
    <w:basedOn w:val="Normal"/>
    <w:rsid w:val="00336F99"/>
    <w:pPr>
      <w:suppressLineNumbers/>
    </w:pPr>
    <w:rPr>
      <w:rFonts w:cs="Tahoma"/>
    </w:rPr>
  </w:style>
  <w:style w:type="paragraph" w:customStyle="1" w:styleId="FootnoteText1">
    <w:name w:val="Footnote Text1"/>
    <w:basedOn w:val="Normal"/>
    <w:rsid w:val="00336F99"/>
  </w:style>
  <w:style w:type="paragraph" w:styleId="ListParagraph">
    <w:name w:val="List Paragraph"/>
    <w:basedOn w:val="Normal"/>
    <w:uiPriority w:val="34"/>
    <w:qFormat/>
    <w:rsid w:val="00336F99"/>
  </w:style>
  <w:style w:type="paragraph" w:customStyle="1" w:styleId="TableContents">
    <w:name w:val="Table Contents"/>
    <w:basedOn w:val="Normal"/>
    <w:rsid w:val="00336F99"/>
    <w:pPr>
      <w:suppressLineNumbers/>
    </w:pPr>
  </w:style>
  <w:style w:type="paragraph" w:styleId="PlainText">
    <w:name w:val="Plain Text"/>
    <w:basedOn w:val="Normal"/>
    <w:link w:val="PlainTextChar"/>
    <w:uiPriority w:val="99"/>
    <w:unhideWhenUsed/>
    <w:rsid w:val="000E5CE4"/>
    <w:pPr>
      <w:suppressAutoHyphens w:val="0"/>
      <w:spacing w:line="240" w:lineRule="auto"/>
      <w:jc w:val="left"/>
    </w:pPr>
    <w:rPr>
      <w:rFonts w:ascii="Consolas" w:eastAsia="Calibri" w:hAnsi="Consolas"/>
      <w:bCs w:val="0"/>
      <w:kern w:val="0"/>
      <w:sz w:val="21"/>
      <w:szCs w:val="21"/>
      <w:lang w:val="en-US" w:eastAsia="en-US"/>
    </w:rPr>
  </w:style>
  <w:style w:type="character" w:customStyle="1" w:styleId="PlainTextChar">
    <w:name w:val="Plain Text Char"/>
    <w:basedOn w:val="DefaultParagraphFont"/>
    <w:link w:val="PlainText"/>
    <w:uiPriority w:val="99"/>
    <w:rsid w:val="000E5CE4"/>
    <w:rPr>
      <w:rFonts w:ascii="Consolas" w:eastAsia="Calibri" w:hAnsi="Consolas" w:cs="Times New Roman"/>
      <w:sz w:val="21"/>
      <w:szCs w:val="21"/>
    </w:rPr>
  </w:style>
  <w:style w:type="character" w:styleId="Hyperlink">
    <w:name w:val="Hyperlink"/>
    <w:basedOn w:val="DefaultParagraphFont"/>
    <w:uiPriority w:val="99"/>
    <w:unhideWhenUsed/>
    <w:rsid w:val="00633B25"/>
    <w:rPr>
      <w:color w:val="0563C1" w:themeColor="hyperlink"/>
      <w:u w:val="single"/>
    </w:rPr>
  </w:style>
  <w:style w:type="character" w:customStyle="1" w:styleId="UnresolvedMention1">
    <w:name w:val="Unresolved Mention1"/>
    <w:basedOn w:val="DefaultParagraphFont"/>
    <w:uiPriority w:val="99"/>
    <w:semiHidden/>
    <w:unhideWhenUsed/>
    <w:rsid w:val="00633B25"/>
    <w:rPr>
      <w:color w:val="605E5C"/>
      <w:shd w:val="clear" w:color="auto" w:fill="E1DFDD"/>
    </w:rPr>
  </w:style>
  <w:style w:type="paragraph" w:styleId="FootnoteText">
    <w:name w:val="footnote text"/>
    <w:basedOn w:val="Normal"/>
    <w:link w:val="FootnoteTextChar"/>
    <w:uiPriority w:val="99"/>
    <w:unhideWhenUsed/>
    <w:rsid w:val="006122E1"/>
    <w:pPr>
      <w:suppressAutoHyphens w:val="0"/>
      <w:spacing w:line="240" w:lineRule="auto"/>
      <w:jc w:val="left"/>
    </w:pPr>
    <w:rPr>
      <w:rFonts w:ascii="Times New Roman" w:hAnsi="Times New Roman"/>
      <w:bCs w:val="0"/>
      <w:kern w:val="0"/>
      <w:sz w:val="20"/>
      <w:szCs w:val="20"/>
      <w:lang w:eastAsia="en-GB"/>
    </w:rPr>
  </w:style>
  <w:style w:type="character" w:customStyle="1" w:styleId="FootnoteTextChar1">
    <w:name w:val="Footnote Text Char1"/>
    <w:basedOn w:val="DefaultParagraphFont"/>
    <w:uiPriority w:val="99"/>
    <w:semiHidden/>
    <w:rsid w:val="006122E1"/>
    <w:rPr>
      <w:rFonts w:ascii="Garamond" w:hAnsi="Garamond"/>
      <w:bCs/>
      <w:kern w:val="1"/>
      <w:lang w:eastAsia="ar-SA"/>
    </w:rPr>
  </w:style>
  <w:style w:type="character" w:styleId="FootnoteReference">
    <w:name w:val="footnote reference"/>
    <w:basedOn w:val="DefaultParagraphFont"/>
    <w:uiPriority w:val="99"/>
    <w:semiHidden/>
    <w:unhideWhenUsed/>
    <w:rsid w:val="006122E1"/>
    <w:rPr>
      <w:vertAlign w:val="superscript"/>
    </w:rPr>
  </w:style>
  <w:style w:type="character" w:customStyle="1" w:styleId="highlight">
    <w:name w:val="highlight"/>
    <w:basedOn w:val="DefaultParagraphFont"/>
    <w:rsid w:val="004E43CA"/>
  </w:style>
  <w:style w:type="character" w:customStyle="1" w:styleId="A3">
    <w:name w:val="A3"/>
    <w:uiPriority w:val="99"/>
    <w:rsid w:val="005C1779"/>
    <w:rPr>
      <w:rFonts w:cs="Minion Pro"/>
      <w:color w:val="000000"/>
      <w:sz w:val="22"/>
      <w:szCs w:val="22"/>
    </w:rPr>
  </w:style>
  <w:style w:type="character" w:customStyle="1" w:styleId="Heading1Char">
    <w:name w:val="Heading 1 Char"/>
    <w:basedOn w:val="DefaultParagraphFont"/>
    <w:link w:val="Heading1"/>
    <w:uiPriority w:val="9"/>
    <w:rsid w:val="006D1328"/>
    <w:rPr>
      <w:rFonts w:asciiTheme="majorHAnsi" w:eastAsiaTheme="majorEastAsia" w:hAnsiTheme="majorHAnsi" w:cstheme="majorBidi"/>
      <w:color w:val="2F5496" w:themeColor="accent1" w:themeShade="BF"/>
      <w:sz w:val="32"/>
      <w:szCs w:val="32"/>
    </w:rPr>
  </w:style>
  <w:style w:type="table" w:customStyle="1" w:styleId="GridTable6Colorful-Accent21">
    <w:name w:val="Grid Table 6 Colorful - Accent 21"/>
    <w:basedOn w:val="TableNormal"/>
    <w:uiPriority w:val="51"/>
    <w:rsid w:val="009F3818"/>
    <w:rPr>
      <w:rFonts w:asciiTheme="minorHAnsi" w:eastAsiaTheme="minorHAnsi" w:hAnsiTheme="minorHAnsi" w:cstheme="minorBidi"/>
      <w:color w:val="C45911" w:themeColor="accent2" w:themeShade="BF"/>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11">
    <w:name w:val="Grid Table 1 Light - Accent 11"/>
    <w:basedOn w:val="TableNormal"/>
    <w:uiPriority w:val="46"/>
    <w:rsid w:val="00125A3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97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A5"/>
    <w:rPr>
      <w:rFonts w:ascii="Segoe UI" w:hAnsi="Segoe UI" w:cs="Segoe UI"/>
      <w:bCs/>
      <w:kern w:val="1"/>
      <w:sz w:val="18"/>
      <w:szCs w:val="18"/>
      <w:lang w:eastAsia="ar-SA"/>
    </w:rPr>
  </w:style>
  <w:style w:type="character" w:styleId="CommentReference">
    <w:name w:val="annotation reference"/>
    <w:basedOn w:val="DefaultParagraphFont"/>
    <w:uiPriority w:val="99"/>
    <w:semiHidden/>
    <w:unhideWhenUsed/>
    <w:rsid w:val="00640DC2"/>
    <w:rPr>
      <w:sz w:val="16"/>
      <w:szCs w:val="16"/>
    </w:rPr>
  </w:style>
  <w:style w:type="paragraph" w:styleId="CommentText">
    <w:name w:val="annotation text"/>
    <w:basedOn w:val="Normal"/>
    <w:link w:val="CommentTextChar"/>
    <w:uiPriority w:val="99"/>
    <w:semiHidden/>
    <w:unhideWhenUsed/>
    <w:rsid w:val="00640DC2"/>
    <w:pPr>
      <w:spacing w:line="240" w:lineRule="auto"/>
    </w:pPr>
    <w:rPr>
      <w:sz w:val="20"/>
      <w:szCs w:val="20"/>
    </w:rPr>
  </w:style>
  <w:style w:type="character" w:customStyle="1" w:styleId="CommentTextChar">
    <w:name w:val="Comment Text Char"/>
    <w:basedOn w:val="DefaultParagraphFont"/>
    <w:link w:val="CommentText"/>
    <w:uiPriority w:val="99"/>
    <w:semiHidden/>
    <w:rsid w:val="00640DC2"/>
    <w:rPr>
      <w:rFonts w:ascii="Garamond" w:hAnsi="Garamond"/>
      <w:bCs/>
      <w:kern w:val="1"/>
      <w:lang w:eastAsia="ar-SA"/>
    </w:rPr>
  </w:style>
  <w:style w:type="paragraph" w:styleId="CommentSubject">
    <w:name w:val="annotation subject"/>
    <w:basedOn w:val="CommentText"/>
    <w:next w:val="CommentText"/>
    <w:link w:val="CommentSubjectChar"/>
    <w:uiPriority w:val="99"/>
    <w:semiHidden/>
    <w:unhideWhenUsed/>
    <w:rsid w:val="00640DC2"/>
    <w:rPr>
      <w:b/>
    </w:rPr>
  </w:style>
  <w:style w:type="character" w:customStyle="1" w:styleId="CommentSubjectChar">
    <w:name w:val="Comment Subject Char"/>
    <w:basedOn w:val="CommentTextChar"/>
    <w:link w:val="CommentSubject"/>
    <w:uiPriority w:val="99"/>
    <w:semiHidden/>
    <w:rsid w:val="00640DC2"/>
    <w:rPr>
      <w:rFonts w:ascii="Garamond" w:hAnsi="Garamond"/>
      <w:b/>
      <w:bCs/>
      <w:kern w:val="1"/>
      <w:lang w:eastAsia="ar-SA"/>
    </w:rPr>
  </w:style>
  <w:style w:type="paragraph" w:styleId="Header">
    <w:name w:val="header"/>
    <w:basedOn w:val="Normal"/>
    <w:link w:val="HeaderChar"/>
    <w:uiPriority w:val="99"/>
    <w:unhideWhenUsed/>
    <w:rsid w:val="007E3F73"/>
    <w:pPr>
      <w:tabs>
        <w:tab w:val="center" w:pos="4680"/>
        <w:tab w:val="right" w:pos="9360"/>
      </w:tabs>
      <w:spacing w:line="240" w:lineRule="auto"/>
    </w:pPr>
  </w:style>
  <w:style w:type="character" w:customStyle="1" w:styleId="HeaderChar">
    <w:name w:val="Header Char"/>
    <w:basedOn w:val="DefaultParagraphFont"/>
    <w:link w:val="Header"/>
    <w:uiPriority w:val="99"/>
    <w:rsid w:val="007E3F73"/>
    <w:rPr>
      <w:rFonts w:ascii="Garamond" w:hAnsi="Garamond"/>
      <w:bCs/>
      <w:kern w:val="1"/>
      <w:sz w:val="24"/>
      <w:szCs w:val="22"/>
      <w:lang w:eastAsia="ar-SA"/>
    </w:rPr>
  </w:style>
  <w:style w:type="paragraph" w:styleId="Footer">
    <w:name w:val="footer"/>
    <w:basedOn w:val="Normal"/>
    <w:link w:val="FooterChar"/>
    <w:uiPriority w:val="99"/>
    <w:unhideWhenUsed/>
    <w:rsid w:val="007E3F73"/>
    <w:pPr>
      <w:tabs>
        <w:tab w:val="center" w:pos="4680"/>
        <w:tab w:val="right" w:pos="9360"/>
      </w:tabs>
      <w:spacing w:line="240" w:lineRule="auto"/>
    </w:pPr>
  </w:style>
  <w:style w:type="character" w:customStyle="1" w:styleId="FooterChar">
    <w:name w:val="Footer Char"/>
    <w:basedOn w:val="DefaultParagraphFont"/>
    <w:link w:val="Footer"/>
    <w:uiPriority w:val="99"/>
    <w:rsid w:val="007E3F73"/>
    <w:rPr>
      <w:rFonts w:ascii="Garamond" w:hAnsi="Garamond"/>
      <w:bCs/>
      <w:kern w:val="1"/>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14106">
      <w:bodyDiv w:val="1"/>
      <w:marLeft w:val="0"/>
      <w:marRight w:val="0"/>
      <w:marTop w:val="0"/>
      <w:marBottom w:val="0"/>
      <w:divBdr>
        <w:top w:val="none" w:sz="0" w:space="0" w:color="auto"/>
        <w:left w:val="none" w:sz="0" w:space="0" w:color="auto"/>
        <w:bottom w:val="none" w:sz="0" w:space="0" w:color="auto"/>
        <w:right w:val="none" w:sz="0" w:space="0" w:color="auto"/>
      </w:divBdr>
    </w:div>
    <w:div w:id="804156653">
      <w:bodyDiv w:val="1"/>
      <w:marLeft w:val="0"/>
      <w:marRight w:val="0"/>
      <w:marTop w:val="0"/>
      <w:marBottom w:val="0"/>
      <w:divBdr>
        <w:top w:val="none" w:sz="0" w:space="0" w:color="auto"/>
        <w:left w:val="none" w:sz="0" w:space="0" w:color="auto"/>
        <w:bottom w:val="none" w:sz="0" w:space="0" w:color="auto"/>
        <w:right w:val="none" w:sz="0" w:space="0" w:color="auto"/>
      </w:divBdr>
    </w:div>
    <w:div w:id="1183011920">
      <w:bodyDiv w:val="1"/>
      <w:marLeft w:val="0"/>
      <w:marRight w:val="0"/>
      <w:marTop w:val="0"/>
      <w:marBottom w:val="0"/>
      <w:divBdr>
        <w:top w:val="none" w:sz="0" w:space="0" w:color="auto"/>
        <w:left w:val="none" w:sz="0" w:space="0" w:color="auto"/>
        <w:bottom w:val="none" w:sz="0" w:space="0" w:color="auto"/>
        <w:right w:val="none" w:sz="0" w:space="0" w:color="auto"/>
      </w:divBdr>
    </w:div>
    <w:div w:id="18183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41C583-EDFD-4A9C-B916-3DBEB1D1FD85}">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2D46-E1F6-4073-A144-A16BD8AA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Radulovic</dc:creator>
  <cp:keywords/>
  <cp:lastModifiedBy>Ruzica Bajceta</cp:lastModifiedBy>
  <cp:revision>7</cp:revision>
  <cp:lastPrinted>2024-08-13T10:37:00Z</cp:lastPrinted>
  <dcterms:created xsi:type="dcterms:W3CDTF">2025-10-17T10:58:00Z</dcterms:created>
  <dcterms:modified xsi:type="dcterms:W3CDTF">2025-10-20T11:34:00Z</dcterms:modified>
</cp:coreProperties>
</file>