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40" w:rsidRDefault="007D2240">
      <w:pPr>
        <w:pStyle w:val="N01Y"/>
      </w:pPr>
      <w:bookmarkStart w:id="0" w:name="_GoBack"/>
      <w:bookmarkEnd w:id="0"/>
      <w:r>
        <w:t>831.</w:t>
      </w:r>
    </w:p>
    <w:p w:rsidR="007D2240" w:rsidRDefault="007D2240">
      <w:pPr>
        <w:pStyle w:val="N02Y"/>
      </w:pPr>
      <w:r>
        <w:t>Na osnovu člana 28a stav 4 Zakona o porezu na dobit pravnih lica ("Službeni list RCG", br. 65/01 i 80/04 i "Službeni list CG", br. 40/08, 86/09, 14/12, 61/13, 55/16, 146/21, 152/22 i 28/23), Ministarstvo finansija donijelo je</w:t>
      </w:r>
    </w:p>
    <w:p w:rsidR="007D2240" w:rsidRDefault="007D2240">
      <w:pPr>
        <w:pStyle w:val="N03Y"/>
      </w:pPr>
      <w:r>
        <w:t>PRAVILNIK</w:t>
      </w:r>
    </w:p>
    <w:p w:rsidR="007D2240" w:rsidRDefault="007D2240">
      <w:pPr>
        <w:pStyle w:val="N03Y"/>
      </w:pPr>
      <w:r>
        <w:t>O OBRASCU IZVJEŠTAJA O UPLAĆENOM POREZU PO ODBITKU NA ISPLATE IZVRŠENE PO OSNOVU ZAJMA FIZIČKIM LICIMA</w:t>
      </w:r>
    </w:p>
    <w:p w:rsidR="007D2240" w:rsidRDefault="007D2240">
      <w:pPr>
        <w:pStyle w:val="N05Y"/>
      </w:pPr>
      <w:r>
        <w:t>("Službeni list Crne Gore", br. 054/23 od 30.05.2023)</w:t>
      </w:r>
    </w:p>
    <w:p w:rsidR="007D2240" w:rsidRDefault="007D2240">
      <w:pPr>
        <w:pStyle w:val="C30X"/>
      </w:pPr>
      <w:r>
        <w:t>Član 1</w:t>
      </w:r>
    </w:p>
    <w:p w:rsidR="007D2240" w:rsidRDefault="007D2240">
      <w:pPr>
        <w:pStyle w:val="T30X"/>
      </w:pPr>
      <w:r>
        <w:t>Ovim pravilnikom propisuje se obrazac Izvještaja o uplaćenom porezu po odbitku na isplate izvršene po osnovu zajma, odnosno pozajmice sa ili bez kamate fizičkim licima, kao i u slučaju produženja roka otplate zajma odnosno pozajmice, osim fizičkog lica za pozajmice do 5.000 eura na godišnjem nivou, a koje nema status povezanog lica iz člana 38 Zakona o porezu na dobit pravnih lica (u daljem tekstu: Izvještaj).</w:t>
      </w:r>
    </w:p>
    <w:p w:rsidR="007D2240" w:rsidRDefault="007D2240">
      <w:pPr>
        <w:pStyle w:val="C30X"/>
      </w:pPr>
      <w:r>
        <w:t>Član 2</w:t>
      </w:r>
    </w:p>
    <w:p w:rsidR="007D2240" w:rsidRDefault="007D2240">
      <w:pPr>
        <w:pStyle w:val="T30X"/>
      </w:pPr>
      <w:r>
        <w:t>Izvještaj sadrži podatke o:</w:t>
      </w:r>
    </w:p>
    <w:p w:rsidR="007D2240" w:rsidRDefault="007D2240">
      <w:pPr>
        <w:pStyle w:val="T30X"/>
        <w:ind w:left="567" w:hanging="283"/>
      </w:pPr>
      <w:r>
        <w:t xml:space="preserve">   1) poreskom obvezniku;</w:t>
      </w:r>
    </w:p>
    <w:p w:rsidR="007D2240" w:rsidRDefault="007D2240">
      <w:pPr>
        <w:pStyle w:val="T30X"/>
        <w:ind w:left="567" w:hanging="283"/>
      </w:pPr>
      <w:r>
        <w:t xml:space="preserve">   2) PIB-u;</w:t>
      </w:r>
    </w:p>
    <w:p w:rsidR="007D2240" w:rsidRDefault="007D2240">
      <w:pPr>
        <w:pStyle w:val="T30X"/>
        <w:ind w:left="567" w:hanging="283"/>
      </w:pPr>
      <w:r>
        <w:t xml:space="preserve">   3) sjedištu;</w:t>
      </w:r>
    </w:p>
    <w:p w:rsidR="007D2240" w:rsidRDefault="007D2240">
      <w:pPr>
        <w:pStyle w:val="T30X"/>
        <w:ind w:left="567" w:hanging="283"/>
      </w:pPr>
      <w:r>
        <w:t xml:space="preserve">   4) isplati izvršenoj po osnovu zajma, odnosno pozajmice sa ili bez kamate fizičkim licima;</w:t>
      </w:r>
    </w:p>
    <w:p w:rsidR="007D2240" w:rsidRDefault="007D2240">
      <w:pPr>
        <w:pStyle w:val="T30X"/>
        <w:ind w:left="567" w:hanging="283"/>
      </w:pPr>
      <w:r>
        <w:t xml:space="preserve">   5) isplati izvršenoj po osnovu zajma, odnosno pozajmice za koje produžen rok otplate;</w:t>
      </w:r>
    </w:p>
    <w:p w:rsidR="007D2240" w:rsidRDefault="007D2240">
      <w:pPr>
        <w:pStyle w:val="T30X"/>
        <w:ind w:left="567" w:hanging="283"/>
      </w:pPr>
      <w:r>
        <w:t xml:space="preserve">   6) ukupnim iznosima iz tač. 4 i 5 ovog stava.</w:t>
      </w:r>
    </w:p>
    <w:p w:rsidR="007D2240" w:rsidRDefault="007D2240">
      <w:pPr>
        <w:pStyle w:val="T30X"/>
      </w:pPr>
      <w:r>
        <w:t>Obrazac Izvještaja dat je u Obrascu 1 koji je sastavni dio ovog pravilnika.</w:t>
      </w:r>
    </w:p>
    <w:p w:rsidR="007D2240" w:rsidRDefault="007D2240">
      <w:pPr>
        <w:pStyle w:val="C30X"/>
      </w:pPr>
      <w:r>
        <w:t>Član 3</w:t>
      </w:r>
    </w:p>
    <w:p w:rsidR="007D2240" w:rsidRDefault="007D2240">
      <w:pPr>
        <w:pStyle w:val="T30X"/>
      </w:pPr>
      <w:r>
        <w:t>Ovaj pravilnik stupa na snagu osmog dana od dana objavljivanja u "Službenom listu Crne Gore".</w:t>
      </w:r>
    </w:p>
    <w:p w:rsidR="007D2240" w:rsidRDefault="007D2240">
      <w:pPr>
        <w:pStyle w:val="N01Z"/>
      </w:pPr>
      <w:r>
        <w:t>Broj: 07-430/23-169/2</w:t>
      </w:r>
    </w:p>
    <w:p w:rsidR="007D2240" w:rsidRDefault="007D2240">
      <w:pPr>
        <w:pStyle w:val="N01Z"/>
      </w:pPr>
      <w:r>
        <w:t>Podgorica, 18. maja 2023. godine</w:t>
      </w:r>
    </w:p>
    <w:p w:rsidR="007D2240" w:rsidRDefault="007D2240">
      <w:pPr>
        <w:pStyle w:val="N01Z"/>
      </w:pPr>
      <w:r>
        <w:t>Ministar,</w:t>
      </w:r>
    </w:p>
    <w:p w:rsidR="007D2240" w:rsidRDefault="007D2240">
      <w:pPr>
        <w:pStyle w:val="N01Z"/>
      </w:pPr>
      <w:r>
        <w:t>mr Aleksandar Damjanović, s.r.</w:t>
      </w:r>
    </w:p>
    <w:p w:rsidR="007D2240" w:rsidRDefault="0042661B">
      <w:pPr>
        <w:widowControl w:val="0"/>
        <w:rPr>
          <w:rStyle w:val="DefaultParagraphFont0"/>
          <w:b/>
          <w:bCs/>
        </w:rPr>
      </w:pPr>
      <w:r>
        <w:rPr>
          <w:rStyle w:val="DefaultParagraphFont0"/>
          <w:b/>
          <w:bCs/>
          <w:noProof/>
        </w:rPr>
        <w:lastRenderedPageBreak/>
        <w:drawing>
          <wp:inline distT="0" distB="0" distL="0" distR="0">
            <wp:extent cx="6657975" cy="663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24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C3" w:rsidRDefault="00FA6DC3">
      <w:r>
        <w:separator/>
      </w:r>
    </w:p>
  </w:endnote>
  <w:endnote w:type="continuationSeparator" w:id="0">
    <w:p w:rsidR="00FA6DC3" w:rsidRDefault="00FA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7D224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7D2240" w:rsidRDefault="007D2240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7D2240" w:rsidRDefault="007D224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2661B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7D224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7D2240" w:rsidRDefault="007D2240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7D2240" w:rsidRDefault="007D224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2661B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C3" w:rsidRDefault="00FA6DC3">
      <w:r>
        <w:separator/>
      </w:r>
    </w:p>
  </w:footnote>
  <w:footnote w:type="continuationSeparator" w:id="0">
    <w:p w:rsidR="00FA6DC3" w:rsidRDefault="00FA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40" w:rsidRDefault="007D2240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40" w:rsidRDefault="007D2240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E6"/>
    <w:rsid w:val="0042661B"/>
    <w:rsid w:val="007D2240"/>
    <w:rsid w:val="00DD47E6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0B79A1-0CB5-4A6B-AD4D-37CAD4D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ivana.djurovic</cp:lastModifiedBy>
  <cp:revision>2</cp:revision>
  <dcterms:created xsi:type="dcterms:W3CDTF">2023-06-05T09:55:00Z</dcterms:created>
  <dcterms:modified xsi:type="dcterms:W3CDTF">2023-06-05T09:55:00Z</dcterms:modified>
</cp:coreProperties>
</file>