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65" w:rsidRDefault="005A0A65" w:rsidP="005A0A65">
      <w:pPr>
        <w:pStyle w:val="T30X"/>
      </w:pPr>
      <w:proofErr w:type="spellStart"/>
      <w:r>
        <w:t>Prečišćeni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razvrstavanju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>:</w:t>
      </w:r>
    </w:p>
    <w:p w:rsidR="005A0A65" w:rsidRDefault="005A0A65" w:rsidP="005A0A65">
      <w:pPr>
        <w:pStyle w:val="T30X"/>
        <w:ind w:left="567" w:hanging="283"/>
      </w:pPr>
      <w:r>
        <w:t xml:space="preserve">1.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razvrstavanju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br. 028/02 od 13.06.2002),</w:t>
      </w:r>
    </w:p>
    <w:p w:rsidR="005A0A65" w:rsidRDefault="005A0A65" w:rsidP="005A0A65">
      <w:pPr>
        <w:pStyle w:val="T30X"/>
        <w:ind w:left="567" w:hanging="283"/>
      </w:pPr>
      <w:r>
        <w:t xml:space="preserve">2.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razvrstavanju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Gore", br. 130/21 od 16.12.2021),</w:t>
      </w:r>
    </w:p>
    <w:p w:rsidR="005A0A65" w:rsidRDefault="005A0A65" w:rsidP="005A0A65">
      <w:pPr>
        <w:pStyle w:val="T30X"/>
        <w:ind w:left="567" w:hanging="283"/>
      </w:pPr>
      <w:r>
        <w:t xml:space="preserve">3.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razvrstavanju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Gore", br. 118/24 od 11.12.2024),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naznačen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:rsidR="005A0A65" w:rsidRDefault="005A0A65" w:rsidP="005A0A65">
      <w:pPr>
        <w:pStyle w:val="N03Y"/>
      </w:pPr>
      <w:r>
        <w:t>PRAVILNIK</w:t>
      </w:r>
    </w:p>
    <w:p w:rsidR="005A0A65" w:rsidRDefault="005A0A65" w:rsidP="005A0A65">
      <w:pPr>
        <w:pStyle w:val="N03Y"/>
      </w:pPr>
      <w:r>
        <w:t>O RAZVRSTAVANJU OSNOVNIH SREDSTAVA PO GRUPAMA I METODAMA ZA UTVRĐIVANJE AMORTIZACIJE</w:t>
      </w:r>
    </w:p>
    <w:p w:rsidR="005A0A65" w:rsidRDefault="005A0A65" w:rsidP="005A0A65">
      <w:pPr>
        <w:pStyle w:val="N05Y"/>
      </w:pPr>
      <w:r>
        <w:t>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br. 028/02 od 13.06.2002, 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Gore", br. 130/21 od 16.12.2021, 118/24 od 11.12.2024)</w:t>
      </w:r>
    </w:p>
    <w:p w:rsidR="005A0A65" w:rsidRDefault="005A0A65" w:rsidP="005A0A65">
      <w:pPr>
        <w:pStyle w:val="N01X"/>
      </w:pPr>
      <w:r>
        <w:t>OSNOVNE ODREDBE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1</w:t>
      </w:r>
    </w:p>
    <w:p w:rsidR="005A0A65" w:rsidRDefault="005A0A65" w:rsidP="005A0A65">
      <w:pPr>
        <w:pStyle w:val="T30X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razvrstavanja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2</w:t>
      </w:r>
    </w:p>
    <w:p w:rsidR="005A0A65" w:rsidRDefault="005A0A65" w:rsidP="005A0A65">
      <w:pPr>
        <w:pStyle w:val="T30X"/>
      </w:pPr>
      <w:proofErr w:type="spellStart"/>
      <w:r>
        <w:t>Amortizaciji</w:t>
      </w:r>
      <w:proofErr w:type="spellEnd"/>
      <w:r>
        <w:t xml:space="preserve"> </w:t>
      </w:r>
      <w:proofErr w:type="spellStart"/>
      <w:r>
        <w:t>podliježu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nematerijalna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vijek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300 EUR-a,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umjetničkih</w:t>
      </w:r>
      <w:proofErr w:type="spellEnd"/>
      <w:r>
        <w:t xml:space="preserve"> </w:t>
      </w:r>
      <w:proofErr w:type="spellStart"/>
      <w:r>
        <w:t>djela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3</w:t>
      </w:r>
    </w:p>
    <w:p w:rsidR="005A0A65" w:rsidRDefault="005A0A65" w:rsidP="005A0A65">
      <w:pPr>
        <w:pStyle w:val="T30X"/>
      </w:pPr>
      <w:proofErr w:type="spellStart"/>
      <w:r>
        <w:t>Obračun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"OA"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odštampan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:rsidR="005A0A65" w:rsidRDefault="005A0A65" w:rsidP="005A0A65">
      <w:pPr>
        <w:pStyle w:val="N01X"/>
      </w:pPr>
      <w:r>
        <w:t>RAZVRSTAVANJE OSNOVNIH SREDSTAVA PO GRUPAMA I STOPAMA AMORTIZACIJE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4</w:t>
      </w:r>
    </w:p>
    <w:p w:rsidR="005A0A65" w:rsidRDefault="005A0A65" w:rsidP="005A0A65">
      <w:pPr>
        <w:pStyle w:val="T30X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podliježu</w:t>
      </w:r>
      <w:proofErr w:type="spellEnd"/>
      <w:r>
        <w:t xml:space="preserve"> </w:t>
      </w:r>
      <w:proofErr w:type="spellStart"/>
      <w:r>
        <w:t>amortizaciji</w:t>
      </w:r>
      <w:proofErr w:type="spellEnd"/>
      <w:r>
        <w:t xml:space="preserve"> </w:t>
      </w:r>
      <w:proofErr w:type="spellStart"/>
      <w:r>
        <w:t>razvrstavaju</w:t>
      </w:r>
      <w:proofErr w:type="spellEnd"/>
      <w:r>
        <w:t xml:space="preserve"> se po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stopama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13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porezu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br. 65/01 </w:t>
      </w:r>
      <w:proofErr w:type="spellStart"/>
      <w:r>
        <w:t>i</w:t>
      </w:r>
      <w:proofErr w:type="spellEnd"/>
      <w:r>
        <w:t xml:space="preserve"> 80/04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br. 40/08, 86/09, 14/12, 61/13, 55/16, 146/21, 152/22, 28/23, 125/23 </w:t>
      </w:r>
      <w:proofErr w:type="spellStart"/>
      <w:r>
        <w:t>i</w:t>
      </w:r>
      <w:proofErr w:type="spellEnd"/>
      <w:r>
        <w:t xml:space="preserve"> 88/24), </w:t>
      </w:r>
      <w:proofErr w:type="spellStart"/>
      <w:r>
        <w:t>i</w:t>
      </w:r>
      <w:proofErr w:type="spellEnd"/>
      <w:r>
        <w:t xml:space="preserve"> to:</w:t>
      </w:r>
    </w:p>
    <w:p w:rsidR="005A0A65" w:rsidRDefault="005A0A65" w:rsidP="005A0A65">
      <w:pPr>
        <w:pStyle w:val="DefaultParagraphFont0"/>
        <w:widowControl w:val="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600825" cy="5934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65" w:rsidRDefault="005A0A65" w:rsidP="005A0A65">
      <w:pPr>
        <w:pStyle w:val="DefaultParagraphFont0"/>
        <w:widowControl w:val="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600825" cy="9772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65" w:rsidRDefault="005A0A65" w:rsidP="005A0A65">
      <w:pPr>
        <w:pStyle w:val="DefaultParagraphFont0"/>
        <w:widowControl w:val="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600825" cy="9667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65" w:rsidRDefault="005A0A65" w:rsidP="005A0A65">
      <w:pPr>
        <w:pStyle w:val="DefaultParagraphFont0"/>
        <w:widowControl w:val="0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lastRenderedPageBreak/>
        <w:drawing>
          <wp:inline distT="0" distB="0" distL="0" distR="0">
            <wp:extent cx="6600825" cy="3124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0A65" w:rsidRDefault="005A0A65" w:rsidP="005A0A65">
      <w:pPr>
        <w:pStyle w:val="N01X"/>
      </w:pPr>
      <w:r>
        <w:t>METODE UTVRĐIVANJA AMORTIZACIJE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5</w:t>
      </w:r>
    </w:p>
    <w:p w:rsidR="005A0A65" w:rsidRDefault="005A0A65" w:rsidP="005A0A65">
      <w:pPr>
        <w:pStyle w:val="T30X"/>
      </w:pPr>
      <w:proofErr w:type="spellStart"/>
      <w:r>
        <w:t>Amortizacija</w:t>
      </w:r>
      <w:proofErr w:type="spellEnd"/>
      <w:r>
        <w:t xml:space="preserve"> za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razvrstana</w:t>
      </w:r>
      <w:proofErr w:type="spellEnd"/>
      <w:r>
        <w:t xml:space="preserve"> u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obračunava</w:t>
      </w:r>
      <w:proofErr w:type="spellEnd"/>
      <w:r>
        <w:t xml:space="preserve"> se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proporcionalne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posebno</w:t>
      </w:r>
      <w:proofErr w:type="spellEnd"/>
      <w:r>
        <w:t>.</w:t>
      </w:r>
    </w:p>
    <w:p w:rsidR="005A0A65" w:rsidRDefault="005A0A65" w:rsidP="005A0A65">
      <w:pPr>
        <w:pStyle w:val="T30X"/>
      </w:pPr>
      <w:proofErr w:type="spellStart"/>
      <w:r>
        <w:t>Iznos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jednak</w:t>
      </w:r>
      <w:proofErr w:type="spellEnd"/>
      <w:r>
        <w:t xml:space="preserve"> je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dvadesetini</w:t>
      </w:r>
      <w:proofErr w:type="spellEnd"/>
      <w:r>
        <w:t xml:space="preserve"> (1/20, </w:t>
      </w:r>
      <w:proofErr w:type="spellStart"/>
      <w:r>
        <w:t>odnosno</w:t>
      </w:r>
      <w:proofErr w:type="spellEnd"/>
      <w:r>
        <w:t xml:space="preserve"> 5%)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uvećane</w:t>
      </w:r>
      <w:proofErr w:type="spellEnd"/>
      <w:r>
        <w:t xml:space="preserve"> za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5%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:rsidR="005A0A65" w:rsidRDefault="005A0A65" w:rsidP="005A0A65">
      <w:pPr>
        <w:pStyle w:val="T30X"/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početnog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knigama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vrednuju</w:t>
      </w:r>
      <w:proofErr w:type="spellEnd"/>
      <w:r>
        <w:t xml:space="preserve"> po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primjenom</w:t>
      </w:r>
      <w:proofErr w:type="spellEnd"/>
      <w:r>
        <w:t xml:space="preserve"> stope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nabavnu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6</w:t>
      </w:r>
    </w:p>
    <w:p w:rsidR="005A0A65" w:rsidRDefault="005A0A65" w:rsidP="005A0A65">
      <w:pPr>
        <w:pStyle w:val="T30X"/>
      </w:pPr>
      <w:proofErr w:type="spellStart"/>
      <w:r>
        <w:t>Amortizacija</w:t>
      </w:r>
      <w:proofErr w:type="spellEnd"/>
      <w:r>
        <w:t xml:space="preserve"> za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razvrstana</w:t>
      </w:r>
      <w:proofErr w:type="spellEnd"/>
      <w:r>
        <w:t xml:space="preserve"> u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od II do V </w:t>
      </w:r>
      <w:proofErr w:type="spellStart"/>
      <w:r>
        <w:t>obračunava</w:t>
      </w:r>
      <w:proofErr w:type="spellEnd"/>
      <w:r>
        <w:t xml:space="preserve"> se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degresivne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razvrstanih</w:t>
      </w:r>
      <w:proofErr w:type="spellEnd"/>
      <w:r>
        <w:t xml:space="preserve"> po </w:t>
      </w:r>
      <w:proofErr w:type="spellStart"/>
      <w:r>
        <w:t>pojedinoj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>.</w:t>
      </w:r>
    </w:p>
    <w:p w:rsidR="005A0A65" w:rsidRDefault="005A0A65" w:rsidP="005A0A65">
      <w:pPr>
        <w:pStyle w:val="T30X"/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obračunava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neotpisane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)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uvećane</w:t>
      </w:r>
      <w:proofErr w:type="spellEnd"/>
      <w:r>
        <w:t xml:space="preserve"> za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kupljenih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umanjene</w:t>
      </w:r>
      <w:proofErr w:type="spellEnd"/>
      <w:r>
        <w:t xml:space="preserve"> za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prodatih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pomnožene</w:t>
      </w:r>
      <w:proofErr w:type="spellEnd"/>
      <w:r>
        <w:t xml:space="preserve"> </w:t>
      </w:r>
      <w:proofErr w:type="spellStart"/>
      <w:r>
        <w:t>amortizacionom</w:t>
      </w:r>
      <w:proofErr w:type="spellEnd"/>
      <w:r>
        <w:t xml:space="preserve"> </w:t>
      </w:r>
      <w:proofErr w:type="spellStart"/>
      <w:r>
        <w:t>stopom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grupe</w:t>
      </w:r>
      <w:proofErr w:type="spellEnd"/>
      <w:r>
        <w:t>.</w:t>
      </w:r>
    </w:p>
    <w:p w:rsidR="005A0A65" w:rsidRDefault="005A0A65" w:rsidP="005A0A65">
      <w:pPr>
        <w:pStyle w:val="T30X"/>
      </w:pPr>
      <w:proofErr w:type="spellStart"/>
      <w:r>
        <w:t>Umanjenje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oduzima</w:t>
      </w:r>
      <w:proofErr w:type="spellEnd"/>
      <w:r>
        <w:t xml:space="preserve"> se od </w:t>
      </w:r>
      <w:proofErr w:type="spellStart"/>
      <w:r>
        <w:t>salda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neotpisana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u </w:t>
      </w:r>
      <w:proofErr w:type="spellStart"/>
      <w:r>
        <w:t>narednoj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7</w:t>
      </w:r>
    </w:p>
    <w:p w:rsidR="005A0A65" w:rsidRDefault="005A0A65" w:rsidP="005A0A65">
      <w:pPr>
        <w:pStyle w:val="T30X"/>
      </w:pPr>
      <w:proofErr w:type="spellStart"/>
      <w:r>
        <w:t>Ako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od II do V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se u </w:t>
      </w:r>
      <w:proofErr w:type="spellStart"/>
      <w:r>
        <w:t>oporezivi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je </w:t>
      </w:r>
      <w:proofErr w:type="spellStart"/>
      <w:r>
        <w:t>nuli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8</w:t>
      </w:r>
    </w:p>
    <w:p w:rsidR="005A0A65" w:rsidRDefault="005A0A65" w:rsidP="005A0A65">
      <w:pPr>
        <w:pStyle w:val="T30X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od II do V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salda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ostatak</w:t>
      </w:r>
      <w:proofErr w:type="spellEnd"/>
      <w:r>
        <w:t xml:space="preserve"> </w:t>
      </w:r>
      <w:proofErr w:type="spellStart"/>
      <w:r>
        <w:t>salda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umanjuje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rashoda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9</w:t>
      </w:r>
    </w:p>
    <w:p w:rsidR="005A0A65" w:rsidRDefault="005A0A65" w:rsidP="005A0A65">
      <w:pPr>
        <w:pStyle w:val="T30X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od II do V </w:t>
      </w:r>
      <w:proofErr w:type="spellStart"/>
      <w:r>
        <w:t>manji</w:t>
      </w:r>
      <w:proofErr w:type="spellEnd"/>
      <w:r>
        <w:t xml:space="preserve"> od 1.000 EUR-a </w:t>
      </w:r>
      <w:proofErr w:type="spellStart"/>
      <w:r>
        <w:t>cjelokupan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podliježe</w:t>
      </w:r>
      <w:proofErr w:type="spellEnd"/>
      <w:r>
        <w:t xml:space="preserve"> </w:t>
      </w:r>
      <w:proofErr w:type="spellStart"/>
      <w:r>
        <w:t>umanjenju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iskazuje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rashod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nula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10</w:t>
      </w:r>
    </w:p>
    <w:p w:rsidR="005A0A65" w:rsidRDefault="005A0A65" w:rsidP="005A0A65">
      <w:pPr>
        <w:pStyle w:val="T30X"/>
      </w:pPr>
      <w:proofErr w:type="spellStart"/>
      <w:r>
        <w:t>Umanjenje</w:t>
      </w:r>
      <w:proofErr w:type="spellEnd"/>
      <w:r>
        <w:t xml:space="preserve"> </w:t>
      </w:r>
      <w:proofErr w:type="spellStart"/>
      <w:r>
        <w:t>salda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od II do V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za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grupe</w:t>
      </w:r>
      <w:proofErr w:type="spellEnd"/>
      <w:r>
        <w:t>.</w:t>
      </w:r>
    </w:p>
    <w:p w:rsidR="005A0A65" w:rsidRDefault="005A0A65" w:rsidP="005A0A65">
      <w:pPr>
        <w:pStyle w:val="T30X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do 5% </w:t>
      </w:r>
      <w:proofErr w:type="spellStart"/>
      <w:r>
        <w:t>salda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od II do V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:rsidR="005A0A65" w:rsidRDefault="005A0A65" w:rsidP="005A0A65">
      <w:pPr>
        <w:pStyle w:val="T30X"/>
      </w:pPr>
      <w:proofErr w:type="spellStart"/>
      <w:r>
        <w:t>Ako</w:t>
      </w:r>
      <w:proofErr w:type="spellEnd"/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popravki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5%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salda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za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11</w:t>
      </w:r>
    </w:p>
    <w:p w:rsidR="005A0A65" w:rsidRDefault="005A0A65" w:rsidP="005A0A65">
      <w:pPr>
        <w:pStyle w:val="T30X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nematerijalnih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koncesije</w:t>
      </w:r>
      <w:proofErr w:type="spellEnd"/>
      <w:r>
        <w:t xml:space="preserve">, </w:t>
      </w:r>
      <w:proofErr w:type="spellStart"/>
      <w:r>
        <w:t>patenti</w:t>
      </w:r>
      <w:proofErr w:type="spellEnd"/>
      <w:r>
        <w:t xml:space="preserve">, </w:t>
      </w:r>
      <w:proofErr w:type="spellStart"/>
      <w:r>
        <w:t>autorska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franšiza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rashod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priznaje</w:t>
      </w:r>
      <w:proofErr w:type="spellEnd"/>
      <w:r>
        <w:t xml:space="preserve"> se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računovodstvene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>.</w:t>
      </w:r>
    </w:p>
    <w:p w:rsidR="005A0A65" w:rsidRDefault="005A0A65" w:rsidP="005A0A65">
      <w:pPr>
        <w:pStyle w:val="T30X"/>
      </w:pPr>
      <w:proofErr w:type="spellStart"/>
      <w:r>
        <w:t>Osnovicu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:rsidR="005A0A65" w:rsidRDefault="005A0A65" w:rsidP="005A0A65">
      <w:pPr>
        <w:pStyle w:val="T30X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uzeta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dužim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dana, a </w:t>
      </w:r>
      <w:proofErr w:type="spellStart"/>
      <w:r>
        <w:t>koja</w:t>
      </w:r>
      <w:proofErr w:type="spellEnd"/>
      <w:r>
        <w:t xml:space="preserve"> se,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lizinga</w:t>
      </w:r>
      <w:proofErr w:type="spellEnd"/>
      <w:r>
        <w:t xml:space="preserve"> </w:t>
      </w:r>
      <w:proofErr w:type="spellStart"/>
      <w:r>
        <w:t>priznaju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, </w:t>
      </w:r>
      <w:proofErr w:type="spellStart"/>
      <w:r>
        <w:t>rashod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priznaje</w:t>
      </w:r>
      <w:proofErr w:type="spellEnd"/>
      <w:r>
        <w:t xml:space="preserve"> se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računovodstvene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>.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12</w:t>
      </w:r>
    </w:p>
    <w:p w:rsidR="005A0A65" w:rsidRDefault="005A0A65" w:rsidP="005A0A65">
      <w:pPr>
        <w:pStyle w:val="T30X"/>
      </w:pPr>
      <w:proofErr w:type="spellStart"/>
      <w:r>
        <w:t>Osnovica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bogatstava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>.</w:t>
      </w:r>
    </w:p>
    <w:p w:rsidR="005A0A65" w:rsidRDefault="005A0A65" w:rsidP="005A0A65">
      <w:pPr>
        <w:pStyle w:val="T30X"/>
      </w:pPr>
      <w:proofErr w:type="spellStart"/>
      <w:r>
        <w:t>Amortizacija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bogatstava</w:t>
      </w:r>
      <w:proofErr w:type="spellEnd"/>
      <w:r>
        <w:t xml:space="preserve">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nabavnu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bogatstva</w:t>
      </w:r>
      <w:proofErr w:type="spellEnd"/>
      <w:r>
        <w:t xml:space="preserve"> u </w:t>
      </w:r>
      <w:proofErr w:type="spellStart"/>
      <w:r>
        <w:t>poreskoj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procijenjenih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nalazišta</w:t>
      </w:r>
      <w:proofErr w:type="spellEnd"/>
      <w:r>
        <w:t>.</w:t>
      </w:r>
    </w:p>
    <w:p w:rsidR="005A0A65" w:rsidRDefault="005A0A65" w:rsidP="005A0A65">
      <w:pPr>
        <w:pStyle w:val="N01X"/>
      </w:pPr>
      <w:r>
        <w:t>ZAVRŠNA ODREDBA</w:t>
      </w:r>
    </w:p>
    <w:p w:rsidR="005A0A65" w:rsidRDefault="005A0A65" w:rsidP="005A0A65">
      <w:pPr>
        <w:pStyle w:val="C30X"/>
      </w:pPr>
      <w:proofErr w:type="spellStart"/>
      <w:r>
        <w:t>Član</w:t>
      </w:r>
      <w:proofErr w:type="spellEnd"/>
      <w:r>
        <w:t xml:space="preserve"> 13</w:t>
      </w:r>
    </w:p>
    <w:p w:rsidR="005A0A65" w:rsidRDefault="005A0A65" w:rsidP="005A0A65">
      <w:pPr>
        <w:pStyle w:val="T30X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RCG".</w:t>
      </w:r>
    </w:p>
    <w:p w:rsidR="005A0A65" w:rsidRDefault="005A0A65" w:rsidP="005A0A65">
      <w:pPr>
        <w:pStyle w:val="N01X"/>
      </w:pPr>
      <w:proofErr w:type="spellStart"/>
      <w:r>
        <w:t>Obrazac</w:t>
      </w:r>
      <w:proofErr w:type="spellEnd"/>
      <w:r>
        <w:t xml:space="preserve"> OA</w:t>
      </w:r>
    </w:p>
    <w:p w:rsidR="005A0A65" w:rsidRDefault="005A0A65" w:rsidP="005A0A65">
      <w:pPr>
        <w:pStyle w:val="DefaultParagraphFont0"/>
        <w:widowContro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600825" cy="7124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65" w:rsidRDefault="005A0A65" w:rsidP="005A0A65">
      <w:pPr>
        <w:pStyle w:val="DefaultParagraphFont0"/>
        <w:widowContro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600825" cy="466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FB" w:rsidRDefault="00122BFB"/>
    <w:sectPr w:rsidR="00122BFB">
      <w:headerReference w:type="even" r:id="rId12"/>
      <w:footerReference w:type="even" r:id="rId13"/>
      <w:footerReference w:type="default" r:id="rId14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EA5" w:rsidRDefault="00553EA5" w:rsidP="005A0A65">
      <w:r>
        <w:separator/>
      </w:r>
    </w:p>
  </w:endnote>
  <w:endnote w:type="continuationSeparator" w:id="0">
    <w:p w:rsidR="00553EA5" w:rsidRDefault="00553EA5" w:rsidP="005A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553EA5">
          <w:pPr>
            <w:pStyle w:val="Fotter"/>
          </w:pPr>
          <w:hyperlink w:anchor="http___www_katalogpropisa_me" w:history="1">
            <w:proofErr w:type="spellStart"/>
            <w:r>
              <w:rPr>
                <w:rStyle w:val="Hyperlink"/>
              </w:rPr>
              <w:t>Pravni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ekspert</w:t>
            </w:r>
            <w:proofErr w:type="spellEnd"/>
            <w:r>
              <w:rPr>
                <w:rStyle w:val="Hyperlink"/>
              </w:rPr>
              <w:t xml:space="preserve">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553EA5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EA5" w:rsidRDefault="00553EA5" w:rsidP="005A0A65">
      <w:r>
        <w:separator/>
      </w:r>
    </w:p>
  </w:footnote>
  <w:footnote w:type="continuationSeparator" w:id="0">
    <w:p w:rsidR="00553EA5" w:rsidRDefault="00553EA5" w:rsidP="005A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3EA5">
    <w:pPr>
      <w:pStyle w:val="Header"/>
    </w:pPr>
    <w:proofErr w:type="spellStart"/>
    <w:r>
      <w:t>Katalog</w:t>
    </w:r>
    <w:proofErr w:type="spellEnd"/>
    <w:r>
      <w:t xml:space="preserve"> </w:t>
    </w:r>
    <w:proofErr w:type="spellStart"/>
    <w:r>
      <w:t>propisa</w:t>
    </w:r>
    <w:proofErr w:type="spellEnd"/>
    <w: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65"/>
    <w:rsid w:val="00122BFB"/>
    <w:rsid w:val="00553EA5"/>
    <w:rsid w:val="005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E188"/>
  <w15:chartTrackingRefBased/>
  <w15:docId w15:val="{6288B0ED-A4C6-47D2-B1D8-5C85E542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5A0A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5A0A65"/>
  </w:style>
  <w:style w:type="paragraph" w:styleId="Header">
    <w:name w:val="header"/>
    <w:basedOn w:val="Normal"/>
    <w:link w:val="HeaderChar"/>
    <w:uiPriority w:val="99"/>
    <w:rsid w:val="005A0A65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0A65"/>
    <w:rPr>
      <w:rFonts w:ascii="Verdana" w:eastAsiaTheme="minorEastAsia" w:hAnsi="Verdana" w:cs="Verdana"/>
      <w:b/>
      <w:bCs/>
      <w:color w:val="4682B4"/>
      <w:sz w:val="18"/>
      <w:szCs w:val="18"/>
    </w:rPr>
  </w:style>
  <w:style w:type="character" w:styleId="Hyperlink">
    <w:name w:val="Hyperlink"/>
    <w:basedOn w:val="DefaultParagraphFont0"/>
    <w:uiPriority w:val="99"/>
    <w:rsid w:val="005A0A65"/>
  </w:style>
  <w:style w:type="paragraph" w:customStyle="1" w:styleId="N03Y">
    <w:name w:val="N03Y"/>
    <w:basedOn w:val="Normal"/>
    <w:uiPriority w:val="99"/>
    <w:rsid w:val="005A0A6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5A0A65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5A0A65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Fotter">
    <w:name w:val="Fotter"/>
    <w:basedOn w:val="Normal"/>
    <w:uiPriority w:val="99"/>
    <w:rsid w:val="005A0A65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N05Y">
    <w:name w:val="N05Y"/>
    <w:basedOn w:val="Normal"/>
    <w:uiPriority w:val="99"/>
    <w:rsid w:val="005A0A65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5A0A65"/>
    <w:pPr>
      <w:spacing w:before="60" w:after="60"/>
      <w:ind w:firstLine="283"/>
      <w:jc w:val="both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0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A65"/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812</Words>
  <Characters>4654</Characters>
  <Application>Microsoft Office Word</Application>
  <DocSecurity>0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Nikcevic</dc:creator>
  <cp:keywords/>
  <dc:description/>
  <cp:lastModifiedBy>Milena Nikcevic</cp:lastModifiedBy>
  <cp:revision>1</cp:revision>
  <dcterms:created xsi:type="dcterms:W3CDTF">2024-12-24T09:33:00Z</dcterms:created>
  <dcterms:modified xsi:type="dcterms:W3CDTF">2024-12-24T09:35:00Z</dcterms:modified>
</cp:coreProperties>
</file>