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BE0C" w14:textId="77777777" w:rsidR="007524BA" w:rsidRDefault="007524BA" w:rsidP="007524BA">
      <w:pPr>
        <w:jc w:val="both"/>
        <w:rPr>
          <w:rFonts w:ascii="Tahoma" w:hAnsi="Tahoma" w:cs="Tahoma"/>
          <w:b/>
          <w:sz w:val="24"/>
          <w:szCs w:val="24"/>
        </w:rPr>
      </w:pPr>
    </w:p>
    <w:p w14:paraId="2BEDC766" w14:textId="77777777" w:rsidR="007524BA" w:rsidRPr="00134FED" w:rsidRDefault="007524BA" w:rsidP="00134FED">
      <w:pPr>
        <w:jc w:val="right"/>
        <w:rPr>
          <w:rFonts w:ascii="Arial" w:hAnsi="Arial" w:cs="Arial"/>
          <w:b/>
        </w:rPr>
      </w:pPr>
      <w:r w:rsidRPr="0011096C">
        <w:rPr>
          <w:rFonts w:ascii="Arial" w:hAnsi="Arial" w:cs="Arial"/>
          <w:b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93"/>
        <w:gridCol w:w="5447"/>
      </w:tblGrid>
      <w:tr w:rsidR="007524BA" w:rsidRPr="00BD4D1E" w14:paraId="22778E3B" w14:textId="77777777" w:rsidTr="00F01570">
        <w:tc>
          <w:tcPr>
            <w:tcW w:w="9576" w:type="dxa"/>
            <w:gridSpan w:val="2"/>
          </w:tcPr>
          <w:p w14:paraId="5C076341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  <w:sz w:val="28"/>
              </w:rPr>
            </w:pPr>
            <w:r w:rsidRPr="00BD4D1E">
              <w:rPr>
                <w:rFonts w:ascii="Arial" w:eastAsia="Calibri" w:hAnsi="Arial" w:cs="Arial"/>
                <w:color w:val="365F91"/>
                <w:sz w:val="24"/>
                <w:szCs w:val="24"/>
              </w:rPr>
              <w:t>IZVJEŠTAJ O SPROVEDENOJ ANALIZI PROCJENE UTICAJA PROPISA</w:t>
            </w:r>
          </w:p>
        </w:tc>
      </w:tr>
      <w:tr w:rsidR="007524BA" w:rsidRPr="00BD4D1E" w14:paraId="3984B342" w14:textId="77777777" w:rsidTr="00F01570">
        <w:tc>
          <w:tcPr>
            <w:tcW w:w="3978" w:type="dxa"/>
          </w:tcPr>
          <w:p w14:paraId="5F982A33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PREDLAGAČ PROPISA</w:t>
            </w:r>
          </w:p>
        </w:tc>
        <w:tc>
          <w:tcPr>
            <w:tcW w:w="5598" w:type="dxa"/>
          </w:tcPr>
          <w:p w14:paraId="6B97CC47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b/>
                <w:color w:val="365F91"/>
              </w:rPr>
              <w:t>MINISTARSTVO FINANSIJA</w:t>
            </w:r>
          </w:p>
        </w:tc>
      </w:tr>
      <w:tr w:rsidR="007524BA" w:rsidRPr="00BD4D1E" w14:paraId="1C8A5B01" w14:textId="77777777" w:rsidTr="00F01570">
        <w:tc>
          <w:tcPr>
            <w:tcW w:w="3978" w:type="dxa"/>
          </w:tcPr>
          <w:p w14:paraId="32DDC15F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NAZIV PROPISA</w:t>
            </w:r>
          </w:p>
        </w:tc>
        <w:tc>
          <w:tcPr>
            <w:tcW w:w="5598" w:type="dxa"/>
          </w:tcPr>
          <w:p w14:paraId="00501D8D" w14:textId="5889FB52" w:rsidR="007524BA" w:rsidRPr="000B7E34" w:rsidRDefault="00463619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NACRT</w:t>
            </w:r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 xml:space="preserve"> ZAKONA O</w:t>
            </w:r>
            <w:r w:rsidR="00C22D48">
              <w:rPr>
                <w:rFonts w:ascii="Arial" w:eastAsia="Calibri" w:hAnsi="Arial" w:cs="Arial"/>
                <w:b/>
                <w:color w:val="365F91"/>
              </w:rPr>
              <w:t xml:space="preserve"> </w:t>
            </w:r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>DOPUNAMA ZAKONA O POREZU NA DOBIT PRAVNIH LICA</w:t>
            </w:r>
          </w:p>
        </w:tc>
      </w:tr>
      <w:tr w:rsidR="007524BA" w:rsidRPr="00BD4D1E" w14:paraId="35BBCD37" w14:textId="77777777" w:rsidTr="00F01570">
        <w:tc>
          <w:tcPr>
            <w:tcW w:w="9576" w:type="dxa"/>
            <w:gridSpan w:val="2"/>
          </w:tcPr>
          <w:p w14:paraId="02D1F25C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4B4B6FBD" w14:textId="77777777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1.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Definisanje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problema</w:t>
            </w:r>
            <w:proofErr w:type="spellEnd"/>
          </w:p>
          <w:p w14:paraId="280A87F8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proofErr w:type="gram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riješi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370F0B90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uzroci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573B5E51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1B9E1C73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oštećeni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način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1BB62525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bi problem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evoluirao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bez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)?</w:t>
            </w:r>
          </w:p>
        </w:tc>
      </w:tr>
      <w:tr w:rsidR="007524BA" w:rsidRPr="00BD4D1E" w14:paraId="77F3EBDB" w14:textId="77777777" w:rsidTr="00F01570">
        <w:tc>
          <w:tcPr>
            <w:tcW w:w="9576" w:type="dxa"/>
            <w:gridSpan w:val="2"/>
          </w:tcPr>
          <w:p w14:paraId="31B9B901" w14:textId="77777777" w:rsidR="00A965C2" w:rsidRDefault="00A965C2" w:rsidP="0046361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D7B137D" w14:textId="7F927C5B" w:rsidR="00E06CED" w:rsidRPr="00463619" w:rsidRDefault="00463619" w:rsidP="0046361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Nacrtom</w:t>
            </w:r>
            <w:r w:rsidR="00E06CED" w:rsidRPr="00463619">
              <w:rPr>
                <w:rFonts w:ascii="Arial" w:hAnsi="Arial" w:cs="Arial"/>
                <w:noProof/>
                <w:sz w:val="20"/>
                <w:szCs w:val="20"/>
              </w:rPr>
              <w:t xml:space="preserve"> zakona o izmjenama i dopunama Zakona o porezu na dobit pravnih lica izvršiće se usklađivanje  važećeg zakona sa  Direktivom Savjeta 2017/952 o izmjeni Direktive (EU) 2016/1164 u pogledu hibridnih neusklađenosti sa trećim zemljama koji je Programom rada Vlade Crne Gore za 2026. </w:t>
            </w:r>
            <w:r w:rsidR="009C4337" w:rsidRPr="00463619">
              <w:rPr>
                <w:rFonts w:ascii="Arial" w:hAnsi="Arial" w:cs="Arial"/>
                <w:noProof/>
                <w:sz w:val="20"/>
                <w:szCs w:val="20"/>
              </w:rPr>
              <w:t>g</w:t>
            </w:r>
            <w:r w:rsidR="00E06CED" w:rsidRPr="00463619">
              <w:rPr>
                <w:rFonts w:ascii="Arial" w:hAnsi="Arial" w:cs="Arial"/>
                <w:noProof/>
                <w:sz w:val="20"/>
                <w:szCs w:val="20"/>
              </w:rPr>
              <w:t>odinu planiran za II kvartal 2026. godine.</w:t>
            </w:r>
          </w:p>
          <w:p w14:paraId="29CF4C51" w14:textId="34273C3D" w:rsidR="004E335F" w:rsidRPr="004E335F" w:rsidRDefault="00E06CED" w:rsidP="004E335F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Usklađivanjem sa navedenim direktivama</w:t>
            </w:r>
            <w:r w:rsidR="004C48C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propisuju se pravila protiv premještanja dobiti koja obuhvataju: pravila o ograničavanju kamate, pravila o kontrolisanim 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inostranim </w:t>
            </w:r>
            <w:r w:rsidR="004C48CE"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društvima, 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izlazno oporezivanje, hibridne i obrnute hibridne neusklađenost, kao i </w:t>
            </w:r>
            <w:r w:rsidR="0027644B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usklađenost rezidentnosti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. Cilj odredbi pravila o ograničenju kamate i pravila o kontrolisanim inostranim društvima (uz opšte pravilo protiv zloupotreba) je spr</w:t>
            </w:r>
            <w:r w:rsidR="00EF60E5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čavanje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premještanja dobiti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multinacionaln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ih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kompanij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iz država gdje se dobit ostvaruje u poreske jurisdikcij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e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sa nižom pores</w:t>
            </w:r>
            <w:r w:rsidR="00EF60E5">
              <w:rPr>
                <w:rFonts w:ascii="Arial" w:hAnsi="Arial" w:cs="Arial"/>
                <w:sz w:val="20"/>
                <w:szCs w:val="20"/>
                <w:lang w:val="sr-Latn-ME"/>
              </w:rPr>
              <w:t>k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om stopom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4E335F">
              <w:t xml:space="preserve">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>Kako bi se spriječilo priznavanje dvostrukog odbitka po osnovi jednog plaćanja, priznavanjem rashoda ili umanjenjem pore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ske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osnovice kod p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oreskog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obveznika i povez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anog lica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ili priznavanjem odbitka kod jednog poreskog obveznika, a ne uključivanja tog prhoda u poresku osnovicu kod primaoca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>o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vim izmjenama postojećih zakonskih rješenja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propisuju se pravila za spr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čavanje takve neusklađenosti, 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odnosno tzv. hibridne neusklađenosti. Hibridna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neusklađenost nastaje 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samo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>između povezanih društava, između pore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>skog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obveznika i povezanog društva, između sjedišta i stalne poslovne jedinice, između dviju ili više stalnih poslovnih jedinica istog subjekta ili u okviru strukturiranog aranžmana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pod uslovom da učešće u kapitalu iznosi najmanje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25%, 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dok u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>nekim slučajevima i</w:t>
            </w:r>
            <w:r w:rsid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znosi najmanje </w:t>
            </w:r>
            <w:r w:rsidR="004E335F" w:rsidRPr="004E335F">
              <w:rPr>
                <w:rFonts w:ascii="Arial" w:hAnsi="Arial" w:cs="Arial"/>
                <w:sz w:val="20"/>
                <w:szCs w:val="20"/>
                <w:lang w:val="sr-Latn-ME"/>
              </w:rPr>
              <w:t xml:space="preserve">50%. </w:t>
            </w:r>
          </w:p>
          <w:p w14:paraId="26E631C6" w14:textId="22FAB298" w:rsidR="00D87E64" w:rsidRDefault="00E06CED" w:rsidP="00463619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Uvođenjem svih pravila predviđenih gore navedenim direktivama očekuje se da će doći do pravednijeg oporezivanja na području E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vropske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unije, kao 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i sprečavanja kompanija u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agresivnom poreskom planiranju, 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dok će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određene države članice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biti spriječene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kreiranju štetnih poreskih praksi kojima se direktno utiče na funkcionisanje unutrašnjeg tržišta.</w:t>
            </w:r>
            <w:r w:rsidR="006F395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Predložena rješenja doprinijeće, između ostalog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očuvanju fiskalne stabilnosti Crne Gore kao i povećanju discipline poreskih obveznika. </w:t>
            </w:r>
          </w:p>
          <w:p w14:paraId="5BF2E6A2" w14:textId="407B6C41" w:rsidR="00402FDD" w:rsidRDefault="003901C5" w:rsidP="00463619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Nakon usvajanja zakona pristupiće se izradi odgovara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jućih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podzakonsk</w:t>
            </w:r>
            <w:r w:rsidR="00D87E64">
              <w:rPr>
                <w:rFonts w:ascii="Arial" w:hAnsi="Arial" w:cs="Arial"/>
                <w:sz w:val="20"/>
                <w:szCs w:val="20"/>
                <w:lang w:val="sr-Latn-ME"/>
              </w:rPr>
              <w:t xml:space="preserve">ih </w:t>
            </w: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akta </w:t>
            </w:r>
            <w:r w:rsidRPr="00463619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kojim će se propisati </w:t>
            </w:r>
            <w:r w:rsid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bliži način sprovođenja pravila o kontrolisanim inostranim društvima, kao i obračunu njihove dobiti</w:t>
            </w:r>
            <w:r w:rsidR="006F3951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,</w:t>
            </w:r>
            <w:r w:rsid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6F3951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b</w:t>
            </w:r>
            <w:r w:rsidR="00D87E64" w:rsidRP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liži način utvrđivanja poreske osnovice  i odlaganje oporezivanja pri izlaznom oporezivanju imovine</w:t>
            </w:r>
            <w:r w:rsidR="006F3951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i </w:t>
            </w:r>
            <w:r w:rsidR="00D87E64" w:rsidRP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bliž</w:t>
            </w:r>
            <w:r w:rsid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i</w:t>
            </w:r>
            <w:r w:rsidR="00D87E64" w:rsidRP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način sprovođenja hibridne neusklađenosti, obrnute hibridne neusklađenosti i neusklađenosti rezidentnosti</w:t>
            </w:r>
            <w:r w:rsidR="00D87E64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. </w:t>
            </w:r>
          </w:p>
          <w:p w14:paraId="59F4CFEE" w14:textId="748EEFEC" w:rsidR="004B6BC5" w:rsidRPr="00463619" w:rsidRDefault="004B6BC5" w:rsidP="00463619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bookmarkStart w:id="0" w:name="_Hlk227667273"/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Pored navedenog, u prelaznim i završnim odredbama navedenog zakona, Crna Gora je preuzela obavezu da nakon pristupanja 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Evropskoj uniji pristupi 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>Konvencij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otklanjanju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dvostrukog </w:t>
            </w:r>
            <w:bookmarkStart w:id="2" w:name="_Hlk227667336"/>
            <w:bookmarkEnd w:id="0"/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oporezivanja 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u vezi s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usklađivanjem dobiti povezanih preduzeća(90/436/EEZ)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, kao i da će primjenjivati odredbe 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>Kodeks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ponašanja za efikasnu prim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j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enu Konvencije o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otklanjanju</w:t>
            </w:r>
            <w:r w:rsidRPr="004B6BC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dvostrukog oporezivanja u vezi sa prilagođavanjem dobiti povezanih preduzeća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bookmarkEnd w:id="2"/>
          <w:p w14:paraId="484333C0" w14:textId="19F8D5A9" w:rsidR="00166562" w:rsidRPr="00463619" w:rsidRDefault="00DB6F10" w:rsidP="00463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Predložena zakonska rješenja imaju za cilj</w:t>
            </w:r>
            <w:r w:rsidR="00166562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unapr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ijeđenje</w:t>
            </w:r>
            <w:r w:rsidR="00166562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poslovn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og</w:t>
            </w:r>
            <w:r w:rsidR="00166562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ambijen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ta</w:t>
            </w:r>
            <w:r w:rsidR="00E06CED" w:rsidRPr="00463619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="00166562" w:rsidRPr="00463619">
              <w:rPr>
                <w:rFonts w:ascii="Arial" w:hAnsi="Arial" w:cs="Arial"/>
                <w:sz w:val="20"/>
                <w:szCs w:val="20"/>
                <w:lang w:val="pl-PL"/>
              </w:rPr>
              <w:t>što će u konačnom imati brojne pozitivne efekte, kako za poreske obveznike tako i za prihodnu stranu budžeta Crne Gore.</w:t>
            </w:r>
          </w:p>
          <w:p w14:paraId="1CDF774C" w14:textId="77777777" w:rsidR="00937E3B" w:rsidRPr="00463619" w:rsidRDefault="00937E3B" w:rsidP="00463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Navedene zakonske izmjene neće imati negativan uticaj na standard građana i privrede.</w:t>
            </w:r>
          </w:p>
          <w:p w14:paraId="43F06232" w14:textId="530A0347" w:rsidR="007524BA" w:rsidRPr="00463619" w:rsidRDefault="00937E3B" w:rsidP="00463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>Prilikom pripreme Predloga zakona razmatrana je „status quo“ opcija. U slučaju zadržavanja „status quo“ opcije, bila bi otežana primjena zakona i ne bi se moglo izvršiti dodatno usklađivanje postojećih zakonskih rješenja</w:t>
            </w:r>
            <w:r w:rsidR="006F395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EU direktivama</w:t>
            </w:r>
            <w:r w:rsidR="00B52A7B" w:rsidRPr="00463619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A80D43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U slučaju „statusa quo” ne bi bilo moguće </w:t>
            </w:r>
            <w:r w:rsidR="00A80D43" w:rsidRPr="00463619">
              <w:rPr>
                <w:rFonts w:ascii="Arial" w:hAnsi="Arial" w:cs="Arial"/>
                <w:sz w:val="20"/>
                <w:szCs w:val="20"/>
                <w:lang w:val="sr-Latn-CS"/>
              </w:rPr>
              <w:t xml:space="preserve">smanjenje poreske evazije, poboljšanje poreske discipline poreskih obveznika, </w:t>
            </w:r>
            <w:proofErr w:type="spellStart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>unaprijeđenja</w:t>
            </w:r>
            <w:proofErr w:type="spellEnd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>efikasnosti</w:t>
            </w:r>
            <w:proofErr w:type="spellEnd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>poreskog</w:t>
            </w:r>
            <w:proofErr w:type="spellEnd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>sistema</w:t>
            </w:r>
            <w:proofErr w:type="spellEnd"/>
            <w:r w:rsidR="00A80D43" w:rsidRPr="0046361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7524BA" w:rsidRPr="00BD4D1E" w14:paraId="6DF64C41" w14:textId="77777777" w:rsidTr="00F01570">
        <w:tc>
          <w:tcPr>
            <w:tcW w:w="9576" w:type="dxa"/>
            <w:gridSpan w:val="2"/>
          </w:tcPr>
          <w:p w14:paraId="201A6CC7" w14:textId="77777777" w:rsidR="00A965C2" w:rsidRDefault="00A965C2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63AC2CA3" w14:textId="30113B3D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2.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Ciljevi</w:t>
            </w:r>
            <w:proofErr w:type="spellEnd"/>
          </w:p>
          <w:p w14:paraId="5F39619F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postižu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37630CFE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Navesti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usklađenost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postojećim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strategijama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programima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Vlade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14:paraId="236647D2" w14:textId="77777777" w:rsidTr="00F01570">
        <w:tc>
          <w:tcPr>
            <w:tcW w:w="9576" w:type="dxa"/>
            <w:gridSpan w:val="2"/>
          </w:tcPr>
          <w:p w14:paraId="08C54524" w14:textId="77777777" w:rsidR="00A965C2" w:rsidRDefault="00A965C2" w:rsidP="008011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4FC63F31" w14:textId="3CFB1E46" w:rsidR="0080119A" w:rsidRDefault="00BF08C4" w:rsidP="008011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Predloženim </w:t>
            </w:r>
            <w:r w:rsidR="00716D22" w:rsidRPr="00463619">
              <w:rPr>
                <w:rFonts w:ascii="Arial" w:hAnsi="Arial" w:cs="Arial"/>
                <w:sz w:val="20"/>
                <w:szCs w:val="20"/>
                <w:lang w:val="sr-Latn-ME"/>
              </w:rPr>
              <w:t>zakonskim izmjenama</w:t>
            </w:r>
            <w:r w:rsidR="00DC71D0"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DB6F10">
              <w:rPr>
                <w:rFonts w:ascii="Arial" w:hAnsi="Arial" w:cs="Arial"/>
                <w:sz w:val="20"/>
                <w:szCs w:val="20"/>
                <w:lang w:val="sr-Latn-ME"/>
              </w:rPr>
              <w:t>želi se postići:</w:t>
            </w:r>
          </w:p>
          <w:p w14:paraId="5507087B" w14:textId="22DF8C76" w:rsidR="00DB6F10" w:rsidRDefault="00DB6F10" w:rsidP="00DB6F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očuvanje poreske osnovice;</w:t>
            </w:r>
          </w:p>
          <w:p w14:paraId="751C6155" w14:textId="512408FC" w:rsidR="00EF60E5" w:rsidRDefault="00EF60E5" w:rsidP="00DB6F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pravednije oporezivanje u država članicama Evropske unije i smanjenje štetnih poreskih praksi;</w:t>
            </w:r>
          </w:p>
          <w:p w14:paraId="7D6FB0FA" w14:textId="422C9049" w:rsidR="00DB6F10" w:rsidRDefault="00DB6F10" w:rsidP="00DB6F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sprečavanje izbjegavanja plaćanja poreski</w:t>
            </w:r>
            <w:r w:rsidR="006F3951">
              <w:rPr>
                <w:rFonts w:ascii="Arial" w:hAnsi="Arial" w:cs="Arial"/>
                <w:sz w:val="20"/>
                <w:szCs w:val="20"/>
                <w:lang w:val="sr-Latn-ME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obaveza i agresivnog poreskog planiranja;</w:t>
            </w:r>
          </w:p>
          <w:p w14:paraId="23AD777F" w14:textId="4F7DA6B7" w:rsidR="00DB6F10" w:rsidRDefault="00DB6F10" w:rsidP="00DB6F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usklađivanje nacionalnog zakonodavstva sa EU direktivama;</w:t>
            </w:r>
          </w:p>
          <w:p w14:paraId="123EF310" w14:textId="7AF4D837" w:rsidR="00DB6F10" w:rsidRDefault="00DB6F10" w:rsidP="00DB6F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povećanje transparentnosti i pravne sigurnosti;</w:t>
            </w:r>
          </w:p>
          <w:p w14:paraId="5C7F589B" w14:textId="2CE8EBCA" w:rsidR="00610A40" w:rsidRDefault="00DB6F10" w:rsidP="00610A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unaprjeđenje poreske discipline</w:t>
            </w:r>
            <w:r w:rsidR="00EF60E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obveznika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14:paraId="7EAA6EEF" w14:textId="77777777" w:rsidR="00610A40" w:rsidRDefault="00610A40" w:rsidP="00610A40">
            <w:pPr>
              <w:pStyle w:val="ListParagrap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1EBF016" w14:textId="72F49AF0" w:rsidR="00610A40" w:rsidRPr="00610A40" w:rsidRDefault="00610A40" w:rsidP="00610A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0A40">
              <w:rPr>
                <w:rFonts w:ascii="Arial" w:hAnsi="Arial" w:cs="Arial"/>
                <w:sz w:val="20"/>
                <w:szCs w:val="20"/>
                <w:lang w:val="sr-Latn-ME"/>
              </w:rPr>
              <w:t>Programom rada Vlade Crne Gore za 2026. godinu Ministarstvo finansija je predložilo donošenje zakona o izmjenama i dopunama Zakona o porezu na dobit pravnih licau cilju  usklađivanja  važećeg zakona sa  Direktivom Savjeta 2017/952 o izmjeni Direktive (EU) 2016/1164 u pogledu hibridnih neusklađenosti sa trećim zemljama za II kvartal 2026. godine.</w:t>
            </w:r>
          </w:p>
        </w:tc>
      </w:tr>
      <w:tr w:rsidR="007524BA" w:rsidRPr="00BD4D1E" w14:paraId="790BC296" w14:textId="77777777" w:rsidTr="00F01570">
        <w:tc>
          <w:tcPr>
            <w:tcW w:w="9576" w:type="dxa"/>
            <w:gridSpan w:val="2"/>
          </w:tcPr>
          <w:p w14:paraId="1539E434" w14:textId="77777777" w:rsidR="00A965C2" w:rsidRDefault="00A965C2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25DE163D" w14:textId="30CBCB10"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3.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Opcije</w:t>
            </w:r>
            <w:proofErr w:type="spellEnd"/>
          </w:p>
          <w:p w14:paraId="5407D88F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moguće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uvijek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razmatrati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preporučljivo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neregulatornu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14:paraId="4C0BBAD8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preferiranu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7524BA" w:rsidRPr="00BD4D1E" w14:paraId="08E18222" w14:textId="77777777" w:rsidTr="00F01570">
        <w:tc>
          <w:tcPr>
            <w:tcW w:w="9576" w:type="dxa"/>
            <w:gridSpan w:val="2"/>
          </w:tcPr>
          <w:p w14:paraId="2E2DE7B9" w14:textId="2520FBBF" w:rsidR="007524BA" w:rsidRDefault="00C5656C" w:rsidP="00610A40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3619">
              <w:rPr>
                <w:rFonts w:ascii="Arial" w:hAnsi="Arial" w:cs="Arial"/>
                <w:sz w:val="20"/>
                <w:szCs w:val="20"/>
              </w:rPr>
              <w:t xml:space="preserve">Ministarstvo finansija se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odlučilo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regulatornu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opciju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razloga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neregulatorna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opcija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može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željene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rezultate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>.</w:t>
            </w:r>
            <w:r w:rsidR="00610A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AF5" w:rsidRPr="00463619">
              <w:rPr>
                <w:rFonts w:ascii="Arial" w:eastAsia="Calibri" w:hAnsi="Arial" w:cs="Arial"/>
                <w:sz w:val="20"/>
                <w:szCs w:val="20"/>
              </w:rPr>
              <w:t>Izmjena</w:t>
            </w:r>
            <w:proofErr w:type="spellEnd"/>
            <w:r w:rsidR="007F2AF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F2AF5" w:rsidRPr="00463619">
              <w:rPr>
                <w:rFonts w:ascii="Arial" w:eastAsia="Calibri" w:hAnsi="Arial" w:cs="Arial"/>
                <w:sz w:val="20"/>
                <w:szCs w:val="20"/>
              </w:rPr>
              <w:t>zakons</w:t>
            </w:r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kih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predstavlja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jedinu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opciju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ispunjavanju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ciljeva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koji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žele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postići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navedenim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izmjenama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tj</w:t>
            </w:r>
            <w:proofErr w:type="spellEnd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="00A92F11" w:rsidRPr="00463619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E91D09" w:rsidRPr="00463619">
              <w:rPr>
                <w:rFonts w:ascii="Arial" w:eastAsia="Calibri" w:hAnsi="Arial" w:cs="Arial"/>
                <w:sz w:val="20"/>
                <w:szCs w:val="20"/>
              </w:rPr>
              <w:t>svajanje</w:t>
            </w:r>
            <w:r w:rsidR="0075572B" w:rsidRPr="00463619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spellEnd"/>
            <w:r w:rsidR="00A551A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551A1" w:rsidRPr="00463619">
              <w:rPr>
                <w:rFonts w:ascii="Arial" w:eastAsia="Calibri" w:hAnsi="Arial" w:cs="Arial"/>
                <w:sz w:val="20"/>
                <w:szCs w:val="20"/>
              </w:rPr>
              <w:t>zakonskog</w:t>
            </w:r>
            <w:proofErr w:type="spellEnd"/>
            <w:r w:rsidR="00A551A1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551A1" w:rsidRPr="00463619">
              <w:rPr>
                <w:rFonts w:ascii="Arial" w:eastAsia="Calibri" w:hAnsi="Arial" w:cs="Arial"/>
                <w:sz w:val="20"/>
                <w:szCs w:val="20"/>
              </w:rPr>
              <w:t>okvira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82AA0" w:rsidRPr="00463619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izmjenama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dopunama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porezu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dobit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pravnih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lica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463619">
              <w:rPr>
                <w:rFonts w:ascii="Arial" w:eastAsia="Calibri" w:hAnsi="Arial" w:cs="Arial"/>
                <w:sz w:val="20"/>
                <w:szCs w:val="20"/>
              </w:rPr>
              <w:t>odgovarajuć</w:t>
            </w:r>
            <w:r w:rsidR="00610A40">
              <w:rPr>
                <w:rFonts w:ascii="Arial" w:eastAsia="Calibri" w:hAnsi="Arial" w:cs="Arial"/>
                <w:sz w:val="20"/>
                <w:szCs w:val="20"/>
              </w:rPr>
              <w:t>ih</w:t>
            </w:r>
            <w:proofErr w:type="spellEnd"/>
            <w:r w:rsidR="0058190D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8190D" w:rsidRPr="00463619">
              <w:rPr>
                <w:rFonts w:ascii="Arial" w:eastAsia="Calibri" w:hAnsi="Arial" w:cs="Arial"/>
                <w:sz w:val="20"/>
                <w:szCs w:val="20"/>
              </w:rPr>
              <w:t>podzakonsk</w:t>
            </w:r>
            <w:r w:rsidR="00610A40">
              <w:rPr>
                <w:rFonts w:ascii="Arial" w:eastAsia="Calibri" w:hAnsi="Arial" w:cs="Arial"/>
                <w:sz w:val="20"/>
                <w:szCs w:val="20"/>
              </w:rPr>
              <w:t>ih</w:t>
            </w:r>
            <w:proofErr w:type="spellEnd"/>
            <w:r w:rsidR="0058190D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8190D" w:rsidRPr="00463619">
              <w:rPr>
                <w:rFonts w:ascii="Arial" w:eastAsia="Calibri" w:hAnsi="Arial" w:cs="Arial"/>
                <w:sz w:val="20"/>
                <w:szCs w:val="20"/>
              </w:rPr>
              <w:t>akta</w:t>
            </w:r>
            <w:proofErr w:type="spellEnd"/>
            <w:r w:rsidR="00482AA0" w:rsidRPr="00463619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C20EA6" w:rsidRPr="0046361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75572B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0A40">
              <w:rPr>
                <w:rFonts w:ascii="Arial" w:eastAsia="Calibri" w:hAnsi="Arial" w:cs="Arial"/>
                <w:sz w:val="20"/>
                <w:szCs w:val="20"/>
              </w:rPr>
              <w:t>Donošenjem</w:t>
            </w:r>
            <w:proofErr w:type="spellEnd"/>
            <w:r w:rsidR="00610A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0A40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="00610A4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0A40">
              <w:rPr>
                <w:rFonts w:ascii="Arial" w:eastAsia="Calibri" w:hAnsi="Arial" w:cs="Arial"/>
                <w:sz w:val="20"/>
                <w:szCs w:val="20"/>
              </w:rPr>
              <w:t>uvode</w:t>
            </w:r>
            <w:proofErr w:type="spellEnd"/>
            <w:r w:rsidR="00610A40">
              <w:rPr>
                <w:rFonts w:ascii="Arial" w:eastAsia="Calibri" w:hAnsi="Arial" w:cs="Arial"/>
                <w:sz w:val="20"/>
                <w:szCs w:val="20"/>
              </w:rPr>
              <w:t xml:space="preserve"> se: </w:t>
            </w:r>
          </w:p>
          <w:p w14:paraId="10F77438" w14:textId="3163A1AB" w:rsidR="006F3951" w:rsidRDefault="00610A40" w:rsidP="006F395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pravila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6F3951" w:rsidRPr="006F3951">
              <w:rPr>
                <w:rFonts w:ascii="Arial" w:hAnsi="Arial" w:cs="Arial"/>
                <w:sz w:val="20"/>
                <w:szCs w:val="20"/>
              </w:rPr>
              <w:t>o</w:t>
            </w:r>
            <w:r w:rsidRPr="006F3951">
              <w:rPr>
                <w:rFonts w:ascii="Arial" w:hAnsi="Arial" w:cs="Arial"/>
                <w:sz w:val="20"/>
                <w:szCs w:val="20"/>
              </w:rPr>
              <w:t>graničenje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odbitka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kamata</w:t>
            </w:r>
            <w:proofErr w:type="spellEnd"/>
            <w:r w:rsid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3951">
              <w:rPr>
                <w:rFonts w:ascii="Arial" w:hAnsi="Arial" w:cs="Arial"/>
                <w:sz w:val="20"/>
                <w:szCs w:val="20"/>
              </w:rPr>
              <w:t xml:space="preserve">(30% EBITDA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miliona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eura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5189C27B" w14:textId="77777777" w:rsidR="006F3951" w:rsidRDefault="00610A40" w:rsidP="006F395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pravila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kontrolisanim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inostranim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društvima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209E3E" w14:textId="77777777" w:rsidR="006F3951" w:rsidRDefault="00610A40" w:rsidP="006F395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izlazno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oporezivanje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33CF7E" w14:textId="0EAC137B" w:rsidR="00610A40" w:rsidRDefault="004664BD" w:rsidP="006F395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pravila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1E2C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E2CEC">
              <w:rPr>
                <w:rFonts w:ascii="Arial" w:hAnsi="Arial" w:cs="Arial"/>
                <w:sz w:val="20"/>
                <w:szCs w:val="20"/>
              </w:rPr>
              <w:t>sprečavanju</w:t>
            </w:r>
            <w:proofErr w:type="spellEnd"/>
            <w:r w:rsidR="001E2C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hibridni</w:t>
            </w:r>
            <w:r w:rsidR="001E2CEC">
              <w:rPr>
                <w:rFonts w:ascii="Arial" w:hAnsi="Arial" w:cs="Arial"/>
                <w:sz w:val="20"/>
                <w:szCs w:val="20"/>
              </w:rPr>
              <w:t>h</w:t>
            </w:r>
            <w:proofErr w:type="spellEnd"/>
            <w:r w:rsidRPr="006F39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951">
              <w:rPr>
                <w:rFonts w:ascii="Arial" w:hAnsi="Arial" w:cs="Arial"/>
                <w:sz w:val="20"/>
                <w:szCs w:val="20"/>
              </w:rPr>
              <w:t>neusklađenosti</w:t>
            </w:r>
            <w:proofErr w:type="spellEnd"/>
            <w:r w:rsidR="001E2C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E2CE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  <w:p w14:paraId="320F1D3D" w14:textId="0AC50838" w:rsidR="001E2CEC" w:rsidRPr="006F3951" w:rsidRDefault="001E2CEC" w:rsidP="006F395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opšte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zloupotreba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koristi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aranžmana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524BA" w:rsidRPr="00BD4D1E" w14:paraId="0D325292" w14:textId="77777777" w:rsidTr="005D4D02">
        <w:trPr>
          <w:trHeight w:val="610"/>
        </w:trPr>
        <w:tc>
          <w:tcPr>
            <w:tcW w:w="9576" w:type="dxa"/>
            <w:gridSpan w:val="2"/>
          </w:tcPr>
          <w:p w14:paraId="03DFC598" w14:textId="77777777" w:rsidR="00A965C2" w:rsidRDefault="00A965C2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08B1A8FC" w14:textId="68F46BFD" w:rsidR="007524BA" w:rsidRPr="004664BD" w:rsidRDefault="00532473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color w:val="365F91"/>
              </w:rPr>
              <w:t xml:space="preserve">  </w:t>
            </w:r>
            <w:r w:rsidR="007524BA" w:rsidRPr="00A965C2">
              <w:rPr>
                <w:rFonts w:ascii="Arial" w:eastAsia="Calibri" w:hAnsi="Arial" w:cs="Arial"/>
                <w:color w:val="365F91"/>
              </w:rPr>
              <w:t xml:space="preserve">4. </w:t>
            </w:r>
            <w:proofErr w:type="spellStart"/>
            <w:r w:rsidR="007524BA" w:rsidRPr="00A965C2">
              <w:rPr>
                <w:rFonts w:ascii="Arial" w:eastAsia="Calibri" w:hAnsi="Arial" w:cs="Arial"/>
                <w:color w:val="365F91"/>
              </w:rPr>
              <w:t>Analiza</w:t>
            </w:r>
            <w:proofErr w:type="spellEnd"/>
            <w:r w:rsidR="007524BA" w:rsidRPr="00A965C2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="007524BA" w:rsidRPr="00A965C2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14:paraId="22AC816C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Na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najvjerovatnije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-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nabrojati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negativne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4EEDD6B6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izazvati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građanima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naročito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malim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srednjim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preduzećima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14:paraId="1552F317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opravdavaju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on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stvoriti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2A446D35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podržava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stvaranje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konkurencija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1E1E5868" w14:textId="77777777" w:rsidR="0077670C" w:rsidRPr="0077670C" w:rsidRDefault="007524BA" w:rsidP="007767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procjenu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administrativnih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opterećenja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biznis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barijera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14:paraId="5F57EF0E" w14:textId="77777777" w:rsidTr="0077670C">
        <w:trPr>
          <w:trHeight w:val="60"/>
        </w:trPr>
        <w:tc>
          <w:tcPr>
            <w:tcW w:w="9576" w:type="dxa"/>
            <w:gridSpan w:val="2"/>
          </w:tcPr>
          <w:p w14:paraId="214A0792" w14:textId="77777777" w:rsidR="00A965C2" w:rsidRDefault="00A965C2" w:rsidP="00577E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9654C6" w14:textId="4093B464" w:rsidR="00577E00" w:rsidRPr="00463619" w:rsidRDefault="0077670C" w:rsidP="00577E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Pozitivna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strana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predloženih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zakonskih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="00577E00"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FF62A4" w:rsidRPr="00FF62A4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što se vrši usklađivanje nacionalnog poreskog zakonodavstva sa EU </w:t>
            </w:r>
            <w:r w:rsidR="006F3951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FF62A4" w:rsidRPr="00FF62A4">
              <w:rPr>
                <w:rFonts w:ascii="Arial" w:hAnsi="Arial" w:cs="Arial"/>
                <w:sz w:val="20"/>
                <w:szCs w:val="20"/>
                <w:lang w:val="sr-Latn-ME"/>
              </w:rPr>
              <w:t>irektiv</w:t>
            </w:r>
            <w:r w:rsidR="006F3951">
              <w:rPr>
                <w:rFonts w:ascii="Arial" w:hAnsi="Arial" w:cs="Arial"/>
                <w:sz w:val="20"/>
                <w:szCs w:val="20"/>
                <w:lang w:val="sr-Latn-ME"/>
              </w:rPr>
              <w:t>ama</w:t>
            </w:r>
            <w:r w:rsidR="00FF62A4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smanjenje poreske </w:t>
            </w:r>
            <w:r w:rsidR="00B85C65" w:rsidRPr="0046361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evazije</w:t>
            </w:r>
            <w:r w:rsidR="00FF62A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i agresivnog poreskog planiranja</w:t>
            </w:r>
            <w:r w:rsidR="00B85C65" w:rsidRPr="00463619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, poboljšanje poreske discipline obveznika, </w:t>
            </w:r>
            <w:r w:rsidR="00FF62A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poboljšanje investicione transparentnosti, </w:t>
            </w:r>
            <w:proofErr w:type="spellStart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>unaprijeđenje</w:t>
            </w:r>
            <w:proofErr w:type="spellEnd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>ekisasnosti</w:t>
            </w:r>
            <w:proofErr w:type="spellEnd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>poreskog</w:t>
            </w:r>
            <w:proofErr w:type="spellEnd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>sistema</w:t>
            </w:r>
            <w:proofErr w:type="spellEnd"/>
            <w:r w:rsidR="00B85C65" w:rsidRPr="0046361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B85C65" w:rsidRPr="0046361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a samim tim i porast prihoda po osnovu poreza na dobit</w:t>
            </w:r>
            <w:r w:rsidR="00B85C65" w:rsidRPr="0046361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CD1324" w:rsidRPr="004636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14:paraId="59C46B5F" w14:textId="7C65DBC2" w:rsidR="007524BA" w:rsidRPr="004664BD" w:rsidRDefault="0077670C" w:rsidP="0077670C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Predložena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zakonska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neće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uticati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standard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građana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D7BCD"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privrede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odnosno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primjena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propisa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neće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izazvati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troškove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građanima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privredi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A965C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Novim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zakonskim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rješenjima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ne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stvaraju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administrativna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opterećenja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kao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biznis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barijere</w:t>
            </w:r>
            <w:proofErr w:type="spellEnd"/>
            <w:r w:rsidR="004664B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463619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</w:tc>
      </w:tr>
      <w:tr w:rsidR="007524BA" w:rsidRPr="00BD4D1E" w14:paraId="01BCE660" w14:textId="77777777" w:rsidTr="00F01570">
        <w:tc>
          <w:tcPr>
            <w:tcW w:w="9576" w:type="dxa"/>
            <w:gridSpan w:val="2"/>
          </w:tcPr>
          <w:p w14:paraId="4B7ADA3B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4312E3B9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5.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Procjena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fiskalnog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14:paraId="46B70553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potrebno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iznosu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7654282D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jednokratno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određenog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vremenskog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perioda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15963D30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proizilaze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međunarodne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 obaveze? 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3FB61110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neophodna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obezbijeđena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tekuću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fiskalnu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planirana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narednu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46B9563F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usvajanjem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predviđeno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podzakonskih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proisteći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4F2E9B02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ostvariti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Gore?</w:t>
            </w:r>
          </w:p>
          <w:p w14:paraId="49FD79B0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metodologiju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prilikom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1C32263D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preciznom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4AF1A8B5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Ministarstva finansija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nacrt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33E20A96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dobijene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primjedbe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14:paraId="5C8253C8" w14:textId="77777777" w:rsidTr="00F01570">
        <w:tc>
          <w:tcPr>
            <w:tcW w:w="9576" w:type="dxa"/>
            <w:gridSpan w:val="2"/>
          </w:tcPr>
          <w:p w14:paraId="46DEA819" w14:textId="77777777" w:rsidR="007524BA" w:rsidRPr="00BD4D1E" w:rsidRDefault="007524BA" w:rsidP="00406839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14:paraId="66E39BE7" w14:textId="3AAC1549" w:rsidR="005D4D02" w:rsidRPr="00463619" w:rsidRDefault="001736FD" w:rsidP="00406839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obezbjeđivati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dodatna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Budžeta</w:t>
            </w:r>
            <w:proofErr w:type="spellEnd"/>
            <w:r w:rsidR="00B65A65" w:rsidRPr="004636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Crne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Gore</w:t>
            </w:r>
            <w:r w:rsidR="00DF60C5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evidentno</w:t>
            </w:r>
            <w:proofErr w:type="spellEnd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da </w:t>
            </w:r>
            <w:proofErr w:type="spellStart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doći</w:t>
            </w:r>
            <w:proofErr w:type="spellEnd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="00D44A0D"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porasta</w:t>
            </w:r>
            <w:proofErr w:type="spellEnd"/>
            <w:r w:rsidR="00DF60C5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prihod</w:t>
            </w:r>
            <w:r w:rsidR="00D44A0D" w:rsidRPr="00463619"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  <w:r w:rsidR="00DF60C5" w:rsidRPr="00463619">
              <w:rPr>
                <w:rFonts w:ascii="Arial" w:hAnsi="Arial" w:cs="Arial"/>
                <w:sz w:val="20"/>
                <w:szCs w:val="20"/>
                <w:lang w:val="pl-PL"/>
              </w:rPr>
              <w:t xml:space="preserve"> budžeta Crne Gore</w:t>
            </w:r>
            <w:r w:rsidR="00D44A0D" w:rsidRPr="0046361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44E0CF13" w14:textId="77777777" w:rsidR="005D4D02" w:rsidRPr="00463619" w:rsidRDefault="005D4D02" w:rsidP="00406839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74E3CA" w14:textId="77777777" w:rsidR="00DF60C5" w:rsidRPr="00463619" w:rsidRDefault="00DF60C5" w:rsidP="00DF60C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Implementacijom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predloženih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zakonskih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neće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nastati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međunarodne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finansijske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obaveze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00D6256" w14:textId="2947309A" w:rsidR="00F71627" w:rsidRPr="00463619" w:rsidRDefault="00DF60C5" w:rsidP="004636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Predlog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5C2">
              <w:rPr>
                <w:rFonts w:ascii="Arial" w:hAnsi="Arial" w:cs="Arial"/>
                <w:sz w:val="20"/>
                <w:szCs w:val="20"/>
              </w:rPr>
              <w:t xml:space="preserve">ne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podrazumijeva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obavezu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donošenja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podzakonskih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akata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kojih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proisteći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finansijske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obaveze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524BA" w:rsidRPr="00BD4D1E" w14:paraId="6DA6927F" w14:textId="77777777" w:rsidTr="00F01570">
        <w:tc>
          <w:tcPr>
            <w:tcW w:w="9576" w:type="dxa"/>
            <w:gridSpan w:val="2"/>
          </w:tcPr>
          <w:p w14:paraId="0ED517FF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20063A2D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6.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Konsultacije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zainteresovanih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strana</w:t>
            </w:r>
            <w:proofErr w:type="spellEnd"/>
          </w:p>
          <w:p w14:paraId="29F28E17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eksterna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ekspertska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podrška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14:paraId="5941D59B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grupe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konsultovane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fazi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RIA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procesa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14:paraId="4DAC7F90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rezultate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nijesu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.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14:paraId="59DBAE6D" w14:textId="77777777" w:rsidTr="00F01570">
        <w:tc>
          <w:tcPr>
            <w:tcW w:w="9576" w:type="dxa"/>
            <w:gridSpan w:val="2"/>
          </w:tcPr>
          <w:p w14:paraId="2A4F1483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14:paraId="36D2C187" w14:textId="7D7C3299" w:rsidR="00E42095" w:rsidRPr="00463619" w:rsidRDefault="001736FD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pripremi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predloga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Pr="00463619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 xml:space="preserve">o </w:t>
            </w:r>
            <w:proofErr w:type="spellStart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>izmjenama</w:t>
            </w:r>
            <w:proofErr w:type="spellEnd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>dopunama</w:t>
            </w:r>
            <w:proofErr w:type="spellEnd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857458" w:rsidRPr="00463619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463619">
              <w:rPr>
                <w:rFonts w:ascii="Arial" w:eastAsia="Calibri" w:hAnsi="Arial" w:cs="Arial"/>
                <w:sz w:val="20"/>
                <w:szCs w:val="20"/>
              </w:rPr>
              <w:t>akona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porezu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dobit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pravnih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lica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F60C5" w:rsidRPr="00463619">
              <w:rPr>
                <w:rFonts w:ascii="Arial" w:eastAsia="Calibri" w:hAnsi="Arial" w:cs="Arial"/>
                <w:sz w:val="20"/>
                <w:szCs w:val="20"/>
              </w:rPr>
              <w:t>bili</w:t>
            </w:r>
            <w:proofErr w:type="spellEnd"/>
            <w:r w:rsidR="00DF60C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F60C5" w:rsidRPr="00463619">
              <w:rPr>
                <w:rFonts w:ascii="Arial" w:eastAsia="Calibri" w:hAnsi="Arial" w:cs="Arial"/>
                <w:sz w:val="20"/>
                <w:szCs w:val="20"/>
              </w:rPr>
              <w:t>su</w:t>
            </w:r>
            <w:proofErr w:type="spellEnd"/>
            <w:r w:rsidR="00DF60C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E42095" w:rsidRPr="00463619">
              <w:rPr>
                <w:rFonts w:ascii="Arial" w:eastAsia="Calibri" w:hAnsi="Arial" w:cs="Arial"/>
                <w:sz w:val="20"/>
                <w:szCs w:val="20"/>
              </w:rPr>
              <w:t>uključeni</w:t>
            </w:r>
            <w:proofErr w:type="spellEnd"/>
            <w:r w:rsidR="00E4209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E42095" w:rsidRPr="00463619">
              <w:rPr>
                <w:rFonts w:ascii="Arial" w:eastAsia="Calibri" w:hAnsi="Arial" w:cs="Arial"/>
                <w:sz w:val="20"/>
                <w:szCs w:val="20"/>
              </w:rPr>
              <w:t>predstavnici</w:t>
            </w:r>
            <w:proofErr w:type="spellEnd"/>
            <w:r w:rsidR="00E4209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2C45" w:rsidRPr="00463619">
              <w:rPr>
                <w:rFonts w:ascii="Arial" w:eastAsia="Calibri" w:hAnsi="Arial" w:cs="Arial"/>
                <w:sz w:val="20"/>
                <w:szCs w:val="20"/>
              </w:rPr>
              <w:t>Poreske</w:t>
            </w:r>
            <w:proofErr w:type="spellEnd"/>
            <w:r w:rsidR="00772C4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50DC3" w:rsidRPr="00463619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772C45" w:rsidRPr="00463619">
              <w:rPr>
                <w:rFonts w:ascii="Arial" w:eastAsia="Calibri" w:hAnsi="Arial" w:cs="Arial"/>
                <w:sz w:val="20"/>
                <w:szCs w:val="20"/>
              </w:rPr>
              <w:t>prav</w:t>
            </w:r>
            <w:r w:rsidR="00463DFA" w:rsidRPr="00463619">
              <w:rPr>
                <w:rFonts w:ascii="Arial" w:eastAsia="Calibri" w:hAnsi="Arial" w:cs="Arial"/>
                <w:sz w:val="20"/>
                <w:szCs w:val="20"/>
              </w:rPr>
              <w:t>e</w:t>
            </w:r>
            <w:proofErr w:type="spellEnd"/>
            <w:r w:rsidR="006F3951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F60C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572D03" w14:textId="67F026B9" w:rsidR="00E42095" w:rsidRPr="00463619" w:rsidRDefault="00E42095" w:rsidP="00406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Nakon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sprovedne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javne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rasprave</w:t>
            </w:r>
            <w:proofErr w:type="spellEnd"/>
            <w:r w:rsidR="002158D2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Izvještaju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sprovedenoj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javnoj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raspravi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biće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naveden</w:t>
            </w:r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svi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pristigli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463619">
              <w:rPr>
                <w:rFonts w:ascii="Arial" w:eastAsia="Calibri" w:hAnsi="Arial" w:cs="Arial"/>
                <w:sz w:val="20"/>
                <w:szCs w:val="20"/>
              </w:rPr>
              <w:t>edlozi</w:t>
            </w:r>
            <w:proofErr w:type="spellEnd"/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>primjedbe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sugestije</w:t>
            </w:r>
            <w:proofErr w:type="spellEnd"/>
            <w:r w:rsidR="00F52F0B" w:rsidRPr="00463619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0D04E5" w:rsidRPr="00463619">
              <w:rPr>
                <w:rFonts w:ascii="Arial" w:eastAsia="Calibri" w:hAnsi="Arial" w:cs="Arial"/>
                <w:sz w:val="20"/>
                <w:szCs w:val="20"/>
              </w:rPr>
              <w:t>kao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pregled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usvojenih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odnosno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odbijenih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eastAsia="Calibri" w:hAnsi="Arial" w:cs="Arial"/>
                <w:sz w:val="20"/>
                <w:szCs w:val="20"/>
              </w:rPr>
              <w:t>predloga</w:t>
            </w:r>
            <w:proofErr w:type="spellEnd"/>
            <w:r w:rsidRPr="00463619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0166A52F" w14:textId="77777777" w:rsidR="00315961" w:rsidRPr="00BD4D1E" w:rsidRDefault="00315961" w:rsidP="0087174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ahoma" w:eastAsia="Calibri" w:hAnsi="Tahoma" w:cs="Tahoma"/>
                <w:b/>
              </w:rPr>
            </w:pPr>
          </w:p>
        </w:tc>
      </w:tr>
      <w:tr w:rsidR="007524BA" w:rsidRPr="00BD4D1E" w14:paraId="0EFE9164" w14:textId="77777777" w:rsidTr="003324BB">
        <w:trPr>
          <w:trHeight w:val="3265"/>
        </w:trPr>
        <w:tc>
          <w:tcPr>
            <w:tcW w:w="9576" w:type="dxa"/>
            <w:gridSpan w:val="2"/>
          </w:tcPr>
          <w:p w14:paraId="5BBF67D6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14:paraId="58FF52AF" w14:textId="77777777"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7: Monitoring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i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evaluacija</w:t>
            </w:r>
            <w:proofErr w:type="spellEnd"/>
          </w:p>
          <w:p w14:paraId="5613EA86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potencijalne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prepreke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</w:p>
          <w:p w14:paraId="5519068C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bi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3C1D09F8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indikatori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41143228" w14:textId="77777777"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14:paraId="3ED4F1D0" w14:textId="77777777" w:rsidR="00F934DE" w:rsidRDefault="00F934DE" w:rsidP="00F93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  <w:p w14:paraId="0EF93F37" w14:textId="50BA3A8E" w:rsidR="00C5656C" w:rsidRPr="00463619" w:rsidRDefault="0058190D" w:rsidP="00BB29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potencijalne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prepreke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46361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AFAE70B" w14:textId="77777777" w:rsidR="00C5656C" w:rsidRPr="00463619" w:rsidRDefault="00C5656C" w:rsidP="00C5656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619">
              <w:rPr>
                <w:rFonts w:ascii="Arial" w:hAnsi="Arial" w:cs="Arial"/>
                <w:sz w:val="20"/>
                <w:szCs w:val="20"/>
              </w:rPr>
              <w:t xml:space="preserve">Ministarstvo finansija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iskoristiti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sve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raspoložive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mehanizme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obezbijediti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da se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predložena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zakonska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nesmetano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sprovedu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praksi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709992" w14:textId="77777777" w:rsidR="00A965C2" w:rsidRDefault="00C5656C" w:rsidP="00A965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Glavni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indikator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mjerenje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ispunjenja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cilja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8778BB" w14:textId="7F2FDE43" w:rsidR="00C5656C" w:rsidRPr="00A965C2" w:rsidRDefault="00C5656C" w:rsidP="00A965C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965C2">
              <w:rPr>
                <w:rFonts w:ascii="Arial" w:hAnsi="Arial" w:cs="Arial"/>
                <w:sz w:val="20"/>
                <w:szCs w:val="20"/>
              </w:rPr>
              <w:t>visina</w:t>
            </w:r>
            <w:proofErr w:type="spellEnd"/>
            <w:r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sz w:val="20"/>
                <w:szCs w:val="20"/>
              </w:rPr>
              <w:t>naplate</w:t>
            </w:r>
            <w:proofErr w:type="spellEnd"/>
            <w:r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sz w:val="20"/>
                <w:szCs w:val="20"/>
              </w:rPr>
              <w:t>prihoda</w:t>
            </w:r>
            <w:proofErr w:type="spellEnd"/>
            <w:r w:rsidRPr="00A965C2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A965C2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="00BB29B8"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9B8" w:rsidRPr="00A965C2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="00BB29B8"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9B8" w:rsidRPr="00A965C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BB29B8"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9B8" w:rsidRPr="00A965C2">
              <w:rPr>
                <w:rFonts w:ascii="Arial" w:hAnsi="Arial" w:cs="Arial"/>
                <w:sz w:val="20"/>
                <w:szCs w:val="20"/>
              </w:rPr>
              <w:t>dobit</w:t>
            </w:r>
            <w:proofErr w:type="spellEnd"/>
            <w:r w:rsidR="00BB29B8"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9B8" w:rsidRPr="00A965C2"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 w:rsidR="00BB29B8" w:rsidRPr="00A965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B29B8" w:rsidRPr="00A965C2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A965C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A288F0" w14:textId="4FB24442" w:rsidR="00A965C2" w:rsidRPr="00A965C2" w:rsidRDefault="00A965C2" w:rsidP="00A965C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broj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identifikovanih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kontrolisanih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inostranih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društava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CBC5269" w14:textId="0F908FF9" w:rsidR="00A965C2" w:rsidRPr="00A965C2" w:rsidRDefault="00A965C2" w:rsidP="00A965C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procjena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nivoa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sive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965C2">
              <w:rPr>
                <w:rFonts w:ascii="Arial" w:hAnsi="Arial" w:cs="Arial"/>
                <w:bCs/>
                <w:sz w:val="20"/>
                <w:szCs w:val="20"/>
              </w:rPr>
              <w:t>ekonomije</w:t>
            </w:r>
            <w:proofErr w:type="spellEnd"/>
            <w:r w:rsidRPr="00A965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7EFEACC" w14:textId="77777777" w:rsidR="00A965C2" w:rsidRPr="00A965C2" w:rsidRDefault="00A965C2" w:rsidP="00A965C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EB22A0" w14:textId="20AE025B" w:rsidR="00315961" w:rsidRPr="00463619" w:rsidRDefault="00BB29B8" w:rsidP="00FE1053">
            <w:pPr>
              <w:spacing w:after="160" w:line="25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"/>
              </w:rPr>
            </w:pP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Takođe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65C2">
              <w:rPr>
                <w:rFonts w:ascii="Arial" w:hAnsi="Arial" w:cs="Arial"/>
                <w:sz w:val="20"/>
                <w:szCs w:val="20"/>
              </w:rPr>
              <w:t>n</w:t>
            </w:r>
            <w:r w:rsidR="00A965C2" w:rsidRPr="00A965C2">
              <w:rPr>
                <w:rFonts w:ascii="Arial" w:hAnsi="Arial" w:cs="Arial"/>
                <w:sz w:val="20"/>
                <w:szCs w:val="20"/>
                <w:lang w:val="sr-Latn-ME"/>
              </w:rPr>
              <w:t xml:space="preserve">akon </w:t>
            </w:r>
            <w:r w:rsidR="006F3951" w:rsidRPr="006F3951">
              <w:rPr>
                <w:rFonts w:ascii="Arial" w:hAnsi="Arial" w:cs="Arial"/>
                <w:sz w:val="20"/>
                <w:szCs w:val="20"/>
                <w:lang w:val="sr-Latn-ME"/>
              </w:rPr>
              <w:t>usvajanja zakona pristupiće se izradi odgovarajućih podzakonskih akta kojim će se propisati bliži način sprovođenja pravila o kontrolisanim inostranim društvima, kao i obračunu njihove dobiti, bliži način utvrđivanja poreske osnovice i odlaganje oporezivanja pri izlaznom oporezivanju imovine i bliži način sprovođenja hibridne neusklađenosti, obrnute hibridne neusklađenosti i neusklađenosti rezidentnosti</w:t>
            </w:r>
            <w:r w:rsidR="00A965C2" w:rsidRPr="00A965C2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14:paraId="319728A2" w14:textId="76A68E61" w:rsidR="00FE1053" w:rsidRPr="00463619" w:rsidRDefault="00763F9F" w:rsidP="004636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3619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monitoringa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evaluaciju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navedenenog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propisa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zadužena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je</w:t>
            </w:r>
            <w:r w:rsidR="00772C45"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2C45" w:rsidRPr="00463619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="00772C45"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2C45" w:rsidRPr="00463619"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sprovoditi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kontrolu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inspekcijski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nadzor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obzirom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ista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vrši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poslove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utvrđivanja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naplate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 w:rsidRPr="004636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3619">
              <w:rPr>
                <w:rFonts w:ascii="Arial" w:hAnsi="Arial" w:cs="Arial"/>
                <w:sz w:val="20"/>
                <w:szCs w:val="20"/>
              </w:rPr>
              <w:t>poreza</w:t>
            </w:r>
            <w:proofErr w:type="spellEnd"/>
            <w:r w:rsidRPr="00FE1053">
              <w:rPr>
                <w:rFonts w:ascii="Arial" w:hAnsi="Arial" w:cs="Arial"/>
              </w:rPr>
              <w:t>.</w:t>
            </w:r>
          </w:p>
        </w:tc>
      </w:tr>
    </w:tbl>
    <w:p w14:paraId="571C6831" w14:textId="77777777" w:rsidR="003324BB" w:rsidRPr="00BD4D1E" w:rsidRDefault="003324BB" w:rsidP="003324BB">
      <w:pPr>
        <w:rPr>
          <w:rFonts w:ascii="Garamond" w:hAnsi="Garamond" w:cs="Times New Roman"/>
          <w:color w:val="365F91"/>
          <w:sz w:val="24"/>
        </w:rPr>
      </w:pPr>
    </w:p>
    <w:p w14:paraId="77D608D9" w14:textId="77777777" w:rsidR="00E42095" w:rsidRPr="00E42095" w:rsidRDefault="00E42095" w:rsidP="00E42095">
      <w:pPr>
        <w:rPr>
          <w:rFonts w:ascii="Arial" w:hAnsi="Arial" w:cs="Arial"/>
          <w:b/>
          <w:color w:val="365F91"/>
        </w:rPr>
      </w:pPr>
      <w:r w:rsidRPr="00E42095">
        <w:rPr>
          <w:rFonts w:ascii="Arial" w:hAnsi="Arial" w:cs="Arial"/>
          <w:b/>
          <w:color w:val="365F91"/>
        </w:rPr>
        <w:t xml:space="preserve">    Datum </w:t>
      </w:r>
      <w:proofErr w:type="spellStart"/>
      <w:r w:rsidRPr="00E42095">
        <w:rPr>
          <w:rFonts w:ascii="Arial" w:hAnsi="Arial" w:cs="Arial"/>
          <w:b/>
          <w:color w:val="365F91"/>
        </w:rPr>
        <w:t>i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  <w:proofErr w:type="spellStart"/>
      <w:r w:rsidRPr="00E42095">
        <w:rPr>
          <w:rFonts w:ascii="Arial" w:hAnsi="Arial" w:cs="Arial"/>
          <w:b/>
          <w:color w:val="365F91"/>
        </w:rPr>
        <w:t>mjesto</w:t>
      </w:r>
      <w:proofErr w:type="spellEnd"/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 xml:space="preserve">              </w:t>
      </w:r>
      <w:proofErr w:type="spellStart"/>
      <w:r w:rsidRPr="00E42095">
        <w:rPr>
          <w:rFonts w:ascii="Arial" w:hAnsi="Arial" w:cs="Arial"/>
          <w:b/>
          <w:color w:val="365F91"/>
        </w:rPr>
        <w:t>Starješina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</w:p>
    <w:p w14:paraId="691E5FFF" w14:textId="201F7807" w:rsidR="00E42095" w:rsidRPr="00E42095" w:rsidRDefault="00AE3808" w:rsidP="00AE3808">
      <w:pPr>
        <w:rPr>
          <w:rFonts w:ascii="Arial" w:hAnsi="Arial" w:cs="Arial"/>
          <w:b/>
          <w:color w:val="365F91"/>
        </w:rPr>
      </w:pPr>
      <w:r>
        <w:rPr>
          <w:rFonts w:ascii="Arial" w:hAnsi="Arial" w:cs="Arial"/>
          <w:b/>
          <w:color w:val="365F91"/>
        </w:rPr>
        <w:t xml:space="preserve">                                                                       </w:t>
      </w:r>
      <w:r w:rsidR="00362610">
        <w:rPr>
          <w:rFonts w:ascii="Arial" w:hAnsi="Arial" w:cs="Arial"/>
          <w:b/>
          <w:color w:val="365F91"/>
        </w:rPr>
        <w:t xml:space="preserve">                                   </w:t>
      </w:r>
      <w:proofErr w:type="spellStart"/>
      <w:r w:rsidRPr="00AE3808">
        <w:rPr>
          <w:rFonts w:ascii="Arial" w:hAnsi="Arial" w:cs="Arial"/>
          <w:b/>
          <w:color w:val="1F497D" w:themeColor="text2"/>
        </w:rPr>
        <w:t>Novica</w:t>
      </w:r>
      <w:proofErr w:type="spellEnd"/>
      <w:r w:rsidRPr="00AE3808">
        <w:rPr>
          <w:rFonts w:ascii="Arial" w:hAnsi="Arial" w:cs="Arial"/>
          <w:b/>
          <w:color w:val="1F497D" w:themeColor="text2"/>
        </w:rPr>
        <w:t xml:space="preserve"> </w:t>
      </w:r>
      <w:proofErr w:type="spellStart"/>
      <w:r w:rsidRPr="00AE3808">
        <w:rPr>
          <w:rFonts w:ascii="Arial" w:hAnsi="Arial" w:cs="Arial"/>
          <w:b/>
          <w:color w:val="1F497D" w:themeColor="text2"/>
        </w:rPr>
        <w:t>Vuković</w:t>
      </w:r>
      <w:proofErr w:type="spellEnd"/>
      <w:r w:rsidRPr="00FC4AD4">
        <w:rPr>
          <w:rFonts w:ascii="Arial" w:hAnsi="Arial" w:cs="Arial"/>
          <w:b/>
        </w:rPr>
        <w:tab/>
      </w:r>
    </w:p>
    <w:p w14:paraId="6815B4D5" w14:textId="0BFAF8A5" w:rsidR="007524BA" w:rsidRPr="00676599" w:rsidRDefault="00E42095" w:rsidP="00676599">
      <w:pPr>
        <w:rPr>
          <w:rFonts w:ascii="Arial" w:hAnsi="Arial" w:cs="Arial"/>
          <w:color w:val="1F497D"/>
        </w:rPr>
      </w:pPr>
      <w:r w:rsidRPr="00E42095">
        <w:rPr>
          <w:rFonts w:ascii="Arial" w:hAnsi="Arial" w:cs="Arial"/>
          <w:b/>
          <w:color w:val="365F91"/>
        </w:rPr>
        <w:t>___________________</w:t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>__________________________</w:t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</w:p>
    <w:p w14:paraId="22101433" w14:textId="628A095C" w:rsidR="00AE3808" w:rsidRPr="00676599" w:rsidRDefault="00AE3808" w:rsidP="00AE3808">
      <w:pPr>
        <w:rPr>
          <w:rFonts w:ascii="Arial" w:hAnsi="Arial" w:cs="Arial"/>
          <w:sz w:val="16"/>
          <w:szCs w:val="16"/>
        </w:rPr>
      </w:pPr>
      <w:r w:rsidRPr="00676599">
        <w:rPr>
          <w:rFonts w:ascii="Arial" w:hAnsi="Arial" w:cs="Arial"/>
          <w:sz w:val="16"/>
          <w:szCs w:val="16"/>
        </w:rPr>
        <w:tab/>
      </w:r>
      <w:r w:rsidRPr="00676599">
        <w:rPr>
          <w:rFonts w:ascii="Arial" w:hAnsi="Arial" w:cs="Arial"/>
          <w:sz w:val="16"/>
          <w:szCs w:val="16"/>
        </w:rPr>
        <w:tab/>
      </w:r>
      <w:r w:rsidRPr="00676599">
        <w:rPr>
          <w:rFonts w:ascii="Arial" w:hAnsi="Arial" w:cs="Arial"/>
          <w:sz w:val="16"/>
          <w:szCs w:val="16"/>
        </w:rPr>
        <w:tab/>
      </w:r>
    </w:p>
    <w:p w14:paraId="5DE3A1FF" w14:textId="77777777" w:rsidR="00AE3808" w:rsidRPr="00676599" w:rsidRDefault="00AE3808" w:rsidP="00AE3808">
      <w:pPr>
        <w:rPr>
          <w:rFonts w:ascii="Arial" w:hAnsi="Arial" w:cs="Arial"/>
          <w:sz w:val="16"/>
          <w:szCs w:val="16"/>
        </w:rPr>
      </w:pPr>
    </w:p>
    <w:p w14:paraId="23C74B63" w14:textId="77777777" w:rsidR="007524BA" w:rsidRPr="00676599" w:rsidRDefault="007524BA" w:rsidP="007524BA">
      <w:pPr>
        <w:jc w:val="center"/>
        <w:rPr>
          <w:rFonts w:ascii="Tahoma" w:hAnsi="Tahoma" w:cs="Tahoma"/>
          <w:b/>
          <w:sz w:val="16"/>
          <w:szCs w:val="16"/>
        </w:rPr>
      </w:pPr>
    </w:p>
    <w:p w14:paraId="2FA3E00B" w14:textId="77777777" w:rsidR="007524BA" w:rsidRPr="00BD4D1E" w:rsidRDefault="007524BA" w:rsidP="007524BA">
      <w:pPr>
        <w:jc w:val="center"/>
        <w:rPr>
          <w:rFonts w:ascii="Tahoma" w:hAnsi="Tahoma" w:cs="Tahoma"/>
          <w:b/>
          <w:sz w:val="24"/>
          <w:szCs w:val="24"/>
        </w:rPr>
      </w:pPr>
    </w:p>
    <w:p w14:paraId="71396B2F" w14:textId="77777777" w:rsidR="00F829CA" w:rsidRDefault="00F829CA"/>
    <w:sectPr w:rsidR="00F829CA" w:rsidSect="00F8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9D6F391" w16cex:dateUtc="2024-08-09T13:49:00Z"/>
  <w16cex:commentExtensible w16cex:durableId="622F8341" w16cex:dateUtc="2024-08-09T13:51:00Z"/>
  <w16cex:commentExtensible w16cex:durableId="59F4FF67" w16cex:dateUtc="2024-08-09T13:52:00Z"/>
  <w16cex:commentExtensible w16cex:durableId="2CE64158" w16cex:dateUtc="2024-08-09T13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25F2"/>
    <w:multiLevelType w:val="hybridMultilevel"/>
    <w:tmpl w:val="007CEB8A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" w15:restartNumberingAfterBreak="0">
    <w:nsid w:val="22FB2C13"/>
    <w:multiLevelType w:val="hybridMultilevel"/>
    <w:tmpl w:val="289A0D00"/>
    <w:lvl w:ilvl="0" w:tplc="0394AD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BF397A"/>
    <w:multiLevelType w:val="hybridMultilevel"/>
    <w:tmpl w:val="6412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0446B"/>
    <w:multiLevelType w:val="hybridMultilevel"/>
    <w:tmpl w:val="F96079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54314BE"/>
    <w:multiLevelType w:val="hybridMultilevel"/>
    <w:tmpl w:val="058C2AB8"/>
    <w:lvl w:ilvl="0" w:tplc="040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5715C83"/>
    <w:multiLevelType w:val="hybridMultilevel"/>
    <w:tmpl w:val="1B46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1A68"/>
    <w:multiLevelType w:val="hybridMultilevel"/>
    <w:tmpl w:val="73B2177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3677735"/>
    <w:multiLevelType w:val="hybridMultilevel"/>
    <w:tmpl w:val="1A5A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BA"/>
    <w:rsid w:val="00016018"/>
    <w:rsid w:val="00024352"/>
    <w:rsid w:val="0002497B"/>
    <w:rsid w:val="0008365C"/>
    <w:rsid w:val="00085916"/>
    <w:rsid w:val="000900AF"/>
    <w:rsid w:val="00090FE8"/>
    <w:rsid w:val="00097A84"/>
    <w:rsid w:val="000A3E2E"/>
    <w:rsid w:val="000B7E34"/>
    <w:rsid w:val="000D04E5"/>
    <w:rsid w:val="000D5AD6"/>
    <w:rsid w:val="000E1706"/>
    <w:rsid w:val="00101087"/>
    <w:rsid w:val="00104DC7"/>
    <w:rsid w:val="0011403F"/>
    <w:rsid w:val="001308B4"/>
    <w:rsid w:val="00134FED"/>
    <w:rsid w:val="0014176B"/>
    <w:rsid w:val="001628F9"/>
    <w:rsid w:val="00165616"/>
    <w:rsid w:val="00166562"/>
    <w:rsid w:val="001736FD"/>
    <w:rsid w:val="00181A27"/>
    <w:rsid w:val="001961C1"/>
    <w:rsid w:val="001A0CE4"/>
    <w:rsid w:val="001A7C96"/>
    <w:rsid w:val="001B14D7"/>
    <w:rsid w:val="001C7D4D"/>
    <w:rsid w:val="001D3803"/>
    <w:rsid w:val="001D5C33"/>
    <w:rsid w:val="001E2CEC"/>
    <w:rsid w:val="001F2A6D"/>
    <w:rsid w:val="00207BC9"/>
    <w:rsid w:val="00213BE7"/>
    <w:rsid w:val="002158D2"/>
    <w:rsid w:val="002162AB"/>
    <w:rsid w:val="002236F1"/>
    <w:rsid w:val="00234EFD"/>
    <w:rsid w:val="0024484B"/>
    <w:rsid w:val="0024667E"/>
    <w:rsid w:val="00266920"/>
    <w:rsid w:val="0026767B"/>
    <w:rsid w:val="0027644B"/>
    <w:rsid w:val="002769EB"/>
    <w:rsid w:val="00280110"/>
    <w:rsid w:val="00286540"/>
    <w:rsid w:val="0029038C"/>
    <w:rsid w:val="00294127"/>
    <w:rsid w:val="002D19F8"/>
    <w:rsid w:val="002D33EB"/>
    <w:rsid w:val="002F5875"/>
    <w:rsid w:val="002F6EA4"/>
    <w:rsid w:val="00315033"/>
    <w:rsid w:val="00315961"/>
    <w:rsid w:val="00322A03"/>
    <w:rsid w:val="0033097D"/>
    <w:rsid w:val="0033164E"/>
    <w:rsid w:val="003324BB"/>
    <w:rsid w:val="00337DF2"/>
    <w:rsid w:val="00350963"/>
    <w:rsid w:val="0035584E"/>
    <w:rsid w:val="00362610"/>
    <w:rsid w:val="00370881"/>
    <w:rsid w:val="0037764F"/>
    <w:rsid w:val="003901C5"/>
    <w:rsid w:val="00393ECE"/>
    <w:rsid w:val="003B0762"/>
    <w:rsid w:val="003B5DD1"/>
    <w:rsid w:val="00402FDD"/>
    <w:rsid w:val="00406839"/>
    <w:rsid w:val="00414EBF"/>
    <w:rsid w:val="00440E19"/>
    <w:rsid w:val="00463619"/>
    <w:rsid w:val="00463DFA"/>
    <w:rsid w:val="004664BD"/>
    <w:rsid w:val="00475DE3"/>
    <w:rsid w:val="00482AA0"/>
    <w:rsid w:val="004A4C49"/>
    <w:rsid w:val="004A6DD1"/>
    <w:rsid w:val="004A76CF"/>
    <w:rsid w:val="004B6BC5"/>
    <w:rsid w:val="004C241D"/>
    <w:rsid w:val="004C37E9"/>
    <w:rsid w:val="004C48CE"/>
    <w:rsid w:val="004D1587"/>
    <w:rsid w:val="004D6955"/>
    <w:rsid w:val="004E335F"/>
    <w:rsid w:val="004F68BB"/>
    <w:rsid w:val="005008B2"/>
    <w:rsid w:val="005046C1"/>
    <w:rsid w:val="00507636"/>
    <w:rsid w:val="00526FBD"/>
    <w:rsid w:val="00532473"/>
    <w:rsid w:val="00536931"/>
    <w:rsid w:val="00546871"/>
    <w:rsid w:val="00550954"/>
    <w:rsid w:val="00551B1F"/>
    <w:rsid w:val="005635F0"/>
    <w:rsid w:val="005711FF"/>
    <w:rsid w:val="00577E00"/>
    <w:rsid w:val="0058190D"/>
    <w:rsid w:val="00592F8C"/>
    <w:rsid w:val="005A4E13"/>
    <w:rsid w:val="005B0C73"/>
    <w:rsid w:val="005C1909"/>
    <w:rsid w:val="005C5F93"/>
    <w:rsid w:val="005D4D02"/>
    <w:rsid w:val="005E2A60"/>
    <w:rsid w:val="005F3068"/>
    <w:rsid w:val="00610A40"/>
    <w:rsid w:val="006256E7"/>
    <w:rsid w:val="0062736C"/>
    <w:rsid w:val="006338C0"/>
    <w:rsid w:val="00634866"/>
    <w:rsid w:val="00635EF3"/>
    <w:rsid w:val="006519C8"/>
    <w:rsid w:val="00666135"/>
    <w:rsid w:val="00675CAE"/>
    <w:rsid w:val="00676599"/>
    <w:rsid w:val="006810B4"/>
    <w:rsid w:val="00695761"/>
    <w:rsid w:val="006F1148"/>
    <w:rsid w:val="006F3951"/>
    <w:rsid w:val="007027CE"/>
    <w:rsid w:val="00703116"/>
    <w:rsid w:val="00716D22"/>
    <w:rsid w:val="0072735E"/>
    <w:rsid w:val="00727B29"/>
    <w:rsid w:val="007524BA"/>
    <w:rsid w:val="0075572B"/>
    <w:rsid w:val="00763F9F"/>
    <w:rsid w:val="00772C45"/>
    <w:rsid w:val="0077670C"/>
    <w:rsid w:val="007A6F79"/>
    <w:rsid w:val="007D7BCD"/>
    <w:rsid w:val="007F0FAF"/>
    <w:rsid w:val="007F2AF5"/>
    <w:rsid w:val="007F5888"/>
    <w:rsid w:val="007F69C3"/>
    <w:rsid w:val="00800125"/>
    <w:rsid w:val="0080119A"/>
    <w:rsid w:val="00806026"/>
    <w:rsid w:val="00841DA6"/>
    <w:rsid w:val="00844047"/>
    <w:rsid w:val="00857458"/>
    <w:rsid w:val="00861F50"/>
    <w:rsid w:val="008672F6"/>
    <w:rsid w:val="0086796D"/>
    <w:rsid w:val="00871748"/>
    <w:rsid w:val="008811D5"/>
    <w:rsid w:val="0088147E"/>
    <w:rsid w:val="00896B73"/>
    <w:rsid w:val="008B5BCE"/>
    <w:rsid w:val="008C6429"/>
    <w:rsid w:val="008D4D04"/>
    <w:rsid w:val="008D5D86"/>
    <w:rsid w:val="008E3624"/>
    <w:rsid w:val="008F6B25"/>
    <w:rsid w:val="009266A8"/>
    <w:rsid w:val="009308D0"/>
    <w:rsid w:val="00937E3B"/>
    <w:rsid w:val="009540BA"/>
    <w:rsid w:val="00963B74"/>
    <w:rsid w:val="00971347"/>
    <w:rsid w:val="00981EC6"/>
    <w:rsid w:val="009822C4"/>
    <w:rsid w:val="009864E8"/>
    <w:rsid w:val="0099728D"/>
    <w:rsid w:val="009C2F96"/>
    <w:rsid w:val="009C4337"/>
    <w:rsid w:val="009D0616"/>
    <w:rsid w:val="009D4FED"/>
    <w:rsid w:val="009D5340"/>
    <w:rsid w:val="009F21AD"/>
    <w:rsid w:val="009F2B41"/>
    <w:rsid w:val="009F3A6E"/>
    <w:rsid w:val="00A21761"/>
    <w:rsid w:val="00A25A42"/>
    <w:rsid w:val="00A4700F"/>
    <w:rsid w:val="00A551A1"/>
    <w:rsid w:val="00A7058F"/>
    <w:rsid w:val="00A71609"/>
    <w:rsid w:val="00A77844"/>
    <w:rsid w:val="00A80D43"/>
    <w:rsid w:val="00A92F11"/>
    <w:rsid w:val="00A96407"/>
    <w:rsid w:val="00A965C2"/>
    <w:rsid w:val="00AB396D"/>
    <w:rsid w:val="00AB62FD"/>
    <w:rsid w:val="00AD74D3"/>
    <w:rsid w:val="00AE3808"/>
    <w:rsid w:val="00AE4846"/>
    <w:rsid w:val="00B005C9"/>
    <w:rsid w:val="00B04C1B"/>
    <w:rsid w:val="00B2598D"/>
    <w:rsid w:val="00B5239D"/>
    <w:rsid w:val="00B52A7B"/>
    <w:rsid w:val="00B60340"/>
    <w:rsid w:val="00B60750"/>
    <w:rsid w:val="00B64CD8"/>
    <w:rsid w:val="00B65A65"/>
    <w:rsid w:val="00B74ADA"/>
    <w:rsid w:val="00B85C65"/>
    <w:rsid w:val="00B9075E"/>
    <w:rsid w:val="00B93A11"/>
    <w:rsid w:val="00B95EAD"/>
    <w:rsid w:val="00B96C46"/>
    <w:rsid w:val="00BB29B8"/>
    <w:rsid w:val="00BB5428"/>
    <w:rsid w:val="00BD4D1E"/>
    <w:rsid w:val="00BD5942"/>
    <w:rsid w:val="00BF08C4"/>
    <w:rsid w:val="00BF4D3B"/>
    <w:rsid w:val="00BF51B9"/>
    <w:rsid w:val="00C20EA6"/>
    <w:rsid w:val="00C22D48"/>
    <w:rsid w:val="00C2643A"/>
    <w:rsid w:val="00C31944"/>
    <w:rsid w:val="00C40805"/>
    <w:rsid w:val="00C4511C"/>
    <w:rsid w:val="00C5656C"/>
    <w:rsid w:val="00C74050"/>
    <w:rsid w:val="00C84977"/>
    <w:rsid w:val="00C862C0"/>
    <w:rsid w:val="00C86AA0"/>
    <w:rsid w:val="00CA3213"/>
    <w:rsid w:val="00CB47CC"/>
    <w:rsid w:val="00CD041E"/>
    <w:rsid w:val="00CD1324"/>
    <w:rsid w:val="00CD2000"/>
    <w:rsid w:val="00CD4C89"/>
    <w:rsid w:val="00CD5430"/>
    <w:rsid w:val="00CE2D9E"/>
    <w:rsid w:val="00CF1BA8"/>
    <w:rsid w:val="00CF5A7A"/>
    <w:rsid w:val="00D02522"/>
    <w:rsid w:val="00D166E4"/>
    <w:rsid w:val="00D179DB"/>
    <w:rsid w:val="00D22D13"/>
    <w:rsid w:val="00D31D83"/>
    <w:rsid w:val="00D44A0D"/>
    <w:rsid w:val="00D50DC3"/>
    <w:rsid w:val="00D706F4"/>
    <w:rsid w:val="00D81A7D"/>
    <w:rsid w:val="00D87E64"/>
    <w:rsid w:val="00D91391"/>
    <w:rsid w:val="00DA13A1"/>
    <w:rsid w:val="00DB6774"/>
    <w:rsid w:val="00DB6F10"/>
    <w:rsid w:val="00DB71C8"/>
    <w:rsid w:val="00DC6356"/>
    <w:rsid w:val="00DC71D0"/>
    <w:rsid w:val="00DE0BFE"/>
    <w:rsid w:val="00DE1CF4"/>
    <w:rsid w:val="00DF60C5"/>
    <w:rsid w:val="00E03AB8"/>
    <w:rsid w:val="00E06CED"/>
    <w:rsid w:val="00E078B3"/>
    <w:rsid w:val="00E17864"/>
    <w:rsid w:val="00E42095"/>
    <w:rsid w:val="00E71837"/>
    <w:rsid w:val="00E73F2A"/>
    <w:rsid w:val="00E91D09"/>
    <w:rsid w:val="00EA62F2"/>
    <w:rsid w:val="00EB7ED2"/>
    <w:rsid w:val="00EE01C5"/>
    <w:rsid w:val="00EF2EDF"/>
    <w:rsid w:val="00EF598C"/>
    <w:rsid w:val="00EF60E5"/>
    <w:rsid w:val="00F01896"/>
    <w:rsid w:val="00F20E25"/>
    <w:rsid w:val="00F21C28"/>
    <w:rsid w:val="00F52F0B"/>
    <w:rsid w:val="00F55017"/>
    <w:rsid w:val="00F71041"/>
    <w:rsid w:val="00F71627"/>
    <w:rsid w:val="00F8136A"/>
    <w:rsid w:val="00F81723"/>
    <w:rsid w:val="00F829CA"/>
    <w:rsid w:val="00F83304"/>
    <w:rsid w:val="00F934DE"/>
    <w:rsid w:val="00FA1795"/>
    <w:rsid w:val="00FA3B92"/>
    <w:rsid w:val="00FB521B"/>
    <w:rsid w:val="00FD4230"/>
    <w:rsid w:val="00FD5867"/>
    <w:rsid w:val="00FD767A"/>
    <w:rsid w:val="00FE1053"/>
    <w:rsid w:val="00FF25B4"/>
    <w:rsid w:val="00FF45B7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72452"/>
  <w15:docId w15:val="{E46C4856-A00B-4288-B6CF-F24B761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2zakon"/>
    <w:basedOn w:val="Normal"/>
    <w:rsid w:val="007524B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styleId="ListParagraph">
    <w:name w:val="List Paragraph"/>
    <w:basedOn w:val="Normal"/>
    <w:uiPriority w:val="34"/>
    <w:qFormat/>
    <w:rsid w:val="007524BA"/>
    <w:pPr>
      <w:spacing w:after="0" w:line="240" w:lineRule="auto"/>
      <w:ind w:left="720"/>
      <w:contextualSpacing/>
      <w:jc w:val="both"/>
    </w:pPr>
    <w:rPr>
      <w:rFonts w:ascii="Cambria" w:eastAsia="Calibri" w:hAnsi="Cambria" w:cs="Times New Roman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paragraph" w:customStyle="1" w:styleId="T30X">
    <w:name w:val="T30X"/>
    <w:basedOn w:val="Normal"/>
    <w:uiPriority w:val="99"/>
    <w:rsid w:val="00EE01C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42B8-49B4-44B6-894C-B58DD747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Gordana.balan</dc:creator>
  <cp:lastModifiedBy>Aida Hodzic</cp:lastModifiedBy>
  <cp:revision>20</cp:revision>
  <cp:lastPrinted>2026-04-21T10:40:00Z</cp:lastPrinted>
  <dcterms:created xsi:type="dcterms:W3CDTF">2024-08-12T05:48:00Z</dcterms:created>
  <dcterms:modified xsi:type="dcterms:W3CDTF">2026-04-21T10:40:00Z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c666e0ce8a1c31a769f40d23f6dc8d1aaa4acedf8c024d25b99044206df1312f</vt:lpwstr>
  </property>
</Properties>
</file>