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osnovu člana 166 stav 6 Zakona o ljekovima ("Službeni list CG", broj 80/20), Ministarstvo poljoprivrede, šumarstva i vodoprivrede donijelo je</w:t>
      </w:r>
    </w:p>
    <w:p w:rsidR="004D3707" w:rsidRDefault="00151C2A">
      <w:pPr>
        <w:pStyle w:val="2zakon"/>
        <w:rPr>
          <w:rFonts w:ascii="Tahoma" w:hAnsi="Tahoma" w:cs="Tahoma"/>
        </w:rPr>
      </w:pPr>
      <w:r>
        <w:rPr>
          <w:rFonts w:ascii="Tahoma" w:hAnsi="Tahoma" w:cs="Tahoma"/>
        </w:rPr>
        <w:t>Pravilnik o sadržaju i načinu obilježavanja pakovanja veterinarskog lijeka i sadržaju uputstva za veterinarski lijek*</w:t>
      </w:r>
    </w:p>
    <w:p w:rsidR="004D3707" w:rsidRDefault="00151C2A">
      <w:pPr>
        <w:pStyle w:val="3mesto"/>
        <w:rPr>
          <w:rFonts w:ascii="Tahoma" w:hAnsi="Tahoma" w:cs="Tahoma"/>
        </w:rPr>
      </w:pPr>
      <w:r>
        <w:rPr>
          <w:rFonts w:ascii="Tahoma" w:hAnsi="Tahoma" w:cs="Tahoma"/>
        </w:rPr>
        <w:t>Pravilnik je objavljen u "Službenom listu CG", br. 82/2023 od 30.8.2023. godine,</w:t>
      </w:r>
      <w:r>
        <w:rPr>
          <w:rFonts w:ascii="Tahoma" w:hAnsi="Tahoma" w:cs="Tahoma"/>
          <w:lang w:val="hr-HR"/>
        </w:rPr>
        <w:t xml:space="preserve"> </w:t>
      </w:r>
      <w:r>
        <w:rPr>
          <w:rFonts w:ascii="Tahoma" w:hAnsi="Tahoma" w:cs="Tahoma"/>
        </w:rPr>
        <w:t>stupio je na snagu 7.9.2023, a primjenjuje se od 1.12.2023.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__________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* U ovaj pravilnik prenijete su odredbe članova 10, 11, 12, 13, 14, 15, 16 i 17 Regulative (EZ) br. 2019/​6 Evropskog parlamenta i Savjeta od 11. decembra 2018. o veterinarskim i stavljanju van snage Direktive 2001/​82/​EZ, /Regulation (EU) 2019/​6 of the European Parliament and of the Council of 11 December 2018 on veterinary medicinal products and repealing Directive 2001/​82/​EC (Text with EE A relevance)</w:t>
      </w:r>
    </w:p>
    <w:p w:rsidR="004D3707" w:rsidRDefault="00151C2A">
      <w:pPr>
        <w:jc w:val="center"/>
        <w:divId w:val="170787642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Ovim pravilnikom propisuje se sadržaj i način obilježavanja spoljnjeg i unutrašnjeg pakovanja veterinarskog lijeka i sadržaj uputstva za veterinarski lijek.</w:t>
      </w:r>
    </w:p>
    <w:p w:rsidR="004D3707" w:rsidRDefault="00151C2A">
      <w:pPr>
        <w:jc w:val="center"/>
        <w:divId w:val="190232244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2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spoljnjem pakovanju veterinarskog lijeka navode se sljedeći podaci: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podaci iz člana 3 stav 1 ovog pravilnika;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sadržaj po masi, zapremini ili broju jedinica unutrašnjeg pakovanja veterinarskog lijeka;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upozorenje da se veterinarski lijek mora čuvati van vidokruga i domašaja djece;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upozorenje da je veterinarski lijek namijenjen samo za primjenu na životinjama;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preporuka da se pročita uputstvo za veterinarski lijek;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u slučaju homeopatskih veterinarskih ljekova, tekst "homeopatski veterinarski lijek";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u slučaju veterinarskog lijeka koji se ne izdaje na veterinarski recept, indikacije za upotrebu;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broj dozvole za stavljanje veterinarskog lijeka u promet (u daljem tekstu: dozvola za lijek).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iz stava 1 ovog člana ispisuju se čitkim i jasno razumljivim slovima odnosno skraćenicama ili piktogramima koji se koriste u Evropskoj uniji.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spoljnjem pakovanju umjesto broja dozvole za lijek za veterinarski lijek može se navesti identifikacioni kod za veterinarski lijek.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Ako veterinarski lijek nema spoljno pakovanje podaci iz st. 1 i 3 ovog člana navode se na unutrašnjem pakovanju.</w:t>
      </w:r>
    </w:p>
    <w:p w:rsidR="004D3707" w:rsidRDefault="00151C2A">
      <w:pPr>
        <w:jc w:val="center"/>
        <w:divId w:val="1233614571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3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unutrašnjem pakovanju veterinarskog lijeka navode se samo sljedeći podaci: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naziv veterinarskog lijeka, jačina i farmaceutski oblik;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naziv aktivnih supstanci izraženih kvalitativno i kvantitativno po jedinici pojedinačnog doziranja ili prema jedinici zapremine ili mase, ako je to u skladu sa farmaceutskim oblikom, koristeći njihove uobičajene nazive;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broj serije;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naziv ili logo nosioca dozvole za lijek;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ciljna vrsta životinja;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datum isteka roka upotrebe lijeka (mjesec i godina);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posebni uslovi čuvanja, ako postoje;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putevi primjene;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9) ako je primje</w:t>
      </w:r>
      <w:r>
        <w:rPr>
          <w:rFonts w:ascii="Tahoma" w:hAnsi="Tahoma" w:cs="Tahoma"/>
          <w:lang w:val="hr-HR"/>
        </w:rPr>
        <w:t>nlj</w:t>
      </w:r>
      <w:r>
        <w:rPr>
          <w:rFonts w:ascii="Tahoma" w:hAnsi="Tahoma" w:cs="Tahoma"/>
        </w:rPr>
        <w:t>ivo i period karence, čak i ako je taj period nula.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iz stava 1 ovog člana ispisuju se čitkim i jasno razumljivim slovima odnosno skraćenicama ili piktogramima koji se koriste u Evropskoj uniji.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iz stava 1 ovog člana mogu se dopuniti i identifikacionim kodom za veterinarski lijek.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Ako su unutrašnja pakovanja mala da bi se na njima mogli čitljivo ispisali podaci iz stava 1 ovog člana, treba da sadrže samo: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naziv veterinarskog lijeka;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kvantitativne podatke za aktivnu/​e supstancu/​e;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broj serije;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datum isteka roka lijeka (mjesec i godina).</w:t>
      </w:r>
    </w:p>
    <w:p w:rsidR="004D3707" w:rsidRDefault="00151C2A">
      <w:pPr>
        <w:jc w:val="center"/>
        <w:divId w:val="1911116577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4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Institut za ljekove i medicinska sredstva može da odobri da se na unutrašnje ili spoljašnje pakovanje lijeka uključe i dodatne korisne informacije koje su u skladu sa sažetkom karakteristika lijeka, a koje se ne smatraju oglašavanjem veterinarskog lijeka.</w:t>
      </w:r>
    </w:p>
    <w:p w:rsidR="004D3707" w:rsidRDefault="00151C2A">
      <w:pPr>
        <w:jc w:val="center"/>
        <w:divId w:val="53434345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5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Uputstvo za veterinarski lijek u pakovanju obavezno je ako podaci o tom lijeku nijesu navedeni na unutrašnjem ili spoljašnjem pakovanju.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Uputstvo za veterinarski lijek odnosi se isključivo na veterinarski lijek uz koji je priloženo.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uputstvu za veterinarski lijek navode se sljedeći podaci: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naziv i adresa nosioca dozvole za lijek i proizvođača, odnosno, gdje je to primje</w:t>
      </w:r>
      <w:r>
        <w:rPr>
          <w:rFonts w:ascii="Tahoma" w:hAnsi="Tahoma" w:cs="Tahoma"/>
          <w:lang w:val="hr-HR"/>
        </w:rPr>
        <w:t>nlj</w:t>
      </w:r>
      <w:r>
        <w:rPr>
          <w:rFonts w:ascii="Tahoma" w:hAnsi="Tahoma" w:cs="Tahoma"/>
        </w:rPr>
        <w:t>ivo, predstavnika nosioca dozvole za lijek;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naziv veterinarskog lijeka, jačina i farmaceutski oblik;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kvalitativni i kvantitativni sastav aktivne/​ih supstance/​i;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ciljne vrste životinja, doziranje za svaku vrstu životinja, način i putevi primjene i, ako je potrebno, savjet za pravilnu primjenu lijeka;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indikacije za upotrebu;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kontraindikacije i neželjena dejstva;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period karence, ako je primje</w:t>
      </w:r>
      <w:r>
        <w:rPr>
          <w:rFonts w:ascii="Tahoma" w:hAnsi="Tahoma" w:cs="Tahoma"/>
          <w:lang w:val="hr-HR"/>
        </w:rPr>
        <w:t>nlj</w:t>
      </w:r>
      <w:r>
        <w:rPr>
          <w:rFonts w:ascii="Tahoma" w:hAnsi="Tahoma" w:cs="Tahoma"/>
        </w:rPr>
        <w:t>iv, čak i ako je taj period nula;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posebna upozorenja za čuvanje lijeka, ako postoje;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9) važne informacije za bezbjednost ili zaštitu zdravlja, uključujući posebne mjere opreza u vezi sa upotrebom i druga upozorenja;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10) informacije o sistemu za sakupljanje i odlaganje otpada od tog veterinarskog lijeka;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11) broj dozvole za lijek;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12) kontakt podatke nosioca dozvole za lijek, ili njegovog predstavnika, radi prijave sumnje na neželjeno dejstvo lijeka;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13) klasifikaciju veterinarskog lijeka u odnosu na režim izdavanja.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Uputstvo za veterinarski lijek može da sadrži dodatne informacije u vezi sa distribucijom, posjedovanjem ili potrebnim mjerama opreza u skladu sa dozvolom za lijek, pod uslovom da te informacije nisu promotivne prirode, a dodatne informacije navode se u uputstvu za lijek na način da su jasno odvojene od podataka iz stava 1 ovog člana.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Uputstvo za veterinarski lijek mora biti čitko napisano i dizajnirano, jasno i razumljivo, uz upotrebu izraza koji su razumljivi široj javnosti.</w:t>
      </w:r>
    </w:p>
    <w:p w:rsidR="004D3707" w:rsidRDefault="00151C2A">
      <w:pPr>
        <w:jc w:val="center"/>
        <w:divId w:val="201117564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6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koji se navode na spoljnje i unutrašnje pakovanje lijeka, malim jedinicama unutrašnjeg pakovanja i na uputstvu za veterinarski lijek treba da budu u skladu sa odobrenim sažetkom karakteristika lijeka.</w:t>
      </w:r>
    </w:p>
    <w:p w:rsidR="004D3707" w:rsidRDefault="00151C2A">
      <w:pPr>
        <w:jc w:val="center"/>
        <w:divId w:val="69947143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7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uputstvu za homeopatski veterinarski lijek koji je upisan u Registar homeopatskih ljekova navode se barem sljedeći podaci: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naučni naziv matične homeopatske sirovine ili sirovina, stepen razrjeđenja sa oznakama Evropske farmakopeje ili važeće farmakopeje neke od zemalja Evropske unije;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naziv i adresa nosioca upisa u registar za homeopatski veterinarski lijek i po potrebi proizvođača;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3) način primjene i, ako je potrebno, put primjene;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4) farmaceutski oblik;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5) posebna upozorenja za čuvanje lijeka, ako postoje;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6) ciljne vrste životinja, i po potrebi dozu za svaku vrstu;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7) posebna upozorenja, po potrebi;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8) broj dozvole za lijek, odnosno upisa u Registar homeopatskih veterinarskih ljekova;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9) period karence, ako je primje</w:t>
      </w:r>
      <w:r>
        <w:rPr>
          <w:rFonts w:ascii="Tahoma" w:hAnsi="Tahoma" w:cs="Tahoma"/>
          <w:lang w:val="hr-HR"/>
        </w:rPr>
        <w:t>n</w:t>
      </w:r>
      <w:r>
        <w:rPr>
          <w:rFonts w:ascii="Tahoma" w:hAnsi="Tahoma" w:cs="Tahoma"/>
        </w:rPr>
        <w:t>ljivo;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10) tekst "homeopatski veterinarski lijek".</w:t>
      </w:r>
    </w:p>
    <w:p w:rsidR="004D3707" w:rsidRDefault="00151C2A">
      <w:pPr>
        <w:jc w:val="center"/>
        <w:divId w:val="31307211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8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Za ljekove kod kojih su podaci koji se nalaze na originalnom spoljnjem pakovanju lijeka odštampani na stranom jeziku, Institut za ljekove i medicinska sredstva može da odobri upotrebu dodatne naljepnice za spoljašnje pakovanje na crnogorskom jeziku na zah</w:t>
      </w:r>
      <w:r>
        <w:rPr>
          <w:rFonts w:ascii="Tahoma" w:hAnsi="Tahoma" w:cs="Tahoma"/>
          <w:lang w:val="hr-HR"/>
        </w:rPr>
        <w:t>t</w:t>
      </w:r>
      <w:r>
        <w:rPr>
          <w:rFonts w:ascii="Tahoma" w:hAnsi="Tahoma" w:cs="Tahoma"/>
        </w:rPr>
        <w:t>jev podnosioca zahtjeva za dobijanje dozvole za lijek, odnosno nosioca dozvole za lijek.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Uz zahtjev iz stava 1 ovog člana dostavlja se podatak o godišnjoj potrošnji lijeka na području Crne Gore ili procjena godišnje potrošnje lijeka na području Crne Gore, ako se lijek nalazi u prometu u Crnoj Gori manje od jedne godine ili još nije stavljen u promet u Crnoj Gori.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Dodatna naljepnica iz stava 1 ovog člana sadrži podatke iz člana 2 ovog pravilnika, osim podataka koji su razumljivi na originalnom pakovanju (rok upotrebe, broj serije).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Sve informacije o lijeku na dodatnoj naljepnici moraju da budu čitljive, razumljive i neizbrisive.</w:t>
      </w:r>
    </w:p>
    <w:p w:rsidR="004D3707" w:rsidRDefault="00151C2A">
      <w:pPr>
        <w:jc w:val="center"/>
        <w:divId w:val="6685960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9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Institut za ljekove i medicinska sredstva odobrava upotrebu dodatne naljepnice sa sljedećim podacima na crnogorskom jeziku, za ljekove čije je pakovanje obilježeno na jeziku koji je u službenoj upotrebi u Crnoj Gori: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1) naziv nosioca dozvole za lijek u Crnoj Gori;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2) broj dozvole za lijek od strane Instituta za ljekove i medicinska sredstva.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dodatnoj naljepnici iz stava 1 ovog člana, mogu se navesti naziv lijeka i farmaceutski oblik, jačina i veličina pakovanja, ako je tehnički moguće.</w:t>
      </w:r>
    </w:p>
    <w:p w:rsidR="004D3707" w:rsidRDefault="00151C2A">
      <w:pPr>
        <w:jc w:val="center"/>
        <w:divId w:val="738984315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10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Ob</w:t>
      </w:r>
      <w:r>
        <w:rPr>
          <w:rFonts w:ascii="Tahoma" w:hAnsi="Tahoma" w:cs="Tahoma"/>
          <w:lang w:val="hr-HR"/>
        </w:rPr>
        <w:t>e</w:t>
      </w:r>
      <w:r>
        <w:rPr>
          <w:rFonts w:ascii="Tahoma" w:hAnsi="Tahoma" w:cs="Tahoma"/>
        </w:rPr>
        <w:t>zbjeđivanje dodatne naljepnice iz čl. 8 i 9 ovog pravilnika vrši proizvođač lijeka ili nosilac dozvole za promet na veliko lijeka.</w:t>
      </w:r>
    </w:p>
    <w:p w:rsidR="004D3707" w:rsidRDefault="00151C2A">
      <w:pPr>
        <w:jc w:val="center"/>
        <w:divId w:val="122132902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11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Na pakovanju lijeka koji nema dozvolu za stavljanje u promet, a za koji je Institut za ljekove i medicinska sredstva izdao saglasnost za nabavku, odnosno uvoz, treba da budu navedeni podaci o uvozniku za Crnu Goru i broju rješenja kojim je izdata saglasnost za uvoz lijeka.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Podaci iz stava 1 ovog člana mogu da budu odštampani na pakovanju ili na dodatnoj naljepnici.</w:t>
      </w:r>
    </w:p>
    <w:p w:rsidR="004D3707" w:rsidRDefault="00151C2A">
      <w:pPr>
        <w:jc w:val="center"/>
        <w:divId w:val="1491675116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12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Danom početka primjene ovog pravilnika prestaje da važi Pravilnik o sadržaju i načinu obilježavanja pakovanja veterinarskog lijeka ("Službeni list CG", broj 44/16).</w:t>
      </w:r>
    </w:p>
    <w:p w:rsidR="004D3707" w:rsidRDefault="00151C2A">
      <w:pPr>
        <w:jc w:val="center"/>
        <w:divId w:val="574824129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Član 13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Ovaj pravilnik stupa na snagu osmog dana od dana objavljivanja u "Službenom listu Crne Gore", a primjenjivaće se od 1. decembra 2023. godine.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Broj: 05-312/22-16187/3</w:t>
      </w:r>
    </w:p>
    <w:p w:rsidR="004D3707" w:rsidRDefault="00151C2A">
      <w:pPr>
        <w:pStyle w:val="1tekst"/>
        <w:rPr>
          <w:rFonts w:ascii="Tahoma" w:hAnsi="Tahoma" w:cs="Tahoma"/>
        </w:rPr>
      </w:pPr>
      <w:r>
        <w:rPr>
          <w:rFonts w:ascii="Tahoma" w:hAnsi="Tahoma" w:cs="Tahoma"/>
        </w:rPr>
        <w:t>Podgorica, 17. avgusta 2023. godine</w:t>
      </w:r>
    </w:p>
    <w:p w:rsidR="004D3707" w:rsidRDefault="00151C2A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Ministar,</w:t>
      </w:r>
    </w:p>
    <w:p w:rsidR="00151C2A" w:rsidRDefault="00151C2A">
      <w:pPr>
        <w:pStyle w:val="1tekst"/>
        <w:jc w:val="righ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Vladimir Joković</w:t>
      </w:r>
      <w:r>
        <w:rPr>
          <w:rFonts w:ascii="Tahoma" w:hAnsi="Tahoma" w:cs="Tahoma"/>
        </w:rPr>
        <w:t>, s.r.</w:t>
      </w:r>
    </w:p>
    <w:sectPr w:rsidR="00151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3F"/>
    <w:rsid w:val="00151C2A"/>
    <w:rsid w:val="004D3707"/>
    <w:rsid w:val="00540F3F"/>
    <w:rsid w:val="006C467A"/>
    <w:rsid w:val="00B33CC2"/>
    <w:rsid w:val="00BE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635011-2A68-4ADA-A997-15112C3B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0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1tekst">
    <w:name w:val="_1tekst"/>
    <w:basedOn w:val="Normal"/>
    <w:pPr>
      <w:ind w:left="150" w:right="150" w:firstLine="240"/>
      <w:jc w:val="both"/>
    </w:pPr>
    <w:rPr>
      <w:sz w:val="23"/>
      <w:szCs w:val="23"/>
    </w:rPr>
  </w:style>
  <w:style w:type="paragraph" w:customStyle="1" w:styleId="osnovnitekst">
    <w:name w:val="osnovnitekst"/>
    <w:basedOn w:val="Normal"/>
    <w:pPr>
      <w:spacing w:before="100" w:beforeAutospacing="1" w:after="100" w:afterAutospacing="1"/>
      <w:ind w:left="240" w:right="240"/>
    </w:pPr>
    <w:rPr>
      <w:b/>
      <w:bCs/>
      <w:color w:val="FF0000"/>
      <w:sz w:val="36"/>
      <w:szCs w:val="36"/>
    </w:rPr>
  </w:style>
  <w:style w:type="paragraph" w:customStyle="1" w:styleId="rasir">
    <w:name w:val="rasir"/>
    <w:basedOn w:val="Normal"/>
    <w:pPr>
      <w:spacing w:before="100" w:beforeAutospacing="1" w:after="100" w:afterAutospacing="1"/>
      <w:jc w:val="center"/>
    </w:pPr>
    <w:rPr>
      <w:sz w:val="27"/>
      <w:szCs w:val="27"/>
    </w:rPr>
  </w:style>
  <w:style w:type="paragraph" w:customStyle="1" w:styleId="obrazac">
    <w:name w:val="obrazac"/>
    <w:basedOn w:val="Normal"/>
    <w:pPr>
      <w:spacing w:before="100" w:beforeAutospacing="1" w:after="100" w:afterAutospacing="1"/>
      <w:jc w:val="right"/>
    </w:pPr>
    <w:rPr>
      <w:b/>
      <w:bCs/>
    </w:rPr>
  </w:style>
  <w:style w:type="paragraph" w:customStyle="1" w:styleId="izmene">
    <w:name w:val="izmene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0080"/>
      <w:sz w:val="36"/>
      <w:szCs w:val="36"/>
    </w:rPr>
  </w:style>
  <w:style w:type="paragraph" w:customStyle="1" w:styleId="napomena">
    <w:name w:val="napomena"/>
    <w:basedOn w:val="Normal"/>
    <w:pPr>
      <w:shd w:val="clear" w:color="auto" w:fill="FFCCCC"/>
      <w:spacing w:before="100" w:beforeAutospacing="1" w:after="100" w:afterAutospacing="1"/>
      <w:ind w:firstLine="240"/>
    </w:pPr>
    <w:rPr>
      <w:b/>
      <w:bCs/>
      <w:color w:val="008080"/>
      <w:sz w:val="36"/>
      <w:szCs w:val="36"/>
    </w:rPr>
  </w:style>
  <w:style w:type="paragraph" w:customStyle="1" w:styleId="2zakon">
    <w:name w:val="_2zakon"/>
    <w:basedOn w:val="Normal"/>
    <w:pPr>
      <w:spacing w:before="100" w:beforeAutospacing="1" w:after="100" w:afterAutospacing="1"/>
      <w:jc w:val="center"/>
    </w:pPr>
    <w:rPr>
      <w:color w:val="0033CC"/>
      <w:sz w:val="42"/>
      <w:szCs w:val="42"/>
    </w:rPr>
  </w:style>
  <w:style w:type="paragraph" w:customStyle="1" w:styleId="6naslov">
    <w:name w:val="_6naslov"/>
    <w:basedOn w:val="Normal"/>
    <w:pPr>
      <w:spacing w:before="60" w:after="30"/>
      <w:jc w:val="center"/>
    </w:pPr>
    <w:rPr>
      <w:sz w:val="32"/>
      <w:szCs w:val="32"/>
    </w:rPr>
  </w:style>
  <w:style w:type="paragraph" w:customStyle="1" w:styleId="5nadnaslov">
    <w:name w:val="_5nadnaslov"/>
    <w:basedOn w:val="Normal"/>
    <w:pPr>
      <w:spacing w:before="240"/>
      <w:jc w:val="center"/>
    </w:pPr>
    <w:rPr>
      <w:b/>
      <w:bCs/>
      <w:sz w:val="33"/>
      <w:szCs w:val="33"/>
    </w:rPr>
  </w:style>
  <w:style w:type="paragraph" w:customStyle="1" w:styleId="7podnas">
    <w:name w:val="_7podnas"/>
    <w:basedOn w:val="Normal"/>
    <w:pPr>
      <w:spacing w:before="60"/>
      <w:jc w:val="center"/>
    </w:pPr>
    <w:rPr>
      <w:b/>
      <w:bCs/>
      <w:sz w:val="27"/>
      <w:szCs w:val="27"/>
    </w:rPr>
  </w:style>
  <w:style w:type="paragraph" w:customStyle="1" w:styleId="8podpodnas">
    <w:name w:val="_8podpodnas"/>
    <w:basedOn w:val="Normal"/>
    <w:pPr>
      <w:spacing w:before="240" w:after="240"/>
      <w:jc w:val="center"/>
    </w:pPr>
    <w:rPr>
      <w:i/>
      <w:iCs/>
      <w:sz w:val="27"/>
      <w:szCs w:val="27"/>
    </w:rPr>
  </w:style>
  <w:style w:type="paragraph" w:customStyle="1" w:styleId="odeljak">
    <w:name w:val="odeljak"/>
    <w:basedOn w:val="Normal"/>
    <w:pPr>
      <w:spacing w:before="240" w:after="240"/>
      <w:jc w:val="center"/>
    </w:pPr>
  </w:style>
  <w:style w:type="paragraph" w:customStyle="1" w:styleId="3mesto">
    <w:name w:val="_3mesto"/>
    <w:basedOn w:val="Normal"/>
    <w:pPr>
      <w:spacing w:before="100" w:beforeAutospacing="1" w:after="100" w:afterAutospacing="1"/>
      <w:ind w:left="375" w:right="375"/>
      <w:jc w:val="center"/>
    </w:pPr>
  </w:style>
  <w:style w:type="paragraph" w:customStyle="1" w:styleId="4clan">
    <w:name w:val="_4clan"/>
    <w:basedOn w:val="Normal"/>
    <w:pPr>
      <w:spacing w:before="240" w:after="240"/>
      <w:jc w:val="center"/>
    </w:pPr>
    <w:rPr>
      <w:b/>
      <w:bCs/>
    </w:rPr>
  </w:style>
  <w:style w:type="paragraph" w:customStyle="1" w:styleId="medjclan">
    <w:name w:val="medjclan"/>
    <w:basedOn w:val="Normal"/>
    <w:pPr>
      <w:spacing w:before="240" w:after="240"/>
      <w:jc w:val="center"/>
    </w:pPr>
    <w:rPr>
      <w:b/>
      <w:bCs/>
      <w:sz w:val="29"/>
      <w:szCs w:val="29"/>
    </w:rPr>
  </w:style>
  <w:style w:type="paragraph" w:customStyle="1" w:styleId="medjtekst">
    <w:name w:val="medjtekst"/>
    <w:basedOn w:val="Normal"/>
    <w:pPr>
      <w:ind w:left="525" w:right="525" w:firstLine="240"/>
      <w:jc w:val="both"/>
    </w:pPr>
    <w:rPr>
      <w:sz w:val="27"/>
      <w:szCs w:val="27"/>
    </w:rPr>
  </w:style>
  <w:style w:type="paragraph" w:customStyle="1" w:styleId="glava">
    <w:name w:val="glava"/>
    <w:basedOn w:val="Normal"/>
    <w:pPr>
      <w:spacing w:before="240" w:after="240"/>
      <w:jc w:val="center"/>
    </w:pPr>
    <w:rPr>
      <w:b/>
      <w:bCs/>
      <w:i/>
      <w:iCs/>
      <w:sz w:val="36"/>
      <w:szCs w:val="36"/>
    </w:rPr>
  </w:style>
  <w:style w:type="paragraph" w:customStyle="1" w:styleId="deo">
    <w:name w:val="deo"/>
    <w:basedOn w:val="Normal"/>
    <w:pPr>
      <w:spacing w:before="240" w:after="240"/>
      <w:jc w:val="center"/>
    </w:pPr>
    <w:rPr>
      <w:b/>
      <w:bCs/>
      <w:sz w:val="33"/>
      <w:szCs w:val="33"/>
    </w:rPr>
  </w:style>
  <w:style w:type="paragraph" w:customStyle="1" w:styleId="vidi">
    <w:name w:val="vidi"/>
    <w:basedOn w:val="Normal"/>
    <w:pPr>
      <w:ind w:right="1650"/>
    </w:pPr>
    <w:rPr>
      <w:b/>
      <w:bCs/>
      <w:color w:val="800000"/>
      <w:sz w:val="20"/>
      <w:szCs w:val="20"/>
    </w:rPr>
  </w:style>
  <w:style w:type="paragraph" w:customStyle="1" w:styleId="vidividi">
    <w:name w:val="vidi_vidi"/>
    <w:basedOn w:val="Normal"/>
    <w:rPr>
      <w:b/>
      <w:bCs/>
      <w:color w:val="800000"/>
      <w:sz w:val="20"/>
      <w:szCs w:val="20"/>
    </w:rPr>
  </w:style>
  <w:style w:type="paragraph" w:customStyle="1" w:styleId="nodis">
    <w:name w:val="nodis"/>
    <w:basedOn w:val="Normal"/>
    <w:pPr>
      <w:spacing w:before="100" w:beforeAutospacing="1" w:after="100" w:afterAutospacing="1"/>
    </w:pPr>
    <w:rPr>
      <w:vanish/>
    </w:rPr>
  </w:style>
  <w:style w:type="paragraph" w:customStyle="1" w:styleId="vlinkovi">
    <w:name w:val="vlinkovi"/>
    <w:basedOn w:val="Normal"/>
    <w:pPr>
      <w:ind w:left="375" w:right="375"/>
    </w:pPr>
    <w:rPr>
      <w:sz w:val="20"/>
      <w:szCs w:val="20"/>
    </w:rPr>
  </w:style>
  <w:style w:type="paragraph" w:customStyle="1" w:styleId="vlb">
    <w:name w:val="vlb"/>
    <w:basedOn w:val="Normal"/>
    <w:pPr>
      <w:spacing w:before="100" w:beforeAutospacing="1" w:after="100" w:afterAutospacing="1"/>
    </w:pPr>
    <w:rPr>
      <w:b/>
      <w:bCs/>
      <w:sz w:val="17"/>
      <w:szCs w:val="17"/>
    </w:rPr>
  </w:style>
  <w:style w:type="paragraph" w:customStyle="1" w:styleId="vlnowrap">
    <w:name w:val="vlnowrap"/>
    <w:basedOn w:val="Normal"/>
    <w:pPr>
      <w:spacing w:before="100" w:beforeAutospacing="1" w:after="100" w:afterAutospacing="1"/>
    </w:pPr>
    <w:rPr>
      <w:color w:val="000080"/>
    </w:rPr>
  </w:style>
  <w:style w:type="paragraph" w:customStyle="1" w:styleId="vlf">
    <w:name w:val="vlf"/>
    <w:basedOn w:val="Normal"/>
    <w:pPr>
      <w:shd w:val="clear" w:color="auto" w:fill="FFFFFF"/>
      <w:spacing w:before="75"/>
      <w:ind w:right="225"/>
    </w:pPr>
    <w:rPr>
      <w:b/>
      <w:bCs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17832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69441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2111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2677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35247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1670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6582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16400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70791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57595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19028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44293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19789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sadržaju i načinu obilježavanja pakovanja veterinarskog lijeka i sadržaju uputstva za veterinarski lijek</vt:lpstr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sadržaju i načinu obilježavanja pakovanja veterinarskog lijeka i sadržaju uputstva za veterinarski lijek</dc:title>
  <dc:subject/>
  <dc:creator>Jelena Vracar</dc:creator>
  <cp:keywords/>
  <dc:description/>
  <cp:lastModifiedBy>Stefan Mitrovic</cp:lastModifiedBy>
  <cp:revision>1</cp:revision>
  <dcterms:created xsi:type="dcterms:W3CDTF">2025-02-24T05:59:00Z</dcterms:created>
  <dcterms:modified xsi:type="dcterms:W3CDTF">2025-02-24T05:59:00Z</dcterms:modified>
</cp:coreProperties>
</file>