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1" w:type="dxa"/>
        <w:tblLook w:val="01E0"/>
      </w:tblPr>
      <w:tblGrid>
        <w:gridCol w:w="5531"/>
        <w:gridCol w:w="3740"/>
      </w:tblGrid>
      <w:tr w:rsidR="00664D38" w:rsidRPr="006A2927">
        <w:tc>
          <w:tcPr>
            <w:tcW w:w="5531" w:type="dxa"/>
            <w:tcBorders>
              <w:bottom w:val="single" w:sz="24" w:space="0" w:color="000080"/>
            </w:tcBorders>
          </w:tcPr>
          <w:p w:rsidR="00664D38" w:rsidRPr="009051B0" w:rsidRDefault="007366B3" w:rsidP="00664D38">
            <w:pPr>
              <w:pStyle w:val="Header"/>
              <w:rPr>
                <w:lang w:val="en-GB" w:eastAsia="en-US"/>
              </w:rPr>
            </w:pPr>
            <w:r>
              <w:rPr>
                <w:noProof/>
                <w:lang w:val="en-US" w:eastAsia="en-US"/>
              </w:rPr>
              <w:drawing>
                <wp:inline distT="0" distB="0" distL="0" distR="0">
                  <wp:extent cx="904875" cy="1028700"/>
                  <wp:effectExtent l="19050" t="0" r="9525" b="0"/>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8"/>
                          <a:srcRect/>
                          <a:stretch>
                            <a:fillRect/>
                          </a:stretch>
                        </pic:blipFill>
                        <pic:spPr bwMode="auto">
                          <a:xfrm>
                            <a:off x="0" y="0"/>
                            <a:ext cx="904875" cy="1028700"/>
                          </a:xfrm>
                          <a:prstGeom prst="rect">
                            <a:avLst/>
                          </a:prstGeom>
                          <a:noFill/>
                          <a:ln w="9525">
                            <a:noFill/>
                            <a:miter lim="800000"/>
                            <a:headEnd/>
                            <a:tailEnd/>
                          </a:ln>
                        </pic:spPr>
                      </pic:pic>
                    </a:graphicData>
                  </a:graphic>
                </wp:inline>
              </w:drawing>
            </w:r>
          </w:p>
        </w:tc>
        <w:tc>
          <w:tcPr>
            <w:tcW w:w="3740" w:type="dxa"/>
            <w:tcBorders>
              <w:bottom w:val="single" w:sz="24" w:space="0" w:color="000080"/>
            </w:tcBorders>
          </w:tcPr>
          <w:p w:rsidR="00664D38" w:rsidRPr="009051B0" w:rsidRDefault="00664D38" w:rsidP="00664D38">
            <w:pPr>
              <w:pStyle w:val="Header"/>
              <w:rPr>
                <w:lang w:val="en-GB" w:eastAsia="en-US"/>
              </w:rPr>
            </w:pPr>
          </w:p>
          <w:p w:rsidR="00664D38" w:rsidRPr="009051B0" w:rsidRDefault="00664D38" w:rsidP="00664D38">
            <w:pPr>
              <w:pStyle w:val="Header"/>
              <w:rPr>
                <w:lang w:val="en-GB" w:eastAsia="en-US"/>
              </w:rPr>
            </w:pPr>
          </w:p>
          <w:p w:rsidR="00664D38" w:rsidRPr="009051B0" w:rsidRDefault="00664D38" w:rsidP="00664D38">
            <w:pPr>
              <w:pStyle w:val="Header"/>
              <w:rPr>
                <w:lang w:val="en-GB" w:eastAsia="en-US"/>
              </w:rPr>
            </w:pPr>
          </w:p>
          <w:p w:rsidR="00664D38" w:rsidRPr="009051B0" w:rsidRDefault="00664D38" w:rsidP="00664D38">
            <w:pPr>
              <w:pStyle w:val="Header"/>
              <w:jc w:val="center"/>
              <w:rPr>
                <w:b/>
                <w:lang w:val="en-GB" w:eastAsia="en-US"/>
              </w:rPr>
            </w:pPr>
            <w:r w:rsidRPr="009051B0">
              <w:rPr>
                <w:b/>
                <w:lang w:val="en-GB" w:eastAsia="en-US"/>
              </w:rPr>
              <w:t>27. septembar 2014. godine</w:t>
            </w:r>
          </w:p>
        </w:tc>
      </w:tr>
      <w:tr w:rsidR="00664D38" w:rsidRPr="006A2927">
        <w:tc>
          <w:tcPr>
            <w:tcW w:w="5531" w:type="dxa"/>
            <w:tcBorders>
              <w:top w:val="single" w:sz="24" w:space="0" w:color="000080"/>
            </w:tcBorders>
          </w:tcPr>
          <w:p w:rsidR="00664D38" w:rsidRPr="009051B0" w:rsidRDefault="00664D38" w:rsidP="00664D38">
            <w:pPr>
              <w:pStyle w:val="Header"/>
              <w:rPr>
                <w:b/>
                <w:lang w:val="en-GB" w:eastAsia="en-US"/>
              </w:rPr>
            </w:pPr>
            <w:r w:rsidRPr="009051B0">
              <w:rPr>
                <w:b/>
                <w:lang w:val="en-GB" w:eastAsia="en-US"/>
              </w:rPr>
              <w:t>Ministarstvo poljoprovrede i ruralnog razvoja</w:t>
            </w:r>
          </w:p>
          <w:p w:rsidR="00664D38" w:rsidRPr="009051B0" w:rsidRDefault="00664D38" w:rsidP="00664D38">
            <w:pPr>
              <w:pStyle w:val="Header"/>
              <w:rPr>
                <w:sz w:val="16"/>
                <w:lang w:val="en-GB" w:eastAsia="en-US"/>
              </w:rPr>
            </w:pPr>
            <w:r w:rsidRPr="009051B0">
              <w:rPr>
                <w:sz w:val="16"/>
                <w:lang w:val="en-GB" w:eastAsia="en-US"/>
              </w:rPr>
              <w:t>Rimski trg 46, Podgorica</w:t>
            </w:r>
          </w:p>
          <w:p w:rsidR="00664D38" w:rsidRPr="009051B0" w:rsidRDefault="00664D38" w:rsidP="00664D38">
            <w:pPr>
              <w:pStyle w:val="Header"/>
              <w:rPr>
                <w:sz w:val="16"/>
                <w:lang w:val="en-GB" w:eastAsia="en-US"/>
              </w:rPr>
            </w:pPr>
            <w:r w:rsidRPr="009051B0">
              <w:rPr>
                <w:sz w:val="16"/>
                <w:lang w:val="en-GB" w:eastAsia="en-US"/>
              </w:rPr>
              <w:t>Tel. (+382 20) 482 109, 234 105</w:t>
            </w:r>
          </w:p>
          <w:p w:rsidR="00664D38" w:rsidRPr="006A2927" w:rsidRDefault="00664D38" w:rsidP="00664D38">
            <w:pPr>
              <w:pStyle w:val="Header"/>
              <w:rPr>
                <w:rFonts w:cs="Arial"/>
                <w:sz w:val="16"/>
                <w:lang w:val="en-US" w:eastAsia="en-US"/>
              </w:rPr>
            </w:pPr>
            <w:r w:rsidRPr="006A2927">
              <w:rPr>
                <w:rFonts w:cs="Arial"/>
                <w:sz w:val="16"/>
                <w:lang w:val="en-US" w:eastAsia="en-US"/>
              </w:rPr>
              <w:t xml:space="preserve">Web site: </w:t>
            </w:r>
            <w:hyperlink r:id="rId9" w:history="1">
              <w:r w:rsidRPr="006A2927">
                <w:rPr>
                  <w:rStyle w:val="Hyperlink"/>
                  <w:sz w:val="16"/>
                  <w:szCs w:val="24"/>
                  <w:lang w:val="en-US" w:eastAsia="en-US"/>
                </w:rPr>
                <w:t>www.minpolj.gov.me</w:t>
              </w:r>
            </w:hyperlink>
            <w:r w:rsidRPr="006A2927">
              <w:rPr>
                <w:rFonts w:cs="Arial"/>
                <w:sz w:val="16"/>
                <w:lang w:val="en-US" w:eastAsia="en-US"/>
              </w:rPr>
              <w:t xml:space="preserve"> </w:t>
            </w:r>
          </w:p>
          <w:p w:rsidR="00664D38" w:rsidRPr="006A2927" w:rsidRDefault="00664D38" w:rsidP="00664D38">
            <w:pPr>
              <w:pStyle w:val="Header"/>
              <w:rPr>
                <w:rFonts w:cs="Arial"/>
                <w:lang w:val="en-US" w:eastAsia="en-US"/>
              </w:rPr>
            </w:pPr>
            <w:r w:rsidRPr="006A2927">
              <w:rPr>
                <w:rFonts w:cs="Arial"/>
                <w:sz w:val="16"/>
                <w:lang w:val="en-US" w:eastAsia="en-US"/>
              </w:rPr>
              <w:t xml:space="preserve">e-mail: </w:t>
            </w:r>
            <w:hyperlink r:id="rId10" w:history="1">
              <w:r w:rsidRPr="006A2927">
                <w:rPr>
                  <w:rStyle w:val="Hyperlink"/>
                  <w:sz w:val="16"/>
                  <w:szCs w:val="24"/>
                  <w:lang w:val="en-US" w:eastAsia="en-US"/>
                </w:rPr>
                <w:t>kabinet@mpr.gov.me</w:t>
              </w:r>
            </w:hyperlink>
            <w:r w:rsidRPr="006A2927">
              <w:rPr>
                <w:rFonts w:cs="Arial"/>
                <w:lang w:val="en-US" w:eastAsia="en-US"/>
              </w:rPr>
              <w:t xml:space="preserve">   </w:t>
            </w:r>
          </w:p>
        </w:tc>
        <w:tc>
          <w:tcPr>
            <w:tcW w:w="3740" w:type="dxa"/>
            <w:tcBorders>
              <w:top w:val="single" w:sz="24" w:space="0" w:color="000080"/>
            </w:tcBorders>
          </w:tcPr>
          <w:p w:rsidR="00664D38" w:rsidRPr="009051B0" w:rsidRDefault="00664D38" w:rsidP="00664D38">
            <w:pPr>
              <w:pStyle w:val="Header"/>
              <w:rPr>
                <w:lang w:val="en-GB" w:eastAsia="en-US"/>
              </w:rPr>
            </w:pPr>
          </w:p>
          <w:p w:rsidR="00664D38" w:rsidRPr="009051B0" w:rsidRDefault="00664D38" w:rsidP="00664D38">
            <w:pPr>
              <w:pStyle w:val="Header"/>
              <w:jc w:val="center"/>
              <w:rPr>
                <w:b/>
                <w:color w:val="BF0026"/>
                <w:sz w:val="36"/>
                <w:lang w:val="en-GB" w:eastAsia="en-US"/>
              </w:rPr>
            </w:pPr>
            <w:r w:rsidRPr="009051B0">
              <w:rPr>
                <w:b/>
                <w:color w:val="BF0026"/>
                <w:sz w:val="36"/>
                <w:lang w:val="en-GB" w:eastAsia="en-US"/>
              </w:rPr>
              <w:t>PRESS</w:t>
            </w:r>
          </w:p>
        </w:tc>
      </w:tr>
    </w:tbl>
    <w:p w:rsidR="00664D38" w:rsidRPr="006A2927" w:rsidRDefault="00664D38" w:rsidP="00664D38">
      <w:pPr>
        <w:rPr>
          <w:rFonts w:ascii="Calibri" w:hAnsi="Calibri"/>
          <w:sz w:val="22"/>
        </w:rPr>
      </w:pPr>
    </w:p>
    <w:p w:rsidR="00664D38" w:rsidRPr="006A2927" w:rsidRDefault="00664D38" w:rsidP="00664D38">
      <w:pPr>
        <w:rPr>
          <w:rFonts w:ascii="Calibri" w:hAnsi="Calibri"/>
          <w:sz w:val="22"/>
        </w:rPr>
      </w:pPr>
    </w:p>
    <w:p w:rsidR="00664D38" w:rsidRDefault="00664D38" w:rsidP="00664D38">
      <w:pPr>
        <w:spacing w:line="360" w:lineRule="auto"/>
        <w:jc w:val="both"/>
        <w:rPr>
          <w:rFonts w:ascii="Calibri" w:hAnsi="Calibri"/>
          <w:color w:val="000000"/>
          <w:szCs w:val="27"/>
          <w:lang w:val="en-US"/>
        </w:rPr>
      </w:pPr>
    </w:p>
    <w:p w:rsidR="00664D38" w:rsidRPr="001D0895" w:rsidRDefault="00664D38" w:rsidP="00664D38">
      <w:pPr>
        <w:spacing w:line="360" w:lineRule="auto"/>
        <w:jc w:val="both"/>
        <w:rPr>
          <w:rFonts w:ascii="Calibri" w:hAnsi="Calibri"/>
          <w:color w:val="000000"/>
          <w:szCs w:val="27"/>
          <w:lang w:val="en-US"/>
        </w:rPr>
      </w:pPr>
      <w:r w:rsidRPr="001D0895">
        <w:rPr>
          <w:rFonts w:ascii="Calibri" w:hAnsi="Calibri"/>
          <w:color w:val="000000"/>
          <w:szCs w:val="27"/>
        </w:rPr>
        <w:t>Poštovane dame i gospodo,</w:t>
      </w:r>
    </w:p>
    <w:p w:rsidR="00664D38" w:rsidRDefault="00664D38" w:rsidP="00664D38">
      <w:pPr>
        <w:spacing w:line="360" w:lineRule="auto"/>
        <w:jc w:val="both"/>
        <w:rPr>
          <w:rFonts w:ascii="Calibri" w:hAnsi="Calibri"/>
          <w:color w:val="000000"/>
          <w:szCs w:val="27"/>
        </w:rPr>
      </w:pPr>
    </w:p>
    <w:p w:rsidR="00664D38" w:rsidRPr="00FB1F6E" w:rsidRDefault="00664D38" w:rsidP="00664D38">
      <w:pPr>
        <w:spacing w:line="360" w:lineRule="auto"/>
        <w:jc w:val="both"/>
        <w:rPr>
          <w:rFonts w:ascii="Calibri" w:hAnsi="Calibri" w:cs="Calibri"/>
          <w:szCs w:val="30"/>
          <w:lang w:val="en-US"/>
        </w:rPr>
      </w:pPr>
      <w:r w:rsidRPr="00FB1F6E">
        <w:rPr>
          <w:rFonts w:ascii="Calibri" w:hAnsi="Calibri"/>
          <w:color w:val="000000"/>
          <w:szCs w:val="27"/>
        </w:rPr>
        <w:t>Hvala</w:t>
      </w:r>
      <w:r w:rsidRPr="00FB1F6E">
        <w:rPr>
          <w:rFonts w:ascii="Calibri" w:hAnsi="Calibri"/>
          <w:color w:val="000000"/>
        </w:rPr>
        <w:t> na </w:t>
      </w:r>
      <w:r w:rsidRPr="00FB1F6E">
        <w:rPr>
          <w:rFonts w:ascii="Calibri" w:hAnsi="Calibri"/>
          <w:color w:val="000000"/>
          <w:szCs w:val="27"/>
        </w:rPr>
        <w:t>interesovanju i vremenu koje ste izdvojili da ispratite današnju press</w:t>
      </w:r>
      <w:r>
        <w:rPr>
          <w:rFonts w:ascii="Calibri" w:hAnsi="Calibri"/>
          <w:color w:val="000000"/>
          <w:szCs w:val="27"/>
        </w:rPr>
        <w:t xml:space="preserve"> </w:t>
      </w:r>
      <w:r w:rsidRPr="00FB1F6E">
        <w:rPr>
          <w:rFonts w:ascii="Calibri" w:hAnsi="Calibri"/>
          <w:color w:val="000000"/>
          <w:szCs w:val="27"/>
        </w:rPr>
        <w:t>konferenciju</w:t>
      </w:r>
      <w:r w:rsidRPr="00FB1F6E">
        <w:rPr>
          <w:rFonts w:ascii="Calibri" w:hAnsi="Calibri" w:cs="Calibri"/>
          <w:szCs w:val="30"/>
          <w:lang w:val="en-US"/>
        </w:rPr>
        <w:t>. Predlažem da, na već uobičajeni način</w:t>
      </w:r>
      <w:r>
        <w:rPr>
          <w:rFonts w:ascii="Calibri" w:hAnsi="Calibri" w:cs="Calibri"/>
          <w:szCs w:val="30"/>
          <w:lang w:val="en-US"/>
        </w:rPr>
        <w:t>, analiziramo jednu po jednu temu</w:t>
      </w:r>
      <w:r w:rsidRPr="00FB1F6E">
        <w:rPr>
          <w:rFonts w:ascii="Calibri" w:hAnsi="Calibri" w:cs="Calibri"/>
          <w:szCs w:val="30"/>
          <w:lang w:val="en-US"/>
        </w:rPr>
        <w:t xml:space="preserve">. </w:t>
      </w:r>
      <w:r>
        <w:rPr>
          <w:rFonts w:ascii="Calibri" w:hAnsi="Calibri" w:cs="Calibri"/>
          <w:szCs w:val="30"/>
          <w:lang w:val="en-US"/>
        </w:rPr>
        <w:t>Najprije ekonomske teme.</w:t>
      </w:r>
    </w:p>
    <w:p w:rsidR="00664D38" w:rsidRDefault="00664D38" w:rsidP="00664D38">
      <w:pPr>
        <w:spacing w:line="360" w:lineRule="auto"/>
        <w:jc w:val="both"/>
        <w:rPr>
          <w:rFonts w:ascii="Calibri" w:hAnsi="Calibri"/>
        </w:rPr>
      </w:pPr>
    </w:p>
    <w:p w:rsidR="00664D38" w:rsidRPr="00C14FB8" w:rsidRDefault="00664D38" w:rsidP="00664D38">
      <w:pPr>
        <w:widowControl w:val="0"/>
        <w:numPr>
          <w:ilvl w:val="0"/>
          <w:numId w:val="1"/>
        </w:numPr>
        <w:autoSpaceDE w:val="0"/>
        <w:autoSpaceDN w:val="0"/>
        <w:adjustRightInd w:val="0"/>
        <w:spacing w:line="360" w:lineRule="auto"/>
        <w:jc w:val="both"/>
        <w:rPr>
          <w:rFonts w:ascii="Calibri" w:hAnsi="Calibri" w:cs="Calibri"/>
          <w:b/>
          <w:color w:val="BF0034"/>
          <w:szCs w:val="30"/>
          <w:lang w:val="en-US"/>
        </w:rPr>
      </w:pPr>
      <w:r w:rsidRPr="00C14FB8">
        <w:rPr>
          <w:rFonts w:ascii="Calibri" w:hAnsi="Calibri" w:cs="Calibri"/>
          <w:b/>
          <w:color w:val="BF0034"/>
          <w:szCs w:val="30"/>
          <w:lang w:val="en-US"/>
        </w:rPr>
        <w:t>SPOLJNOTRGOVINSKA RAZMJENA POLJOPRIVREDNIH PROIZVODA</w:t>
      </w:r>
    </w:p>
    <w:p w:rsidR="00664D38" w:rsidRDefault="00664D38" w:rsidP="00664D38">
      <w:pPr>
        <w:spacing w:line="360" w:lineRule="auto"/>
        <w:jc w:val="both"/>
        <w:rPr>
          <w:rFonts w:ascii="Calibri" w:hAnsi="Calibri"/>
          <w:lang/>
        </w:rPr>
      </w:pPr>
      <w:r w:rsidRPr="00927EA2">
        <w:rPr>
          <w:rFonts w:ascii="Calibri" w:hAnsi="Calibri"/>
          <w:lang/>
        </w:rPr>
        <w:t>Ukupna razmjena poljoprivredni</w:t>
      </w:r>
      <w:r>
        <w:rPr>
          <w:rFonts w:ascii="Calibri" w:hAnsi="Calibri"/>
          <w:lang/>
        </w:rPr>
        <w:t>h proizvod</w:t>
      </w:r>
      <w:r w:rsidRPr="00927EA2">
        <w:rPr>
          <w:rFonts w:ascii="Calibri" w:hAnsi="Calibri"/>
          <w:lang/>
        </w:rPr>
        <w:t xml:space="preserve">a </w:t>
      </w:r>
      <w:r>
        <w:rPr>
          <w:rFonts w:ascii="Calibri" w:hAnsi="Calibri"/>
          <w:lang/>
        </w:rPr>
        <w:t xml:space="preserve">u prvih osam mjeseci 2014. godine </w:t>
      </w:r>
      <w:r w:rsidRPr="00927EA2">
        <w:rPr>
          <w:rFonts w:ascii="Calibri" w:hAnsi="Calibri"/>
          <w:lang/>
        </w:rPr>
        <w:t>veća je za 10</w:t>
      </w:r>
      <w:r>
        <w:rPr>
          <w:rFonts w:ascii="Calibri" w:hAnsi="Calibri"/>
          <w:lang/>
        </w:rPr>
        <w:t>,</w:t>
      </w:r>
      <w:r w:rsidRPr="00927EA2">
        <w:rPr>
          <w:rFonts w:ascii="Calibri" w:hAnsi="Calibri"/>
          <w:lang/>
        </w:rPr>
        <w:t>8% u odnosu na isti period prošle godine.</w:t>
      </w:r>
      <w:r>
        <w:rPr>
          <w:rFonts w:ascii="Calibri" w:hAnsi="Calibri"/>
          <w:lang/>
        </w:rPr>
        <w:t xml:space="preserve"> U</w:t>
      </w:r>
      <w:r w:rsidRPr="00927EA2">
        <w:rPr>
          <w:rFonts w:ascii="Calibri" w:hAnsi="Calibri"/>
          <w:lang/>
        </w:rPr>
        <w:t>kupan</w:t>
      </w:r>
      <w:r>
        <w:rPr>
          <w:rFonts w:ascii="Calibri" w:hAnsi="Calibri"/>
          <w:lang/>
        </w:rPr>
        <w:t xml:space="preserve"> uvoz poljoprivrednih </w:t>
      </w:r>
      <w:r w:rsidRPr="00410C91">
        <w:rPr>
          <w:rFonts w:ascii="Calibri" w:hAnsi="Calibri"/>
          <w:lang/>
        </w:rPr>
        <w:t>proizvoda već</w:t>
      </w:r>
      <w:r>
        <w:rPr>
          <w:rFonts w:ascii="Calibri" w:hAnsi="Calibri"/>
          <w:lang/>
        </w:rPr>
        <w:t>i</w:t>
      </w:r>
      <w:r w:rsidRPr="00410C91">
        <w:rPr>
          <w:rFonts w:ascii="Calibri" w:hAnsi="Calibri"/>
          <w:lang/>
        </w:rPr>
        <w:t xml:space="preserve"> </w:t>
      </w:r>
      <w:r>
        <w:rPr>
          <w:rFonts w:ascii="Calibri" w:hAnsi="Calibri"/>
          <w:lang/>
        </w:rPr>
        <w:t>j</w:t>
      </w:r>
      <w:r w:rsidRPr="00410C91">
        <w:rPr>
          <w:rFonts w:ascii="Calibri" w:hAnsi="Calibri"/>
          <w:lang/>
        </w:rPr>
        <w:t xml:space="preserve">e za 4,9% (15,2 miliona €), </w:t>
      </w:r>
      <w:r w:rsidRPr="00410C91">
        <w:rPr>
          <w:rFonts w:ascii="Calibri" w:hAnsi="Calibri"/>
          <w:b/>
          <w:lang/>
        </w:rPr>
        <w:t>dok se izvoz povećao za 60,2%</w:t>
      </w:r>
      <w:r w:rsidRPr="00410C91">
        <w:rPr>
          <w:rFonts w:ascii="Calibri" w:hAnsi="Calibri"/>
          <w:lang/>
        </w:rPr>
        <w:t xml:space="preserve"> (22</w:t>
      </w:r>
      <w:r>
        <w:rPr>
          <w:rFonts w:ascii="Calibri" w:hAnsi="Calibri"/>
          <w:lang/>
        </w:rPr>
        <w:t>,</w:t>
      </w:r>
      <w:r w:rsidRPr="00410C91">
        <w:rPr>
          <w:rFonts w:ascii="Calibri" w:hAnsi="Calibri"/>
          <w:lang/>
        </w:rPr>
        <w:t>1 miliona €).</w:t>
      </w:r>
      <w:r w:rsidRPr="00927EA2">
        <w:rPr>
          <w:rFonts w:ascii="Calibri" w:hAnsi="Calibri"/>
          <w:lang/>
        </w:rPr>
        <w:t xml:space="preserve"> Pokrivenost uvoza izvozom iznosila je 18</w:t>
      </w:r>
      <w:r>
        <w:rPr>
          <w:rFonts w:ascii="Calibri" w:hAnsi="Calibri"/>
          <w:lang/>
        </w:rPr>
        <w:t>,</w:t>
      </w:r>
      <w:r w:rsidRPr="00927EA2">
        <w:rPr>
          <w:rFonts w:ascii="Calibri" w:hAnsi="Calibri"/>
          <w:lang/>
        </w:rPr>
        <w:t>1% i veća je za 6</w:t>
      </w:r>
      <w:r>
        <w:rPr>
          <w:rFonts w:ascii="Calibri" w:hAnsi="Calibri"/>
          <w:lang/>
        </w:rPr>
        <w:t>,</w:t>
      </w:r>
      <w:r w:rsidRPr="00927EA2">
        <w:rPr>
          <w:rFonts w:ascii="Calibri" w:hAnsi="Calibri"/>
          <w:lang/>
        </w:rPr>
        <w:t>2</w:t>
      </w:r>
      <w:r>
        <w:rPr>
          <w:rFonts w:ascii="Calibri" w:hAnsi="Calibri"/>
          <w:lang/>
        </w:rPr>
        <w:t xml:space="preserve"> procentna poena</w:t>
      </w:r>
      <w:r w:rsidRPr="00927EA2">
        <w:rPr>
          <w:rFonts w:ascii="Calibri" w:hAnsi="Calibri"/>
          <w:lang/>
        </w:rPr>
        <w:t xml:space="preserve"> u odnosu </w:t>
      </w:r>
      <w:r>
        <w:rPr>
          <w:rFonts w:ascii="Calibri" w:hAnsi="Calibri"/>
          <w:lang/>
        </w:rPr>
        <w:t>prvih osam m</w:t>
      </w:r>
      <w:r w:rsidRPr="00927EA2">
        <w:rPr>
          <w:rFonts w:ascii="Calibri" w:hAnsi="Calibri"/>
          <w:lang/>
        </w:rPr>
        <w:t>j</w:t>
      </w:r>
      <w:r>
        <w:rPr>
          <w:rFonts w:ascii="Calibri" w:hAnsi="Calibri"/>
          <w:lang/>
        </w:rPr>
        <w:t>eseci 2013</w:t>
      </w:r>
      <w:r w:rsidRPr="00927EA2">
        <w:rPr>
          <w:rFonts w:ascii="Calibri" w:hAnsi="Calibri"/>
          <w:lang/>
        </w:rPr>
        <w:t>. Učešće poljoprivrednih proizvoda iznosilo je 27</w:t>
      </w:r>
      <w:r>
        <w:rPr>
          <w:rFonts w:ascii="Calibri" w:hAnsi="Calibri"/>
          <w:lang/>
        </w:rPr>
        <w:t>,</w:t>
      </w:r>
      <w:r w:rsidRPr="00927EA2">
        <w:rPr>
          <w:rFonts w:ascii="Calibri" w:hAnsi="Calibri"/>
          <w:lang/>
        </w:rPr>
        <w:t xml:space="preserve">6% u ukupnom uvozu </w:t>
      </w:r>
      <w:r>
        <w:rPr>
          <w:rFonts w:ascii="Calibri" w:hAnsi="Calibri"/>
          <w:lang/>
        </w:rPr>
        <w:t xml:space="preserve">i </w:t>
      </w:r>
      <w:r w:rsidRPr="00927EA2">
        <w:rPr>
          <w:rFonts w:ascii="Calibri" w:hAnsi="Calibri"/>
          <w:lang/>
        </w:rPr>
        <w:t>28</w:t>
      </w:r>
      <w:r>
        <w:rPr>
          <w:rFonts w:ascii="Calibri" w:hAnsi="Calibri"/>
          <w:lang/>
        </w:rPr>
        <w:t>,6% u ukupom izvozu.</w:t>
      </w:r>
    </w:p>
    <w:p w:rsidR="00664D38" w:rsidRPr="00927EA2" w:rsidRDefault="00664D38" w:rsidP="00664D38">
      <w:pPr>
        <w:jc w:val="both"/>
        <w:rPr>
          <w:rFonts w:ascii="Calibri" w:hAnsi="Calibri"/>
          <w:lang/>
        </w:rPr>
      </w:pPr>
    </w:p>
    <w:p w:rsidR="00664D38" w:rsidRPr="00927EA2" w:rsidRDefault="00664D38" w:rsidP="00664D38">
      <w:pPr>
        <w:jc w:val="both"/>
        <w:outlineLvl w:val="0"/>
        <w:rPr>
          <w:rFonts w:ascii="Calibri" w:hAnsi="Calibri"/>
          <w:bCs/>
          <w:i/>
          <w:sz w:val="22"/>
          <w:lang/>
        </w:rPr>
      </w:pPr>
      <w:r w:rsidRPr="00927EA2">
        <w:rPr>
          <w:rFonts w:ascii="Calibri" w:hAnsi="Calibri"/>
          <w:bCs/>
          <w:sz w:val="22"/>
          <w:lang/>
        </w:rPr>
        <w:t xml:space="preserve">Tabela </w:t>
      </w:r>
      <w:r>
        <w:rPr>
          <w:rFonts w:ascii="Calibri" w:hAnsi="Calibri"/>
          <w:bCs/>
          <w:sz w:val="22"/>
          <w:lang/>
        </w:rPr>
        <w:t>1</w:t>
      </w:r>
      <w:r w:rsidRPr="00927EA2">
        <w:rPr>
          <w:rFonts w:ascii="Calibri" w:hAnsi="Calibri"/>
          <w:bCs/>
          <w:sz w:val="22"/>
          <w:lang/>
        </w:rPr>
        <w:t xml:space="preserve">: </w:t>
      </w:r>
      <w:r w:rsidRPr="00927EA2">
        <w:rPr>
          <w:rFonts w:ascii="Calibri" w:hAnsi="Calibri"/>
          <w:bCs/>
          <w:i/>
          <w:sz w:val="22"/>
          <w:lang/>
        </w:rPr>
        <w:t xml:space="preserve">Ukupna vrijednost uvoza i izvoza za period januar-avgust 2011, 2012, 2013 i 2014 </w:t>
      </w:r>
    </w:p>
    <w:tbl>
      <w:tblPr>
        <w:tblW w:w="7098" w:type="dxa"/>
        <w:tblInd w:w="98" w:type="dxa"/>
        <w:tblBorders>
          <w:top w:val="single" w:sz="12" w:space="0" w:color="008000"/>
          <w:left w:val="nil"/>
          <w:bottom w:val="single" w:sz="12" w:space="0" w:color="008000"/>
          <w:right w:val="nil"/>
          <w:insideH w:val="nil"/>
          <w:insideV w:val="nil"/>
        </w:tblBorders>
        <w:tblLook w:val="00BF"/>
      </w:tblPr>
      <w:tblGrid>
        <w:gridCol w:w="1032"/>
        <w:gridCol w:w="1430"/>
        <w:gridCol w:w="1801"/>
        <w:gridCol w:w="2835"/>
      </w:tblGrid>
      <w:tr w:rsidR="00664D38" w:rsidRPr="006B644B">
        <w:trPr>
          <w:trHeight w:val="130"/>
        </w:trPr>
        <w:tc>
          <w:tcPr>
            <w:tcW w:w="1032" w:type="dxa"/>
            <w:tcBorders>
              <w:bottom w:val="single" w:sz="6" w:space="0" w:color="008000"/>
            </w:tcBorders>
            <w:shd w:val="clear" w:color="auto" w:fill="auto"/>
          </w:tcPr>
          <w:p w:rsidR="00664D38" w:rsidRPr="006B644B" w:rsidRDefault="00664D38" w:rsidP="00664D38">
            <w:pPr>
              <w:jc w:val="center"/>
              <w:rPr>
                <w:rFonts w:ascii="Calibri" w:hAnsi="Calibri"/>
                <w:b/>
                <w:sz w:val="20"/>
                <w:lang w:val="en-US"/>
              </w:rPr>
            </w:pPr>
            <w:r>
              <w:rPr>
                <w:rFonts w:ascii="Calibri" w:hAnsi="Calibri"/>
                <w:b/>
                <w:sz w:val="20"/>
                <w:lang w:val="en-US"/>
              </w:rPr>
              <w:t>Godina</w:t>
            </w:r>
          </w:p>
        </w:tc>
        <w:tc>
          <w:tcPr>
            <w:tcW w:w="1430" w:type="dxa"/>
            <w:tcBorders>
              <w:bottom w:val="single" w:sz="6" w:space="0" w:color="008000"/>
            </w:tcBorders>
            <w:shd w:val="clear" w:color="auto" w:fill="auto"/>
          </w:tcPr>
          <w:p w:rsidR="00664D38" w:rsidRPr="006B644B" w:rsidRDefault="00664D38" w:rsidP="00664D38">
            <w:pPr>
              <w:jc w:val="center"/>
              <w:rPr>
                <w:rFonts w:ascii="Calibri" w:hAnsi="Calibri"/>
                <w:b/>
                <w:sz w:val="20"/>
                <w:lang w:val="en-US"/>
              </w:rPr>
            </w:pPr>
            <w:r>
              <w:rPr>
                <w:rFonts w:ascii="Calibri" w:hAnsi="Calibri"/>
                <w:b/>
                <w:sz w:val="20"/>
                <w:lang w:val="en-US"/>
              </w:rPr>
              <w:t>Izvoz u €</w:t>
            </w:r>
          </w:p>
        </w:tc>
        <w:tc>
          <w:tcPr>
            <w:tcW w:w="1801" w:type="dxa"/>
            <w:tcBorders>
              <w:bottom w:val="single" w:sz="6" w:space="0" w:color="008000"/>
            </w:tcBorders>
            <w:shd w:val="clear" w:color="auto" w:fill="auto"/>
          </w:tcPr>
          <w:p w:rsidR="00664D38" w:rsidRPr="006B644B" w:rsidRDefault="00664D38" w:rsidP="00664D38">
            <w:pPr>
              <w:jc w:val="center"/>
              <w:rPr>
                <w:rFonts w:ascii="Calibri" w:hAnsi="Calibri"/>
                <w:b/>
                <w:sz w:val="20"/>
                <w:lang w:val="en-US"/>
              </w:rPr>
            </w:pPr>
            <w:r>
              <w:rPr>
                <w:rFonts w:ascii="Calibri" w:hAnsi="Calibri"/>
                <w:b/>
                <w:sz w:val="20"/>
                <w:lang w:val="en-US"/>
              </w:rPr>
              <w:t>Uvoz u €</w:t>
            </w:r>
          </w:p>
        </w:tc>
        <w:tc>
          <w:tcPr>
            <w:tcW w:w="2835" w:type="dxa"/>
            <w:tcBorders>
              <w:bottom w:val="single" w:sz="6" w:space="0" w:color="008000"/>
            </w:tcBorders>
            <w:shd w:val="clear" w:color="auto" w:fill="auto"/>
          </w:tcPr>
          <w:p w:rsidR="00664D38" w:rsidRPr="006B644B" w:rsidRDefault="00664D38" w:rsidP="00664D38">
            <w:pPr>
              <w:jc w:val="center"/>
              <w:rPr>
                <w:rFonts w:ascii="Calibri" w:hAnsi="Calibri"/>
                <w:b/>
                <w:sz w:val="20"/>
                <w:lang w:val="en-US"/>
              </w:rPr>
            </w:pPr>
            <w:r>
              <w:rPr>
                <w:rFonts w:ascii="Calibri" w:hAnsi="Calibri"/>
                <w:b/>
                <w:sz w:val="20"/>
                <w:lang w:val="en-US"/>
              </w:rPr>
              <w:t>Pokrivenost uvoza izvozom</w:t>
            </w:r>
          </w:p>
        </w:tc>
      </w:tr>
      <w:tr w:rsidR="00664D38" w:rsidRPr="006B644B">
        <w:trPr>
          <w:trHeight w:val="280"/>
        </w:trPr>
        <w:tc>
          <w:tcPr>
            <w:tcW w:w="1032" w:type="dxa"/>
            <w:tcBorders>
              <w:top w:val="single" w:sz="6" w:space="0" w:color="008000"/>
            </w:tcBorders>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2011</w:t>
            </w:r>
          </w:p>
        </w:tc>
        <w:tc>
          <w:tcPr>
            <w:tcW w:w="1430" w:type="dxa"/>
            <w:tcBorders>
              <w:top w:val="single" w:sz="6" w:space="0" w:color="008000"/>
            </w:tcBorders>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30.288.086</w:t>
            </w:r>
          </w:p>
        </w:tc>
        <w:tc>
          <w:tcPr>
            <w:tcW w:w="1801" w:type="dxa"/>
            <w:tcBorders>
              <w:top w:val="single" w:sz="6" w:space="0" w:color="008000"/>
            </w:tcBorders>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295.532.060</w:t>
            </w:r>
          </w:p>
        </w:tc>
        <w:tc>
          <w:tcPr>
            <w:tcW w:w="2835" w:type="dxa"/>
            <w:tcBorders>
              <w:top w:val="single" w:sz="6" w:space="0" w:color="008000"/>
            </w:tcBorders>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10,2%</w:t>
            </w:r>
          </w:p>
        </w:tc>
      </w:tr>
      <w:tr w:rsidR="00664D38" w:rsidRPr="006B644B">
        <w:trPr>
          <w:trHeight w:val="280"/>
        </w:trPr>
        <w:tc>
          <w:tcPr>
            <w:tcW w:w="1032"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2012</w:t>
            </w:r>
          </w:p>
        </w:tc>
        <w:tc>
          <w:tcPr>
            <w:tcW w:w="1430"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35.022.389</w:t>
            </w:r>
          </w:p>
        </w:tc>
        <w:tc>
          <w:tcPr>
            <w:tcW w:w="1801"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298.608.498</w:t>
            </w:r>
          </w:p>
        </w:tc>
        <w:tc>
          <w:tcPr>
            <w:tcW w:w="2835"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11,7%</w:t>
            </w:r>
          </w:p>
        </w:tc>
      </w:tr>
      <w:tr w:rsidR="00664D38" w:rsidRPr="006B644B">
        <w:trPr>
          <w:trHeight w:val="280"/>
        </w:trPr>
        <w:tc>
          <w:tcPr>
            <w:tcW w:w="1032"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2013</w:t>
            </w:r>
          </w:p>
        </w:tc>
        <w:tc>
          <w:tcPr>
            <w:tcW w:w="1430"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36.805.700</w:t>
            </w:r>
          </w:p>
        </w:tc>
        <w:tc>
          <w:tcPr>
            <w:tcW w:w="1801"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309.536.615</w:t>
            </w:r>
          </w:p>
        </w:tc>
        <w:tc>
          <w:tcPr>
            <w:tcW w:w="2835"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11,9%</w:t>
            </w:r>
          </w:p>
        </w:tc>
      </w:tr>
      <w:tr w:rsidR="00664D38" w:rsidRPr="006B644B">
        <w:trPr>
          <w:trHeight w:val="280"/>
        </w:trPr>
        <w:tc>
          <w:tcPr>
            <w:tcW w:w="1032"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2014</w:t>
            </w:r>
          </w:p>
        </w:tc>
        <w:tc>
          <w:tcPr>
            <w:tcW w:w="1430"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58.945.003</w:t>
            </w:r>
          </w:p>
        </w:tc>
        <w:tc>
          <w:tcPr>
            <w:tcW w:w="1801" w:type="dxa"/>
            <w:shd w:val="clear" w:color="auto" w:fill="auto"/>
          </w:tcPr>
          <w:p w:rsidR="00664D38" w:rsidRPr="006B644B" w:rsidRDefault="00664D38" w:rsidP="00664D38">
            <w:pPr>
              <w:jc w:val="right"/>
              <w:rPr>
                <w:rFonts w:ascii="Calibri" w:hAnsi="Calibri"/>
                <w:sz w:val="20"/>
                <w:lang w:val="en-US"/>
              </w:rPr>
            </w:pPr>
            <w:r>
              <w:rPr>
                <w:rFonts w:ascii="Calibri" w:hAnsi="Calibri"/>
                <w:sz w:val="20"/>
                <w:lang w:val="en-US"/>
              </w:rPr>
              <w:t>324.799.675</w:t>
            </w:r>
          </w:p>
        </w:tc>
        <w:tc>
          <w:tcPr>
            <w:tcW w:w="2835" w:type="dxa"/>
            <w:shd w:val="clear" w:color="auto" w:fill="auto"/>
          </w:tcPr>
          <w:p w:rsidR="00664D38" w:rsidRPr="006B644B" w:rsidRDefault="00664D38" w:rsidP="00664D38">
            <w:pPr>
              <w:jc w:val="center"/>
              <w:rPr>
                <w:rFonts w:ascii="Calibri" w:hAnsi="Calibri"/>
                <w:sz w:val="20"/>
                <w:lang w:val="en-US"/>
              </w:rPr>
            </w:pPr>
            <w:r>
              <w:rPr>
                <w:rFonts w:ascii="Calibri" w:hAnsi="Calibri"/>
                <w:sz w:val="20"/>
                <w:lang w:val="en-US"/>
              </w:rPr>
              <w:t>18,1%</w:t>
            </w:r>
          </w:p>
        </w:tc>
      </w:tr>
    </w:tbl>
    <w:p w:rsidR="00664D38" w:rsidRPr="00410C91" w:rsidRDefault="00664D38" w:rsidP="00664D38">
      <w:pPr>
        <w:jc w:val="both"/>
        <w:outlineLvl w:val="0"/>
        <w:rPr>
          <w:rFonts w:ascii="Calibri" w:hAnsi="Calibri"/>
          <w:sz w:val="16"/>
          <w:lang/>
        </w:rPr>
      </w:pPr>
      <w:r w:rsidRPr="00410C91">
        <w:rPr>
          <w:rFonts w:ascii="Calibri" w:hAnsi="Calibri"/>
          <w:sz w:val="16"/>
          <w:lang/>
        </w:rPr>
        <w:t>Izvor: MONSTAT</w:t>
      </w:r>
    </w:p>
    <w:p w:rsidR="00664D38" w:rsidRPr="00927EA2" w:rsidRDefault="00664D38" w:rsidP="00664D38">
      <w:pPr>
        <w:jc w:val="both"/>
        <w:outlineLvl w:val="0"/>
        <w:rPr>
          <w:rFonts w:ascii="Calibri" w:hAnsi="Calibri"/>
          <w:i/>
          <w:lang/>
        </w:rPr>
      </w:pPr>
    </w:p>
    <w:p w:rsidR="00664D38" w:rsidRDefault="00664D38" w:rsidP="00664D38">
      <w:pPr>
        <w:spacing w:line="360" w:lineRule="auto"/>
        <w:jc w:val="both"/>
        <w:rPr>
          <w:rFonts w:ascii="Calibri" w:hAnsi="Calibri"/>
          <w:lang/>
        </w:rPr>
      </w:pPr>
      <w:r>
        <w:rPr>
          <w:rFonts w:ascii="Calibri" w:hAnsi="Calibri"/>
          <w:lang/>
        </w:rPr>
        <w:t xml:space="preserve">U </w:t>
      </w:r>
      <w:r w:rsidRPr="00927EA2">
        <w:rPr>
          <w:rFonts w:ascii="Calibri" w:hAnsi="Calibri"/>
          <w:lang/>
        </w:rPr>
        <w:t>struktur</w:t>
      </w:r>
      <w:r>
        <w:rPr>
          <w:rFonts w:ascii="Calibri" w:hAnsi="Calibri"/>
          <w:lang/>
        </w:rPr>
        <w:t>i izvoza</w:t>
      </w:r>
      <w:r w:rsidRPr="00927EA2">
        <w:rPr>
          <w:rFonts w:ascii="Calibri" w:hAnsi="Calibri"/>
          <w:lang/>
        </w:rPr>
        <w:t xml:space="preserve"> najveći rast biljež</w:t>
      </w:r>
      <w:r>
        <w:rPr>
          <w:rFonts w:ascii="Calibri" w:hAnsi="Calibri"/>
          <w:lang/>
        </w:rPr>
        <w:t xml:space="preserve">imo kod </w:t>
      </w:r>
      <w:r w:rsidRPr="00927EA2">
        <w:rPr>
          <w:rFonts w:ascii="Calibri" w:hAnsi="Calibri"/>
          <w:lang/>
        </w:rPr>
        <w:t>izvoza</w:t>
      </w:r>
      <w:r>
        <w:rPr>
          <w:rFonts w:ascii="Calibri" w:hAnsi="Calibri"/>
          <w:lang/>
        </w:rPr>
        <w:t>:</w:t>
      </w:r>
      <w:r w:rsidRPr="00927EA2">
        <w:rPr>
          <w:rFonts w:ascii="Calibri" w:hAnsi="Calibri"/>
          <w:lang/>
        </w:rPr>
        <w:t xml:space="preserve"> vin</w:t>
      </w:r>
      <w:r>
        <w:rPr>
          <w:rFonts w:ascii="Calibri" w:hAnsi="Calibri"/>
          <w:lang/>
        </w:rPr>
        <w:t>a</w:t>
      </w:r>
      <w:r w:rsidRPr="00927EA2">
        <w:rPr>
          <w:rFonts w:ascii="Calibri" w:hAnsi="Calibri"/>
          <w:lang/>
        </w:rPr>
        <w:t xml:space="preserve"> (19</w:t>
      </w:r>
      <w:r>
        <w:rPr>
          <w:rFonts w:ascii="Calibri" w:hAnsi="Calibri"/>
          <w:lang/>
        </w:rPr>
        <w:t>,</w:t>
      </w:r>
      <w:r w:rsidRPr="00927EA2">
        <w:rPr>
          <w:rFonts w:ascii="Calibri" w:hAnsi="Calibri"/>
          <w:lang/>
        </w:rPr>
        <w:t>3%), prerađevin</w:t>
      </w:r>
      <w:r>
        <w:rPr>
          <w:rFonts w:ascii="Calibri" w:hAnsi="Calibri"/>
          <w:lang/>
        </w:rPr>
        <w:t>a</w:t>
      </w:r>
      <w:r w:rsidRPr="00927EA2">
        <w:rPr>
          <w:rFonts w:ascii="Calibri" w:hAnsi="Calibri"/>
          <w:lang/>
        </w:rPr>
        <w:t xml:space="preserve"> od mesa (14</w:t>
      </w:r>
      <w:r>
        <w:rPr>
          <w:rFonts w:ascii="Calibri" w:hAnsi="Calibri"/>
          <w:lang/>
        </w:rPr>
        <w:t>,</w:t>
      </w:r>
      <w:r w:rsidRPr="00927EA2">
        <w:rPr>
          <w:rFonts w:ascii="Calibri" w:hAnsi="Calibri"/>
          <w:lang/>
        </w:rPr>
        <w:t>7%) i piv</w:t>
      </w:r>
      <w:r>
        <w:rPr>
          <w:rFonts w:ascii="Calibri" w:hAnsi="Calibri"/>
          <w:lang/>
        </w:rPr>
        <w:t>a</w:t>
      </w:r>
      <w:r w:rsidRPr="00927EA2">
        <w:rPr>
          <w:rFonts w:ascii="Calibri" w:hAnsi="Calibri"/>
          <w:lang/>
        </w:rPr>
        <w:t xml:space="preserve"> (4</w:t>
      </w:r>
      <w:r>
        <w:rPr>
          <w:rFonts w:ascii="Calibri" w:hAnsi="Calibri"/>
          <w:lang/>
        </w:rPr>
        <w:t>,</w:t>
      </w:r>
      <w:r w:rsidRPr="00927EA2">
        <w:rPr>
          <w:rFonts w:ascii="Calibri" w:hAnsi="Calibri"/>
          <w:lang/>
        </w:rPr>
        <w:t xml:space="preserve">6%). Iako vrijednost izvezenog sira nije velika, </w:t>
      </w:r>
      <w:r>
        <w:rPr>
          <w:rFonts w:ascii="Calibri" w:hAnsi="Calibri"/>
          <w:lang/>
        </w:rPr>
        <w:t xml:space="preserve">primjetno je da </w:t>
      </w:r>
      <w:r w:rsidRPr="00927EA2">
        <w:rPr>
          <w:rFonts w:ascii="Calibri" w:hAnsi="Calibri"/>
          <w:lang/>
        </w:rPr>
        <w:t>iz godine u godinu bilježi</w:t>
      </w:r>
      <w:r>
        <w:rPr>
          <w:rFonts w:ascii="Calibri" w:hAnsi="Calibri"/>
          <w:lang/>
        </w:rPr>
        <w:t>mo</w:t>
      </w:r>
      <w:r w:rsidRPr="00927EA2">
        <w:rPr>
          <w:rFonts w:ascii="Calibri" w:hAnsi="Calibri"/>
          <w:lang/>
        </w:rPr>
        <w:t xml:space="preserve"> rast</w:t>
      </w:r>
      <w:r>
        <w:rPr>
          <w:rFonts w:ascii="Calibri" w:hAnsi="Calibri"/>
          <w:lang/>
        </w:rPr>
        <w:t xml:space="preserve"> izvoza</w:t>
      </w:r>
      <w:r w:rsidRPr="00927EA2">
        <w:rPr>
          <w:rFonts w:ascii="Calibri" w:hAnsi="Calibri"/>
          <w:lang/>
        </w:rPr>
        <w:t>. Takođe</w:t>
      </w:r>
      <w:r>
        <w:rPr>
          <w:rFonts w:ascii="Calibri" w:hAnsi="Calibri"/>
          <w:lang/>
        </w:rPr>
        <w:t>,</w:t>
      </w:r>
      <w:r w:rsidRPr="00927EA2">
        <w:rPr>
          <w:rFonts w:ascii="Calibri" w:hAnsi="Calibri"/>
          <w:lang/>
        </w:rPr>
        <w:t xml:space="preserve"> zabilježen je rast izvoza proizvoda na bazi kakaa </w:t>
      </w:r>
      <w:r>
        <w:rPr>
          <w:rFonts w:ascii="Calibri" w:hAnsi="Calibri"/>
          <w:lang/>
        </w:rPr>
        <w:t>(</w:t>
      </w:r>
      <w:r w:rsidRPr="00927EA2">
        <w:rPr>
          <w:rFonts w:ascii="Calibri" w:hAnsi="Calibri"/>
          <w:lang/>
        </w:rPr>
        <w:t>19,5%</w:t>
      </w:r>
      <w:r>
        <w:rPr>
          <w:rFonts w:ascii="Calibri" w:hAnsi="Calibri"/>
          <w:lang/>
        </w:rPr>
        <w:t>)</w:t>
      </w:r>
      <w:r w:rsidRPr="00927EA2">
        <w:rPr>
          <w:rFonts w:ascii="Calibri" w:hAnsi="Calibri"/>
          <w:lang/>
        </w:rPr>
        <w:t>.</w:t>
      </w:r>
      <w:r>
        <w:rPr>
          <w:rFonts w:ascii="Calibri" w:hAnsi="Calibri"/>
          <w:lang/>
        </w:rPr>
        <w:t xml:space="preserve"> Istovremeno, smanjen je izvoz </w:t>
      </w:r>
      <w:r w:rsidRPr="00927EA2">
        <w:rPr>
          <w:rFonts w:ascii="Calibri" w:hAnsi="Calibri"/>
          <w:lang/>
        </w:rPr>
        <w:t xml:space="preserve">alkoholnih pića (48%), povrća (42%) i duvana i prerađevina od duvana </w:t>
      </w:r>
      <w:r>
        <w:rPr>
          <w:rFonts w:ascii="Calibri" w:hAnsi="Calibri"/>
          <w:lang/>
        </w:rPr>
        <w:t>(</w:t>
      </w:r>
      <w:r w:rsidRPr="00927EA2">
        <w:rPr>
          <w:rFonts w:ascii="Calibri" w:hAnsi="Calibri"/>
          <w:lang/>
        </w:rPr>
        <w:t>30</w:t>
      </w:r>
      <w:r>
        <w:rPr>
          <w:rFonts w:ascii="Calibri" w:hAnsi="Calibri"/>
          <w:lang/>
        </w:rPr>
        <w:t>,</w:t>
      </w:r>
      <w:r w:rsidRPr="00927EA2">
        <w:rPr>
          <w:rFonts w:ascii="Calibri" w:hAnsi="Calibri"/>
          <w:lang/>
        </w:rPr>
        <w:t>9%</w:t>
      </w:r>
      <w:r>
        <w:rPr>
          <w:rFonts w:ascii="Calibri" w:hAnsi="Calibri"/>
          <w:lang/>
        </w:rPr>
        <w:t>).</w:t>
      </w:r>
    </w:p>
    <w:p w:rsidR="00664D38" w:rsidRPr="00927EA2" w:rsidRDefault="00664D38" w:rsidP="00664D38">
      <w:pPr>
        <w:spacing w:line="360" w:lineRule="auto"/>
        <w:jc w:val="both"/>
        <w:rPr>
          <w:rFonts w:ascii="Calibri" w:hAnsi="Calibri"/>
          <w:lang/>
        </w:rPr>
      </w:pPr>
    </w:p>
    <w:p w:rsidR="00664D38" w:rsidRPr="00927EA2" w:rsidRDefault="00664D38" w:rsidP="00664D38">
      <w:pPr>
        <w:spacing w:line="360" w:lineRule="auto"/>
        <w:jc w:val="both"/>
        <w:rPr>
          <w:rFonts w:ascii="Calibri" w:hAnsi="Calibri"/>
          <w:lang/>
        </w:rPr>
      </w:pPr>
      <w:r>
        <w:rPr>
          <w:rFonts w:ascii="Calibri" w:hAnsi="Calibri"/>
          <w:lang/>
        </w:rPr>
        <w:t xml:space="preserve">U strukturi </w:t>
      </w:r>
      <w:r w:rsidRPr="00927EA2">
        <w:rPr>
          <w:rFonts w:ascii="Calibri" w:hAnsi="Calibri"/>
          <w:lang/>
        </w:rPr>
        <w:t xml:space="preserve">uvoza uočljiv je pad </w:t>
      </w:r>
      <w:r>
        <w:rPr>
          <w:rFonts w:ascii="Calibri" w:hAnsi="Calibri"/>
          <w:lang/>
        </w:rPr>
        <w:t xml:space="preserve">uvoza </w:t>
      </w:r>
      <w:r w:rsidRPr="00927EA2">
        <w:rPr>
          <w:rFonts w:ascii="Calibri" w:hAnsi="Calibri"/>
          <w:lang/>
        </w:rPr>
        <w:t>živih životinja</w:t>
      </w:r>
      <w:r>
        <w:rPr>
          <w:rFonts w:ascii="Calibri" w:hAnsi="Calibri"/>
          <w:lang/>
        </w:rPr>
        <w:t xml:space="preserve">, mlijeka i mliječnih proizvoda, </w:t>
      </w:r>
      <w:r w:rsidRPr="00927EA2">
        <w:rPr>
          <w:rFonts w:ascii="Calibri" w:hAnsi="Calibri"/>
          <w:lang/>
        </w:rPr>
        <w:t>gaziranih bezalkoholnih pića i proizvoda od duvana.</w:t>
      </w:r>
      <w:r>
        <w:rPr>
          <w:rFonts w:ascii="Calibri" w:hAnsi="Calibri"/>
          <w:lang/>
        </w:rPr>
        <w:t xml:space="preserve"> B</w:t>
      </w:r>
      <w:r w:rsidRPr="00927EA2">
        <w:rPr>
          <w:rFonts w:ascii="Calibri" w:hAnsi="Calibri"/>
          <w:lang/>
        </w:rPr>
        <w:t>ilježi</w:t>
      </w:r>
      <w:r>
        <w:rPr>
          <w:rFonts w:ascii="Calibri" w:hAnsi="Calibri"/>
          <w:lang/>
        </w:rPr>
        <w:t xml:space="preserve">mo </w:t>
      </w:r>
      <w:r w:rsidRPr="00927EA2">
        <w:rPr>
          <w:rFonts w:ascii="Calibri" w:hAnsi="Calibri"/>
          <w:lang/>
        </w:rPr>
        <w:t>rast vrijednosti uvoza svježeg mesa, živog drveća, v</w:t>
      </w:r>
      <w:r>
        <w:rPr>
          <w:rFonts w:ascii="Calibri" w:hAnsi="Calibri"/>
          <w:lang/>
        </w:rPr>
        <w:t>o</w:t>
      </w:r>
      <w:r w:rsidRPr="00927EA2">
        <w:rPr>
          <w:rFonts w:ascii="Calibri" w:hAnsi="Calibri"/>
          <w:lang/>
        </w:rPr>
        <w:t xml:space="preserve">ća i tzv. raznih proizvoda za ishranu </w:t>
      </w:r>
      <w:r>
        <w:rPr>
          <w:rFonts w:ascii="Calibri" w:hAnsi="Calibri"/>
          <w:lang/>
        </w:rPr>
        <w:t>(</w:t>
      </w:r>
      <w:r w:rsidRPr="00927EA2">
        <w:rPr>
          <w:rFonts w:ascii="Calibri" w:hAnsi="Calibri"/>
          <w:lang/>
        </w:rPr>
        <w:t xml:space="preserve">sladoledi, razni sosovi, koncentrati za upotrebu u </w:t>
      </w:r>
      <w:r w:rsidRPr="00927EA2">
        <w:rPr>
          <w:rFonts w:ascii="Calibri" w:hAnsi="Calibri"/>
          <w:lang/>
        </w:rPr>
        <w:lastRenderedPageBreak/>
        <w:t>domaćinstvima i</w:t>
      </w:r>
      <w:r>
        <w:rPr>
          <w:rFonts w:ascii="Calibri" w:hAnsi="Calibri"/>
          <w:lang/>
        </w:rPr>
        <w:t>td)</w:t>
      </w:r>
      <w:r w:rsidRPr="00927EA2">
        <w:rPr>
          <w:rFonts w:ascii="Calibri" w:hAnsi="Calibri"/>
          <w:lang/>
        </w:rPr>
        <w:t>.</w:t>
      </w:r>
      <w:r>
        <w:rPr>
          <w:rFonts w:ascii="Calibri" w:hAnsi="Calibri"/>
          <w:lang/>
        </w:rPr>
        <w:t xml:space="preserve"> </w:t>
      </w:r>
      <w:r w:rsidRPr="00927EA2">
        <w:rPr>
          <w:rFonts w:ascii="Calibri" w:hAnsi="Calibri"/>
          <w:lang/>
        </w:rPr>
        <w:t xml:space="preserve">Rast uvoza svježeg mesa prije svega </w:t>
      </w:r>
      <w:r>
        <w:rPr>
          <w:rFonts w:ascii="Calibri" w:hAnsi="Calibri"/>
          <w:lang/>
        </w:rPr>
        <w:t xml:space="preserve">se </w:t>
      </w:r>
      <w:r w:rsidRPr="00927EA2">
        <w:rPr>
          <w:rFonts w:ascii="Calibri" w:hAnsi="Calibri"/>
          <w:lang/>
        </w:rPr>
        <w:t>odnosi na svježe svinjsko meso čiji je uvoz povećan za 20,2 mil</w:t>
      </w:r>
      <w:r>
        <w:rPr>
          <w:rFonts w:ascii="Calibri" w:hAnsi="Calibri"/>
          <w:lang/>
        </w:rPr>
        <w:t>iona €</w:t>
      </w:r>
      <w:r w:rsidRPr="00927EA2">
        <w:rPr>
          <w:rFonts w:ascii="Calibri" w:hAnsi="Calibri"/>
          <w:lang/>
        </w:rPr>
        <w:t xml:space="preserve">. Međutim, </w:t>
      </w:r>
      <w:r>
        <w:rPr>
          <w:rFonts w:ascii="Calibri" w:hAnsi="Calibri"/>
          <w:lang/>
        </w:rPr>
        <w:t xml:space="preserve">upravo </w:t>
      </w:r>
      <w:r w:rsidRPr="00927EA2">
        <w:rPr>
          <w:rFonts w:ascii="Calibri" w:hAnsi="Calibri"/>
          <w:lang/>
        </w:rPr>
        <w:t>n</w:t>
      </w:r>
      <w:r>
        <w:rPr>
          <w:rFonts w:ascii="Calibri" w:hAnsi="Calibri"/>
          <w:lang/>
        </w:rPr>
        <w:t>am je uvoz ovog mesa omogućio veći izvoz, jer se isto koristilo kao sirovina za preradu</w:t>
      </w:r>
      <w:r w:rsidRPr="00927EA2">
        <w:rPr>
          <w:rFonts w:ascii="Calibri" w:hAnsi="Calibri"/>
          <w:lang/>
        </w:rPr>
        <w:t>.</w:t>
      </w:r>
    </w:p>
    <w:p w:rsidR="00664D38" w:rsidRDefault="00664D38" w:rsidP="00664D38">
      <w:pPr>
        <w:spacing w:line="360" w:lineRule="auto"/>
        <w:jc w:val="both"/>
        <w:rPr>
          <w:rFonts w:ascii="Calibri" w:hAnsi="Calibri"/>
          <w:lang/>
        </w:rPr>
      </w:pPr>
    </w:p>
    <w:p w:rsidR="00664D38" w:rsidRPr="00927EA2" w:rsidRDefault="00664D38" w:rsidP="00664D38">
      <w:pPr>
        <w:spacing w:line="360" w:lineRule="auto"/>
        <w:jc w:val="both"/>
        <w:rPr>
          <w:rFonts w:ascii="Calibri" w:hAnsi="Calibri" w:cs="Cambria"/>
        </w:rPr>
      </w:pPr>
      <w:r w:rsidRPr="00927EA2">
        <w:rPr>
          <w:rFonts w:ascii="Calibri" w:hAnsi="Calibri"/>
          <w:lang/>
        </w:rPr>
        <w:t xml:space="preserve">Glavni partneri u uvozu i izvozu i dalje </w:t>
      </w:r>
      <w:r>
        <w:rPr>
          <w:rFonts w:ascii="Calibri" w:hAnsi="Calibri"/>
          <w:lang/>
        </w:rPr>
        <w:t xml:space="preserve">su </w:t>
      </w:r>
      <w:r w:rsidRPr="00927EA2">
        <w:rPr>
          <w:rFonts w:ascii="Calibri" w:hAnsi="Calibri"/>
          <w:lang/>
        </w:rPr>
        <w:t>zemlje CEFTA i EU</w:t>
      </w:r>
      <w:r>
        <w:rPr>
          <w:rFonts w:ascii="Calibri" w:hAnsi="Calibri"/>
          <w:lang/>
        </w:rPr>
        <w:t>.</w:t>
      </w:r>
      <w:r w:rsidRPr="00927EA2">
        <w:rPr>
          <w:rFonts w:ascii="Calibri" w:hAnsi="Calibri"/>
          <w:lang/>
        </w:rPr>
        <w:t xml:space="preserve"> </w:t>
      </w:r>
      <w:r>
        <w:rPr>
          <w:rFonts w:ascii="Calibri" w:hAnsi="Calibri"/>
          <w:lang/>
        </w:rPr>
        <w:t xml:space="preserve">Najveći spoljno-trgovniski partner je i dalje </w:t>
      </w:r>
      <w:r w:rsidRPr="00927EA2">
        <w:rPr>
          <w:rFonts w:ascii="Calibri" w:hAnsi="Calibri"/>
          <w:lang/>
        </w:rPr>
        <w:t>Srbija.</w:t>
      </w:r>
    </w:p>
    <w:p w:rsidR="00664D38" w:rsidRDefault="00664D38" w:rsidP="00664D38">
      <w:pPr>
        <w:spacing w:line="360" w:lineRule="auto"/>
        <w:jc w:val="both"/>
        <w:rPr>
          <w:rFonts w:ascii="Calibri" w:hAnsi="Calibri"/>
        </w:rPr>
      </w:pPr>
    </w:p>
    <w:p w:rsidR="00664D38" w:rsidRPr="001D0895" w:rsidRDefault="00664D38" w:rsidP="00664D38">
      <w:pPr>
        <w:widowControl w:val="0"/>
        <w:numPr>
          <w:ilvl w:val="0"/>
          <w:numId w:val="1"/>
        </w:numPr>
        <w:autoSpaceDE w:val="0"/>
        <w:autoSpaceDN w:val="0"/>
        <w:adjustRightInd w:val="0"/>
        <w:spacing w:line="360" w:lineRule="auto"/>
        <w:jc w:val="both"/>
        <w:rPr>
          <w:rFonts w:ascii="Calibri" w:hAnsi="Calibri" w:cs="Calibri"/>
          <w:b/>
          <w:color w:val="BF0034"/>
          <w:szCs w:val="30"/>
          <w:lang w:val="en-US"/>
        </w:rPr>
      </w:pPr>
      <w:r>
        <w:rPr>
          <w:rFonts w:ascii="Calibri" w:hAnsi="Calibri" w:cs="Calibri"/>
          <w:b/>
          <w:color w:val="BF0034"/>
          <w:szCs w:val="30"/>
          <w:lang w:val="en-US"/>
        </w:rPr>
        <w:t xml:space="preserve">UČEŠĆE POLJOPRIVREDE U BDP </w:t>
      </w:r>
    </w:p>
    <w:p w:rsidR="00664D38" w:rsidRDefault="00664D38" w:rsidP="00664D38">
      <w:pPr>
        <w:spacing w:line="360" w:lineRule="auto"/>
        <w:jc w:val="both"/>
        <w:rPr>
          <w:rFonts w:ascii="Calibri" w:eastAsia="Calibri" w:hAnsi="Calibri"/>
          <w:lang/>
        </w:rPr>
      </w:pPr>
      <w:r>
        <w:rPr>
          <w:rFonts w:ascii="Calibri" w:eastAsia="Calibri" w:hAnsi="Calibri"/>
          <w:lang/>
        </w:rPr>
        <w:t xml:space="preserve">Prema </w:t>
      </w:r>
      <w:r w:rsidRPr="007D4AFC">
        <w:rPr>
          <w:rFonts w:ascii="Calibri" w:eastAsia="Calibri" w:hAnsi="Calibri"/>
          <w:lang/>
        </w:rPr>
        <w:t>podacima MONSTAT</w:t>
      </w:r>
      <w:r>
        <w:rPr>
          <w:rFonts w:ascii="Calibri" w:eastAsia="Calibri" w:hAnsi="Calibri"/>
          <w:lang/>
        </w:rPr>
        <w:t>-a</w:t>
      </w:r>
      <w:r w:rsidRPr="007D4AFC">
        <w:rPr>
          <w:rFonts w:ascii="Calibri" w:eastAsia="Calibri" w:hAnsi="Calibri"/>
          <w:lang/>
        </w:rPr>
        <w:t xml:space="preserve"> učešće poljoprivrede, šumarstva i ribarstva u ukupnom BDP u 2013. godini </w:t>
      </w:r>
      <w:r>
        <w:rPr>
          <w:rFonts w:ascii="Calibri" w:eastAsia="Calibri" w:hAnsi="Calibri"/>
          <w:lang/>
        </w:rPr>
        <w:t xml:space="preserve">iznosi 8%. Poređenja radi, godinu dana ranije iznosilo je </w:t>
      </w:r>
      <w:r w:rsidRPr="007D4AFC">
        <w:rPr>
          <w:rFonts w:ascii="Calibri" w:eastAsia="Calibri" w:hAnsi="Calibri"/>
          <w:lang/>
        </w:rPr>
        <w:t>7,4%.</w:t>
      </w:r>
    </w:p>
    <w:p w:rsidR="00664D38" w:rsidRPr="007D4AFC" w:rsidRDefault="00664D38" w:rsidP="00664D38">
      <w:pPr>
        <w:spacing w:line="360" w:lineRule="auto"/>
        <w:jc w:val="both"/>
        <w:rPr>
          <w:rFonts w:ascii="Calibri" w:eastAsia="Calibri" w:hAnsi="Calibri"/>
          <w:lang/>
        </w:rPr>
      </w:pPr>
    </w:p>
    <w:p w:rsidR="00664D38" w:rsidRDefault="00664D38" w:rsidP="00664D38">
      <w:pPr>
        <w:spacing w:line="360" w:lineRule="auto"/>
        <w:jc w:val="both"/>
        <w:rPr>
          <w:rFonts w:ascii="Calibri" w:hAnsi="Calibri"/>
          <w:lang/>
        </w:rPr>
      </w:pPr>
      <w:r w:rsidRPr="00933CB1">
        <w:rPr>
          <w:rFonts w:ascii="Calibri" w:eastAsia="Calibri" w:hAnsi="Calibri"/>
          <w:b/>
          <w:lang/>
        </w:rPr>
        <w:t>Bruto vrijednost proizvodnje</w:t>
      </w:r>
      <w:r w:rsidRPr="007D4AFC">
        <w:rPr>
          <w:rFonts w:ascii="Calibri" w:eastAsia="Calibri" w:hAnsi="Calibri"/>
          <w:lang/>
        </w:rPr>
        <w:t xml:space="preserve"> u sektoru poljoprivrede, šumarstva i ribarstva </w:t>
      </w:r>
      <w:r>
        <w:rPr>
          <w:rFonts w:ascii="Calibri" w:eastAsia="Calibri" w:hAnsi="Calibri"/>
          <w:lang/>
        </w:rPr>
        <w:t xml:space="preserve">u 2012. godini </w:t>
      </w:r>
      <w:r w:rsidRPr="007D4AFC">
        <w:rPr>
          <w:rFonts w:ascii="Calibri" w:eastAsia="Calibri" w:hAnsi="Calibri"/>
          <w:lang/>
        </w:rPr>
        <w:t>iznosila je 394,4 mil</w:t>
      </w:r>
      <w:r>
        <w:rPr>
          <w:rFonts w:ascii="Calibri" w:eastAsia="Calibri" w:hAnsi="Calibri"/>
          <w:lang/>
        </w:rPr>
        <w:t xml:space="preserve">iona </w:t>
      </w:r>
      <w:r>
        <w:rPr>
          <w:rFonts w:ascii="Calibri" w:hAnsi="Calibri"/>
          <w:lang/>
        </w:rPr>
        <w:t>€</w:t>
      </w:r>
      <w:r w:rsidRPr="007D4AFC">
        <w:rPr>
          <w:rFonts w:ascii="Calibri" w:eastAsia="Calibri" w:hAnsi="Calibri"/>
          <w:lang/>
        </w:rPr>
        <w:t xml:space="preserve">, dok </w:t>
      </w:r>
      <w:r>
        <w:rPr>
          <w:rFonts w:ascii="Calibri" w:eastAsia="Calibri" w:hAnsi="Calibri"/>
          <w:lang/>
        </w:rPr>
        <w:t xml:space="preserve">je </w:t>
      </w:r>
      <w:r w:rsidRPr="007D4AFC">
        <w:rPr>
          <w:rFonts w:ascii="Calibri" w:eastAsia="Calibri" w:hAnsi="Calibri"/>
          <w:lang/>
        </w:rPr>
        <w:t>u 2013. godini iznosila 436,8 mil</w:t>
      </w:r>
      <w:r>
        <w:rPr>
          <w:rFonts w:ascii="Calibri" w:eastAsia="Calibri" w:hAnsi="Calibri"/>
          <w:lang/>
        </w:rPr>
        <w:t xml:space="preserve">iona </w:t>
      </w:r>
      <w:r>
        <w:rPr>
          <w:rFonts w:ascii="Calibri" w:hAnsi="Calibri"/>
          <w:lang/>
        </w:rPr>
        <w:t>€</w:t>
      </w:r>
      <w:r>
        <w:rPr>
          <w:rFonts w:ascii="Calibri" w:eastAsia="Calibri" w:hAnsi="Calibri"/>
          <w:lang/>
        </w:rPr>
        <w:t>.</w:t>
      </w:r>
      <w:r w:rsidRPr="007D4AFC">
        <w:rPr>
          <w:rFonts w:ascii="Calibri" w:eastAsia="Calibri" w:hAnsi="Calibri"/>
          <w:lang/>
        </w:rPr>
        <w:t xml:space="preserve"> </w:t>
      </w:r>
      <w:r>
        <w:rPr>
          <w:rFonts w:ascii="Calibri" w:eastAsia="Calibri" w:hAnsi="Calibri"/>
          <w:lang/>
        </w:rPr>
        <w:t>T</w:t>
      </w:r>
      <w:r w:rsidRPr="007D4AFC">
        <w:rPr>
          <w:rFonts w:ascii="Calibri" w:eastAsia="Calibri" w:hAnsi="Calibri"/>
          <w:lang/>
        </w:rPr>
        <w:t xml:space="preserve">o znači da je </w:t>
      </w:r>
      <w:r>
        <w:rPr>
          <w:rFonts w:ascii="Calibri" w:eastAsia="Calibri" w:hAnsi="Calibri"/>
          <w:lang/>
        </w:rPr>
        <w:t>b</w:t>
      </w:r>
      <w:r w:rsidRPr="007D4AFC">
        <w:rPr>
          <w:rFonts w:ascii="Calibri" w:eastAsia="Calibri" w:hAnsi="Calibri"/>
          <w:lang/>
        </w:rPr>
        <w:t>ruto vrijednost proizvodnje</w:t>
      </w:r>
      <w:r>
        <w:rPr>
          <w:rFonts w:ascii="Calibri" w:eastAsia="Calibri" w:hAnsi="Calibri"/>
          <w:lang/>
        </w:rPr>
        <w:t xml:space="preserve"> povećana </w:t>
      </w:r>
      <w:r w:rsidRPr="007D4AFC">
        <w:rPr>
          <w:rFonts w:ascii="Calibri" w:eastAsia="Calibri" w:hAnsi="Calibri"/>
          <w:lang/>
        </w:rPr>
        <w:t>za 42,4 mil</w:t>
      </w:r>
      <w:r>
        <w:rPr>
          <w:rFonts w:ascii="Calibri" w:eastAsia="Calibri" w:hAnsi="Calibri"/>
          <w:lang/>
        </w:rPr>
        <w:t xml:space="preserve">iona </w:t>
      </w:r>
      <w:r>
        <w:rPr>
          <w:rFonts w:ascii="Calibri" w:hAnsi="Calibri"/>
          <w:lang/>
        </w:rPr>
        <w:t xml:space="preserve">€ (ili za </w:t>
      </w:r>
      <w:r>
        <w:rPr>
          <w:rFonts w:ascii="Calibri" w:eastAsia="Calibri" w:hAnsi="Calibri"/>
          <w:lang/>
        </w:rPr>
        <w:t>10,</w:t>
      </w:r>
      <w:r w:rsidRPr="007D4AFC">
        <w:rPr>
          <w:rFonts w:ascii="Calibri" w:eastAsia="Calibri" w:hAnsi="Calibri"/>
          <w:lang/>
        </w:rPr>
        <w:t>8%</w:t>
      </w:r>
      <w:r>
        <w:rPr>
          <w:rFonts w:ascii="Calibri" w:eastAsia="Calibri" w:hAnsi="Calibri"/>
          <w:lang/>
        </w:rPr>
        <w:t>) u odnosu na 2012</w:t>
      </w:r>
      <w:r w:rsidRPr="007D4AFC">
        <w:rPr>
          <w:rFonts w:ascii="Calibri" w:eastAsia="Calibri" w:hAnsi="Calibri"/>
          <w:lang/>
        </w:rPr>
        <w:t xml:space="preserve">. </w:t>
      </w:r>
      <w:r>
        <w:rPr>
          <w:rFonts w:ascii="Calibri" w:eastAsia="Calibri" w:hAnsi="Calibri"/>
          <w:lang/>
        </w:rPr>
        <w:t xml:space="preserve">Podatak ne obuhvata proizvodnju hrane (dakle, preradu u poljoprivredi), niti drvopreradu. Riječ je o primarnoj poljoprivrednoj proizvodnji. Ako bruto vrijednost proizvodnje u sektoru poljoprivrede, </w:t>
      </w:r>
      <w:r w:rsidRPr="007D4AFC">
        <w:rPr>
          <w:rFonts w:ascii="Calibri" w:eastAsia="Calibri" w:hAnsi="Calibri"/>
          <w:lang/>
        </w:rPr>
        <w:t xml:space="preserve">šumarstva i ribarstva </w:t>
      </w:r>
      <w:r>
        <w:rPr>
          <w:rFonts w:ascii="Calibri" w:eastAsia="Calibri" w:hAnsi="Calibri"/>
          <w:lang/>
        </w:rPr>
        <w:t xml:space="preserve">podijelimo sa brojem zaposlenih prema podacima MONSTAT (2.771) dobijamo 157.632,62 </w:t>
      </w:r>
      <w:r>
        <w:rPr>
          <w:rFonts w:ascii="Calibri" w:hAnsi="Calibri"/>
          <w:lang/>
        </w:rPr>
        <w:t xml:space="preserve">€ po jednom zaposlenom. </w:t>
      </w:r>
    </w:p>
    <w:p w:rsidR="00664D38" w:rsidRDefault="00664D38" w:rsidP="00664D38">
      <w:pPr>
        <w:spacing w:line="360" w:lineRule="auto"/>
        <w:jc w:val="both"/>
        <w:rPr>
          <w:rFonts w:ascii="Calibri" w:hAnsi="Calibri"/>
          <w:lang/>
        </w:rPr>
      </w:pPr>
    </w:p>
    <w:p w:rsidR="00664D38" w:rsidRDefault="00664D38" w:rsidP="00664D38">
      <w:pPr>
        <w:spacing w:line="360" w:lineRule="auto"/>
        <w:jc w:val="both"/>
        <w:rPr>
          <w:rFonts w:ascii="Calibri" w:eastAsia="Calibri" w:hAnsi="Calibri"/>
          <w:lang/>
        </w:rPr>
      </w:pPr>
      <w:r>
        <w:rPr>
          <w:rFonts w:ascii="Calibri" w:hAnsi="Calibri"/>
          <w:lang/>
        </w:rPr>
        <w:t xml:space="preserve">Bilo bi lijepo kada bi to bilo tako. Zato, još jednom ukazujemo da podaci MONSTAT-a o broju zaposlenih u poljoprivredi nijesu tačni, ili preciznije rečeno, nijesu potpuni. Podsjećam, prilikom prebrojavanja broja zaposlenih u sektoru poljoprivrede, MONSTAT koristi samo podatke o zaposlenosti u privrednim subjektima čija je pretežna djelatnost poljoprivreda iz Poreske uprave. MONSTAT ne koristi podatke Ministarstva poljoprivrede iz naših registara u kojima se registruju poljoprivredni proizvođači koji na svojim porodičnim gazdinstvima doprinose stvaranju nove vrijednosti i bruto domaćeg proizvoda. Uzrok je činjenica da, u skladu sa Zakonom o statistici i statističkom sistemu Crne Gore iz 2012, MONSTAT ne prepoznaje MPRR kao zvanični izvor statističkih podataka. Vjerujem da ćemo, u procesu usklađivanja sa tekovinom EU, razriješiti ovaj problem. Cilj nam je, prije svega, ne da prikazujemo veći ili manji broj zaposlenih, već da budemo u mogućnosti da pravilno i pouzdano mjerimo produktivnost u sektoru poljoprivrede. </w:t>
      </w:r>
    </w:p>
    <w:p w:rsidR="00664D38" w:rsidRDefault="00664D38" w:rsidP="00664D38">
      <w:pPr>
        <w:spacing w:line="360" w:lineRule="auto"/>
        <w:jc w:val="both"/>
        <w:rPr>
          <w:rFonts w:ascii="Calibri" w:eastAsia="Calibri" w:hAnsi="Calibri"/>
          <w:lang/>
        </w:rPr>
      </w:pPr>
    </w:p>
    <w:p w:rsidR="00664D38" w:rsidRDefault="00664D38" w:rsidP="00664D38">
      <w:pPr>
        <w:spacing w:line="360" w:lineRule="auto"/>
        <w:jc w:val="both"/>
        <w:rPr>
          <w:rFonts w:ascii="Calibri" w:eastAsia="Calibri" w:hAnsi="Calibri"/>
          <w:lang/>
        </w:rPr>
      </w:pPr>
      <w:r w:rsidRPr="00933CB1">
        <w:rPr>
          <w:rFonts w:ascii="Calibri" w:eastAsia="Calibri" w:hAnsi="Calibri"/>
          <w:b/>
          <w:lang/>
        </w:rPr>
        <w:t>Bruto dodata vrijednost</w:t>
      </w:r>
      <w:r w:rsidRPr="007D4AFC">
        <w:rPr>
          <w:rFonts w:ascii="Calibri" w:eastAsia="Calibri" w:hAnsi="Calibri"/>
          <w:lang/>
        </w:rPr>
        <w:t xml:space="preserve"> u sektoru poljoprivrede</w:t>
      </w:r>
      <w:r>
        <w:rPr>
          <w:rFonts w:ascii="Calibri" w:eastAsia="Calibri" w:hAnsi="Calibri"/>
          <w:lang/>
        </w:rPr>
        <w:t>,</w:t>
      </w:r>
      <w:r w:rsidRPr="007D4AFC">
        <w:rPr>
          <w:rFonts w:ascii="Calibri" w:eastAsia="Calibri" w:hAnsi="Calibri"/>
          <w:lang/>
        </w:rPr>
        <w:t xml:space="preserve"> šumarstva i ribarstva u 2013. godini iznosila je 266,9 mil</w:t>
      </w:r>
      <w:r>
        <w:rPr>
          <w:rFonts w:ascii="Calibri" w:eastAsia="Calibri" w:hAnsi="Calibri"/>
          <w:lang/>
        </w:rPr>
        <w:t xml:space="preserve">iona </w:t>
      </w:r>
      <w:r>
        <w:rPr>
          <w:rFonts w:ascii="Calibri" w:hAnsi="Calibri"/>
          <w:lang/>
        </w:rPr>
        <w:t>€</w:t>
      </w:r>
      <w:r w:rsidRPr="007D4AFC">
        <w:rPr>
          <w:rFonts w:ascii="Calibri" w:eastAsia="Calibri" w:hAnsi="Calibri"/>
          <w:lang/>
        </w:rPr>
        <w:t xml:space="preserve"> i veća je za 34,9 miliona </w:t>
      </w:r>
      <w:r>
        <w:rPr>
          <w:rFonts w:ascii="Calibri" w:eastAsia="Calibri" w:hAnsi="Calibri"/>
          <w:lang/>
        </w:rPr>
        <w:t>(</w:t>
      </w:r>
      <w:r w:rsidRPr="007D4AFC">
        <w:rPr>
          <w:rFonts w:ascii="Calibri" w:eastAsia="Calibri" w:hAnsi="Calibri"/>
          <w:lang/>
        </w:rPr>
        <w:t xml:space="preserve">ili </w:t>
      </w:r>
      <w:r>
        <w:rPr>
          <w:rFonts w:ascii="Calibri" w:eastAsia="Calibri" w:hAnsi="Calibri"/>
          <w:lang/>
        </w:rPr>
        <w:t xml:space="preserve">za </w:t>
      </w:r>
      <w:r w:rsidRPr="007D4AFC">
        <w:rPr>
          <w:rFonts w:ascii="Calibri" w:eastAsia="Calibri" w:hAnsi="Calibri"/>
          <w:lang/>
        </w:rPr>
        <w:t>15%</w:t>
      </w:r>
      <w:r>
        <w:rPr>
          <w:rFonts w:ascii="Calibri" w:eastAsia="Calibri" w:hAnsi="Calibri"/>
          <w:lang/>
        </w:rPr>
        <w:t>) u odnosu za 2012.</w:t>
      </w:r>
    </w:p>
    <w:p w:rsidR="00664D38" w:rsidRDefault="00664D38" w:rsidP="00664D38">
      <w:pPr>
        <w:spacing w:line="360" w:lineRule="auto"/>
        <w:jc w:val="both"/>
        <w:rPr>
          <w:rFonts w:ascii="Calibri" w:hAnsi="Calibri"/>
        </w:rPr>
      </w:pPr>
    </w:p>
    <w:p w:rsidR="00664D38" w:rsidRPr="00457FDC" w:rsidRDefault="00664D38" w:rsidP="00664D38">
      <w:pPr>
        <w:widowControl w:val="0"/>
        <w:numPr>
          <w:ilvl w:val="0"/>
          <w:numId w:val="1"/>
        </w:numPr>
        <w:autoSpaceDE w:val="0"/>
        <w:autoSpaceDN w:val="0"/>
        <w:adjustRightInd w:val="0"/>
        <w:spacing w:line="360" w:lineRule="auto"/>
        <w:jc w:val="both"/>
        <w:rPr>
          <w:rFonts w:ascii="Calibri" w:hAnsi="Calibri" w:cs="Calibri"/>
          <w:b/>
          <w:color w:val="BF0034"/>
          <w:szCs w:val="30"/>
          <w:lang w:val="en-US"/>
        </w:rPr>
      </w:pPr>
      <w:r w:rsidRPr="00FB1F6E">
        <w:rPr>
          <w:rFonts w:ascii="Calibri" w:hAnsi="Calibri" w:cs="Calibri"/>
          <w:b/>
          <w:color w:val="BF0034"/>
          <w:szCs w:val="30"/>
          <w:lang w:val="en-US"/>
        </w:rPr>
        <w:lastRenderedPageBreak/>
        <w:t>OTKUP MLIJEKA</w:t>
      </w:r>
    </w:p>
    <w:p w:rsidR="00664D38" w:rsidRPr="00FB1F6E" w:rsidRDefault="00664D38" w:rsidP="00664D38">
      <w:pPr>
        <w:spacing w:line="360" w:lineRule="auto"/>
        <w:jc w:val="both"/>
        <w:rPr>
          <w:rFonts w:ascii="Calibri" w:hAnsi="Calibri" w:cs="Cambria"/>
        </w:rPr>
      </w:pPr>
      <w:r w:rsidRPr="00FB1F6E">
        <w:rPr>
          <w:rFonts w:ascii="Calibri" w:hAnsi="Calibri" w:cs="Cambria"/>
        </w:rPr>
        <w:t>Evidencija o otkupu mlijeka vodi se posl</w:t>
      </w:r>
      <w:r>
        <w:rPr>
          <w:rFonts w:ascii="Calibri" w:hAnsi="Calibri" w:cs="Cambria"/>
        </w:rPr>
        <w:t>j</w:t>
      </w:r>
      <w:r w:rsidRPr="00FB1F6E">
        <w:rPr>
          <w:rFonts w:ascii="Calibri" w:hAnsi="Calibri" w:cs="Cambria"/>
        </w:rPr>
        <w:t>ednjih dvanaest godina. U avgustu ove godine otkupljena je rekordna količina mlijeka u odnosu na isti mjesec svih prethodnih godina. Naime, otkupljeno je 2.388.183 l mlijeka, što je za 7% ili 154.754 l više</w:t>
      </w:r>
      <w:r>
        <w:rPr>
          <w:rFonts w:ascii="Calibri" w:hAnsi="Calibri" w:cs="Cambria"/>
        </w:rPr>
        <w:t>,</w:t>
      </w:r>
      <w:r w:rsidRPr="00FB1F6E">
        <w:rPr>
          <w:rFonts w:ascii="Calibri" w:hAnsi="Calibri" w:cs="Cambria"/>
        </w:rPr>
        <w:t xml:space="preserve"> nego u avgustu 2013. godine i za 70,000 l mlijeka više nego u prethodnom, julu mjesecu.</w:t>
      </w:r>
    </w:p>
    <w:p w:rsidR="00664D38" w:rsidRPr="00FB1F6E" w:rsidRDefault="00664D38" w:rsidP="00664D38">
      <w:pPr>
        <w:spacing w:line="360" w:lineRule="auto"/>
        <w:rPr>
          <w:rFonts w:ascii="Calibri" w:hAnsi="Calibri" w:cs="Cambria"/>
        </w:rPr>
      </w:pPr>
    </w:p>
    <w:p w:rsidR="00664D38" w:rsidRDefault="00664D38" w:rsidP="00664D38">
      <w:pPr>
        <w:spacing w:line="360" w:lineRule="auto"/>
        <w:jc w:val="both"/>
        <w:rPr>
          <w:rFonts w:ascii="Calibri" w:hAnsi="Calibri" w:cs="Cambria"/>
        </w:rPr>
      </w:pPr>
      <w:r w:rsidRPr="00FB1F6E">
        <w:rPr>
          <w:rFonts w:ascii="Calibri" w:hAnsi="Calibri" w:cs="Cambria"/>
        </w:rPr>
        <w:t xml:space="preserve">Od početka godine do 01. septembra ukupno je otkupljeno </w:t>
      </w:r>
      <w:r>
        <w:rPr>
          <w:rFonts w:ascii="Calibri" w:hAnsi="Calibri" w:cs="Cambria"/>
        </w:rPr>
        <w:t>16,6 miliona l</w:t>
      </w:r>
      <w:r w:rsidRPr="00FB1F6E">
        <w:rPr>
          <w:rFonts w:ascii="Calibri" w:hAnsi="Calibri" w:cs="Cambria"/>
        </w:rPr>
        <w:t xml:space="preserve"> mlijeka, što je za 3% više nego u istom period prethodne godine. Sve premije za otkupljeno mlijeko isplaćene su poljoprivrednim proizvođačima. </w:t>
      </w:r>
      <w:r w:rsidRPr="00FB1F6E">
        <w:rPr>
          <w:rFonts w:ascii="Calibri" w:hAnsi="Calibri" w:cs="Calibri"/>
          <w:szCs w:val="32"/>
          <w:lang w:val="en-US"/>
        </w:rPr>
        <w:t>Broj kooperanata koji su predali mlijeko veći je za 78 u odnosu na prethodni mj</w:t>
      </w:r>
      <w:r>
        <w:rPr>
          <w:rFonts w:ascii="Calibri" w:hAnsi="Calibri" w:cs="Calibri"/>
          <w:szCs w:val="32"/>
          <w:lang w:val="en-US"/>
        </w:rPr>
        <w:t>e</w:t>
      </w:r>
      <w:r w:rsidRPr="00FB1F6E">
        <w:rPr>
          <w:rFonts w:ascii="Calibri" w:hAnsi="Calibri" w:cs="Calibri"/>
          <w:szCs w:val="32"/>
          <w:lang w:val="en-US"/>
        </w:rPr>
        <w:t xml:space="preserve">sec. </w:t>
      </w:r>
      <w:r>
        <w:rPr>
          <w:rFonts w:ascii="Calibri" w:hAnsi="Calibri" w:cs="Cambria"/>
        </w:rPr>
        <w:t>Nadamo se da će do kraja</w:t>
      </w:r>
      <w:r w:rsidRPr="00FB1F6E">
        <w:rPr>
          <w:rFonts w:ascii="Calibri" w:hAnsi="Calibri" w:cs="Cambria"/>
        </w:rPr>
        <w:t xml:space="preserve"> godine </w:t>
      </w:r>
      <w:r>
        <w:rPr>
          <w:rFonts w:ascii="Calibri" w:hAnsi="Calibri" w:cs="Cambria"/>
        </w:rPr>
        <w:t xml:space="preserve">biti </w:t>
      </w:r>
      <w:r w:rsidRPr="00FB1F6E">
        <w:rPr>
          <w:rFonts w:ascii="Calibri" w:hAnsi="Calibri" w:cs="Cambria"/>
        </w:rPr>
        <w:t>probije</w:t>
      </w:r>
      <w:r>
        <w:rPr>
          <w:rFonts w:ascii="Calibri" w:hAnsi="Calibri" w:cs="Cambria"/>
        </w:rPr>
        <w:t>na</w:t>
      </w:r>
      <w:r w:rsidRPr="00FB1F6E">
        <w:rPr>
          <w:rFonts w:ascii="Calibri" w:hAnsi="Calibri" w:cs="Cambria"/>
        </w:rPr>
        <w:t xml:space="preserve"> magičn</w:t>
      </w:r>
      <w:r>
        <w:rPr>
          <w:rFonts w:ascii="Calibri" w:hAnsi="Calibri" w:cs="Cambria"/>
        </w:rPr>
        <w:t>a</w:t>
      </w:r>
      <w:r w:rsidRPr="00FB1F6E">
        <w:rPr>
          <w:rFonts w:ascii="Calibri" w:hAnsi="Calibri" w:cs="Cambria"/>
        </w:rPr>
        <w:t xml:space="preserve"> granic</w:t>
      </w:r>
      <w:r>
        <w:rPr>
          <w:rFonts w:ascii="Calibri" w:hAnsi="Calibri" w:cs="Cambria"/>
        </w:rPr>
        <w:t>a</w:t>
      </w:r>
      <w:r w:rsidRPr="00FB1F6E">
        <w:rPr>
          <w:rFonts w:ascii="Calibri" w:hAnsi="Calibri" w:cs="Cambria"/>
        </w:rPr>
        <w:t xml:space="preserve"> od 25 miliona l</w:t>
      </w:r>
      <w:r>
        <w:rPr>
          <w:rFonts w:ascii="Calibri" w:hAnsi="Calibri" w:cs="Cambria"/>
        </w:rPr>
        <w:t xml:space="preserve"> </w:t>
      </w:r>
      <w:r w:rsidRPr="00FB1F6E">
        <w:rPr>
          <w:rFonts w:ascii="Calibri" w:hAnsi="Calibri" w:cs="Cambria"/>
        </w:rPr>
        <w:t>mlijeka.</w:t>
      </w:r>
    </w:p>
    <w:p w:rsidR="00664D38" w:rsidRPr="00FB1F6E" w:rsidRDefault="00664D38" w:rsidP="00664D38">
      <w:pPr>
        <w:spacing w:line="360" w:lineRule="auto"/>
        <w:jc w:val="both"/>
        <w:rPr>
          <w:rFonts w:ascii="Calibri" w:hAnsi="Calibri" w:cs="Cambria"/>
        </w:rPr>
      </w:pPr>
    </w:p>
    <w:p w:rsidR="00664D38" w:rsidRPr="00927EA2" w:rsidRDefault="00664D38" w:rsidP="00664D38">
      <w:pPr>
        <w:rPr>
          <w:rFonts w:ascii="Calibri" w:hAnsi="Calibri" w:cs="Cambria"/>
          <w:i/>
          <w:sz w:val="22"/>
        </w:rPr>
      </w:pPr>
      <w:r w:rsidRPr="00927EA2">
        <w:rPr>
          <w:rFonts w:ascii="Calibri" w:hAnsi="Calibri" w:cs="Cambria"/>
          <w:sz w:val="22"/>
        </w:rPr>
        <w:t xml:space="preserve">Tabela </w:t>
      </w:r>
      <w:r>
        <w:rPr>
          <w:rFonts w:ascii="Calibri" w:hAnsi="Calibri" w:cs="Cambria"/>
          <w:sz w:val="22"/>
        </w:rPr>
        <w:t>2</w:t>
      </w:r>
      <w:r w:rsidRPr="00927EA2">
        <w:rPr>
          <w:rFonts w:ascii="Calibri" w:hAnsi="Calibri" w:cs="Cambria"/>
          <w:sz w:val="22"/>
        </w:rPr>
        <w:t xml:space="preserve">: </w:t>
      </w:r>
      <w:r w:rsidRPr="00927EA2">
        <w:rPr>
          <w:rFonts w:ascii="Calibri" w:hAnsi="Calibri" w:cs="Cambria"/>
          <w:i/>
          <w:sz w:val="22"/>
        </w:rPr>
        <w:t>Otkupljene količine mlijeka u prvih osam mjeseci 2014. godine</w:t>
      </w:r>
    </w:p>
    <w:tbl>
      <w:tblPr>
        <w:tblW w:w="8576" w:type="dxa"/>
        <w:tblInd w:w="98" w:type="dxa"/>
        <w:tblBorders>
          <w:top w:val="single" w:sz="12" w:space="0" w:color="008000"/>
          <w:left w:val="nil"/>
          <w:bottom w:val="single" w:sz="12" w:space="0" w:color="008000"/>
          <w:right w:val="nil"/>
          <w:insideH w:val="nil"/>
          <w:insideV w:val="nil"/>
        </w:tblBorders>
        <w:tblLook w:val="00BF"/>
      </w:tblPr>
      <w:tblGrid>
        <w:gridCol w:w="1032"/>
        <w:gridCol w:w="1330"/>
        <w:gridCol w:w="1330"/>
        <w:gridCol w:w="1570"/>
        <w:gridCol w:w="1855"/>
        <w:gridCol w:w="1459"/>
      </w:tblGrid>
      <w:tr w:rsidR="00664D38" w:rsidRPr="006B644B">
        <w:trPr>
          <w:trHeight w:val="130"/>
        </w:trPr>
        <w:tc>
          <w:tcPr>
            <w:tcW w:w="1032" w:type="dxa"/>
            <w:tcBorders>
              <w:bottom w:val="single" w:sz="6" w:space="0" w:color="008000"/>
            </w:tcBorders>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 </w:t>
            </w:r>
          </w:p>
        </w:tc>
        <w:tc>
          <w:tcPr>
            <w:tcW w:w="1330" w:type="dxa"/>
            <w:tcBorders>
              <w:bottom w:val="single" w:sz="6" w:space="0" w:color="008000"/>
            </w:tcBorders>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2013</w:t>
            </w:r>
          </w:p>
        </w:tc>
        <w:tc>
          <w:tcPr>
            <w:tcW w:w="1330" w:type="dxa"/>
            <w:tcBorders>
              <w:bottom w:val="single" w:sz="6" w:space="0" w:color="008000"/>
            </w:tcBorders>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2014</w:t>
            </w:r>
          </w:p>
        </w:tc>
        <w:tc>
          <w:tcPr>
            <w:tcW w:w="1570" w:type="dxa"/>
            <w:tcBorders>
              <w:bottom w:val="single" w:sz="6" w:space="0" w:color="008000"/>
            </w:tcBorders>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Apsolutni rast</w:t>
            </w:r>
          </w:p>
        </w:tc>
        <w:tc>
          <w:tcPr>
            <w:tcW w:w="1855" w:type="dxa"/>
            <w:tcBorders>
              <w:bottom w:val="single" w:sz="6" w:space="0" w:color="008000"/>
            </w:tcBorders>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Procentulani rast</w:t>
            </w:r>
          </w:p>
        </w:tc>
        <w:tc>
          <w:tcPr>
            <w:tcW w:w="1459" w:type="dxa"/>
            <w:tcBorders>
              <w:bottom w:val="single" w:sz="6" w:space="0" w:color="008000"/>
            </w:tcBorders>
            <w:shd w:val="clear" w:color="auto" w:fill="auto"/>
            <w:noWrap/>
            <w:vAlign w:val="bottom"/>
          </w:tcPr>
          <w:p w:rsidR="00664D38" w:rsidRPr="006B644B" w:rsidRDefault="00664D38" w:rsidP="00664D38">
            <w:pPr>
              <w:jc w:val="right"/>
              <w:rPr>
                <w:rFonts w:ascii="Calibri" w:hAnsi="Calibri"/>
                <w:b/>
                <w:sz w:val="20"/>
                <w:lang w:val="en-US"/>
              </w:rPr>
            </w:pPr>
            <w:r w:rsidRPr="006B644B">
              <w:rPr>
                <w:rFonts w:ascii="Calibri" w:hAnsi="Calibri"/>
                <w:b/>
                <w:sz w:val="20"/>
                <w:lang w:val="en-US"/>
              </w:rPr>
              <w:t>Broj farmera</w:t>
            </w:r>
          </w:p>
        </w:tc>
      </w:tr>
      <w:tr w:rsidR="00664D38" w:rsidRPr="006B644B">
        <w:trPr>
          <w:trHeight w:val="280"/>
        </w:trPr>
        <w:tc>
          <w:tcPr>
            <w:tcW w:w="1032" w:type="dxa"/>
            <w:tcBorders>
              <w:top w:val="single" w:sz="6" w:space="0" w:color="008000"/>
            </w:tcBorders>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Januar</w:t>
            </w:r>
          </w:p>
        </w:tc>
        <w:tc>
          <w:tcPr>
            <w:tcW w:w="1330" w:type="dxa"/>
            <w:tcBorders>
              <w:top w:val="single" w:sz="6" w:space="0" w:color="008000"/>
            </w:tcBorders>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1,854,409</w:t>
            </w:r>
          </w:p>
        </w:tc>
        <w:tc>
          <w:tcPr>
            <w:tcW w:w="1330" w:type="dxa"/>
            <w:tcBorders>
              <w:top w:val="single" w:sz="6" w:space="0" w:color="008000"/>
            </w:tcBorders>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1,933,044</w:t>
            </w:r>
          </w:p>
        </w:tc>
        <w:tc>
          <w:tcPr>
            <w:tcW w:w="1570" w:type="dxa"/>
            <w:tcBorders>
              <w:top w:val="single" w:sz="6" w:space="0" w:color="008000"/>
            </w:tcBorders>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78,635</w:t>
            </w:r>
          </w:p>
        </w:tc>
        <w:tc>
          <w:tcPr>
            <w:tcW w:w="1855" w:type="dxa"/>
            <w:tcBorders>
              <w:top w:val="single" w:sz="6" w:space="0" w:color="008000"/>
            </w:tcBorders>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4.24%</w:t>
            </w:r>
          </w:p>
        </w:tc>
        <w:tc>
          <w:tcPr>
            <w:tcW w:w="1459" w:type="dxa"/>
            <w:tcBorders>
              <w:top w:val="single" w:sz="6" w:space="0" w:color="008000"/>
            </w:tcBorders>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2,664</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Februar</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1,692,151</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1,789,639</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97,488</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5.76%</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2,715</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mart</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1,844,558</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1,969,271</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124,713</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6.76%</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2,699</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april</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1,915,333</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1,976,805</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61,472</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3.21%</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2,715</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maj</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2,116,055</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2,032,920</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-83,135</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-3.93%</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2,656</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jun</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2,174,706</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2,194,721</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20,015</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0.92%</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2,738</w:t>
            </w:r>
          </w:p>
        </w:tc>
      </w:tr>
      <w:tr w:rsidR="00664D38" w:rsidRPr="006B644B">
        <w:trPr>
          <w:trHeight w:val="280"/>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jul</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2,280,626</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2,311,896</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31,270</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1.37%</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2,772</w:t>
            </w:r>
          </w:p>
        </w:tc>
      </w:tr>
      <w:tr w:rsidR="00664D38" w:rsidRPr="006B644B">
        <w:trPr>
          <w:trHeight w:val="142"/>
        </w:trPr>
        <w:tc>
          <w:tcPr>
            <w:tcW w:w="1032" w:type="dxa"/>
            <w:shd w:val="clear" w:color="auto" w:fill="auto"/>
          </w:tcPr>
          <w:p w:rsidR="00664D38" w:rsidRPr="006B644B" w:rsidRDefault="00664D38" w:rsidP="00664D38">
            <w:pPr>
              <w:rPr>
                <w:rFonts w:ascii="Calibri" w:hAnsi="Calibri"/>
                <w:sz w:val="20"/>
                <w:lang w:val="en-US"/>
              </w:rPr>
            </w:pPr>
            <w:r w:rsidRPr="006B644B">
              <w:rPr>
                <w:rFonts w:ascii="Calibri" w:hAnsi="Calibri"/>
                <w:sz w:val="20"/>
                <w:lang w:val="en-US"/>
              </w:rPr>
              <w:t>avgust</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2,233,429</w:t>
            </w:r>
          </w:p>
        </w:tc>
        <w:tc>
          <w:tcPr>
            <w:tcW w:w="133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2,388,183</w:t>
            </w:r>
          </w:p>
        </w:tc>
        <w:tc>
          <w:tcPr>
            <w:tcW w:w="1570" w:type="dxa"/>
            <w:shd w:val="clear" w:color="auto" w:fill="auto"/>
          </w:tcPr>
          <w:p w:rsidR="00664D38" w:rsidRPr="006B644B" w:rsidRDefault="00664D38" w:rsidP="00664D38">
            <w:pPr>
              <w:jc w:val="right"/>
              <w:rPr>
                <w:rFonts w:ascii="Calibri" w:hAnsi="Calibri"/>
                <w:sz w:val="20"/>
                <w:lang w:val="en-US"/>
              </w:rPr>
            </w:pPr>
            <w:r w:rsidRPr="006B644B">
              <w:rPr>
                <w:rFonts w:ascii="Calibri" w:hAnsi="Calibri"/>
                <w:sz w:val="20"/>
                <w:lang w:val="en-US"/>
              </w:rPr>
              <w:t>154,754</w:t>
            </w:r>
          </w:p>
        </w:tc>
        <w:tc>
          <w:tcPr>
            <w:tcW w:w="1855" w:type="dxa"/>
            <w:shd w:val="clear" w:color="auto" w:fill="auto"/>
          </w:tcPr>
          <w:p w:rsidR="00664D38" w:rsidRPr="006B644B" w:rsidRDefault="00664D38" w:rsidP="00664D38">
            <w:pPr>
              <w:jc w:val="center"/>
              <w:rPr>
                <w:rFonts w:ascii="Calibri" w:hAnsi="Calibri"/>
                <w:sz w:val="20"/>
                <w:lang w:val="en-US"/>
              </w:rPr>
            </w:pPr>
            <w:r w:rsidRPr="006B644B">
              <w:rPr>
                <w:rFonts w:ascii="Calibri" w:hAnsi="Calibri"/>
                <w:sz w:val="20"/>
                <w:lang w:val="en-US"/>
              </w:rPr>
              <w:t>6.93%</w:t>
            </w:r>
          </w:p>
        </w:tc>
        <w:tc>
          <w:tcPr>
            <w:tcW w:w="1459" w:type="dxa"/>
            <w:shd w:val="clear" w:color="auto" w:fill="auto"/>
            <w:noWrap/>
            <w:vAlign w:val="bottom"/>
          </w:tcPr>
          <w:p w:rsidR="00664D38" w:rsidRPr="006B644B" w:rsidRDefault="00664D38" w:rsidP="00664D38">
            <w:pPr>
              <w:jc w:val="center"/>
              <w:rPr>
                <w:rFonts w:ascii="Calibri" w:hAnsi="Calibri"/>
                <w:sz w:val="20"/>
                <w:lang w:val="en-US"/>
              </w:rPr>
            </w:pPr>
            <w:r w:rsidRPr="006B644B">
              <w:rPr>
                <w:rFonts w:ascii="Calibri" w:hAnsi="Calibri"/>
                <w:sz w:val="20"/>
                <w:lang w:val="en-US"/>
              </w:rPr>
              <w:t>2,850</w:t>
            </w:r>
          </w:p>
        </w:tc>
      </w:tr>
      <w:tr w:rsidR="00664D38" w:rsidRPr="006B644B">
        <w:trPr>
          <w:trHeight w:val="300"/>
        </w:trPr>
        <w:tc>
          <w:tcPr>
            <w:tcW w:w="1032" w:type="dxa"/>
            <w:shd w:val="clear" w:color="auto" w:fill="auto"/>
          </w:tcPr>
          <w:p w:rsidR="00664D38" w:rsidRPr="006B644B" w:rsidRDefault="00664D38" w:rsidP="00664D38">
            <w:pPr>
              <w:rPr>
                <w:rFonts w:ascii="Calibri" w:hAnsi="Calibri"/>
                <w:b/>
                <w:sz w:val="20"/>
                <w:lang w:val="en-US"/>
              </w:rPr>
            </w:pPr>
            <w:r w:rsidRPr="006B644B">
              <w:rPr>
                <w:rFonts w:ascii="Calibri" w:hAnsi="Calibri"/>
                <w:b/>
                <w:sz w:val="20"/>
                <w:lang w:val="en-US"/>
              </w:rPr>
              <w:t>Ukupno</w:t>
            </w:r>
          </w:p>
        </w:tc>
        <w:tc>
          <w:tcPr>
            <w:tcW w:w="1330" w:type="dxa"/>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16,111,267</w:t>
            </w:r>
          </w:p>
        </w:tc>
        <w:tc>
          <w:tcPr>
            <w:tcW w:w="1330" w:type="dxa"/>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16,596,479</w:t>
            </w:r>
          </w:p>
        </w:tc>
        <w:tc>
          <w:tcPr>
            <w:tcW w:w="1570" w:type="dxa"/>
            <w:shd w:val="clear" w:color="auto" w:fill="auto"/>
          </w:tcPr>
          <w:p w:rsidR="00664D38" w:rsidRPr="006B644B" w:rsidRDefault="00664D38" w:rsidP="00664D38">
            <w:pPr>
              <w:jc w:val="right"/>
              <w:rPr>
                <w:rFonts w:ascii="Calibri" w:hAnsi="Calibri"/>
                <w:b/>
                <w:sz w:val="20"/>
                <w:lang w:val="en-US"/>
              </w:rPr>
            </w:pPr>
            <w:r w:rsidRPr="006B644B">
              <w:rPr>
                <w:rFonts w:ascii="Calibri" w:hAnsi="Calibri"/>
                <w:b/>
                <w:sz w:val="20"/>
                <w:lang w:val="en-US"/>
              </w:rPr>
              <w:t>485,212</w:t>
            </w:r>
          </w:p>
        </w:tc>
        <w:tc>
          <w:tcPr>
            <w:tcW w:w="1855" w:type="dxa"/>
            <w:shd w:val="clear" w:color="auto" w:fill="auto"/>
          </w:tcPr>
          <w:p w:rsidR="00664D38" w:rsidRPr="006B644B" w:rsidRDefault="00664D38" w:rsidP="00664D38">
            <w:pPr>
              <w:jc w:val="center"/>
              <w:rPr>
                <w:rFonts w:ascii="Calibri" w:hAnsi="Calibri"/>
                <w:b/>
                <w:sz w:val="20"/>
                <w:lang w:val="en-US"/>
              </w:rPr>
            </w:pPr>
            <w:r w:rsidRPr="006B644B">
              <w:rPr>
                <w:rFonts w:ascii="Calibri" w:hAnsi="Calibri"/>
                <w:b/>
                <w:sz w:val="20"/>
                <w:lang w:val="en-US"/>
              </w:rPr>
              <w:t>3.01%</w:t>
            </w:r>
          </w:p>
        </w:tc>
        <w:tc>
          <w:tcPr>
            <w:tcW w:w="1459" w:type="dxa"/>
            <w:shd w:val="clear" w:color="auto" w:fill="auto"/>
            <w:noWrap/>
            <w:vAlign w:val="bottom"/>
          </w:tcPr>
          <w:p w:rsidR="00664D38" w:rsidRPr="006B644B" w:rsidRDefault="00664D38" w:rsidP="00664D38">
            <w:pPr>
              <w:jc w:val="center"/>
              <w:rPr>
                <w:rFonts w:ascii="Calibri" w:hAnsi="Calibri"/>
                <w:b/>
                <w:sz w:val="20"/>
                <w:lang w:val="en-US"/>
              </w:rPr>
            </w:pPr>
            <w:r w:rsidRPr="006B644B">
              <w:rPr>
                <w:rFonts w:ascii="Calibri" w:hAnsi="Calibri"/>
                <w:b/>
                <w:sz w:val="20"/>
                <w:lang w:val="en-US"/>
              </w:rPr>
              <w:t> </w:t>
            </w:r>
          </w:p>
        </w:tc>
      </w:tr>
    </w:tbl>
    <w:p w:rsidR="00664D38" w:rsidRPr="00410C91" w:rsidRDefault="00664D38" w:rsidP="00664D38">
      <w:pPr>
        <w:widowControl w:val="0"/>
        <w:autoSpaceDE w:val="0"/>
        <w:autoSpaceDN w:val="0"/>
        <w:adjustRightInd w:val="0"/>
        <w:spacing w:line="360" w:lineRule="auto"/>
        <w:jc w:val="both"/>
        <w:rPr>
          <w:rFonts w:ascii="Calibri" w:hAnsi="Calibri" w:cs="Calibri"/>
          <w:sz w:val="16"/>
          <w:szCs w:val="30"/>
          <w:lang w:val="en-US"/>
        </w:rPr>
      </w:pPr>
      <w:r w:rsidRPr="00410C91">
        <w:rPr>
          <w:rFonts w:ascii="Calibri" w:hAnsi="Calibri" w:cs="Calibri"/>
          <w:sz w:val="16"/>
          <w:szCs w:val="30"/>
          <w:lang w:val="en-US"/>
        </w:rPr>
        <w:t>Izvor</w:t>
      </w:r>
      <w:r>
        <w:rPr>
          <w:rFonts w:ascii="Calibri" w:hAnsi="Calibri" w:cs="Calibri"/>
          <w:sz w:val="16"/>
          <w:szCs w:val="30"/>
          <w:lang w:val="en-US"/>
        </w:rPr>
        <w:t>: Ministartstvo poljoprivrede i ruralnog razvoja</w:t>
      </w:r>
      <w:r w:rsidRPr="00410C91">
        <w:rPr>
          <w:rFonts w:ascii="Calibri" w:hAnsi="Calibri" w:cs="Calibri"/>
          <w:sz w:val="16"/>
          <w:szCs w:val="30"/>
          <w:lang w:val="en-US"/>
        </w:rPr>
        <w:t xml:space="preserve"> </w:t>
      </w:r>
    </w:p>
    <w:p w:rsidR="00664D38" w:rsidRDefault="00664D38" w:rsidP="00664D38">
      <w:pPr>
        <w:spacing w:line="360" w:lineRule="auto"/>
        <w:jc w:val="both"/>
        <w:rPr>
          <w:rFonts w:ascii="Calibri" w:hAnsi="Calibri" w:cs="Calibri"/>
          <w:b/>
          <w:color w:val="BF0034"/>
          <w:szCs w:val="30"/>
          <w:lang w:val="en-US"/>
        </w:rPr>
      </w:pPr>
    </w:p>
    <w:p w:rsidR="00664D38" w:rsidRPr="00933CB1"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OTKUP J</w:t>
      </w:r>
      <w:r w:rsidRPr="002F2B45">
        <w:rPr>
          <w:rFonts w:ascii="Calibri" w:hAnsi="Calibri" w:cs="Calibri"/>
          <w:b/>
          <w:color w:val="CC0021"/>
          <w:szCs w:val="30"/>
          <w:lang w:val="en-US"/>
        </w:rPr>
        <w:t>A</w:t>
      </w:r>
      <w:r>
        <w:rPr>
          <w:rFonts w:ascii="Calibri" w:hAnsi="Calibri" w:cs="Calibri"/>
          <w:b/>
          <w:color w:val="CC0021"/>
          <w:szCs w:val="30"/>
          <w:lang w:val="en-US"/>
        </w:rPr>
        <w:t>GNJADI</w:t>
      </w:r>
    </w:p>
    <w:p w:rsidR="00664D38" w:rsidRPr="006C7A33" w:rsidRDefault="00664D38" w:rsidP="00664D38">
      <w:pPr>
        <w:pStyle w:val="ColorfulList-Accent1"/>
        <w:spacing w:line="360" w:lineRule="auto"/>
        <w:ind w:left="0"/>
        <w:jc w:val="both"/>
        <w:rPr>
          <w:rFonts w:ascii="Calibri" w:hAnsi="Calibri" w:cs="Arial"/>
        </w:rPr>
      </w:pPr>
      <w:r w:rsidRPr="00933CB1">
        <w:rPr>
          <w:rFonts w:ascii="Calibri" w:hAnsi="Calibri" w:cs="Arial"/>
        </w:rPr>
        <w:t xml:space="preserve">Otkup jagnjadi </w:t>
      </w:r>
      <w:r>
        <w:rPr>
          <w:rFonts w:ascii="Calibri" w:hAnsi="Calibri" w:cs="Arial"/>
        </w:rPr>
        <w:t>za</w:t>
      </w:r>
      <w:r w:rsidRPr="00933CB1">
        <w:rPr>
          <w:rFonts w:ascii="Calibri" w:hAnsi="Calibri" w:cs="Arial"/>
        </w:rPr>
        <w:t>poče</w:t>
      </w:r>
      <w:r>
        <w:rPr>
          <w:rFonts w:ascii="Calibri" w:hAnsi="Calibri" w:cs="Arial"/>
        </w:rPr>
        <w:t>t</w:t>
      </w:r>
      <w:r w:rsidRPr="00933CB1">
        <w:rPr>
          <w:rFonts w:ascii="Calibri" w:hAnsi="Calibri" w:cs="Arial"/>
        </w:rPr>
        <w:t xml:space="preserve"> </w:t>
      </w:r>
      <w:r>
        <w:rPr>
          <w:rFonts w:ascii="Calibri" w:hAnsi="Calibri" w:cs="Arial"/>
        </w:rPr>
        <w:t xml:space="preserve">je </w:t>
      </w:r>
      <w:r w:rsidRPr="00933CB1">
        <w:rPr>
          <w:rFonts w:ascii="Calibri" w:hAnsi="Calibri" w:cs="Arial"/>
        </w:rPr>
        <w:t>15.09.2014</w:t>
      </w:r>
      <w:r>
        <w:rPr>
          <w:rFonts w:ascii="Calibri" w:hAnsi="Calibri" w:cs="Arial"/>
        </w:rPr>
        <w:t>.</w:t>
      </w:r>
      <w:r w:rsidRPr="00933CB1">
        <w:rPr>
          <w:rFonts w:ascii="Calibri" w:hAnsi="Calibri" w:cs="Arial"/>
        </w:rPr>
        <w:t xml:space="preserve"> </w:t>
      </w:r>
      <w:r>
        <w:rPr>
          <w:rFonts w:ascii="Calibri" w:hAnsi="Calibri" w:cs="Arial"/>
        </w:rPr>
        <w:t>godine.</w:t>
      </w:r>
      <w:r w:rsidRPr="00933CB1">
        <w:rPr>
          <w:rFonts w:ascii="Calibri" w:hAnsi="Calibri" w:cs="Arial"/>
        </w:rPr>
        <w:t xml:space="preserve"> </w:t>
      </w:r>
      <w:r>
        <w:rPr>
          <w:rFonts w:ascii="Calibri" w:hAnsi="Calibri" w:cs="Arial"/>
        </w:rPr>
        <w:t>Zaključno sa</w:t>
      </w:r>
      <w:r w:rsidRPr="00933CB1">
        <w:rPr>
          <w:rFonts w:ascii="Calibri" w:hAnsi="Calibri" w:cs="Arial"/>
        </w:rPr>
        <w:t xml:space="preserve"> 26.</w:t>
      </w:r>
      <w:r>
        <w:rPr>
          <w:rFonts w:ascii="Calibri" w:hAnsi="Calibri" w:cs="Arial"/>
        </w:rPr>
        <w:t xml:space="preserve">09. </w:t>
      </w:r>
      <w:r w:rsidRPr="00933CB1">
        <w:rPr>
          <w:rFonts w:ascii="Calibri" w:hAnsi="Calibri" w:cs="Arial"/>
        </w:rPr>
        <w:t>otkupljeno je i isporučeno penzionerima 4</w:t>
      </w:r>
      <w:r>
        <w:rPr>
          <w:rFonts w:ascii="Calibri" w:hAnsi="Calibri" w:cs="Arial"/>
        </w:rPr>
        <w:t>.</w:t>
      </w:r>
      <w:r w:rsidRPr="00933CB1">
        <w:rPr>
          <w:rFonts w:ascii="Calibri" w:hAnsi="Calibri" w:cs="Arial"/>
        </w:rPr>
        <w:t>090 komada</w:t>
      </w:r>
      <w:r>
        <w:rPr>
          <w:rFonts w:ascii="Calibri" w:hAnsi="Calibri" w:cs="Arial"/>
        </w:rPr>
        <w:t xml:space="preserve"> (ili oko 25% planiranog otkupa).</w:t>
      </w:r>
      <w:r w:rsidRPr="00933CB1">
        <w:rPr>
          <w:rFonts w:ascii="Calibri" w:hAnsi="Calibri" w:cs="Arial"/>
        </w:rPr>
        <w:t xml:space="preserve"> Otkup se odvija u mjesnim zajednicama</w:t>
      </w:r>
      <w:r>
        <w:rPr>
          <w:rFonts w:ascii="Calibri" w:hAnsi="Calibri" w:cs="Arial"/>
        </w:rPr>
        <w:t>,</w:t>
      </w:r>
      <w:r w:rsidRPr="00933CB1">
        <w:rPr>
          <w:rFonts w:ascii="Calibri" w:hAnsi="Calibri" w:cs="Arial"/>
        </w:rPr>
        <w:t xml:space="preserve"> po opštinama</w:t>
      </w:r>
      <w:r>
        <w:rPr>
          <w:rFonts w:ascii="Calibri" w:hAnsi="Calibri" w:cs="Arial"/>
        </w:rPr>
        <w:t xml:space="preserve">, na osnovu </w:t>
      </w:r>
      <w:r w:rsidRPr="00933CB1">
        <w:rPr>
          <w:rFonts w:ascii="Calibri" w:hAnsi="Calibri" w:cs="Arial"/>
        </w:rPr>
        <w:t>raspored</w:t>
      </w:r>
      <w:r>
        <w:rPr>
          <w:rFonts w:ascii="Calibri" w:hAnsi="Calibri" w:cs="Arial"/>
        </w:rPr>
        <w:t>a</w:t>
      </w:r>
      <w:r w:rsidRPr="00933CB1">
        <w:rPr>
          <w:rFonts w:ascii="Calibri" w:hAnsi="Calibri" w:cs="Arial"/>
        </w:rPr>
        <w:t xml:space="preserve"> </w:t>
      </w:r>
      <w:r>
        <w:rPr>
          <w:rFonts w:ascii="Calibri" w:hAnsi="Calibri" w:cs="Arial"/>
        </w:rPr>
        <w:t xml:space="preserve">koji su pripremile kompanije: </w:t>
      </w:r>
      <w:r w:rsidRPr="009C7304">
        <w:rPr>
          <w:rFonts w:ascii="Calibri" w:hAnsi="Calibri" w:cs="Arial"/>
          <w:i/>
        </w:rPr>
        <w:t>Goranović</w:t>
      </w:r>
      <w:r>
        <w:rPr>
          <w:rFonts w:ascii="Calibri" w:hAnsi="Calibri" w:cs="Arial"/>
        </w:rPr>
        <w:t xml:space="preserve">, </w:t>
      </w:r>
      <w:r w:rsidRPr="009C7304">
        <w:rPr>
          <w:rFonts w:ascii="Calibri" w:hAnsi="Calibri" w:cs="Arial"/>
          <w:i/>
        </w:rPr>
        <w:t xml:space="preserve">Franca </w:t>
      </w:r>
      <w:r>
        <w:rPr>
          <w:rFonts w:ascii="Calibri" w:hAnsi="Calibri" w:cs="Arial"/>
        </w:rPr>
        <w:t xml:space="preserve">i </w:t>
      </w:r>
      <w:r w:rsidRPr="009C7304">
        <w:rPr>
          <w:rFonts w:ascii="Calibri" w:hAnsi="Calibri" w:cs="Arial"/>
          <w:i/>
        </w:rPr>
        <w:t>Gradina</w:t>
      </w:r>
      <w:r>
        <w:rPr>
          <w:rFonts w:ascii="Calibri" w:hAnsi="Calibri" w:cs="Arial"/>
        </w:rPr>
        <w:t>.</w:t>
      </w:r>
      <w:r w:rsidRPr="00933CB1">
        <w:rPr>
          <w:rFonts w:ascii="Calibri" w:hAnsi="Calibri" w:cs="Arial"/>
        </w:rPr>
        <w:t xml:space="preserve"> </w:t>
      </w:r>
      <w:r>
        <w:rPr>
          <w:rFonts w:ascii="Calibri" w:hAnsi="Calibri" w:cs="Arial"/>
        </w:rPr>
        <w:t>O</w:t>
      </w:r>
      <w:r w:rsidRPr="00933CB1">
        <w:rPr>
          <w:rFonts w:ascii="Calibri" w:hAnsi="Calibri" w:cs="Arial"/>
        </w:rPr>
        <w:t>tkupne cijene se poštuju shodno ugovoru</w:t>
      </w:r>
      <w:r>
        <w:rPr>
          <w:rFonts w:ascii="Calibri" w:hAnsi="Calibri" w:cs="Arial"/>
        </w:rPr>
        <w:t xml:space="preserve">. Podsjetiću da je otkupna cijena </w:t>
      </w:r>
      <w:r w:rsidRPr="00933CB1">
        <w:rPr>
          <w:rFonts w:ascii="Calibri" w:hAnsi="Calibri" w:cs="Arial"/>
        </w:rPr>
        <w:t>2,30/kg žive mjere</w:t>
      </w:r>
      <w:r>
        <w:rPr>
          <w:rFonts w:ascii="Calibri" w:hAnsi="Calibri" w:cs="Arial"/>
        </w:rPr>
        <w:t>,</w:t>
      </w:r>
      <w:r w:rsidRPr="00933CB1">
        <w:rPr>
          <w:rFonts w:ascii="Calibri" w:hAnsi="Calibri" w:cs="Arial"/>
        </w:rPr>
        <w:t xml:space="preserve"> uz 4% kal</w:t>
      </w:r>
      <w:r>
        <w:rPr>
          <w:rFonts w:ascii="Calibri" w:hAnsi="Calibri" w:cs="Arial"/>
        </w:rPr>
        <w:t>a</w:t>
      </w:r>
      <w:r w:rsidRPr="00933CB1">
        <w:rPr>
          <w:rFonts w:ascii="Calibri" w:hAnsi="Calibri" w:cs="Arial"/>
        </w:rPr>
        <w:t xml:space="preserve">. </w:t>
      </w:r>
      <w:r>
        <w:rPr>
          <w:rFonts w:ascii="Calibri" w:hAnsi="Calibri" w:cs="Arial"/>
        </w:rPr>
        <w:t>Z</w:t>
      </w:r>
      <w:r w:rsidRPr="00933CB1">
        <w:rPr>
          <w:rFonts w:ascii="Calibri" w:hAnsi="Calibri" w:cs="Arial"/>
        </w:rPr>
        <w:t>a sada nema primjedbi od strane poljoprivrednih proizvođača.</w:t>
      </w:r>
      <w:r>
        <w:rPr>
          <w:rFonts w:ascii="Calibri" w:hAnsi="Calibri" w:cs="Arial"/>
        </w:rPr>
        <w:t xml:space="preserve"> Međutim, lično nisam zadovoljan dinamikom otkupa i zahtijevam da se na terenu radi brže i organizovanije.</w:t>
      </w:r>
    </w:p>
    <w:p w:rsidR="00664D38" w:rsidRDefault="00664D38" w:rsidP="00664D38">
      <w:pPr>
        <w:spacing w:line="360" w:lineRule="auto"/>
        <w:jc w:val="both"/>
        <w:rPr>
          <w:rFonts w:ascii="Calibri" w:hAnsi="Calibri" w:cs="Calibri"/>
          <w:b/>
          <w:color w:val="BF0034"/>
          <w:szCs w:val="30"/>
          <w:lang w:val="en-US"/>
        </w:rPr>
      </w:pPr>
    </w:p>
    <w:p w:rsidR="001C0324" w:rsidRPr="00FB1F6E" w:rsidRDefault="001C0324" w:rsidP="00664D38">
      <w:pPr>
        <w:spacing w:line="360" w:lineRule="auto"/>
        <w:jc w:val="both"/>
        <w:rPr>
          <w:rFonts w:ascii="Calibri" w:hAnsi="Calibri"/>
        </w:rPr>
      </w:pPr>
    </w:p>
    <w:p w:rsidR="00664D38" w:rsidRPr="000C60DC" w:rsidRDefault="00664D38" w:rsidP="00664D38">
      <w:pPr>
        <w:numPr>
          <w:ilvl w:val="0"/>
          <w:numId w:val="1"/>
        </w:numPr>
        <w:spacing w:line="360" w:lineRule="auto"/>
        <w:jc w:val="both"/>
        <w:rPr>
          <w:rFonts w:ascii="Calibri" w:hAnsi="Calibri"/>
          <w:b/>
          <w:color w:val="CC0021"/>
        </w:rPr>
      </w:pPr>
      <w:r w:rsidRPr="00661DE3">
        <w:rPr>
          <w:rFonts w:ascii="Calibri" w:hAnsi="Calibri" w:cs="Calibri"/>
          <w:b/>
          <w:color w:val="CC0021"/>
          <w:szCs w:val="30"/>
          <w:lang w:val="en-US"/>
        </w:rPr>
        <w:t>PREGOVARAČKA</w:t>
      </w:r>
      <w:r>
        <w:rPr>
          <w:rFonts w:ascii="Calibri" w:hAnsi="Calibri" w:cs="Calibri"/>
          <w:b/>
          <w:color w:val="CC0021"/>
          <w:szCs w:val="30"/>
          <w:lang w:val="en-US"/>
        </w:rPr>
        <w:t xml:space="preserve"> POGLAVLJA 11, 12 i 13</w:t>
      </w:r>
    </w:p>
    <w:p w:rsidR="00664D38" w:rsidRPr="00265689" w:rsidRDefault="00664D38" w:rsidP="00664D38">
      <w:pPr>
        <w:spacing w:line="360" w:lineRule="auto"/>
        <w:jc w:val="both"/>
        <w:rPr>
          <w:rFonts w:ascii="Calibri" w:hAnsi="Calibri"/>
          <w:lang w:val="hr-HR"/>
        </w:rPr>
      </w:pPr>
      <w:r w:rsidRPr="00265689">
        <w:rPr>
          <w:rFonts w:ascii="Calibri" w:hAnsi="Calibri"/>
          <w:lang w:val="hr-HR"/>
        </w:rPr>
        <w:t xml:space="preserve">PP 11 - EK </w:t>
      </w:r>
      <w:r>
        <w:rPr>
          <w:rFonts w:ascii="Calibri" w:hAnsi="Calibri"/>
          <w:lang w:val="hr-HR"/>
        </w:rPr>
        <w:t xml:space="preserve">je </w:t>
      </w:r>
      <w:r w:rsidRPr="00265689">
        <w:rPr>
          <w:rFonts w:ascii="Calibri" w:hAnsi="Calibri"/>
          <w:lang w:val="hr-HR"/>
        </w:rPr>
        <w:t>pozitivno ocijen</w:t>
      </w:r>
      <w:r>
        <w:rPr>
          <w:rFonts w:ascii="Calibri" w:hAnsi="Calibri"/>
          <w:lang w:val="hr-HR"/>
        </w:rPr>
        <w:t xml:space="preserve">ila </w:t>
      </w:r>
      <w:r w:rsidRPr="001418C3">
        <w:rPr>
          <w:rFonts w:ascii="Calibri" w:hAnsi="Calibri"/>
          <w:b/>
          <w:i/>
          <w:lang w:val="hr-HR"/>
        </w:rPr>
        <w:t>Nacrt Strategije za poljoprivredu i ruralni razvoj</w:t>
      </w:r>
      <w:r w:rsidRPr="001418C3">
        <w:rPr>
          <w:rFonts w:ascii="Calibri" w:hAnsi="Calibri"/>
          <w:b/>
          <w:lang w:val="hr-HR"/>
        </w:rPr>
        <w:t xml:space="preserve"> </w:t>
      </w:r>
      <w:r>
        <w:rPr>
          <w:rFonts w:ascii="Calibri" w:hAnsi="Calibri"/>
          <w:lang w:val="hr-HR"/>
        </w:rPr>
        <w:t>koju je pripremilo MPRR. Podsjetiću da je donošenje strategije i</w:t>
      </w:r>
      <w:r w:rsidRPr="00265689">
        <w:rPr>
          <w:rFonts w:ascii="Calibri" w:hAnsi="Calibri"/>
          <w:lang w:val="hr-HR"/>
        </w:rPr>
        <w:t xml:space="preserve"> </w:t>
      </w:r>
      <w:r>
        <w:rPr>
          <w:rFonts w:ascii="Calibri" w:hAnsi="Calibri"/>
          <w:lang w:val="hr-HR"/>
        </w:rPr>
        <w:t>a</w:t>
      </w:r>
      <w:r w:rsidRPr="00265689">
        <w:rPr>
          <w:rFonts w:ascii="Calibri" w:hAnsi="Calibri"/>
          <w:lang w:val="hr-HR"/>
        </w:rPr>
        <w:t>kcion</w:t>
      </w:r>
      <w:r>
        <w:rPr>
          <w:rFonts w:ascii="Calibri" w:hAnsi="Calibri"/>
          <w:lang w:val="hr-HR"/>
        </w:rPr>
        <w:t>og</w:t>
      </w:r>
      <w:r w:rsidRPr="00265689">
        <w:rPr>
          <w:rFonts w:ascii="Calibri" w:hAnsi="Calibri"/>
          <w:lang w:val="hr-HR"/>
        </w:rPr>
        <w:t xml:space="preserve"> plan</w:t>
      </w:r>
      <w:r>
        <w:rPr>
          <w:rFonts w:ascii="Calibri" w:hAnsi="Calibri"/>
          <w:lang w:val="hr-HR"/>
        </w:rPr>
        <w:t>a</w:t>
      </w:r>
      <w:r w:rsidRPr="00265689">
        <w:rPr>
          <w:rFonts w:ascii="Calibri" w:hAnsi="Calibri"/>
          <w:lang w:val="hr-HR"/>
        </w:rPr>
        <w:t xml:space="preserve"> mjerilo za </w:t>
      </w:r>
      <w:r>
        <w:rPr>
          <w:rFonts w:ascii="Calibri" w:hAnsi="Calibri"/>
          <w:lang w:val="hr-HR"/>
        </w:rPr>
        <w:t>otvaranje pregovora za PP</w:t>
      </w:r>
      <w:r w:rsidRPr="00265689">
        <w:rPr>
          <w:rFonts w:ascii="Calibri" w:hAnsi="Calibri"/>
          <w:lang w:val="hr-HR"/>
        </w:rPr>
        <w:t>11</w:t>
      </w:r>
      <w:r>
        <w:rPr>
          <w:rFonts w:ascii="Calibri" w:hAnsi="Calibri"/>
          <w:lang w:val="hr-HR"/>
        </w:rPr>
        <w:t xml:space="preserve">. Imam povjerenja u tim mladih ljudi u Ministarstvu koji radi na strategiji, i bez obzira što smo odabrali teži put (da nam strategiju ne pišu drugi, već zaposleni u Ministarstvu) pokazuje se da je </w:t>
      </w:r>
      <w:r>
        <w:rPr>
          <w:rFonts w:ascii="Calibri" w:hAnsi="Calibri"/>
          <w:lang w:val="hr-HR"/>
        </w:rPr>
        <w:lastRenderedPageBreak/>
        <w:t>ovakva odluka bila ispravna. T</w:t>
      </w:r>
      <w:r w:rsidRPr="00265689">
        <w:rPr>
          <w:rFonts w:ascii="Calibri" w:hAnsi="Calibri"/>
          <w:lang w:val="hr-HR"/>
        </w:rPr>
        <w:t xml:space="preserve">okom </w:t>
      </w:r>
      <w:r>
        <w:rPr>
          <w:rFonts w:ascii="Calibri" w:hAnsi="Calibri"/>
          <w:lang w:val="hr-HR"/>
        </w:rPr>
        <w:t xml:space="preserve">nedavnog </w:t>
      </w:r>
      <w:r w:rsidRPr="00265689">
        <w:rPr>
          <w:rFonts w:ascii="Calibri" w:hAnsi="Calibri"/>
          <w:lang w:val="hr-HR"/>
        </w:rPr>
        <w:t xml:space="preserve">zajedničkog sastanka sa DG AGRI i DG ELARG </w:t>
      </w:r>
      <w:r>
        <w:rPr>
          <w:rFonts w:ascii="Calibri" w:hAnsi="Calibri"/>
          <w:lang w:val="hr-HR"/>
        </w:rPr>
        <w:t>razjašnjen je d</w:t>
      </w:r>
      <w:r w:rsidRPr="00265689">
        <w:rPr>
          <w:rFonts w:ascii="Calibri" w:hAnsi="Calibri"/>
          <w:lang w:val="hr-HR"/>
        </w:rPr>
        <w:t xml:space="preserve">io </w:t>
      </w:r>
      <w:r>
        <w:rPr>
          <w:rFonts w:ascii="Calibri" w:hAnsi="Calibri"/>
          <w:lang w:val="hr-HR"/>
        </w:rPr>
        <w:t xml:space="preserve">prethodno </w:t>
      </w:r>
      <w:r w:rsidRPr="00265689">
        <w:rPr>
          <w:rFonts w:ascii="Calibri" w:hAnsi="Calibri"/>
          <w:lang w:val="hr-HR"/>
        </w:rPr>
        <w:t xml:space="preserve">dobijenih </w:t>
      </w:r>
      <w:r>
        <w:rPr>
          <w:rFonts w:ascii="Calibri" w:hAnsi="Calibri"/>
          <w:lang w:val="hr-HR"/>
        </w:rPr>
        <w:t xml:space="preserve">komentara, dok se jedan dio komentara </w:t>
      </w:r>
      <w:r w:rsidRPr="00265689">
        <w:rPr>
          <w:rFonts w:ascii="Calibri" w:hAnsi="Calibri"/>
          <w:lang w:val="hr-HR"/>
        </w:rPr>
        <w:t xml:space="preserve">pokazao neutemeljenim. </w:t>
      </w:r>
      <w:r>
        <w:rPr>
          <w:rFonts w:ascii="Calibri" w:hAnsi="Calibri"/>
          <w:lang w:val="hr-HR"/>
        </w:rPr>
        <w:t xml:space="preserve">Cilj nam je da ubrzo započnemo javnu raspravu i do kraja godine </w:t>
      </w:r>
      <w:r w:rsidRPr="00265689">
        <w:rPr>
          <w:rFonts w:ascii="Calibri" w:hAnsi="Calibri"/>
          <w:lang w:val="hr-HR"/>
        </w:rPr>
        <w:t>preda</w:t>
      </w:r>
      <w:r>
        <w:rPr>
          <w:rFonts w:ascii="Calibri" w:hAnsi="Calibri"/>
          <w:lang w:val="hr-HR"/>
        </w:rPr>
        <w:t>mo</w:t>
      </w:r>
      <w:r w:rsidRPr="00265689">
        <w:rPr>
          <w:rFonts w:ascii="Calibri" w:hAnsi="Calibri"/>
          <w:lang w:val="hr-HR"/>
        </w:rPr>
        <w:t xml:space="preserve"> Komisiji finalnu verziju Strategije sa Akcionim planom</w:t>
      </w:r>
      <w:r>
        <w:rPr>
          <w:rFonts w:ascii="Calibri" w:hAnsi="Calibri"/>
          <w:lang w:val="hr-HR"/>
        </w:rPr>
        <w:t xml:space="preserve">. U međuvremenu, </w:t>
      </w:r>
      <w:r w:rsidRPr="00265689">
        <w:rPr>
          <w:rFonts w:ascii="Calibri" w:hAnsi="Calibri"/>
          <w:lang w:val="hr-HR"/>
        </w:rPr>
        <w:t>otpoče</w:t>
      </w:r>
      <w:r>
        <w:rPr>
          <w:rFonts w:ascii="Calibri" w:hAnsi="Calibri"/>
          <w:lang w:val="hr-HR"/>
        </w:rPr>
        <w:t>ćemo</w:t>
      </w:r>
      <w:r w:rsidRPr="00265689">
        <w:rPr>
          <w:rFonts w:ascii="Calibri" w:hAnsi="Calibri"/>
          <w:lang w:val="hr-HR"/>
        </w:rPr>
        <w:t xml:space="preserve"> sa izradom Pregovaračke pozicije za otvaranje ovog poglavlja. </w:t>
      </w:r>
    </w:p>
    <w:p w:rsidR="00664D38" w:rsidRPr="00265689" w:rsidRDefault="00664D38" w:rsidP="00664D38">
      <w:pPr>
        <w:widowControl w:val="0"/>
        <w:autoSpaceDE w:val="0"/>
        <w:autoSpaceDN w:val="0"/>
        <w:adjustRightInd w:val="0"/>
        <w:spacing w:line="360" w:lineRule="auto"/>
        <w:jc w:val="both"/>
        <w:rPr>
          <w:rFonts w:ascii="Calibri" w:hAnsi="Calibri" w:cs="Calibri"/>
          <w:b/>
          <w:color w:val="BF0034"/>
          <w:szCs w:val="30"/>
          <w:lang w:val="en-US"/>
        </w:rPr>
      </w:pPr>
    </w:p>
    <w:p w:rsidR="00664D38" w:rsidRPr="00F5734C" w:rsidRDefault="00664D38" w:rsidP="00664D38">
      <w:pPr>
        <w:spacing w:line="360" w:lineRule="auto"/>
        <w:jc w:val="both"/>
        <w:rPr>
          <w:rFonts w:ascii="Calibri" w:hAnsi="Calibri"/>
          <w:lang w:val="hr-HR"/>
        </w:rPr>
      </w:pPr>
      <w:r w:rsidRPr="00F5734C">
        <w:rPr>
          <w:rFonts w:ascii="Calibri" w:hAnsi="Calibri"/>
          <w:lang w:val="hr-HR"/>
        </w:rPr>
        <w:t xml:space="preserve">PP12 - Bezbjednost hrane i fito-veto politika – </w:t>
      </w:r>
      <w:r>
        <w:rPr>
          <w:rFonts w:ascii="Calibri" w:hAnsi="Calibri" w:cs="Cambria"/>
          <w:lang w:val="sr-Latn-CS"/>
        </w:rPr>
        <w:t>u</w:t>
      </w:r>
      <w:r w:rsidRPr="00F5734C">
        <w:rPr>
          <w:rFonts w:ascii="Calibri" w:hAnsi="Calibri" w:cs="Cambria"/>
          <w:lang w:val="sr-Latn-CS"/>
        </w:rPr>
        <w:t xml:space="preserve">kupan broj pravnih akata sa kojima treba usaglasiti nacionalno zakonodavstvo u ovim oblastima je 4.827 (direktive, regulative, odluke). </w:t>
      </w:r>
      <w:r>
        <w:rPr>
          <w:rFonts w:ascii="Calibri" w:hAnsi="Calibri" w:cs="Cambria"/>
          <w:lang w:val="sr-Latn-CS"/>
        </w:rPr>
        <w:t>T</w:t>
      </w:r>
      <w:r w:rsidRPr="00F5734C">
        <w:rPr>
          <w:rFonts w:ascii="Calibri" w:hAnsi="Calibri" w:cs="Cambria"/>
          <w:lang w:val="sr-Latn-CS"/>
        </w:rPr>
        <w:t xml:space="preserve">o znači da je potrebno izmijeniti preko 600 tekstova zakona, pravilnika, odluka i drugih propisa. U pitanju su značajne reforme pravnog okvira. </w:t>
      </w:r>
    </w:p>
    <w:p w:rsidR="00664D38" w:rsidRPr="00F5734C" w:rsidRDefault="00664D38" w:rsidP="00664D38">
      <w:pPr>
        <w:spacing w:line="360" w:lineRule="auto"/>
        <w:jc w:val="both"/>
        <w:rPr>
          <w:rFonts w:ascii="Calibri" w:hAnsi="Calibri" w:cs="Cambria"/>
          <w:lang w:val="sr-Latn-CS"/>
        </w:rPr>
      </w:pPr>
    </w:p>
    <w:p w:rsidR="00664D38" w:rsidRPr="00F5734C" w:rsidRDefault="00664D38" w:rsidP="00664D38">
      <w:pPr>
        <w:spacing w:line="360" w:lineRule="auto"/>
        <w:jc w:val="both"/>
        <w:rPr>
          <w:rFonts w:ascii="Calibri" w:hAnsi="Calibri" w:cs="Cambria"/>
          <w:lang w:val="sr-Latn-CS"/>
        </w:rPr>
      </w:pPr>
      <w:r w:rsidRPr="00F5734C">
        <w:rPr>
          <w:rFonts w:ascii="Calibri" w:hAnsi="Calibri" w:cs="Cambria"/>
          <w:lang w:val="sr-Latn-CS"/>
        </w:rPr>
        <w:t xml:space="preserve">Poglavlje 12 obuhvata 12 okvirnih zakona: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bezbjednosti hrane</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veterinarstvu</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identifikaciji i registraciji životinja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zaštiti dobrobiti životinja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stočarstvu</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zdravstvenoj zaštiti bilja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sredstvima za zaštitu bilja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sjemenskom materijalu poljoprivrednog bilja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sadnom materijalu</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reproduktivnom materijalu šumskog drveća</w:t>
      </w:r>
      <w:r w:rsidRPr="00F5734C">
        <w:rPr>
          <w:rFonts w:ascii="Calibri" w:hAnsi="Calibri" w:cs="Cambria"/>
          <w:lang w:val="sr-Latn-CS"/>
        </w:rPr>
        <w:t xml:space="preserve">;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zaštiti biljnih sorti</w:t>
      </w:r>
      <w:r w:rsidRPr="00F5734C">
        <w:rPr>
          <w:rFonts w:ascii="Calibri" w:hAnsi="Calibri" w:cs="Cambria"/>
          <w:lang w:val="sr-Latn-CS"/>
        </w:rPr>
        <w:t xml:space="preserve"> i </w:t>
      </w:r>
    </w:p>
    <w:p w:rsidR="00664D38" w:rsidRPr="00F5734C" w:rsidRDefault="00664D38" w:rsidP="00664D38">
      <w:pPr>
        <w:pStyle w:val="ColorfulList-Accent1"/>
        <w:numPr>
          <w:ilvl w:val="0"/>
          <w:numId w:val="41"/>
        </w:numPr>
        <w:spacing w:line="360" w:lineRule="auto"/>
        <w:contextualSpacing/>
        <w:jc w:val="both"/>
        <w:rPr>
          <w:rFonts w:ascii="Calibri" w:hAnsi="Calibri" w:cs="Cambria"/>
          <w:lang w:val="sr-Latn-CS"/>
        </w:rPr>
      </w:pPr>
      <w:r w:rsidRPr="00F5734C">
        <w:rPr>
          <w:rFonts w:ascii="Calibri" w:hAnsi="Calibri" w:cs="Cambria"/>
          <w:i/>
          <w:lang w:val="sr-Latn-CS"/>
        </w:rPr>
        <w:t>Zakon o genetički modifikovanim organizmima</w:t>
      </w:r>
      <w:r w:rsidRPr="00F5734C">
        <w:rPr>
          <w:rFonts w:ascii="Calibri" w:hAnsi="Calibri" w:cs="Cambria"/>
          <w:lang w:val="sr-Latn-CS"/>
        </w:rPr>
        <w:t>.</w:t>
      </w:r>
    </w:p>
    <w:p w:rsidR="00664D38" w:rsidRDefault="00664D38" w:rsidP="00664D38">
      <w:pPr>
        <w:spacing w:line="360" w:lineRule="auto"/>
        <w:jc w:val="both"/>
        <w:rPr>
          <w:rFonts w:ascii="Calibri" w:hAnsi="Calibri" w:cs="Cambria"/>
          <w:lang w:val="sr-Latn-CS"/>
        </w:rPr>
      </w:pPr>
    </w:p>
    <w:p w:rsidR="00664D38" w:rsidRPr="00F5734C" w:rsidRDefault="00664D38" w:rsidP="00664D38">
      <w:pPr>
        <w:spacing w:line="360" w:lineRule="auto"/>
        <w:jc w:val="both"/>
        <w:rPr>
          <w:rFonts w:ascii="Calibri" w:hAnsi="Calibri" w:cs="Cambria"/>
          <w:lang w:val="sr-Latn-CS"/>
        </w:rPr>
      </w:pPr>
      <w:r>
        <w:rPr>
          <w:rFonts w:ascii="Calibri" w:hAnsi="Calibri" w:cs="Cambria"/>
          <w:lang w:val="sr-Latn-CS"/>
        </w:rPr>
        <w:t xml:space="preserve">Vlada Crne Gore je na posljednjoj sjednici razmotrila </w:t>
      </w:r>
      <w:r w:rsidRPr="001418C3">
        <w:rPr>
          <w:rFonts w:ascii="Calibri" w:hAnsi="Calibri" w:cs="Cambria"/>
          <w:i/>
          <w:lang w:val="sr-Latn-CS"/>
        </w:rPr>
        <w:t>Nacrt Zakona o identifikaciji i registraciji životinja</w:t>
      </w:r>
      <w:r>
        <w:rPr>
          <w:rFonts w:ascii="Calibri" w:hAnsi="Calibri" w:cs="Cambria"/>
          <w:lang w:val="sr-Latn-CS"/>
        </w:rPr>
        <w:t xml:space="preserve">. </w:t>
      </w:r>
      <w:r w:rsidRPr="00F5734C">
        <w:rPr>
          <w:rFonts w:ascii="Calibri" w:hAnsi="Calibri" w:cs="Cambria"/>
          <w:lang w:val="sr-Latn-CS"/>
        </w:rPr>
        <w:t xml:space="preserve">Do sada je </w:t>
      </w:r>
      <w:r>
        <w:rPr>
          <w:rFonts w:ascii="Calibri" w:hAnsi="Calibri" w:cs="Cambria"/>
          <w:lang w:val="sr-Latn-CS"/>
        </w:rPr>
        <w:t xml:space="preserve">ukupno </w:t>
      </w:r>
      <w:r w:rsidRPr="00F5734C">
        <w:rPr>
          <w:rFonts w:ascii="Calibri" w:hAnsi="Calibri" w:cs="Cambria"/>
          <w:lang w:val="sr-Latn-CS"/>
        </w:rPr>
        <w:t xml:space="preserve">dostavljeno EK na mišljenje 10 zakona. </w:t>
      </w:r>
      <w:r>
        <w:rPr>
          <w:rFonts w:ascii="Calibri" w:hAnsi="Calibri" w:cs="Cambria"/>
          <w:lang w:val="sr-Latn-CS"/>
        </w:rPr>
        <w:t>Za pojedine zakone d</w:t>
      </w:r>
      <w:r w:rsidRPr="00F5734C">
        <w:rPr>
          <w:rFonts w:ascii="Calibri" w:hAnsi="Calibri" w:cs="Cambria"/>
          <w:lang w:val="sr-Latn-CS"/>
        </w:rPr>
        <w:t>obijeni su komentari koji se odnose na transpoziciju pravne tekovine</w:t>
      </w:r>
      <w:r>
        <w:rPr>
          <w:rFonts w:ascii="Calibri" w:hAnsi="Calibri" w:cs="Cambria"/>
          <w:lang w:val="sr-Latn-CS"/>
        </w:rPr>
        <w:t xml:space="preserve"> EU</w:t>
      </w:r>
      <w:r w:rsidRPr="00F5734C">
        <w:rPr>
          <w:rFonts w:ascii="Calibri" w:hAnsi="Calibri" w:cs="Cambria"/>
          <w:lang w:val="sr-Latn-CS"/>
        </w:rPr>
        <w:t>. Kako bi detaljno razmotrilo usklađivanj</w:t>
      </w:r>
      <w:r>
        <w:rPr>
          <w:rFonts w:ascii="Calibri" w:hAnsi="Calibri" w:cs="Cambria"/>
          <w:lang w:val="sr-Latn-CS"/>
        </w:rPr>
        <w:t>e</w:t>
      </w:r>
      <w:r w:rsidRPr="00F5734C">
        <w:rPr>
          <w:rFonts w:ascii="Calibri" w:hAnsi="Calibri" w:cs="Cambria"/>
          <w:lang w:val="sr-Latn-CS"/>
        </w:rPr>
        <w:t xml:space="preserve"> nacionalnog zakonodavstva sa pravnom tekovino</w:t>
      </w:r>
      <w:r>
        <w:rPr>
          <w:rFonts w:ascii="Calibri" w:hAnsi="Calibri" w:cs="Cambria"/>
          <w:lang w:val="sr-Latn-CS"/>
        </w:rPr>
        <w:t>m EU</w:t>
      </w:r>
      <w:r w:rsidRPr="00F5734C">
        <w:rPr>
          <w:rFonts w:ascii="Calibri" w:hAnsi="Calibri" w:cs="Cambria"/>
          <w:lang w:val="sr-Latn-CS"/>
        </w:rPr>
        <w:t xml:space="preserve">, </w:t>
      </w:r>
      <w:r>
        <w:rPr>
          <w:rFonts w:ascii="Calibri" w:hAnsi="Calibri" w:cs="Cambria"/>
          <w:lang w:val="sr-Latn-CS"/>
        </w:rPr>
        <w:t xml:space="preserve">na inicijativu MPRR, u julu ove godine organizovan je sastanak sa </w:t>
      </w:r>
      <w:r w:rsidRPr="00F5734C">
        <w:rPr>
          <w:rFonts w:ascii="Calibri" w:hAnsi="Calibri" w:cs="Cambria"/>
          <w:lang w:val="sr-Latn-CS"/>
        </w:rPr>
        <w:t>predstavnici</w:t>
      </w:r>
      <w:r>
        <w:rPr>
          <w:rFonts w:ascii="Calibri" w:hAnsi="Calibri" w:cs="Cambria"/>
          <w:lang w:val="sr-Latn-CS"/>
        </w:rPr>
        <w:t>ma</w:t>
      </w:r>
      <w:r w:rsidRPr="00F5734C">
        <w:rPr>
          <w:rFonts w:ascii="Calibri" w:hAnsi="Calibri" w:cs="Cambria"/>
          <w:lang w:val="sr-Latn-CS"/>
        </w:rPr>
        <w:t xml:space="preserve"> EK</w:t>
      </w:r>
      <w:r>
        <w:rPr>
          <w:rFonts w:ascii="Calibri" w:hAnsi="Calibri" w:cs="Cambria"/>
          <w:lang w:val="sr-Latn-CS"/>
        </w:rPr>
        <w:t xml:space="preserve">, </w:t>
      </w:r>
      <w:r w:rsidRPr="00F5734C">
        <w:rPr>
          <w:rFonts w:ascii="Calibri" w:hAnsi="Calibri" w:cs="Cambria"/>
          <w:lang w:val="sr-Latn-CS"/>
        </w:rPr>
        <w:t>Ministarstvo</w:t>
      </w:r>
      <w:r>
        <w:rPr>
          <w:rFonts w:ascii="Calibri" w:hAnsi="Calibri" w:cs="Cambria"/>
          <w:lang w:val="sr-Latn-CS"/>
        </w:rPr>
        <w:t>m</w:t>
      </w:r>
      <w:r w:rsidRPr="00F5734C">
        <w:rPr>
          <w:rFonts w:ascii="Calibri" w:hAnsi="Calibri" w:cs="Cambria"/>
          <w:lang w:val="sr-Latn-CS"/>
        </w:rPr>
        <w:t xml:space="preserve"> zdravlja, MVPEI, Veterinarsk</w:t>
      </w:r>
      <w:r>
        <w:rPr>
          <w:rFonts w:ascii="Calibri" w:hAnsi="Calibri" w:cs="Cambria"/>
          <w:lang w:val="sr-Latn-CS"/>
        </w:rPr>
        <w:t>e</w:t>
      </w:r>
      <w:r w:rsidRPr="00F5734C">
        <w:rPr>
          <w:rFonts w:ascii="Calibri" w:hAnsi="Calibri" w:cs="Cambria"/>
          <w:lang w:val="sr-Latn-CS"/>
        </w:rPr>
        <w:t xml:space="preserve"> uprava, Fitosanitarn</w:t>
      </w:r>
      <w:r>
        <w:rPr>
          <w:rFonts w:ascii="Calibri" w:hAnsi="Calibri" w:cs="Cambria"/>
          <w:lang w:val="sr-Latn-CS"/>
        </w:rPr>
        <w:t>e</w:t>
      </w:r>
      <w:r w:rsidRPr="00F5734C">
        <w:rPr>
          <w:rFonts w:ascii="Calibri" w:hAnsi="Calibri" w:cs="Cambria"/>
          <w:lang w:val="sr-Latn-CS"/>
        </w:rPr>
        <w:t xml:space="preserve"> uprav</w:t>
      </w:r>
      <w:r>
        <w:rPr>
          <w:rFonts w:ascii="Calibri" w:hAnsi="Calibri" w:cs="Cambria"/>
          <w:lang w:val="sr-Latn-CS"/>
        </w:rPr>
        <w:t>e</w:t>
      </w:r>
      <w:r w:rsidRPr="00F5734C">
        <w:rPr>
          <w:rFonts w:ascii="Calibri" w:hAnsi="Calibri" w:cs="Cambria"/>
          <w:lang w:val="sr-Latn-CS"/>
        </w:rPr>
        <w:t>, Uprav</w:t>
      </w:r>
      <w:r>
        <w:rPr>
          <w:rFonts w:ascii="Calibri" w:hAnsi="Calibri" w:cs="Cambria"/>
          <w:lang w:val="sr-Latn-CS"/>
        </w:rPr>
        <w:t>e</w:t>
      </w:r>
      <w:r w:rsidRPr="00F5734C">
        <w:rPr>
          <w:rFonts w:ascii="Calibri" w:hAnsi="Calibri" w:cs="Cambria"/>
          <w:lang w:val="sr-Latn-CS"/>
        </w:rPr>
        <w:t xml:space="preserve"> za inspekcijske poslove, Sekretarijat</w:t>
      </w:r>
      <w:r>
        <w:rPr>
          <w:rFonts w:ascii="Calibri" w:hAnsi="Calibri" w:cs="Cambria"/>
          <w:lang w:val="sr-Latn-CS"/>
        </w:rPr>
        <w:t>a</w:t>
      </w:r>
      <w:r w:rsidRPr="00F5734C">
        <w:rPr>
          <w:rFonts w:ascii="Calibri" w:hAnsi="Calibri" w:cs="Cambria"/>
          <w:lang w:val="sr-Latn-CS"/>
        </w:rPr>
        <w:t xml:space="preserve"> za zakonodavstvo i Skupštin</w:t>
      </w:r>
      <w:r>
        <w:rPr>
          <w:rFonts w:ascii="Calibri" w:hAnsi="Calibri" w:cs="Cambria"/>
          <w:lang w:val="sr-Latn-CS"/>
        </w:rPr>
        <w:t>e</w:t>
      </w:r>
      <w:r w:rsidRPr="00F5734C">
        <w:rPr>
          <w:rFonts w:ascii="Calibri" w:hAnsi="Calibri" w:cs="Cambria"/>
          <w:lang w:val="sr-Latn-CS"/>
        </w:rPr>
        <w:t xml:space="preserve"> Crne Gore. </w:t>
      </w:r>
      <w:r w:rsidRPr="003D53C3">
        <w:rPr>
          <w:rFonts w:ascii="Calibri" w:hAnsi="Calibri" w:cs="Cambria"/>
          <w:u w:val="single"/>
          <w:lang w:val="sr-Latn-CS"/>
        </w:rPr>
        <w:t xml:space="preserve">Svaka strana preuzela je dio odgovornosti koji joj pripada iz poslova </w:t>
      </w:r>
      <w:r>
        <w:rPr>
          <w:rFonts w:ascii="Calibri" w:hAnsi="Calibri" w:cs="Cambria"/>
          <w:u w:val="single"/>
          <w:lang w:val="sr-Latn-CS"/>
        </w:rPr>
        <w:t xml:space="preserve">za </w:t>
      </w:r>
      <w:r w:rsidRPr="003D53C3">
        <w:rPr>
          <w:rFonts w:ascii="Calibri" w:hAnsi="Calibri" w:cs="Cambria"/>
          <w:u w:val="single"/>
          <w:lang w:val="sr-Latn-CS"/>
        </w:rPr>
        <w:t xml:space="preserve">koje </w:t>
      </w:r>
      <w:r>
        <w:rPr>
          <w:rFonts w:ascii="Calibri" w:hAnsi="Calibri" w:cs="Cambria"/>
          <w:u w:val="single"/>
          <w:lang w:val="sr-Latn-CS"/>
        </w:rPr>
        <w:t>je nadležna</w:t>
      </w:r>
      <w:r>
        <w:rPr>
          <w:rFonts w:ascii="Calibri" w:hAnsi="Calibri" w:cs="Cambria"/>
          <w:lang w:val="sr-Latn-CS"/>
        </w:rPr>
        <w:t>. Ovo je veoma važno za razumijevanje ocjena o napretku Crne G</w:t>
      </w:r>
      <w:r w:rsidRPr="00F5734C">
        <w:rPr>
          <w:rFonts w:ascii="Calibri" w:hAnsi="Calibri" w:cs="Cambria"/>
          <w:lang w:val="sr-Latn-CS"/>
        </w:rPr>
        <w:t>ore u pregovaračkom procesu. U toku je izrada strategij</w:t>
      </w:r>
      <w:r>
        <w:rPr>
          <w:rFonts w:ascii="Calibri" w:hAnsi="Calibri" w:cs="Cambria"/>
          <w:lang w:val="sr-Latn-CS"/>
        </w:rPr>
        <w:t>e</w:t>
      </w:r>
      <w:r w:rsidRPr="00F5734C">
        <w:rPr>
          <w:rFonts w:ascii="Calibri" w:hAnsi="Calibri" w:cs="Cambria"/>
          <w:lang w:val="sr-Latn-CS"/>
        </w:rPr>
        <w:t xml:space="preserve"> kojom se planira: razvoj administrativnih i institucionalnih </w:t>
      </w:r>
      <w:r w:rsidRPr="00F5734C">
        <w:rPr>
          <w:rFonts w:ascii="Calibri" w:hAnsi="Calibri" w:cs="Cambria"/>
          <w:lang w:val="sr-Latn-CS"/>
        </w:rPr>
        <w:lastRenderedPageBreak/>
        <w:t>kapaciteta, potrebna sredstva za zdravstvenu zaštitu životinja i bilja, izgradnju laboratorija, adekvatnih kontrolnih punktova na graničnim prelazima, neškodljivo uklanjanje nus-proizvoda životinjskog porijekla i veterinarskog otpada, obuka zaposlenih itd.) i izvori sredstava (bilo da se radi o budžetskim sredstvima ili o sredstvima iz drugih dostupnih fondova).</w:t>
      </w:r>
    </w:p>
    <w:p w:rsidR="00664D38" w:rsidRPr="00F5734C" w:rsidRDefault="00664D38" w:rsidP="00664D38">
      <w:pPr>
        <w:spacing w:line="360" w:lineRule="auto"/>
        <w:jc w:val="both"/>
        <w:rPr>
          <w:rFonts w:ascii="Calibri" w:hAnsi="Calibri" w:cs="Cambria"/>
          <w:lang w:val="sr-Latn-CS"/>
        </w:rPr>
      </w:pPr>
      <w:r w:rsidRPr="00F5734C">
        <w:rPr>
          <w:rFonts w:ascii="Calibri" w:hAnsi="Calibri" w:cs="Cambria"/>
          <w:lang w:val="sr-Latn-CS"/>
        </w:rPr>
        <w:t xml:space="preserve"> </w:t>
      </w:r>
    </w:p>
    <w:p w:rsidR="00664D38" w:rsidRPr="00F5734C" w:rsidRDefault="00664D38" w:rsidP="00664D38">
      <w:pPr>
        <w:spacing w:line="360" w:lineRule="auto"/>
        <w:jc w:val="both"/>
        <w:rPr>
          <w:rFonts w:ascii="Calibri" w:hAnsi="Calibri"/>
          <w:lang w:val="hr-HR"/>
        </w:rPr>
      </w:pPr>
      <w:r w:rsidRPr="00F5734C">
        <w:rPr>
          <w:rFonts w:ascii="Calibri" w:hAnsi="Calibri"/>
          <w:lang w:val="hr-HR"/>
        </w:rPr>
        <w:t xml:space="preserve">PP 13 </w:t>
      </w:r>
      <w:r>
        <w:rPr>
          <w:rFonts w:ascii="Calibri" w:hAnsi="Calibri"/>
          <w:lang w:val="hr-HR"/>
        </w:rPr>
        <w:t>–</w:t>
      </w:r>
      <w:r w:rsidRPr="00F5734C">
        <w:rPr>
          <w:rFonts w:ascii="Calibri" w:hAnsi="Calibri"/>
          <w:lang w:val="hr-HR"/>
        </w:rPr>
        <w:t xml:space="preserve"> </w:t>
      </w:r>
      <w:r>
        <w:rPr>
          <w:rFonts w:ascii="Calibri" w:hAnsi="Calibri"/>
          <w:lang w:val="hr-HR"/>
        </w:rPr>
        <w:t xml:space="preserve">radimo na </w:t>
      </w:r>
      <w:r w:rsidRPr="001418C3">
        <w:rPr>
          <w:rFonts w:ascii="Calibri" w:hAnsi="Calibri"/>
          <w:b/>
          <w:i/>
          <w:lang w:val="hr-HR"/>
        </w:rPr>
        <w:t>Strategiji razvoja ribarstva</w:t>
      </w:r>
      <w:r>
        <w:rPr>
          <w:rFonts w:ascii="Calibri" w:hAnsi="Calibri"/>
          <w:lang w:val="hr-HR"/>
        </w:rPr>
        <w:t>. I ovdje je donošenje strategije i</w:t>
      </w:r>
      <w:r w:rsidRPr="00265689">
        <w:rPr>
          <w:rFonts w:ascii="Calibri" w:hAnsi="Calibri"/>
          <w:lang w:val="hr-HR"/>
        </w:rPr>
        <w:t xml:space="preserve"> </w:t>
      </w:r>
      <w:r>
        <w:rPr>
          <w:rFonts w:ascii="Calibri" w:hAnsi="Calibri"/>
          <w:lang w:val="hr-HR"/>
        </w:rPr>
        <w:t>a</w:t>
      </w:r>
      <w:r w:rsidRPr="00265689">
        <w:rPr>
          <w:rFonts w:ascii="Calibri" w:hAnsi="Calibri"/>
          <w:lang w:val="hr-HR"/>
        </w:rPr>
        <w:t>kcion</w:t>
      </w:r>
      <w:r>
        <w:rPr>
          <w:rFonts w:ascii="Calibri" w:hAnsi="Calibri"/>
          <w:lang w:val="hr-HR"/>
        </w:rPr>
        <w:t>og</w:t>
      </w:r>
      <w:r w:rsidRPr="00265689">
        <w:rPr>
          <w:rFonts w:ascii="Calibri" w:hAnsi="Calibri"/>
          <w:lang w:val="hr-HR"/>
        </w:rPr>
        <w:t xml:space="preserve"> plan</w:t>
      </w:r>
      <w:r>
        <w:rPr>
          <w:rFonts w:ascii="Calibri" w:hAnsi="Calibri"/>
          <w:lang w:val="hr-HR"/>
        </w:rPr>
        <w:t>a</w:t>
      </w:r>
      <w:r w:rsidRPr="00265689">
        <w:rPr>
          <w:rFonts w:ascii="Calibri" w:hAnsi="Calibri"/>
          <w:lang w:val="hr-HR"/>
        </w:rPr>
        <w:t xml:space="preserve"> mjerilo za </w:t>
      </w:r>
      <w:r>
        <w:rPr>
          <w:rFonts w:ascii="Calibri" w:hAnsi="Calibri"/>
          <w:lang w:val="hr-HR"/>
        </w:rPr>
        <w:t>početak pregovora PP</w:t>
      </w:r>
      <w:r w:rsidRPr="00265689">
        <w:rPr>
          <w:rFonts w:ascii="Calibri" w:hAnsi="Calibri"/>
          <w:lang w:val="hr-HR"/>
        </w:rPr>
        <w:t>1</w:t>
      </w:r>
      <w:r>
        <w:rPr>
          <w:rFonts w:ascii="Calibri" w:hAnsi="Calibri"/>
          <w:lang w:val="hr-HR"/>
        </w:rPr>
        <w:t>3. Prvi N</w:t>
      </w:r>
      <w:r w:rsidRPr="00F5734C">
        <w:rPr>
          <w:rFonts w:ascii="Calibri" w:hAnsi="Calibri"/>
          <w:lang w:val="hr-HR"/>
        </w:rPr>
        <w:t xml:space="preserve">acrt Strategije </w:t>
      </w:r>
      <w:r>
        <w:rPr>
          <w:rFonts w:ascii="Calibri" w:hAnsi="Calibri"/>
          <w:lang w:val="hr-HR"/>
        </w:rPr>
        <w:t xml:space="preserve">uputićemo EK </w:t>
      </w:r>
      <w:r w:rsidRPr="00F5734C">
        <w:rPr>
          <w:rFonts w:ascii="Calibri" w:hAnsi="Calibri"/>
          <w:lang w:val="hr-HR"/>
        </w:rPr>
        <w:t>početkom oktobra, kako bi na marginama Pododbora za poljoprivredu i ribarstvo, koji se održava 14. oktobra 2014. u Podgorici</w:t>
      </w:r>
      <w:r>
        <w:rPr>
          <w:rFonts w:ascii="Calibri" w:hAnsi="Calibri"/>
          <w:lang w:val="hr-HR"/>
        </w:rPr>
        <w:t xml:space="preserve">, </w:t>
      </w:r>
      <w:r w:rsidRPr="00F5734C">
        <w:rPr>
          <w:rFonts w:ascii="Calibri" w:hAnsi="Calibri"/>
          <w:lang w:val="hr-HR"/>
        </w:rPr>
        <w:t>održa</w:t>
      </w:r>
      <w:r>
        <w:rPr>
          <w:rFonts w:ascii="Calibri" w:hAnsi="Calibri"/>
          <w:lang w:val="hr-HR"/>
        </w:rPr>
        <w:t>li</w:t>
      </w:r>
      <w:r w:rsidRPr="00F5734C">
        <w:rPr>
          <w:rFonts w:ascii="Calibri" w:hAnsi="Calibri"/>
          <w:lang w:val="hr-HR"/>
        </w:rPr>
        <w:t xml:space="preserve"> tehničk</w:t>
      </w:r>
      <w:r>
        <w:rPr>
          <w:rFonts w:ascii="Calibri" w:hAnsi="Calibri"/>
          <w:lang w:val="hr-HR"/>
        </w:rPr>
        <w:t>i</w:t>
      </w:r>
      <w:r w:rsidRPr="00F5734C">
        <w:rPr>
          <w:rFonts w:ascii="Calibri" w:hAnsi="Calibri"/>
          <w:lang w:val="hr-HR"/>
        </w:rPr>
        <w:t xml:space="preserve"> sastan</w:t>
      </w:r>
      <w:r>
        <w:rPr>
          <w:rFonts w:ascii="Calibri" w:hAnsi="Calibri"/>
          <w:lang w:val="hr-HR"/>
        </w:rPr>
        <w:t>a</w:t>
      </w:r>
      <w:r w:rsidRPr="00F5734C">
        <w:rPr>
          <w:rFonts w:ascii="Calibri" w:hAnsi="Calibri"/>
          <w:lang w:val="hr-HR"/>
        </w:rPr>
        <w:t>k sa</w:t>
      </w:r>
      <w:r>
        <w:rPr>
          <w:rFonts w:ascii="Calibri" w:hAnsi="Calibri"/>
          <w:lang w:val="hr-HR"/>
        </w:rPr>
        <w:t xml:space="preserve"> predstavnicima GD za ribarstvo</w:t>
      </w:r>
      <w:r w:rsidRPr="00F5734C">
        <w:rPr>
          <w:rFonts w:ascii="Calibri" w:hAnsi="Calibri"/>
          <w:lang w:val="hr-HR"/>
        </w:rPr>
        <w:t>.</w:t>
      </w:r>
    </w:p>
    <w:p w:rsidR="00664D38" w:rsidRPr="00F5734C" w:rsidRDefault="00664D38" w:rsidP="00664D38">
      <w:pPr>
        <w:widowControl w:val="0"/>
        <w:autoSpaceDE w:val="0"/>
        <w:autoSpaceDN w:val="0"/>
        <w:adjustRightInd w:val="0"/>
        <w:spacing w:line="360" w:lineRule="auto"/>
        <w:jc w:val="both"/>
        <w:rPr>
          <w:rFonts w:ascii="Calibri" w:hAnsi="Calibri" w:cs="Calibri"/>
          <w:b/>
          <w:color w:val="BF0034"/>
          <w:szCs w:val="30"/>
          <w:lang w:val="en-US"/>
        </w:rPr>
      </w:pPr>
    </w:p>
    <w:p w:rsidR="00664D38" w:rsidRPr="001418C3" w:rsidRDefault="00664D38" w:rsidP="00664D38">
      <w:pPr>
        <w:spacing w:line="360" w:lineRule="auto"/>
        <w:jc w:val="both"/>
        <w:rPr>
          <w:rFonts w:ascii="Calibri" w:hAnsi="Calibri"/>
          <w:lang w:val="hr-HR"/>
        </w:rPr>
      </w:pPr>
      <w:r w:rsidRPr="001418C3">
        <w:rPr>
          <w:rFonts w:ascii="Calibri" w:hAnsi="Calibri"/>
          <w:lang w:val="hr-HR"/>
        </w:rPr>
        <w:t xml:space="preserve">Kada je u pitanju </w:t>
      </w:r>
      <w:r w:rsidRPr="001418C3">
        <w:rPr>
          <w:rFonts w:ascii="Calibri" w:hAnsi="Calibri"/>
          <w:b/>
          <w:lang w:val="hr-HR"/>
        </w:rPr>
        <w:t>Sektorski sporazum</w:t>
      </w:r>
      <w:r w:rsidRPr="001418C3">
        <w:rPr>
          <w:rFonts w:ascii="Calibri" w:hAnsi="Calibri"/>
          <w:lang w:val="hr-HR"/>
        </w:rPr>
        <w:t xml:space="preserve">, trenutno </w:t>
      </w:r>
      <w:r>
        <w:rPr>
          <w:rFonts w:ascii="Calibri" w:hAnsi="Calibri"/>
          <w:lang w:val="hr-HR"/>
        </w:rPr>
        <w:t xml:space="preserve">se </w:t>
      </w:r>
      <w:r w:rsidRPr="001418C3">
        <w:rPr>
          <w:rFonts w:ascii="Calibri" w:hAnsi="Calibri"/>
          <w:lang w:val="hr-HR"/>
        </w:rPr>
        <w:t>nalazi na inter</w:t>
      </w:r>
      <w:r>
        <w:rPr>
          <w:rFonts w:ascii="Calibri" w:hAnsi="Calibri"/>
          <w:lang w:val="hr-HR"/>
        </w:rPr>
        <w:t>-</w:t>
      </w:r>
      <w:r w:rsidRPr="001418C3">
        <w:rPr>
          <w:rFonts w:ascii="Calibri" w:hAnsi="Calibri"/>
          <w:lang w:val="hr-HR"/>
        </w:rPr>
        <w:t xml:space="preserve">servisnim konsultacijama. </w:t>
      </w:r>
      <w:r>
        <w:rPr>
          <w:rFonts w:ascii="Calibri" w:hAnsi="Calibri"/>
          <w:lang w:val="hr-HR"/>
        </w:rPr>
        <w:t>P</w:t>
      </w:r>
      <w:r w:rsidRPr="001418C3">
        <w:rPr>
          <w:rFonts w:ascii="Calibri" w:hAnsi="Calibri"/>
          <w:lang w:val="hr-HR"/>
        </w:rPr>
        <w:t xml:space="preserve">rvu verziju sporazuma </w:t>
      </w:r>
      <w:r>
        <w:rPr>
          <w:rFonts w:ascii="Calibri" w:hAnsi="Calibri"/>
          <w:lang w:val="hr-HR"/>
        </w:rPr>
        <w:t xml:space="preserve">očekujemo </w:t>
      </w:r>
      <w:r w:rsidRPr="001418C3">
        <w:rPr>
          <w:rFonts w:ascii="Calibri" w:hAnsi="Calibri"/>
          <w:lang w:val="hr-HR"/>
        </w:rPr>
        <w:t>za mjesec dana, a njegov</w:t>
      </w:r>
      <w:r>
        <w:rPr>
          <w:rFonts w:ascii="Calibri" w:hAnsi="Calibri"/>
          <w:lang w:val="hr-HR"/>
        </w:rPr>
        <w:t>u</w:t>
      </w:r>
      <w:r w:rsidRPr="001418C3">
        <w:rPr>
          <w:rFonts w:ascii="Calibri" w:hAnsi="Calibri"/>
          <w:lang w:val="hr-HR"/>
        </w:rPr>
        <w:t xml:space="preserve"> finalizacije i ratifikacij</w:t>
      </w:r>
      <w:r>
        <w:rPr>
          <w:rFonts w:ascii="Calibri" w:hAnsi="Calibri"/>
          <w:lang w:val="hr-HR"/>
        </w:rPr>
        <w:t>u</w:t>
      </w:r>
      <w:r w:rsidRPr="001418C3">
        <w:rPr>
          <w:rFonts w:ascii="Calibri" w:hAnsi="Calibri"/>
          <w:lang w:val="hr-HR"/>
        </w:rPr>
        <w:t xml:space="preserve"> za oko 3 mjeseca.</w:t>
      </w:r>
      <w:r w:rsidRPr="001418C3">
        <w:rPr>
          <w:rFonts w:ascii="Calibri" w:hAnsi="Calibri"/>
          <w:b/>
          <w:lang w:val="hr-HR"/>
        </w:rPr>
        <w:t xml:space="preserve"> </w:t>
      </w:r>
      <w:r w:rsidRPr="001418C3">
        <w:rPr>
          <w:rFonts w:ascii="Calibri" w:hAnsi="Calibri"/>
          <w:lang w:val="hr-HR"/>
        </w:rPr>
        <w:t xml:space="preserve">Potpisivanje Sektorskog sporazuma, preduslov je </w:t>
      </w:r>
      <w:r>
        <w:rPr>
          <w:rFonts w:ascii="Calibri" w:hAnsi="Calibri"/>
          <w:lang w:val="hr-HR"/>
        </w:rPr>
        <w:t xml:space="preserve">za </w:t>
      </w:r>
      <w:r w:rsidRPr="001418C3">
        <w:rPr>
          <w:rFonts w:ascii="Calibri" w:hAnsi="Calibri"/>
          <w:lang w:val="hr-HR"/>
        </w:rPr>
        <w:t xml:space="preserve">pripremu i predaju </w:t>
      </w:r>
      <w:r w:rsidRPr="001418C3">
        <w:rPr>
          <w:rFonts w:ascii="Calibri" w:hAnsi="Calibri"/>
          <w:b/>
          <w:lang w:val="hr-HR"/>
        </w:rPr>
        <w:t xml:space="preserve">IPARD </w:t>
      </w:r>
      <w:r>
        <w:rPr>
          <w:rFonts w:ascii="Calibri" w:hAnsi="Calibri"/>
          <w:b/>
          <w:lang w:val="hr-HR"/>
        </w:rPr>
        <w:t>P</w:t>
      </w:r>
      <w:r w:rsidRPr="001418C3">
        <w:rPr>
          <w:rFonts w:ascii="Calibri" w:hAnsi="Calibri"/>
          <w:b/>
          <w:lang w:val="hr-HR"/>
        </w:rPr>
        <w:t>rograma</w:t>
      </w:r>
      <w:r w:rsidRPr="001418C3">
        <w:rPr>
          <w:rFonts w:ascii="Calibri" w:hAnsi="Calibri"/>
          <w:lang w:val="hr-HR"/>
        </w:rPr>
        <w:t xml:space="preserve">. Naš cilj je da IPARD </w:t>
      </w:r>
      <w:r>
        <w:rPr>
          <w:rFonts w:ascii="Calibri" w:hAnsi="Calibri"/>
          <w:lang w:val="hr-HR"/>
        </w:rPr>
        <w:t>P</w:t>
      </w:r>
      <w:r w:rsidRPr="001418C3">
        <w:rPr>
          <w:rFonts w:ascii="Calibri" w:hAnsi="Calibri"/>
          <w:lang w:val="hr-HR"/>
        </w:rPr>
        <w:t>rogram pripremimo i pošaljemo EK do sredine marta 2015. Da bi uspjeli da se akreditujemo za primjenu IPARD programa kako smo to i planirali (</w:t>
      </w:r>
      <w:r>
        <w:rPr>
          <w:rFonts w:ascii="Calibri" w:hAnsi="Calibri"/>
          <w:lang w:val="hr-HR"/>
        </w:rPr>
        <w:t xml:space="preserve">podsjetiću, to je </w:t>
      </w:r>
      <w:r w:rsidRPr="001418C3">
        <w:rPr>
          <w:rFonts w:ascii="Calibri" w:hAnsi="Calibri"/>
          <w:lang w:val="hr-HR"/>
        </w:rPr>
        <w:t xml:space="preserve">01.01.2016. godine), </w:t>
      </w:r>
      <w:r w:rsidRPr="001418C3">
        <w:rPr>
          <w:rFonts w:ascii="Calibri" w:hAnsi="Calibri"/>
          <w:b/>
          <w:lang w:val="hr-HR"/>
        </w:rPr>
        <w:t>Akreditacioni paket</w:t>
      </w:r>
      <w:r w:rsidRPr="001418C3">
        <w:rPr>
          <w:rFonts w:ascii="Calibri" w:hAnsi="Calibri"/>
          <w:lang w:val="hr-HR"/>
        </w:rPr>
        <w:t xml:space="preserve"> moramo predati EK najkasnije do polovine 2015, iz razloga što procedura u EK traje oko 6 mjeseci.</w:t>
      </w:r>
    </w:p>
    <w:p w:rsidR="00664D38" w:rsidRPr="00F5734C" w:rsidRDefault="00664D38" w:rsidP="00664D38">
      <w:pPr>
        <w:widowControl w:val="0"/>
        <w:autoSpaceDE w:val="0"/>
        <w:autoSpaceDN w:val="0"/>
        <w:adjustRightInd w:val="0"/>
        <w:spacing w:line="360" w:lineRule="auto"/>
        <w:jc w:val="both"/>
        <w:rPr>
          <w:rFonts w:ascii="Calibri" w:hAnsi="Calibri" w:cs="Calibri"/>
          <w:b/>
          <w:color w:val="BF0034"/>
          <w:szCs w:val="30"/>
          <w:lang w:val="en-US"/>
        </w:rPr>
      </w:pPr>
    </w:p>
    <w:p w:rsidR="00664D38" w:rsidRDefault="00664D38" w:rsidP="00664D38">
      <w:pPr>
        <w:spacing w:line="360" w:lineRule="auto"/>
        <w:jc w:val="both"/>
        <w:rPr>
          <w:rFonts w:ascii="Calibri" w:eastAsia="Calibri" w:hAnsi="Calibri"/>
          <w:lang/>
        </w:rPr>
      </w:pPr>
      <w:r>
        <w:rPr>
          <w:rFonts w:ascii="Calibri" w:eastAsia="Calibri" w:hAnsi="Calibri"/>
          <w:lang/>
        </w:rPr>
        <w:t xml:space="preserve">Ovo je samo dio obaveza iz Programa pridruživanja koji se odnosi na poljoprivredu. Zašto ovo ističem? Zato što se </w:t>
      </w:r>
      <w:r w:rsidRPr="0027204A">
        <w:rPr>
          <w:rFonts w:ascii="Calibri" w:eastAsia="Calibri" w:hAnsi="Calibri"/>
          <w:i/>
          <w:lang/>
        </w:rPr>
        <w:t>Izvještaj o napretku Crne Gore</w:t>
      </w:r>
      <w:r>
        <w:rPr>
          <w:rFonts w:ascii="Calibri" w:eastAsia="Calibri" w:hAnsi="Calibri"/>
          <w:lang/>
        </w:rPr>
        <w:t xml:space="preserve"> dominantno bazira na usklađivanju pravne tekovine Crne Gore sa EU, odnosno, </w:t>
      </w:r>
      <w:r w:rsidRPr="0027204A">
        <w:rPr>
          <w:rFonts w:ascii="Calibri" w:eastAsia="Calibri" w:hAnsi="Calibri"/>
          <w:u w:val="single"/>
          <w:lang/>
        </w:rPr>
        <w:t>ocjena napretka zavisi od broja zakona koje donosimo</w:t>
      </w:r>
      <w:r>
        <w:rPr>
          <w:rFonts w:ascii="Calibri" w:eastAsia="Calibri" w:hAnsi="Calibri"/>
          <w:lang/>
        </w:rPr>
        <w:t>. Nama nije cilj da se pretvorimo u mašinu za štancovanje zakona. Nasuprot, cilj nam je da idemo korak po korak, da razvijamo kapacitete Ministarstva, obučavamo zaposlene i jačamo tim, razvijamo i sprovodimo procedure i paralelno pripremamo poljoprivredne proizvođače za ono što slijedi... a sve to u njihovom interesu, interesu građana Crne Gore.</w:t>
      </w:r>
    </w:p>
    <w:p w:rsidR="00664D38" w:rsidRDefault="00664D38" w:rsidP="00664D38">
      <w:pPr>
        <w:spacing w:line="360" w:lineRule="auto"/>
        <w:jc w:val="both"/>
        <w:rPr>
          <w:rFonts w:ascii="Calibri" w:eastAsia="Calibri" w:hAnsi="Calibri"/>
          <w:lang/>
        </w:rPr>
      </w:pPr>
    </w:p>
    <w:p w:rsidR="00664D38" w:rsidRPr="00F5734C" w:rsidRDefault="00664D38" w:rsidP="00664D38">
      <w:pPr>
        <w:spacing w:line="360" w:lineRule="auto"/>
        <w:jc w:val="both"/>
        <w:rPr>
          <w:rFonts w:ascii="Calibri" w:eastAsia="Calibri" w:hAnsi="Calibri"/>
          <w:lang/>
        </w:rPr>
      </w:pPr>
      <w:r>
        <w:rPr>
          <w:rFonts w:ascii="Calibri" w:eastAsia="Calibri" w:hAnsi="Calibri"/>
          <w:lang/>
        </w:rPr>
        <w:t xml:space="preserve">Zato očekujem da se u </w:t>
      </w:r>
      <w:r w:rsidRPr="0027204A">
        <w:rPr>
          <w:rFonts w:ascii="Calibri" w:eastAsia="Calibri" w:hAnsi="Calibri"/>
          <w:i/>
          <w:lang/>
        </w:rPr>
        <w:t>Izvještaju o napretku</w:t>
      </w:r>
      <w:r>
        <w:rPr>
          <w:rFonts w:ascii="Calibri" w:eastAsia="Calibri" w:hAnsi="Calibri"/>
          <w:lang/>
        </w:rPr>
        <w:t xml:space="preserve"> konstatuje napredak u poglavljima 11 i 12. Kada je u pitanju poglavlje 13, imajući u vidu da su </w:t>
      </w:r>
      <w:r w:rsidRPr="0027204A">
        <w:rPr>
          <w:rFonts w:ascii="Calibri" w:eastAsia="Calibri" w:hAnsi="Calibri"/>
          <w:i/>
          <w:lang/>
        </w:rPr>
        <w:t xml:space="preserve">Nacrt Zakona o </w:t>
      </w:r>
      <w:r>
        <w:rPr>
          <w:rFonts w:ascii="Calibri" w:eastAsia="Calibri" w:hAnsi="Calibri"/>
          <w:i/>
          <w:lang/>
        </w:rPr>
        <w:t xml:space="preserve">ribarstvu i </w:t>
      </w:r>
      <w:r w:rsidRPr="0027204A">
        <w:rPr>
          <w:rFonts w:ascii="Calibri" w:eastAsia="Calibri" w:hAnsi="Calibri"/>
          <w:i/>
          <w:lang/>
        </w:rPr>
        <w:t>marikulturi</w:t>
      </w:r>
      <w:r>
        <w:rPr>
          <w:rFonts w:ascii="Calibri" w:eastAsia="Calibri" w:hAnsi="Calibri"/>
          <w:lang/>
        </w:rPr>
        <w:t xml:space="preserve"> i nekoliko pravilnika pripremljeni, ali još uvijek nisu usvojeni, očekujem da se napredak u poglavlju 13 registruje od sledećeg izvještaja.</w:t>
      </w:r>
    </w:p>
    <w:p w:rsidR="00664D38" w:rsidRDefault="00664D38" w:rsidP="00664D38">
      <w:pPr>
        <w:spacing w:line="360" w:lineRule="auto"/>
        <w:jc w:val="both"/>
        <w:rPr>
          <w:rFonts w:ascii="Calibri" w:hAnsi="Calibri" w:cs="Arial"/>
          <w:color w:val="000000"/>
          <w:lang w:val="es-ES"/>
        </w:rPr>
      </w:pPr>
    </w:p>
    <w:p w:rsidR="00664D38" w:rsidRPr="002F2B45"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ZAKON O MASLINARSTVU</w:t>
      </w:r>
    </w:p>
    <w:p w:rsidR="00664D38" w:rsidRPr="003D53C3" w:rsidRDefault="00664D38" w:rsidP="00664D38">
      <w:pPr>
        <w:spacing w:line="360" w:lineRule="auto"/>
        <w:jc w:val="both"/>
        <w:rPr>
          <w:rFonts w:ascii="Calibri" w:hAnsi="Calibri" w:cs="Calibri"/>
        </w:rPr>
      </w:pPr>
      <w:r w:rsidRPr="003D53C3">
        <w:rPr>
          <w:rFonts w:ascii="Calibri" w:hAnsi="Calibri" w:cs="Cambria"/>
          <w:lang w:val="sr-Latn-CS"/>
        </w:rPr>
        <w:t xml:space="preserve">Zakon o maslinarstvu nije jedan od 12 zakona koji predstavljaju jedno od tri mjerila za otvaranje PP12. </w:t>
      </w:r>
      <w:r>
        <w:rPr>
          <w:rFonts w:ascii="Calibri" w:hAnsi="Calibri" w:cs="Cambria"/>
          <w:lang w:val="sr-Latn-CS"/>
        </w:rPr>
        <w:t>O</w:t>
      </w:r>
      <w:r w:rsidRPr="003D53C3">
        <w:rPr>
          <w:rFonts w:ascii="Calibri" w:hAnsi="Calibri" w:cs="Cambria"/>
          <w:lang w:val="sr-Latn-CS"/>
        </w:rPr>
        <w:t xml:space="preserve">vaj zakon nalazi </w:t>
      </w:r>
      <w:r>
        <w:rPr>
          <w:rFonts w:ascii="Calibri" w:hAnsi="Calibri" w:cs="Cambria"/>
          <w:lang w:val="sr-Latn-CS"/>
        </w:rPr>
        <w:t xml:space="preserve">se </w:t>
      </w:r>
      <w:r w:rsidRPr="003D53C3">
        <w:rPr>
          <w:rFonts w:ascii="Calibri" w:hAnsi="Calibri" w:cs="Cambria"/>
          <w:lang w:val="sr-Latn-CS"/>
        </w:rPr>
        <w:t xml:space="preserve">u Parlamentu od decembra 2013. Prije neki dan organizovana je </w:t>
      </w:r>
      <w:r w:rsidRPr="003D53C3">
        <w:rPr>
          <w:rFonts w:ascii="Calibri" w:hAnsi="Calibri" w:cs="Cambria"/>
          <w:lang w:val="sr-Latn-CS"/>
        </w:rPr>
        <w:lastRenderedPageBreak/>
        <w:t>dodatna rasprava na Odboru za poljoprivredu i turizam, nakon što je 16. jula ove godine</w:t>
      </w:r>
      <w:r w:rsidRPr="003D53C3">
        <w:rPr>
          <w:rFonts w:ascii="Calibri" w:hAnsi="Calibri" w:cs="Calibri"/>
        </w:rPr>
        <w:t xml:space="preserve"> Kolegijum Skupštine Crne Gore donio odluku da, iako je Predlog zakona uvršten u Dnevni red X sjednice I redovnog proljećnog zasijedanja Skupštine Crne Gore, o čemu je ovo Ministarstvo bilo </w:t>
      </w:r>
      <w:r>
        <w:rPr>
          <w:rFonts w:ascii="Calibri" w:hAnsi="Calibri" w:cs="Calibri"/>
        </w:rPr>
        <w:t xml:space="preserve">zvanično </w:t>
      </w:r>
      <w:r w:rsidRPr="003D53C3">
        <w:rPr>
          <w:rFonts w:ascii="Calibri" w:hAnsi="Calibri" w:cs="Calibri"/>
        </w:rPr>
        <w:t>obaviješteno, isti skine sa dnevnog reda.</w:t>
      </w:r>
      <w:r>
        <w:rPr>
          <w:rFonts w:ascii="Calibri" w:hAnsi="Calibri" w:cs="Calibri"/>
        </w:rPr>
        <w:t xml:space="preserve"> Iako je najavljeno da ćemo čuti naučno utemeljenje razloge zbog kojih treba predlog zakona doraditi, sve što smo čuli odnosilo se na pitanja koja ovaj zakon uopšte ne tretira (podrška maslinarima i pitanje Valdanosa). Za mene je bilo veliko razočarenje da slušam nastupe pojedinih čelnika NVO i udruženja proizvođača kojima su važniji sopstveni poslovni interesi od pitanja bezbjednosti hrane ili standarda na koje se Crna Gora obavezala, između ostalog, i međunarodnim sporazumima čiji je potpisnik. Uvijek sam spreman na dijalog. Ali, nisam spreman da preuzmem odgovornost </w:t>
      </w:r>
      <w:r w:rsidRPr="00661DE3">
        <w:rPr>
          <w:rFonts w:ascii="Calibri" w:hAnsi="Calibri" w:cs="Calibri"/>
          <w:u w:val="single"/>
        </w:rPr>
        <w:t>za kašnjenje</w:t>
      </w:r>
      <w:r>
        <w:rPr>
          <w:rFonts w:ascii="Calibri" w:hAnsi="Calibri" w:cs="Calibri"/>
        </w:rPr>
        <w:t xml:space="preserve"> - posebno kada pojedinci, i pored više mogućnosti, ne reaguju na vrijeme. Nisam spreman da preuzmem odgovornost ni </w:t>
      </w:r>
      <w:r w:rsidRPr="00661DE3">
        <w:rPr>
          <w:rFonts w:ascii="Calibri" w:hAnsi="Calibri" w:cs="Calibri"/>
          <w:u w:val="single"/>
        </w:rPr>
        <w:t>za odbijanje primjene međunarodnih standarda</w:t>
      </w:r>
      <w:r>
        <w:rPr>
          <w:rFonts w:ascii="Calibri" w:hAnsi="Calibri" w:cs="Calibri"/>
        </w:rPr>
        <w:t xml:space="preserve">, posebno od onih kojima su puna usta hvale o EU. </w:t>
      </w:r>
    </w:p>
    <w:p w:rsidR="00664D38" w:rsidRDefault="00664D38" w:rsidP="00664D38">
      <w:pPr>
        <w:spacing w:line="360" w:lineRule="auto"/>
        <w:jc w:val="both"/>
        <w:rPr>
          <w:rFonts w:ascii="Calibri" w:hAnsi="Calibri" w:cs="Arial"/>
          <w:color w:val="CC0021"/>
          <w:lang w:val="es-ES"/>
        </w:rPr>
      </w:pPr>
    </w:p>
    <w:p w:rsidR="00664D38" w:rsidRDefault="00664D38" w:rsidP="00664D38">
      <w:pPr>
        <w:shd w:val="clear" w:color="auto" w:fill="FFFFFF"/>
        <w:jc w:val="both"/>
        <w:rPr>
          <w:rFonts w:ascii="Calibri" w:hAnsi="Calibri"/>
          <w:lang w:val="sr-Latn-CS"/>
        </w:rPr>
      </w:pPr>
    </w:p>
    <w:p w:rsidR="00664D38" w:rsidRPr="002F2B45"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JAVN</w:t>
      </w:r>
      <w:r w:rsidRPr="002F2B45">
        <w:rPr>
          <w:rFonts w:ascii="Calibri" w:hAnsi="Calibri" w:cs="Calibri"/>
          <w:b/>
          <w:color w:val="CC0021"/>
          <w:szCs w:val="30"/>
          <w:lang w:val="en-US"/>
        </w:rPr>
        <w:t>I</w:t>
      </w:r>
      <w:r>
        <w:rPr>
          <w:rFonts w:ascii="Calibri" w:hAnsi="Calibri" w:cs="Calibri"/>
          <w:b/>
          <w:color w:val="CC0021"/>
          <w:szCs w:val="30"/>
          <w:lang w:val="en-US"/>
        </w:rPr>
        <w:t xml:space="preserve"> POZIV ZA SOLARNE KATUNE</w:t>
      </w:r>
    </w:p>
    <w:p w:rsidR="00664D38" w:rsidRPr="00813806" w:rsidRDefault="00664D38" w:rsidP="00664D38">
      <w:pPr>
        <w:spacing w:line="360" w:lineRule="auto"/>
        <w:jc w:val="both"/>
        <w:rPr>
          <w:rFonts w:ascii="Calibri" w:hAnsi="Calibri" w:cs="Cambria"/>
          <w:noProof/>
        </w:rPr>
      </w:pPr>
      <w:r>
        <w:rPr>
          <w:rFonts w:ascii="Calibri" w:hAnsi="Calibri" w:cs="Cambria"/>
          <w:noProof/>
        </w:rPr>
        <w:t>U</w:t>
      </w:r>
      <w:r w:rsidRPr="00813806">
        <w:rPr>
          <w:rFonts w:ascii="Calibri" w:hAnsi="Calibri" w:cs="Cambria"/>
          <w:noProof/>
        </w:rPr>
        <w:t xml:space="preserve"> skladu sa Agrobudžetom za 2014. godinu i budžetskom linijom </w:t>
      </w:r>
      <w:r w:rsidRPr="00813806">
        <w:rPr>
          <w:rFonts w:ascii="Calibri" w:hAnsi="Calibri" w:cs="Cambria"/>
          <w:i/>
          <w:noProof/>
        </w:rPr>
        <w:t>Mjere za poboljšanje života i širenje ekonomskih aktivnosti u ruralnim područjima</w:t>
      </w:r>
      <w:r w:rsidRPr="00813806">
        <w:rPr>
          <w:rFonts w:ascii="Calibri" w:hAnsi="Calibri" w:cs="Cambria"/>
          <w:noProof/>
        </w:rPr>
        <w:t>, M</w:t>
      </w:r>
      <w:r>
        <w:rPr>
          <w:rFonts w:ascii="Calibri" w:hAnsi="Calibri" w:cs="Cambria"/>
          <w:noProof/>
        </w:rPr>
        <w:t xml:space="preserve">PRR će </w:t>
      </w:r>
      <w:r w:rsidRPr="00813806">
        <w:rPr>
          <w:rFonts w:ascii="Calibri" w:hAnsi="Calibri" w:cs="Cambria"/>
          <w:noProof/>
        </w:rPr>
        <w:t>tokom sljedeće nedjelje objavi</w:t>
      </w:r>
      <w:r>
        <w:rPr>
          <w:rFonts w:ascii="Calibri" w:hAnsi="Calibri" w:cs="Cambria"/>
          <w:noProof/>
        </w:rPr>
        <w:t>ti</w:t>
      </w:r>
      <w:r w:rsidRPr="00813806">
        <w:rPr>
          <w:rFonts w:ascii="Calibri" w:hAnsi="Calibri" w:cs="Cambria"/>
          <w:noProof/>
        </w:rPr>
        <w:t xml:space="preserve"> </w:t>
      </w:r>
      <w:r w:rsidRPr="00813806">
        <w:rPr>
          <w:rFonts w:ascii="Calibri" w:hAnsi="Calibri" w:cs="Cambria"/>
          <w:i/>
          <w:noProof/>
        </w:rPr>
        <w:t>Javni poziv za dodjelu podrške za korišćenje solarne energije na katunima</w:t>
      </w:r>
      <w:r w:rsidRPr="00813806">
        <w:rPr>
          <w:rFonts w:ascii="Calibri" w:hAnsi="Calibri" w:cs="Cambria"/>
          <w:noProof/>
        </w:rPr>
        <w:t>.</w:t>
      </w:r>
      <w:r>
        <w:rPr>
          <w:rFonts w:ascii="Calibri" w:hAnsi="Calibri" w:cs="Cambria"/>
          <w:noProof/>
        </w:rPr>
        <w:t xml:space="preserve"> I</w:t>
      </w:r>
      <w:r w:rsidRPr="00813806">
        <w:rPr>
          <w:rFonts w:ascii="Calibri" w:hAnsi="Calibri" w:cs="Cambria"/>
          <w:noProof/>
        </w:rPr>
        <w:t>majući u vidu da se uglavnom radi o nepristupačnim terenima</w:t>
      </w:r>
      <w:r>
        <w:rPr>
          <w:rFonts w:ascii="Calibri" w:hAnsi="Calibri" w:cs="Cambria"/>
          <w:noProof/>
        </w:rPr>
        <w:t>,</w:t>
      </w:r>
      <w:r w:rsidRPr="00813806">
        <w:rPr>
          <w:rFonts w:ascii="Calibri" w:hAnsi="Calibri" w:cs="Cambria"/>
          <w:noProof/>
        </w:rPr>
        <w:t xml:space="preserve"> sa otež</w:t>
      </w:r>
      <w:r>
        <w:rPr>
          <w:rFonts w:ascii="Calibri" w:hAnsi="Calibri" w:cs="Cambria"/>
          <w:noProof/>
        </w:rPr>
        <w:t>anim uslovima elektrifikacije, naš c</w:t>
      </w:r>
      <w:r w:rsidRPr="00813806">
        <w:rPr>
          <w:rFonts w:ascii="Calibri" w:hAnsi="Calibri" w:cs="Cambria"/>
          <w:noProof/>
        </w:rPr>
        <w:t xml:space="preserve">ilj je </w:t>
      </w:r>
      <w:r>
        <w:rPr>
          <w:rFonts w:ascii="Calibri" w:hAnsi="Calibri" w:cs="Cambria"/>
          <w:noProof/>
        </w:rPr>
        <w:t xml:space="preserve">da </w:t>
      </w:r>
      <w:r w:rsidRPr="00813806">
        <w:rPr>
          <w:rFonts w:ascii="Calibri" w:hAnsi="Calibri" w:cs="Cambria"/>
          <w:noProof/>
        </w:rPr>
        <w:t>poboljša</w:t>
      </w:r>
      <w:r>
        <w:rPr>
          <w:rFonts w:ascii="Calibri" w:hAnsi="Calibri" w:cs="Cambria"/>
          <w:noProof/>
        </w:rPr>
        <w:t>mo</w:t>
      </w:r>
      <w:r w:rsidRPr="00813806">
        <w:rPr>
          <w:rFonts w:ascii="Calibri" w:hAnsi="Calibri" w:cs="Cambria"/>
          <w:noProof/>
        </w:rPr>
        <w:t xml:space="preserve"> uslov</w:t>
      </w:r>
      <w:r>
        <w:rPr>
          <w:rFonts w:ascii="Calibri" w:hAnsi="Calibri" w:cs="Cambria"/>
          <w:noProof/>
        </w:rPr>
        <w:t>e života na katunima i da očuvamo tradiciju katunskog stočarstva u Crnoj Gori</w:t>
      </w:r>
      <w:r w:rsidRPr="00813806">
        <w:rPr>
          <w:rFonts w:ascii="Calibri" w:hAnsi="Calibri" w:cs="Cambria"/>
          <w:noProof/>
        </w:rPr>
        <w:t xml:space="preserve">. </w:t>
      </w:r>
    </w:p>
    <w:p w:rsidR="00664D38" w:rsidRPr="00813806" w:rsidRDefault="00664D38" w:rsidP="00664D38">
      <w:pPr>
        <w:spacing w:line="360" w:lineRule="auto"/>
        <w:jc w:val="both"/>
        <w:rPr>
          <w:rFonts w:ascii="Calibri" w:hAnsi="Calibri" w:cs="Cambria"/>
          <w:b/>
          <w:i/>
          <w:noProof/>
        </w:rPr>
      </w:pPr>
    </w:p>
    <w:p w:rsidR="00664D38" w:rsidRPr="00813806" w:rsidRDefault="00664D38" w:rsidP="00664D38">
      <w:pPr>
        <w:spacing w:line="360" w:lineRule="auto"/>
        <w:jc w:val="both"/>
        <w:rPr>
          <w:rFonts w:ascii="Calibri" w:hAnsi="Calibri" w:cs="Cambria"/>
          <w:noProof/>
        </w:rPr>
      </w:pPr>
      <w:r w:rsidRPr="00813806">
        <w:rPr>
          <w:rFonts w:ascii="Calibri" w:hAnsi="Calibri" w:cs="Cambria"/>
          <w:noProof/>
        </w:rPr>
        <w:t>Korisnici podrške mogu bu</w:t>
      </w:r>
      <w:r>
        <w:rPr>
          <w:rFonts w:ascii="Calibri" w:hAnsi="Calibri" w:cs="Cambria"/>
          <w:noProof/>
        </w:rPr>
        <w:t>ti</w:t>
      </w:r>
      <w:r w:rsidRPr="00813806">
        <w:rPr>
          <w:rFonts w:ascii="Calibri" w:hAnsi="Calibri" w:cs="Cambria"/>
          <w:noProof/>
        </w:rPr>
        <w:t xml:space="preserve"> seoska gazdinstva koja ispunjavaju sljedeće uslove:</w:t>
      </w:r>
    </w:p>
    <w:p w:rsidR="00664D38" w:rsidRPr="00813806" w:rsidRDefault="00664D38" w:rsidP="00664D38">
      <w:pPr>
        <w:pStyle w:val="ColorfulList-Accent1"/>
        <w:numPr>
          <w:ilvl w:val="0"/>
          <w:numId w:val="36"/>
        </w:numPr>
        <w:spacing w:line="360" w:lineRule="auto"/>
        <w:contextualSpacing/>
        <w:jc w:val="both"/>
        <w:rPr>
          <w:rFonts w:ascii="Calibri" w:hAnsi="Calibri" w:cs="Cambria"/>
          <w:noProof/>
        </w:rPr>
      </w:pPr>
      <w:r w:rsidRPr="00813806">
        <w:rPr>
          <w:rFonts w:ascii="Calibri" w:hAnsi="Calibri" w:cs="Cambria"/>
          <w:noProof/>
        </w:rPr>
        <w:t>da su evidentirani u registru Službe za selekciju stoke;</w:t>
      </w:r>
    </w:p>
    <w:p w:rsidR="00664D38" w:rsidRPr="00813806" w:rsidRDefault="00664D38" w:rsidP="00664D38">
      <w:pPr>
        <w:pStyle w:val="ColorfulList-Accent1"/>
        <w:numPr>
          <w:ilvl w:val="0"/>
          <w:numId w:val="36"/>
        </w:numPr>
        <w:spacing w:line="360" w:lineRule="auto"/>
        <w:contextualSpacing/>
        <w:jc w:val="both"/>
        <w:rPr>
          <w:rFonts w:ascii="Calibri" w:hAnsi="Calibri" w:cs="Cambria"/>
          <w:noProof/>
        </w:rPr>
      </w:pPr>
      <w:r w:rsidRPr="00813806">
        <w:rPr>
          <w:rFonts w:ascii="Calibri" w:hAnsi="Calibri" w:cs="Cambria"/>
          <w:noProof/>
        </w:rPr>
        <w:t>da izdižu stoku na katune</w:t>
      </w:r>
      <w:r>
        <w:rPr>
          <w:rFonts w:ascii="Calibri" w:hAnsi="Calibri" w:cs="Cambria"/>
          <w:noProof/>
        </w:rPr>
        <w:t xml:space="preserve"> i to najmanje 20 uslovnih grla</w:t>
      </w:r>
      <w:r w:rsidRPr="00813806">
        <w:rPr>
          <w:rFonts w:ascii="Calibri" w:hAnsi="Calibri" w:cs="Cambria"/>
          <w:noProof/>
        </w:rPr>
        <w:t xml:space="preserve">; </w:t>
      </w:r>
    </w:p>
    <w:p w:rsidR="00664D38" w:rsidRPr="00813806" w:rsidRDefault="00664D38" w:rsidP="00664D38">
      <w:pPr>
        <w:pStyle w:val="ColorfulList-Accent1"/>
        <w:numPr>
          <w:ilvl w:val="0"/>
          <w:numId w:val="36"/>
        </w:numPr>
        <w:spacing w:line="360" w:lineRule="auto"/>
        <w:contextualSpacing/>
        <w:jc w:val="both"/>
        <w:rPr>
          <w:rFonts w:ascii="Calibri" w:hAnsi="Calibri" w:cs="Cambria"/>
          <w:noProof/>
        </w:rPr>
      </w:pPr>
      <w:r w:rsidRPr="00813806">
        <w:rPr>
          <w:rFonts w:ascii="Calibri" w:hAnsi="Calibri" w:cs="Cambria"/>
          <w:noProof/>
        </w:rPr>
        <w:t xml:space="preserve">da nemaju mogućnost elektrifikacije na katunima; </w:t>
      </w:r>
    </w:p>
    <w:p w:rsidR="00664D38" w:rsidRPr="00813806" w:rsidRDefault="00664D38" w:rsidP="00664D38">
      <w:pPr>
        <w:pStyle w:val="ColorfulList-Accent1"/>
        <w:numPr>
          <w:ilvl w:val="0"/>
          <w:numId w:val="36"/>
        </w:numPr>
        <w:spacing w:line="360" w:lineRule="auto"/>
        <w:contextualSpacing/>
        <w:jc w:val="both"/>
        <w:rPr>
          <w:rFonts w:ascii="Calibri" w:hAnsi="Calibri" w:cs="Cambria"/>
          <w:noProof/>
        </w:rPr>
      </w:pPr>
      <w:r w:rsidRPr="00813806">
        <w:rPr>
          <w:rFonts w:ascii="Calibri" w:hAnsi="Calibri" w:cs="Cambria"/>
          <w:noProof/>
        </w:rPr>
        <w:t>da za katun na koji izdižu stoku nisu prethodno dobili podršku za ovu namjenu od strane ministarstva ili opštine;</w:t>
      </w:r>
    </w:p>
    <w:p w:rsidR="00664D38" w:rsidRPr="00813806" w:rsidRDefault="00664D38" w:rsidP="00664D38">
      <w:pPr>
        <w:spacing w:line="360" w:lineRule="auto"/>
        <w:jc w:val="both"/>
        <w:rPr>
          <w:rFonts w:ascii="Calibri" w:hAnsi="Calibri" w:cs="Cambria"/>
          <w:noProof/>
        </w:rPr>
      </w:pPr>
    </w:p>
    <w:p w:rsidR="00664D38" w:rsidRDefault="00664D38" w:rsidP="00664D38">
      <w:pPr>
        <w:spacing w:line="360" w:lineRule="auto"/>
        <w:jc w:val="both"/>
        <w:rPr>
          <w:rFonts w:ascii="Calibri" w:hAnsi="Calibri"/>
        </w:rPr>
      </w:pPr>
      <w:r>
        <w:rPr>
          <w:rFonts w:ascii="Calibri" w:eastAsia="Times New Roman" w:hAnsi="Calibri" w:cs="Cambria"/>
          <w:noProof/>
        </w:rPr>
        <w:t>Kako bi povećali broj korisnika podrške, s</w:t>
      </w:r>
      <w:r w:rsidRPr="00813806">
        <w:rPr>
          <w:rFonts w:ascii="Calibri" w:eastAsia="Times New Roman" w:hAnsi="Calibri" w:cs="Cambria"/>
          <w:noProof/>
        </w:rPr>
        <w:t xml:space="preserve">opstveno učešće </w:t>
      </w:r>
      <w:r>
        <w:rPr>
          <w:rFonts w:ascii="Calibri" w:eastAsia="Times New Roman" w:hAnsi="Calibri" w:cs="Cambria"/>
          <w:noProof/>
        </w:rPr>
        <w:t>iznosiće 30%, dok preostalih 70% idu na teret Ministartsva poljoprivrede i ruralnog razvoja.</w:t>
      </w:r>
      <w:r w:rsidRPr="00813806">
        <w:rPr>
          <w:rFonts w:ascii="Calibri" w:eastAsia="Times New Roman" w:hAnsi="Calibri" w:cs="Cambria"/>
          <w:noProof/>
        </w:rPr>
        <w:t xml:space="preserve"> </w:t>
      </w:r>
      <w:r>
        <w:rPr>
          <w:rFonts w:ascii="Calibri" w:hAnsi="Calibri"/>
        </w:rPr>
        <w:t xml:space="preserve">Do sada je </w:t>
      </w:r>
      <w:r w:rsidRPr="00813806">
        <w:rPr>
          <w:rFonts w:ascii="Calibri" w:hAnsi="Calibri"/>
        </w:rPr>
        <w:t xml:space="preserve">obezbijeđeno </w:t>
      </w:r>
      <w:r>
        <w:rPr>
          <w:rFonts w:ascii="Calibri" w:hAnsi="Calibri"/>
        </w:rPr>
        <w:t>preko 200 solarnih panela</w:t>
      </w:r>
      <w:r w:rsidRPr="00813806">
        <w:rPr>
          <w:rFonts w:ascii="Calibri" w:hAnsi="Calibri"/>
        </w:rPr>
        <w:t xml:space="preserve">. </w:t>
      </w:r>
      <w:r>
        <w:rPr>
          <w:rFonts w:ascii="Calibri" w:hAnsi="Calibri"/>
        </w:rPr>
        <w:t>Dodatno,</w:t>
      </w:r>
      <w:r w:rsidRPr="00813806">
        <w:rPr>
          <w:rFonts w:ascii="Calibri" w:hAnsi="Calibri"/>
        </w:rPr>
        <w:t xml:space="preserve"> </w:t>
      </w:r>
      <w:r>
        <w:rPr>
          <w:rFonts w:ascii="Calibri" w:hAnsi="Calibri"/>
        </w:rPr>
        <w:t xml:space="preserve">podršku </w:t>
      </w:r>
      <w:r w:rsidRPr="00813806">
        <w:rPr>
          <w:rFonts w:ascii="Calibri" w:hAnsi="Calibri"/>
        </w:rPr>
        <w:t>poljoprivredn</w:t>
      </w:r>
      <w:r>
        <w:rPr>
          <w:rFonts w:ascii="Calibri" w:hAnsi="Calibri"/>
        </w:rPr>
        <w:t>im</w:t>
      </w:r>
      <w:r w:rsidRPr="00813806">
        <w:rPr>
          <w:rFonts w:ascii="Calibri" w:hAnsi="Calibri"/>
        </w:rPr>
        <w:t xml:space="preserve"> proizvođač</w:t>
      </w:r>
      <w:r>
        <w:rPr>
          <w:rFonts w:ascii="Calibri" w:hAnsi="Calibri"/>
        </w:rPr>
        <w:t xml:space="preserve">ima davale su </w:t>
      </w:r>
      <w:r w:rsidRPr="00813806">
        <w:rPr>
          <w:rFonts w:ascii="Calibri" w:hAnsi="Calibri"/>
        </w:rPr>
        <w:t xml:space="preserve">pojedine </w:t>
      </w:r>
      <w:r>
        <w:rPr>
          <w:rFonts w:ascii="Calibri" w:hAnsi="Calibri"/>
        </w:rPr>
        <w:t>o</w:t>
      </w:r>
      <w:r w:rsidRPr="00813806">
        <w:rPr>
          <w:rFonts w:ascii="Calibri" w:hAnsi="Calibri"/>
        </w:rPr>
        <w:t xml:space="preserve">pštine. </w:t>
      </w:r>
    </w:p>
    <w:p w:rsidR="00664D38" w:rsidRDefault="00664D38" w:rsidP="00664D38">
      <w:pPr>
        <w:spacing w:line="360" w:lineRule="auto"/>
        <w:jc w:val="both"/>
        <w:rPr>
          <w:rFonts w:ascii="Calibri" w:hAnsi="Calibri"/>
        </w:rPr>
      </w:pPr>
    </w:p>
    <w:p w:rsidR="00664D38" w:rsidRPr="00813806" w:rsidRDefault="00664D38" w:rsidP="00664D38">
      <w:pPr>
        <w:spacing w:line="360" w:lineRule="auto"/>
        <w:jc w:val="both"/>
        <w:rPr>
          <w:rFonts w:ascii="Calibri" w:eastAsia="Times New Roman" w:hAnsi="Calibri" w:cs="Cambria"/>
          <w:noProof/>
        </w:rPr>
      </w:pPr>
      <w:r w:rsidRPr="00813806">
        <w:rPr>
          <w:rFonts w:ascii="Calibri" w:hAnsi="Calibri"/>
        </w:rPr>
        <w:lastRenderedPageBreak/>
        <w:t>Ov</w:t>
      </w:r>
      <w:r>
        <w:rPr>
          <w:rFonts w:ascii="Calibri" w:hAnsi="Calibri"/>
        </w:rPr>
        <w:t>u</w:t>
      </w:r>
      <w:r w:rsidRPr="00813806">
        <w:rPr>
          <w:rFonts w:ascii="Calibri" w:hAnsi="Calibri"/>
        </w:rPr>
        <w:t xml:space="preserve"> aktivnost Ministarstvo poljoprivrede sprovodi zajedno sa Ministarstvom ekonomije koje </w:t>
      </w:r>
      <w:r>
        <w:rPr>
          <w:rFonts w:ascii="Calibri" w:hAnsi="Calibri"/>
        </w:rPr>
        <w:t xml:space="preserve">je bilo zaduženo za </w:t>
      </w:r>
      <w:r w:rsidRPr="00813806">
        <w:rPr>
          <w:rFonts w:ascii="Calibri" w:hAnsi="Calibri"/>
        </w:rPr>
        <w:t>objavlj</w:t>
      </w:r>
      <w:r>
        <w:rPr>
          <w:rFonts w:ascii="Calibri" w:hAnsi="Calibri"/>
        </w:rPr>
        <w:t>ivanje</w:t>
      </w:r>
      <w:r w:rsidRPr="00813806">
        <w:rPr>
          <w:rFonts w:ascii="Calibri" w:hAnsi="Calibri"/>
        </w:rPr>
        <w:t xml:space="preserve"> tender</w:t>
      </w:r>
      <w:r>
        <w:rPr>
          <w:rFonts w:ascii="Calibri" w:hAnsi="Calibri"/>
        </w:rPr>
        <w:t>a</w:t>
      </w:r>
      <w:r w:rsidRPr="00813806">
        <w:rPr>
          <w:rFonts w:ascii="Calibri" w:hAnsi="Calibri"/>
        </w:rPr>
        <w:t xml:space="preserve"> za nabavku solarnih panela. Ukupna vrijednost </w:t>
      </w:r>
      <w:r>
        <w:rPr>
          <w:rFonts w:ascii="Calibri" w:hAnsi="Calibri"/>
        </w:rPr>
        <w:t xml:space="preserve">podrške iznosi </w:t>
      </w:r>
      <w:r w:rsidRPr="00813806">
        <w:rPr>
          <w:rFonts w:ascii="Calibri" w:hAnsi="Calibri"/>
        </w:rPr>
        <w:t xml:space="preserve">55.000 </w:t>
      </w:r>
      <w:r>
        <w:rPr>
          <w:rFonts w:ascii="Calibri" w:hAnsi="Calibri"/>
        </w:rPr>
        <w:t>€</w:t>
      </w:r>
      <w:r w:rsidRPr="00813806">
        <w:rPr>
          <w:rFonts w:ascii="Calibri" w:hAnsi="Calibri"/>
        </w:rPr>
        <w:t xml:space="preserve"> (učešće Ministarstva poljoprivrede je 35.000</w:t>
      </w:r>
      <w:r>
        <w:rPr>
          <w:rFonts w:ascii="Calibri" w:hAnsi="Calibri"/>
        </w:rPr>
        <w:t>,</w:t>
      </w:r>
      <w:r w:rsidRPr="00813806">
        <w:rPr>
          <w:rFonts w:ascii="Calibri" w:hAnsi="Calibri"/>
        </w:rPr>
        <w:t xml:space="preserve"> a Ministarstva ekonomije 20.000 </w:t>
      </w:r>
      <w:r>
        <w:rPr>
          <w:rFonts w:ascii="Calibri" w:hAnsi="Calibri"/>
        </w:rPr>
        <w:t>€</w:t>
      </w:r>
      <w:r w:rsidRPr="00813806">
        <w:rPr>
          <w:rFonts w:ascii="Calibri" w:hAnsi="Calibri"/>
        </w:rPr>
        <w:t xml:space="preserve">). </w:t>
      </w:r>
    </w:p>
    <w:p w:rsidR="00664D38" w:rsidRDefault="00664D38" w:rsidP="00664D38">
      <w:pPr>
        <w:widowControl w:val="0"/>
        <w:autoSpaceDE w:val="0"/>
        <w:autoSpaceDN w:val="0"/>
        <w:adjustRightInd w:val="0"/>
        <w:spacing w:line="276" w:lineRule="auto"/>
        <w:jc w:val="both"/>
        <w:rPr>
          <w:rFonts w:ascii="Helvetica Neue" w:hAnsi="Helvetica Neue"/>
        </w:rPr>
      </w:pPr>
    </w:p>
    <w:p w:rsidR="00664D38" w:rsidRPr="00C4260D" w:rsidRDefault="00664D38" w:rsidP="00664D38">
      <w:pPr>
        <w:widowControl w:val="0"/>
        <w:autoSpaceDE w:val="0"/>
        <w:autoSpaceDN w:val="0"/>
        <w:adjustRightInd w:val="0"/>
        <w:spacing w:line="276" w:lineRule="auto"/>
        <w:jc w:val="both"/>
        <w:rPr>
          <w:rFonts w:ascii="Helvetica Neue" w:hAnsi="Helvetica Neue"/>
        </w:rPr>
      </w:pPr>
    </w:p>
    <w:p w:rsidR="00664D38" w:rsidRPr="002F2B45"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OBNOVA I RAZVOJ SELA I IZGRADNJA INFRASTRUKTURE</w:t>
      </w:r>
    </w:p>
    <w:p w:rsidR="00664D38" w:rsidRPr="006C7A33" w:rsidRDefault="00664D38" w:rsidP="00664D38">
      <w:pPr>
        <w:spacing w:line="360" w:lineRule="auto"/>
        <w:jc w:val="both"/>
        <w:rPr>
          <w:rFonts w:ascii="Calibri" w:hAnsi="Calibri"/>
        </w:rPr>
      </w:pPr>
      <w:r>
        <w:rPr>
          <w:rFonts w:ascii="Calibri" w:hAnsi="Calibri"/>
        </w:rPr>
        <w:t>Do sada smo u 2014. godini realizovali sledeće projekte:</w:t>
      </w:r>
      <w:r w:rsidRPr="006C7A33">
        <w:rPr>
          <w:rFonts w:ascii="Calibri" w:hAnsi="Calibri"/>
        </w:rPr>
        <w:t xml:space="preserve"> </w:t>
      </w:r>
    </w:p>
    <w:p w:rsidR="00664D38" w:rsidRPr="006C7A33" w:rsidRDefault="00664D38" w:rsidP="00664D38">
      <w:pPr>
        <w:spacing w:line="360" w:lineRule="auto"/>
        <w:jc w:val="both"/>
        <w:rPr>
          <w:rFonts w:ascii="Calibri" w:hAnsi="Calibri"/>
        </w:rPr>
      </w:pPr>
    </w:p>
    <w:p w:rsidR="00664D38" w:rsidRPr="006C7A33" w:rsidRDefault="00664D38" w:rsidP="00664D38">
      <w:pPr>
        <w:spacing w:line="360" w:lineRule="auto"/>
        <w:jc w:val="both"/>
        <w:rPr>
          <w:rFonts w:ascii="Calibri" w:hAnsi="Calibri"/>
          <w:b/>
        </w:rPr>
      </w:pPr>
      <w:r w:rsidRPr="006C7A33">
        <w:rPr>
          <w:rFonts w:ascii="Calibri" w:hAnsi="Calibri"/>
          <w:b/>
        </w:rPr>
        <w:t>Andrijevica</w:t>
      </w:r>
      <w:r>
        <w:rPr>
          <w:rFonts w:ascii="Calibri" w:hAnsi="Calibri"/>
          <w:b/>
        </w:rPr>
        <w:t xml:space="preserve"> </w:t>
      </w:r>
      <w:r>
        <w:rPr>
          <w:rFonts w:ascii="Calibri" w:hAnsi="Calibri"/>
          <w:b/>
        </w:rPr>
        <w:tab/>
        <w:t xml:space="preserve">- </w:t>
      </w:r>
      <w:r>
        <w:rPr>
          <w:rFonts w:ascii="Calibri" w:hAnsi="Calibri"/>
        </w:rPr>
        <w:t>s</w:t>
      </w:r>
      <w:r w:rsidRPr="006C7A33">
        <w:rPr>
          <w:rFonts w:ascii="Calibri" w:hAnsi="Calibri"/>
        </w:rPr>
        <w:t>anacija puta Jošanica-Mojanska Rijeka</w:t>
      </w:r>
      <w:r>
        <w:rPr>
          <w:rFonts w:ascii="Calibri" w:hAnsi="Calibri"/>
        </w:rPr>
        <w:t xml:space="preserve"> i n</w:t>
      </w:r>
      <w:r w:rsidRPr="006C7A33">
        <w:rPr>
          <w:rFonts w:ascii="Calibri" w:hAnsi="Calibri"/>
        </w:rPr>
        <w:t>astavak radova na putu Balj-Seoce</w:t>
      </w:r>
      <w:r>
        <w:rPr>
          <w:rFonts w:ascii="Calibri" w:hAnsi="Calibri"/>
        </w:rPr>
        <w:t>;</w:t>
      </w:r>
    </w:p>
    <w:p w:rsidR="00664D38" w:rsidRPr="006C7A33" w:rsidRDefault="00664D38" w:rsidP="00664D38">
      <w:pPr>
        <w:spacing w:line="360" w:lineRule="auto"/>
        <w:jc w:val="both"/>
        <w:rPr>
          <w:rFonts w:ascii="Calibri" w:hAnsi="Calibri"/>
          <w:b/>
        </w:rPr>
      </w:pPr>
      <w:r w:rsidRPr="006C7A33">
        <w:rPr>
          <w:rFonts w:ascii="Calibri" w:hAnsi="Calibri"/>
          <w:b/>
        </w:rPr>
        <w:t>Berane</w:t>
      </w:r>
      <w:r>
        <w:rPr>
          <w:rFonts w:ascii="Calibri" w:hAnsi="Calibri"/>
          <w:b/>
        </w:rPr>
        <w:t xml:space="preserve"> </w:t>
      </w:r>
      <w:r>
        <w:rPr>
          <w:rFonts w:ascii="Calibri" w:hAnsi="Calibri"/>
          <w:b/>
        </w:rPr>
        <w:tab/>
        <w:t xml:space="preserve">- </w:t>
      </w:r>
      <w:r>
        <w:rPr>
          <w:rFonts w:ascii="Calibri" w:hAnsi="Calibri"/>
        </w:rPr>
        <w:t>s</w:t>
      </w:r>
      <w:r w:rsidRPr="006C7A33">
        <w:rPr>
          <w:rFonts w:ascii="Calibri" w:hAnsi="Calibri"/>
        </w:rPr>
        <w:t>anacija puta Polica-Goražde</w:t>
      </w:r>
      <w:r>
        <w:rPr>
          <w:rFonts w:ascii="Calibri" w:hAnsi="Calibri"/>
        </w:rPr>
        <w:t xml:space="preserve"> i s</w:t>
      </w:r>
      <w:r w:rsidRPr="006C7A33">
        <w:rPr>
          <w:rFonts w:ascii="Calibri" w:hAnsi="Calibri"/>
        </w:rPr>
        <w:t>anacija kanala za navodnjavanje Selača-Lužac</w:t>
      </w:r>
      <w:r>
        <w:rPr>
          <w:rFonts w:ascii="Calibri" w:hAnsi="Calibri"/>
        </w:rPr>
        <w:t>;</w:t>
      </w:r>
    </w:p>
    <w:p w:rsidR="00664D38" w:rsidRPr="006C7A33" w:rsidRDefault="00664D38" w:rsidP="00664D38">
      <w:pPr>
        <w:spacing w:line="360" w:lineRule="auto"/>
        <w:rPr>
          <w:rFonts w:ascii="Calibri" w:hAnsi="Calibri"/>
          <w:b/>
        </w:rPr>
      </w:pPr>
      <w:r w:rsidRPr="006C7A33">
        <w:rPr>
          <w:rFonts w:ascii="Calibri" w:hAnsi="Calibri"/>
          <w:b/>
        </w:rPr>
        <w:t>Danilovgrad</w:t>
      </w:r>
      <w:r>
        <w:rPr>
          <w:rFonts w:ascii="Calibri" w:hAnsi="Calibri"/>
          <w:b/>
        </w:rPr>
        <w:t xml:space="preserve"> </w:t>
      </w:r>
      <w:r>
        <w:rPr>
          <w:rFonts w:ascii="Calibri" w:hAnsi="Calibri"/>
          <w:b/>
        </w:rPr>
        <w:tab/>
        <w:t xml:space="preserve">- </w:t>
      </w:r>
      <w:r>
        <w:rPr>
          <w:rFonts w:ascii="Calibri" w:hAnsi="Calibri"/>
        </w:rPr>
        <w:t>n</w:t>
      </w:r>
      <w:r w:rsidRPr="006C7A33">
        <w:rPr>
          <w:rFonts w:ascii="Calibri" w:hAnsi="Calibri"/>
        </w:rPr>
        <w:t>asipanje puta Gornji Zagarač-Markovina</w:t>
      </w:r>
      <w:r>
        <w:rPr>
          <w:rFonts w:ascii="Calibri" w:hAnsi="Calibri"/>
        </w:rPr>
        <w:t xml:space="preserve"> i </w:t>
      </w:r>
      <w:r w:rsidRPr="006C7A33">
        <w:rPr>
          <w:rFonts w:ascii="Calibri" w:hAnsi="Calibri"/>
        </w:rPr>
        <w:t>puta Vukotica-Ponikvica</w:t>
      </w:r>
      <w:r>
        <w:rPr>
          <w:rFonts w:ascii="Calibri" w:hAnsi="Calibri"/>
        </w:rPr>
        <w:t>;</w:t>
      </w:r>
    </w:p>
    <w:p w:rsidR="00664D38" w:rsidRPr="006C7A33" w:rsidRDefault="00664D38" w:rsidP="00664D38">
      <w:pPr>
        <w:spacing w:line="360" w:lineRule="auto"/>
        <w:rPr>
          <w:rFonts w:ascii="Calibri" w:hAnsi="Calibri"/>
          <w:b/>
        </w:rPr>
      </w:pPr>
      <w:r w:rsidRPr="006C7A33">
        <w:rPr>
          <w:rFonts w:ascii="Calibri" w:hAnsi="Calibri"/>
          <w:b/>
        </w:rPr>
        <w:t>Mojkovac</w:t>
      </w:r>
      <w:r>
        <w:rPr>
          <w:rFonts w:ascii="Calibri" w:hAnsi="Calibri"/>
          <w:b/>
        </w:rPr>
        <w:tab/>
        <w:t xml:space="preserve">- </w:t>
      </w:r>
      <w:r>
        <w:rPr>
          <w:rFonts w:ascii="Calibri" w:hAnsi="Calibri"/>
        </w:rPr>
        <w:t>p</w:t>
      </w:r>
      <w:r w:rsidRPr="006C7A33">
        <w:rPr>
          <w:rFonts w:ascii="Calibri" w:hAnsi="Calibri"/>
        </w:rPr>
        <w:t>roboj puta Bistrica-Ravni Šib-Sinjajevina</w:t>
      </w:r>
      <w:r>
        <w:rPr>
          <w:rFonts w:ascii="Calibri" w:hAnsi="Calibri"/>
        </w:rPr>
        <w:t xml:space="preserve"> i r</w:t>
      </w:r>
      <w:r w:rsidRPr="006C7A33">
        <w:rPr>
          <w:rFonts w:ascii="Calibri" w:hAnsi="Calibri"/>
        </w:rPr>
        <w:t>ekonstrukcija puta Krstac-Jankovići</w:t>
      </w:r>
      <w:r>
        <w:rPr>
          <w:rFonts w:ascii="Calibri" w:hAnsi="Calibri"/>
        </w:rPr>
        <w:t>;</w:t>
      </w:r>
    </w:p>
    <w:p w:rsidR="00664D38" w:rsidRPr="006C7A33" w:rsidRDefault="00664D38" w:rsidP="00664D38">
      <w:pPr>
        <w:spacing w:line="360" w:lineRule="auto"/>
        <w:rPr>
          <w:rFonts w:ascii="Calibri" w:hAnsi="Calibri"/>
          <w:b/>
        </w:rPr>
      </w:pPr>
      <w:r w:rsidRPr="006C7A33">
        <w:rPr>
          <w:rFonts w:ascii="Calibri" w:hAnsi="Calibri"/>
          <w:b/>
        </w:rPr>
        <w:t>Nikšić</w:t>
      </w:r>
      <w:r>
        <w:rPr>
          <w:rFonts w:ascii="Calibri" w:hAnsi="Calibri"/>
          <w:b/>
        </w:rPr>
        <w:tab/>
      </w:r>
      <w:r>
        <w:rPr>
          <w:rFonts w:ascii="Calibri" w:hAnsi="Calibri"/>
          <w:b/>
        </w:rPr>
        <w:tab/>
        <w:t xml:space="preserve">- </w:t>
      </w:r>
      <w:r w:rsidRPr="00661DE3">
        <w:rPr>
          <w:rFonts w:ascii="Calibri" w:hAnsi="Calibri"/>
        </w:rPr>
        <w:t>i</w:t>
      </w:r>
      <w:r w:rsidRPr="006C7A33">
        <w:rPr>
          <w:rFonts w:ascii="Calibri" w:hAnsi="Calibri"/>
        </w:rPr>
        <w:t xml:space="preserve">zgradnja vještačkih akumulacija </w:t>
      </w:r>
      <w:r>
        <w:rPr>
          <w:rFonts w:ascii="Calibri" w:hAnsi="Calibri"/>
        </w:rPr>
        <w:t>i s</w:t>
      </w:r>
      <w:r w:rsidRPr="006C7A33">
        <w:rPr>
          <w:rFonts w:ascii="Calibri" w:hAnsi="Calibri"/>
        </w:rPr>
        <w:t>anacija seoskih puteva Trubjela</w:t>
      </w:r>
      <w:r>
        <w:rPr>
          <w:rFonts w:ascii="Calibri" w:hAnsi="Calibri"/>
        </w:rPr>
        <w:t>;</w:t>
      </w:r>
    </w:p>
    <w:p w:rsidR="00664D38" w:rsidRPr="006C7A33" w:rsidRDefault="00664D38" w:rsidP="00664D38">
      <w:pPr>
        <w:spacing w:line="360" w:lineRule="auto"/>
        <w:rPr>
          <w:rFonts w:ascii="Calibri" w:hAnsi="Calibri"/>
        </w:rPr>
      </w:pPr>
      <w:r w:rsidRPr="006C7A33">
        <w:rPr>
          <w:rFonts w:ascii="Calibri" w:hAnsi="Calibri"/>
          <w:b/>
        </w:rPr>
        <w:t>Petnjica</w:t>
      </w:r>
      <w:r>
        <w:rPr>
          <w:rFonts w:ascii="Calibri" w:hAnsi="Calibri"/>
        </w:rPr>
        <w:t xml:space="preserve"> </w:t>
      </w:r>
      <w:r>
        <w:rPr>
          <w:rFonts w:ascii="Calibri" w:hAnsi="Calibri"/>
        </w:rPr>
        <w:tab/>
        <w:t>- n</w:t>
      </w:r>
      <w:r w:rsidRPr="006C7A33">
        <w:rPr>
          <w:rFonts w:ascii="Calibri" w:hAnsi="Calibri"/>
        </w:rPr>
        <w:t>asipanje i proboj puteva ka katunima</w:t>
      </w:r>
      <w:r>
        <w:rPr>
          <w:rFonts w:ascii="Calibri" w:hAnsi="Calibri"/>
        </w:rPr>
        <w:t>;</w:t>
      </w:r>
    </w:p>
    <w:p w:rsidR="00664D38" w:rsidRPr="006C7A33" w:rsidRDefault="00664D38" w:rsidP="00664D38">
      <w:pPr>
        <w:spacing w:line="360" w:lineRule="auto"/>
        <w:rPr>
          <w:rFonts w:ascii="Calibri" w:hAnsi="Calibri"/>
        </w:rPr>
      </w:pPr>
      <w:r w:rsidRPr="006C7A33">
        <w:rPr>
          <w:rFonts w:ascii="Calibri" w:hAnsi="Calibri"/>
          <w:b/>
        </w:rPr>
        <w:t>Plav</w:t>
      </w:r>
      <w:r>
        <w:rPr>
          <w:rFonts w:ascii="Calibri" w:hAnsi="Calibri"/>
        </w:rPr>
        <w:t xml:space="preserve"> </w:t>
      </w:r>
      <w:r>
        <w:rPr>
          <w:rFonts w:ascii="Calibri" w:hAnsi="Calibri"/>
        </w:rPr>
        <w:tab/>
      </w:r>
      <w:r>
        <w:rPr>
          <w:rFonts w:ascii="Calibri" w:hAnsi="Calibri"/>
        </w:rPr>
        <w:tab/>
        <w:t>- s</w:t>
      </w:r>
      <w:r w:rsidRPr="006C7A33">
        <w:rPr>
          <w:rFonts w:ascii="Calibri" w:hAnsi="Calibri"/>
        </w:rPr>
        <w:t>anacija puta Velika-Mokra</w:t>
      </w:r>
      <w:r>
        <w:rPr>
          <w:rFonts w:ascii="Calibri" w:hAnsi="Calibri"/>
        </w:rPr>
        <w:t>;</w:t>
      </w:r>
    </w:p>
    <w:p w:rsidR="00664D38" w:rsidRPr="006C7A33" w:rsidRDefault="00664D38" w:rsidP="00664D38">
      <w:pPr>
        <w:spacing w:line="360" w:lineRule="auto"/>
        <w:rPr>
          <w:rFonts w:ascii="Calibri" w:hAnsi="Calibri"/>
        </w:rPr>
      </w:pPr>
      <w:r w:rsidRPr="006C7A33">
        <w:rPr>
          <w:rFonts w:ascii="Calibri" w:hAnsi="Calibri"/>
          <w:b/>
        </w:rPr>
        <w:t>Plužine</w:t>
      </w:r>
      <w:r>
        <w:rPr>
          <w:rFonts w:ascii="Calibri" w:hAnsi="Calibri"/>
        </w:rPr>
        <w:t xml:space="preserve"> </w:t>
      </w:r>
      <w:r>
        <w:rPr>
          <w:rFonts w:ascii="Calibri" w:hAnsi="Calibri"/>
        </w:rPr>
        <w:tab/>
        <w:t>- k</w:t>
      </w:r>
      <w:r w:rsidRPr="006C7A33">
        <w:rPr>
          <w:rFonts w:ascii="Calibri" w:hAnsi="Calibri"/>
        </w:rPr>
        <w:t xml:space="preserve">aptaža </w:t>
      </w:r>
      <w:r>
        <w:rPr>
          <w:rFonts w:ascii="Calibri" w:hAnsi="Calibri"/>
        </w:rPr>
        <w:t>na i</w:t>
      </w:r>
      <w:r w:rsidRPr="006C7A33">
        <w:rPr>
          <w:rFonts w:ascii="Calibri" w:hAnsi="Calibri"/>
        </w:rPr>
        <w:t>zvorišt</w:t>
      </w:r>
      <w:r>
        <w:rPr>
          <w:rFonts w:ascii="Calibri" w:hAnsi="Calibri"/>
        </w:rPr>
        <w:t>u</w:t>
      </w:r>
      <w:r w:rsidRPr="006C7A33">
        <w:rPr>
          <w:rFonts w:ascii="Calibri" w:hAnsi="Calibri"/>
        </w:rPr>
        <w:t xml:space="preserve"> Gostaja</w:t>
      </w:r>
      <w:r>
        <w:rPr>
          <w:rFonts w:ascii="Calibri" w:hAnsi="Calibri"/>
        </w:rPr>
        <w:t xml:space="preserve"> i i</w:t>
      </w:r>
      <w:r w:rsidRPr="006C7A33">
        <w:rPr>
          <w:rFonts w:ascii="Calibri" w:hAnsi="Calibri"/>
        </w:rPr>
        <w:t>zgradnja vodopoja Gornji Unač</w:t>
      </w:r>
      <w:r>
        <w:rPr>
          <w:rFonts w:ascii="Calibri" w:hAnsi="Calibri"/>
        </w:rPr>
        <w:t>;</w:t>
      </w:r>
    </w:p>
    <w:p w:rsidR="00664D38" w:rsidRDefault="00664D38" w:rsidP="00664D38">
      <w:pPr>
        <w:spacing w:line="360" w:lineRule="auto"/>
        <w:rPr>
          <w:rFonts w:ascii="Calibri" w:hAnsi="Calibri"/>
        </w:rPr>
      </w:pPr>
      <w:r w:rsidRPr="00661DE3">
        <w:rPr>
          <w:rFonts w:ascii="Calibri" w:hAnsi="Calibri"/>
          <w:b/>
        </w:rPr>
        <w:t xml:space="preserve">Podgorica </w:t>
      </w:r>
      <w:r>
        <w:rPr>
          <w:rFonts w:ascii="Calibri" w:hAnsi="Calibri"/>
          <w:b/>
        </w:rPr>
        <w:tab/>
      </w:r>
      <w:r w:rsidRPr="00661DE3">
        <w:rPr>
          <w:rFonts w:ascii="Calibri" w:hAnsi="Calibri"/>
        </w:rPr>
        <w:t>- sanacija i čišćenje putnih pravaca prema  katunima i rekonstrukcija više vodovoda,</w:t>
      </w:r>
      <w:r>
        <w:rPr>
          <w:rFonts w:ascii="Calibri" w:hAnsi="Calibri"/>
        </w:rPr>
        <w:t xml:space="preserve"> </w:t>
      </w:r>
    </w:p>
    <w:p w:rsidR="00664D38" w:rsidRPr="006C7A33" w:rsidRDefault="00664D38" w:rsidP="00664D38">
      <w:pPr>
        <w:spacing w:line="360" w:lineRule="auto"/>
        <w:ind w:left="720" w:firstLine="720"/>
        <w:rPr>
          <w:rFonts w:ascii="Calibri" w:hAnsi="Calibri"/>
          <w:b/>
        </w:rPr>
      </w:pPr>
      <w:r>
        <w:rPr>
          <w:rFonts w:ascii="Calibri" w:hAnsi="Calibri"/>
        </w:rPr>
        <w:t xml:space="preserve">   bistijerni i kaptaža;</w:t>
      </w:r>
    </w:p>
    <w:p w:rsidR="00664D38" w:rsidRPr="006C7A33" w:rsidRDefault="00664D38" w:rsidP="00664D38">
      <w:pPr>
        <w:spacing w:line="360" w:lineRule="auto"/>
        <w:rPr>
          <w:rFonts w:ascii="Calibri" w:hAnsi="Calibri"/>
          <w:b/>
        </w:rPr>
      </w:pPr>
      <w:r w:rsidRPr="006C7A33">
        <w:rPr>
          <w:rFonts w:ascii="Calibri" w:hAnsi="Calibri"/>
          <w:b/>
        </w:rPr>
        <w:t>Tivat</w:t>
      </w:r>
      <w:r>
        <w:rPr>
          <w:rFonts w:ascii="Calibri" w:hAnsi="Calibri"/>
          <w:b/>
        </w:rPr>
        <w:t xml:space="preserve"> </w:t>
      </w:r>
      <w:r>
        <w:rPr>
          <w:rFonts w:ascii="Calibri" w:hAnsi="Calibri"/>
          <w:b/>
        </w:rPr>
        <w:tab/>
      </w:r>
      <w:r>
        <w:rPr>
          <w:rFonts w:ascii="Calibri" w:hAnsi="Calibri"/>
          <w:b/>
        </w:rPr>
        <w:tab/>
        <w:t xml:space="preserve">- </w:t>
      </w:r>
      <w:r w:rsidRPr="006C7A33">
        <w:rPr>
          <w:rFonts w:ascii="Calibri" w:hAnsi="Calibri"/>
        </w:rPr>
        <w:t>nasipanje puta Gornji Bogdašići</w:t>
      </w:r>
      <w:r>
        <w:rPr>
          <w:rFonts w:ascii="Calibri" w:hAnsi="Calibri"/>
        </w:rPr>
        <w:t>;</w:t>
      </w:r>
    </w:p>
    <w:p w:rsidR="00664D38" w:rsidRPr="006C7A33" w:rsidRDefault="00664D38" w:rsidP="00664D38">
      <w:pPr>
        <w:spacing w:line="360" w:lineRule="auto"/>
        <w:rPr>
          <w:rFonts w:ascii="Calibri" w:hAnsi="Calibri"/>
        </w:rPr>
      </w:pPr>
      <w:bookmarkStart w:id="0" w:name="_GoBack"/>
      <w:bookmarkEnd w:id="0"/>
      <w:r w:rsidRPr="006C7A33">
        <w:rPr>
          <w:rFonts w:ascii="Calibri" w:hAnsi="Calibri"/>
          <w:b/>
        </w:rPr>
        <w:t>Šavnik</w:t>
      </w:r>
      <w:r>
        <w:rPr>
          <w:rFonts w:ascii="Calibri" w:hAnsi="Calibri"/>
        </w:rPr>
        <w:t xml:space="preserve"> </w:t>
      </w:r>
      <w:r>
        <w:rPr>
          <w:rFonts w:ascii="Calibri" w:hAnsi="Calibri"/>
        </w:rPr>
        <w:tab/>
      </w:r>
      <w:r>
        <w:rPr>
          <w:rFonts w:ascii="Calibri" w:hAnsi="Calibri"/>
        </w:rPr>
        <w:tab/>
        <w:t>- r</w:t>
      </w:r>
      <w:r w:rsidRPr="006C7A33">
        <w:rPr>
          <w:rFonts w:ascii="Calibri" w:hAnsi="Calibri"/>
        </w:rPr>
        <w:t>ekonstrukcija puta Gornja Bukovica-Provalija</w:t>
      </w:r>
      <w:r>
        <w:rPr>
          <w:rFonts w:ascii="Calibri" w:hAnsi="Calibri"/>
        </w:rPr>
        <w:t xml:space="preserve"> i k</w:t>
      </w:r>
      <w:r w:rsidRPr="006C7A33">
        <w:rPr>
          <w:rFonts w:ascii="Calibri" w:hAnsi="Calibri"/>
        </w:rPr>
        <w:t>aptaža Vukodo</w:t>
      </w:r>
      <w:r>
        <w:rPr>
          <w:rFonts w:ascii="Calibri" w:hAnsi="Calibri"/>
        </w:rPr>
        <w:t>;</w:t>
      </w:r>
    </w:p>
    <w:p w:rsidR="00664D38" w:rsidRPr="006C7A33" w:rsidRDefault="00664D38" w:rsidP="00664D38">
      <w:pPr>
        <w:spacing w:line="360" w:lineRule="auto"/>
        <w:rPr>
          <w:rFonts w:ascii="Calibri" w:hAnsi="Calibri"/>
        </w:rPr>
      </w:pPr>
      <w:r w:rsidRPr="006C7A33">
        <w:rPr>
          <w:rFonts w:ascii="Calibri" w:hAnsi="Calibri"/>
          <w:b/>
        </w:rPr>
        <w:t>Žabljak</w:t>
      </w:r>
      <w:r>
        <w:rPr>
          <w:rFonts w:ascii="Calibri" w:hAnsi="Calibri"/>
        </w:rPr>
        <w:t xml:space="preserve"> </w:t>
      </w:r>
      <w:r>
        <w:rPr>
          <w:rFonts w:ascii="Calibri" w:hAnsi="Calibri"/>
        </w:rPr>
        <w:tab/>
        <w:t>- podrška v</w:t>
      </w:r>
      <w:r w:rsidRPr="006C7A33">
        <w:rPr>
          <w:rFonts w:ascii="Calibri" w:hAnsi="Calibri"/>
        </w:rPr>
        <w:t>odosnadbijevanj</w:t>
      </w:r>
      <w:r>
        <w:rPr>
          <w:rFonts w:ascii="Calibri" w:hAnsi="Calibri"/>
        </w:rPr>
        <w:t>u u</w:t>
      </w:r>
      <w:r w:rsidRPr="006C7A33">
        <w:rPr>
          <w:rFonts w:ascii="Calibri" w:hAnsi="Calibri"/>
        </w:rPr>
        <w:t xml:space="preserve"> Mal</w:t>
      </w:r>
      <w:r>
        <w:rPr>
          <w:rFonts w:ascii="Calibri" w:hAnsi="Calibri"/>
        </w:rPr>
        <w:t>oj</w:t>
      </w:r>
      <w:r w:rsidRPr="006C7A33">
        <w:rPr>
          <w:rFonts w:ascii="Calibri" w:hAnsi="Calibri"/>
        </w:rPr>
        <w:t xml:space="preserve"> Crn</w:t>
      </w:r>
      <w:r>
        <w:rPr>
          <w:rFonts w:ascii="Calibri" w:hAnsi="Calibri"/>
        </w:rPr>
        <w:t>oj</w:t>
      </w:r>
      <w:r w:rsidRPr="006C7A33">
        <w:rPr>
          <w:rFonts w:ascii="Calibri" w:hAnsi="Calibri"/>
        </w:rPr>
        <w:t xml:space="preserve"> Gor</w:t>
      </w:r>
      <w:r>
        <w:rPr>
          <w:rFonts w:ascii="Calibri" w:hAnsi="Calibri"/>
        </w:rPr>
        <w:t>i;</w:t>
      </w:r>
    </w:p>
    <w:p w:rsidR="00664D38" w:rsidRPr="006C7A33" w:rsidRDefault="00664D38" w:rsidP="00664D38">
      <w:pPr>
        <w:spacing w:line="360" w:lineRule="auto"/>
        <w:jc w:val="both"/>
        <w:rPr>
          <w:rFonts w:ascii="Calibri" w:hAnsi="Calibri"/>
        </w:rPr>
      </w:pPr>
      <w:r w:rsidRPr="006C7A33">
        <w:rPr>
          <w:rFonts w:ascii="Calibri" w:hAnsi="Calibri"/>
          <w:b/>
        </w:rPr>
        <w:br/>
      </w:r>
      <w:r>
        <w:rPr>
          <w:rFonts w:ascii="Calibri" w:hAnsi="Calibri"/>
        </w:rPr>
        <w:t>Nastavićemo sa realizacijom drugih projekata sve dok nam vremenske prilike dozvole</w:t>
      </w:r>
      <w:r w:rsidRPr="006C7A33">
        <w:rPr>
          <w:rFonts w:ascii="Calibri" w:hAnsi="Calibri"/>
        </w:rPr>
        <w:t xml:space="preserve">. </w:t>
      </w:r>
    </w:p>
    <w:p w:rsidR="00664D38" w:rsidRDefault="00664D38" w:rsidP="00664D38">
      <w:pPr>
        <w:spacing w:line="360" w:lineRule="auto"/>
        <w:jc w:val="both"/>
        <w:rPr>
          <w:rFonts w:ascii="Calibri" w:hAnsi="Calibri" w:cs="Cambria"/>
          <w:lang w:val="sr-Latn-CS"/>
        </w:rPr>
      </w:pPr>
    </w:p>
    <w:p w:rsidR="00664D38" w:rsidRPr="002F2B45"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KONFERENCIJA O OSIGURANJU U POLJOPRIVREDI</w:t>
      </w:r>
    </w:p>
    <w:p w:rsidR="00664D38" w:rsidRDefault="00664D38" w:rsidP="00664D38">
      <w:pPr>
        <w:spacing w:line="360" w:lineRule="auto"/>
        <w:jc w:val="both"/>
        <w:rPr>
          <w:rFonts w:ascii="Calibri" w:hAnsi="Calibri" w:cs="Cambria"/>
          <w:lang w:val="sr-Latn-CS"/>
        </w:rPr>
      </w:pPr>
      <w:r>
        <w:rPr>
          <w:rFonts w:ascii="Calibri" w:hAnsi="Calibri" w:cs="Cambria"/>
          <w:lang w:val="sr-Latn-CS"/>
        </w:rPr>
        <w:t>K</w:t>
      </w:r>
      <w:r w:rsidRPr="003E3DBB">
        <w:rPr>
          <w:rFonts w:ascii="Calibri" w:hAnsi="Calibri" w:cs="Cambria"/>
          <w:lang w:val="sr-Latn-CS"/>
        </w:rPr>
        <w:t xml:space="preserve">roz agrobudžetsku mjeru </w:t>
      </w:r>
      <w:r w:rsidRPr="003E3DBB">
        <w:rPr>
          <w:rFonts w:ascii="Calibri" w:hAnsi="Calibri" w:cs="Cambria"/>
          <w:i/>
          <w:lang w:val="sr-Latn-CS"/>
        </w:rPr>
        <w:t>Upravljanje rizicima u poljoprivredi</w:t>
      </w:r>
      <w:r>
        <w:rPr>
          <w:rFonts w:ascii="Calibri" w:hAnsi="Calibri" w:cs="Cambria"/>
          <w:lang w:val="sr-Latn-CS"/>
        </w:rPr>
        <w:t>,</w:t>
      </w:r>
      <w:r>
        <w:rPr>
          <w:rFonts w:ascii="Calibri" w:hAnsi="Calibri" w:cs="Cambria"/>
          <w:i/>
          <w:lang w:val="sr-Latn-CS"/>
        </w:rPr>
        <w:t xml:space="preserve"> </w:t>
      </w:r>
      <w:r>
        <w:rPr>
          <w:rFonts w:ascii="Calibri" w:hAnsi="Calibri" w:cs="Cambria"/>
          <w:lang w:val="sr-Latn-CS"/>
        </w:rPr>
        <w:t xml:space="preserve">MPRR </w:t>
      </w:r>
      <w:r w:rsidRPr="003E3DBB">
        <w:rPr>
          <w:rFonts w:ascii="Calibri" w:hAnsi="Calibri" w:cs="Cambria"/>
          <w:lang w:val="sr-Latn-CS"/>
        </w:rPr>
        <w:t>subvencioniše premije osiguranja usjeva, objekata i stoke</w:t>
      </w:r>
      <w:r>
        <w:rPr>
          <w:rFonts w:ascii="Calibri" w:hAnsi="Calibri" w:cs="Cambria"/>
          <w:lang w:val="sr-Latn-CS"/>
        </w:rPr>
        <w:t xml:space="preserve"> u visini</w:t>
      </w:r>
      <w:r w:rsidRPr="003E3DBB">
        <w:rPr>
          <w:rFonts w:ascii="Calibri" w:hAnsi="Calibri" w:cs="Cambria"/>
          <w:lang w:val="sr-Latn-CS"/>
        </w:rPr>
        <w:t xml:space="preserve"> do 50%</w:t>
      </w:r>
      <w:r>
        <w:rPr>
          <w:rFonts w:ascii="Calibri" w:hAnsi="Calibri" w:cs="Cambria"/>
          <w:lang w:val="sr-Latn-CS"/>
        </w:rPr>
        <w:t xml:space="preserve">, što predstavlja </w:t>
      </w:r>
      <w:r w:rsidRPr="003E3DBB">
        <w:rPr>
          <w:rFonts w:ascii="Calibri" w:hAnsi="Calibri" w:cs="Cambria"/>
          <w:lang w:val="sr-Latn-CS"/>
        </w:rPr>
        <w:t>najv</w:t>
      </w:r>
      <w:r>
        <w:rPr>
          <w:rFonts w:ascii="Calibri" w:hAnsi="Calibri" w:cs="Cambria"/>
          <w:lang w:val="sr-Latn-CS"/>
        </w:rPr>
        <w:t>eći</w:t>
      </w:r>
      <w:r w:rsidRPr="003E3DBB">
        <w:rPr>
          <w:rFonts w:ascii="Calibri" w:hAnsi="Calibri" w:cs="Cambria"/>
          <w:lang w:val="sr-Latn-CS"/>
        </w:rPr>
        <w:t xml:space="preserve"> iznos</w:t>
      </w:r>
      <w:r>
        <w:rPr>
          <w:rFonts w:ascii="Calibri" w:hAnsi="Calibri" w:cs="Cambria"/>
          <w:lang w:val="sr-Latn-CS"/>
        </w:rPr>
        <w:t xml:space="preserve"> </w:t>
      </w:r>
      <w:r w:rsidRPr="003E3DBB">
        <w:rPr>
          <w:rFonts w:ascii="Calibri" w:hAnsi="Calibri" w:cs="Cambria"/>
          <w:lang w:val="sr-Latn-CS"/>
        </w:rPr>
        <w:t>podrške</w:t>
      </w:r>
      <w:r>
        <w:rPr>
          <w:rFonts w:ascii="Calibri" w:hAnsi="Calibri" w:cs="Cambria"/>
          <w:lang w:val="sr-Latn-CS"/>
        </w:rPr>
        <w:t xml:space="preserve"> </w:t>
      </w:r>
      <w:r w:rsidRPr="003E3DBB">
        <w:rPr>
          <w:rFonts w:ascii="Calibri" w:hAnsi="Calibri" w:cs="Cambria"/>
          <w:lang w:val="sr-Latn-CS"/>
        </w:rPr>
        <w:t>u E</w:t>
      </w:r>
      <w:r>
        <w:rPr>
          <w:rFonts w:ascii="Calibri" w:hAnsi="Calibri" w:cs="Cambria"/>
          <w:lang w:val="sr-Latn-CS"/>
        </w:rPr>
        <w:t>vropi</w:t>
      </w:r>
      <w:r w:rsidRPr="003E3DBB">
        <w:rPr>
          <w:rFonts w:ascii="Calibri" w:hAnsi="Calibri" w:cs="Cambria"/>
          <w:lang w:val="sr-Latn-CS"/>
        </w:rPr>
        <w:t xml:space="preserve">.  </w:t>
      </w:r>
      <w:r>
        <w:rPr>
          <w:rFonts w:ascii="Calibri" w:hAnsi="Calibri" w:cs="Cambria"/>
          <w:lang w:val="sr-Latn-CS"/>
        </w:rPr>
        <w:t xml:space="preserve">Ipak, nismo zadovoljni brojem korisnika ove mjere. Kako bi popularisali potrebu osiguranja i edukovali poljoprivredne proizvođače, </w:t>
      </w:r>
      <w:r w:rsidRPr="003E3DBB">
        <w:rPr>
          <w:rFonts w:ascii="Calibri" w:hAnsi="Calibri" w:cs="Cambria"/>
          <w:lang w:val="sr-Latn-CS"/>
        </w:rPr>
        <w:t>Ministarstvo poljoprivrede i ruralnog razvoja, Agencija za nadzor osiguranja i Udru</w:t>
      </w:r>
      <w:r>
        <w:rPr>
          <w:rFonts w:ascii="Calibri" w:hAnsi="Calibri" w:cs="Cambria"/>
          <w:lang w:val="sr-Latn-CS"/>
        </w:rPr>
        <w:t>ž</w:t>
      </w:r>
      <w:r w:rsidRPr="003E3DBB">
        <w:rPr>
          <w:rFonts w:ascii="Calibri" w:hAnsi="Calibri" w:cs="Cambria"/>
          <w:lang w:val="sr-Latn-CS"/>
        </w:rPr>
        <w:t>enje nezavisnih osiguravača 15.</w:t>
      </w:r>
      <w:r>
        <w:rPr>
          <w:rFonts w:ascii="Calibri" w:hAnsi="Calibri" w:cs="Cambria"/>
          <w:lang w:val="sr-Latn-CS"/>
        </w:rPr>
        <w:t>10.</w:t>
      </w:r>
      <w:r w:rsidRPr="003E3DBB">
        <w:rPr>
          <w:rFonts w:ascii="Calibri" w:hAnsi="Calibri" w:cs="Cambria"/>
          <w:lang w:val="sr-Latn-CS"/>
        </w:rPr>
        <w:t xml:space="preserve">2014. godine organizuju Konferenciju </w:t>
      </w:r>
      <w:r>
        <w:rPr>
          <w:rFonts w:ascii="Calibri" w:hAnsi="Calibri" w:cs="Cambria"/>
          <w:lang w:val="sr-Latn-CS"/>
        </w:rPr>
        <w:t>"</w:t>
      </w:r>
      <w:r w:rsidRPr="003E3DBB">
        <w:rPr>
          <w:rFonts w:ascii="Calibri" w:hAnsi="Calibri" w:cs="Cambria"/>
          <w:i/>
          <w:lang w:val="sr-Latn-CS"/>
        </w:rPr>
        <w:t>Osiguranje u poljoprivredi</w:t>
      </w:r>
      <w:r>
        <w:rPr>
          <w:rFonts w:ascii="Calibri" w:hAnsi="Calibri" w:cs="Cambria"/>
          <w:lang w:val="sr-Latn-CS"/>
        </w:rPr>
        <w:t>". K</w:t>
      </w:r>
      <w:r w:rsidRPr="003E3DBB">
        <w:rPr>
          <w:rFonts w:ascii="Calibri" w:hAnsi="Calibri" w:cs="Cambria"/>
          <w:lang w:val="sr-Latn-CS"/>
        </w:rPr>
        <w:t xml:space="preserve">onferenciji će </w:t>
      </w:r>
      <w:r>
        <w:rPr>
          <w:rFonts w:ascii="Calibri" w:hAnsi="Calibri" w:cs="Cambria"/>
          <w:lang w:val="sr-Latn-CS"/>
        </w:rPr>
        <w:t xml:space="preserve">prisustvovati </w:t>
      </w:r>
      <w:r w:rsidRPr="003E3DBB">
        <w:rPr>
          <w:rFonts w:ascii="Calibri" w:hAnsi="Calibri" w:cs="Cambria"/>
          <w:lang w:val="sr-Latn-CS"/>
        </w:rPr>
        <w:t>predstavnici poljoprivrednih udruženj</w:t>
      </w:r>
      <w:r>
        <w:rPr>
          <w:rFonts w:ascii="Calibri" w:hAnsi="Calibri" w:cs="Cambria"/>
          <w:lang w:val="sr-Latn-CS"/>
        </w:rPr>
        <w:t>a</w:t>
      </w:r>
      <w:r w:rsidRPr="003E3DBB">
        <w:rPr>
          <w:rFonts w:ascii="Calibri" w:hAnsi="Calibri" w:cs="Cambria"/>
          <w:lang w:val="sr-Latn-CS"/>
        </w:rPr>
        <w:t xml:space="preserve">, </w:t>
      </w:r>
      <w:r>
        <w:rPr>
          <w:rFonts w:ascii="Calibri" w:hAnsi="Calibri" w:cs="Cambria"/>
          <w:lang w:val="sr-Latn-CS"/>
        </w:rPr>
        <w:t>poljoprivrednici-</w:t>
      </w:r>
      <w:r w:rsidRPr="003E3DBB">
        <w:rPr>
          <w:rFonts w:ascii="Calibri" w:hAnsi="Calibri" w:cs="Cambria"/>
          <w:lang w:val="sr-Latn-CS"/>
        </w:rPr>
        <w:t>koris</w:t>
      </w:r>
      <w:r>
        <w:rPr>
          <w:rFonts w:ascii="Calibri" w:hAnsi="Calibri" w:cs="Cambria"/>
          <w:lang w:val="sr-Latn-CS"/>
        </w:rPr>
        <w:t>nici</w:t>
      </w:r>
      <w:r w:rsidRPr="003E3DBB">
        <w:rPr>
          <w:rFonts w:ascii="Calibri" w:hAnsi="Calibri" w:cs="Cambria"/>
          <w:lang w:val="sr-Latn-CS"/>
        </w:rPr>
        <w:t xml:space="preserve"> osiguranj</w:t>
      </w:r>
      <w:r>
        <w:rPr>
          <w:rFonts w:ascii="Calibri" w:hAnsi="Calibri" w:cs="Cambria"/>
          <w:lang w:val="sr-Latn-CS"/>
        </w:rPr>
        <w:t>a</w:t>
      </w:r>
      <w:r w:rsidRPr="003E3DBB">
        <w:rPr>
          <w:rFonts w:ascii="Calibri" w:hAnsi="Calibri" w:cs="Cambria"/>
          <w:lang w:val="sr-Latn-CS"/>
        </w:rPr>
        <w:t>, osiguravaju</w:t>
      </w:r>
      <w:r>
        <w:rPr>
          <w:rFonts w:ascii="Calibri" w:hAnsi="Calibri" w:cs="Cambria"/>
          <w:lang w:val="sr-Latn-CS"/>
        </w:rPr>
        <w:t>ća</w:t>
      </w:r>
      <w:r w:rsidRPr="003E3DBB">
        <w:rPr>
          <w:rFonts w:ascii="Calibri" w:hAnsi="Calibri" w:cs="Cambria"/>
          <w:lang w:val="sr-Latn-CS"/>
        </w:rPr>
        <w:t xml:space="preserve"> druš</w:t>
      </w:r>
      <w:r>
        <w:rPr>
          <w:rFonts w:ascii="Calibri" w:hAnsi="Calibri" w:cs="Cambria"/>
          <w:lang w:val="sr-Latn-CS"/>
        </w:rPr>
        <w:t>t</w:t>
      </w:r>
      <w:r w:rsidRPr="003E3DBB">
        <w:rPr>
          <w:rFonts w:ascii="Calibri" w:hAnsi="Calibri" w:cs="Cambria"/>
          <w:lang w:val="sr-Latn-CS"/>
        </w:rPr>
        <w:t>va, komercijaln</w:t>
      </w:r>
      <w:r>
        <w:rPr>
          <w:rFonts w:ascii="Calibri" w:hAnsi="Calibri" w:cs="Cambria"/>
          <w:lang w:val="sr-Latn-CS"/>
        </w:rPr>
        <w:t>e</w:t>
      </w:r>
      <w:r w:rsidRPr="003E3DBB">
        <w:rPr>
          <w:rFonts w:ascii="Calibri" w:hAnsi="Calibri" w:cs="Cambria"/>
          <w:lang w:val="sr-Latn-CS"/>
        </w:rPr>
        <w:t xml:space="preserve"> bank</w:t>
      </w:r>
      <w:r>
        <w:rPr>
          <w:rFonts w:ascii="Calibri" w:hAnsi="Calibri" w:cs="Cambria"/>
          <w:lang w:val="sr-Latn-CS"/>
        </w:rPr>
        <w:t>e</w:t>
      </w:r>
      <w:r w:rsidRPr="003E3DBB">
        <w:rPr>
          <w:rFonts w:ascii="Calibri" w:hAnsi="Calibri" w:cs="Cambria"/>
          <w:lang w:val="sr-Latn-CS"/>
        </w:rPr>
        <w:t xml:space="preserve">, </w:t>
      </w:r>
      <w:r>
        <w:rPr>
          <w:rFonts w:ascii="Calibri" w:hAnsi="Calibri" w:cs="Cambria"/>
          <w:lang w:val="sr-Latn-CS"/>
        </w:rPr>
        <w:t>predstavnici Svjetske banke,</w:t>
      </w:r>
      <w:r w:rsidRPr="003E3DBB">
        <w:rPr>
          <w:rFonts w:ascii="Calibri" w:hAnsi="Calibri" w:cs="Cambria"/>
          <w:lang w:val="sr-Latn-CS"/>
        </w:rPr>
        <w:t xml:space="preserve"> E</w:t>
      </w:r>
      <w:r>
        <w:rPr>
          <w:rFonts w:ascii="Calibri" w:hAnsi="Calibri" w:cs="Cambria"/>
          <w:lang w:val="sr-Latn-CS"/>
        </w:rPr>
        <w:t>vropske komisije, i drugi.</w:t>
      </w:r>
      <w:r w:rsidRPr="003E3DBB">
        <w:rPr>
          <w:rFonts w:ascii="Calibri" w:hAnsi="Calibri" w:cs="Cambria"/>
          <w:lang w:val="sr-Latn-CS"/>
        </w:rPr>
        <w:t xml:space="preserve"> </w:t>
      </w:r>
      <w:r>
        <w:rPr>
          <w:rFonts w:ascii="Calibri" w:hAnsi="Calibri" w:cs="Cambria"/>
          <w:lang w:val="sr-Latn-CS"/>
        </w:rPr>
        <w:t xml:space="preserve">Na konferenciji će biti predstavljeni postojeći modeli </w:t>
      </w:r>
      <w:r>
        <w:rPr>
          <w:rFonts w:ascii="Calibri" w:hAnsi="Calibri" w:cs="Cambria"/>
          <w:lang w:val="sr-Latn-CS"/>
        </w:rPr>
        <w:lastRenderedPageBreak/>
        <w:t xml:space="preserve">osiguranja u regionu, </w:t>
      </w:r>
      <w:r w:rsidRPr="003E3DBB">
        <w:rPr>
          <w:rFonts w:ascii="Calibri" w:hAnsi="Calibri" w:cs="Cambria"/>
          <w:lang w:val="sr-Latn-CS"/>
        </w:rPr>
        <w:t>iskustva i trendov</w:t>
      </w:r>
      <w:r>
        <w:rPr>
          <w:rFonts w:ascii="Calibri" w:hAnsi="Calibri" w:cs="Cambria"/>
          <w:lang w:val="sr-Latn-CS"/>
        </w:rPr>
        <w:t>i</w:t>
      </w:r>
      <w:r w:rsidRPr="003E3DBB">
        <w:rPr>
          <w:rFonts w:ascii="Calibri" w:hAnsi="Calibri" w:cs="Cambria"/>
          <w:lang w:val="sr-Latn-CS"/>
        </w:rPr>
        <w:t xml:space="preserve"> u ovoj vrsti osiguranja, ključni rizi</w:t>
      </w:r>
      <w:r>
        <w:rPr>
          <w:rFonts w:ascii="Calibri" w:hAnsi="Calibri" w:cs="Cambria"/>
          <w:lang w:val="sr-Latn-CS"/>
        </w:rPr>
        <w:t>ci</w:t>
      </w:r>
      <w:r w:rsidRPr="003E3DBB">
        <w:rPr>
          <w:rFonts w:ascii="Calibri" w:hAnsi="Calibri" w:cs="Cambria"/>
          <w:lang w:val="sr-Latn-CS"/>
        </w:rPr>
        <w:t xml:space="preserve"> kojima je izložen sektor poljoprivrede, benefit</w:t>
      </w:r>
      <w:r>
        <w:rPr>
          <w:rFonts w:ascii="Calibri" w:hAnsi="Calibri" w:cs="Cambria"/>
          <w:lang w:val="sr-Latn-CS"/>
        </w:rPr>
        <w:t>i</w:t>
      </w:r>
      <w:r w:rsidRPr="003E3DBB">
        <w:rPr>
          <w:rFonts w:ascii="Calibri" w:hAnsi="Calibri" w:cs="Cambria"/>
          <w:lang w:val="sr-Latn-CS"/>
        </w:rPr>
        <w:t xml:space="preserve"> koje </w:t>
      </w:r>
      <w:r>
        <w:rPr>
          <w:rFonts w:ascii="Calibri" w:hAnsi="Calibri" w:cs="Cambria"/>
          <w:lang w:val="sr-Latn-CS"/>
        </w:rPr>
        <w:t xml:space="preserve">imaju </w:t>
      </w:r>
      <w:r w:rsidRPr="003E3DBB">
        <w:rPr>
          <w:rFonts w:ascii="Calibri" w:hAnsi="Calibri" w:cs="Cambria"/>
          <w:lang w:val="sr-Latn-CS"/>
        </w:rPr>
        <w:t>poljoprivredni proizvođač</w:t>
      </w:r>
      <w:r>
        <w:rPr>
          <w:rFonts w:ascii="Calibri" w:hAnsi="Calibri" w:cs="Cambria"/>
          <w:lang w:val="sr-Latn-CS"/>
        </w:rPr>
        <w:t>i, itd</w:t>
      </w:r>
      <w:r w:rsidRPr="003E3DBB">
        <w:rPr>
          <w:rFonts w:ascii="Calibri" w:hAnsi="Calibri" w:cs="Cambria"/>
          <w:lang w:val="sr-Latn-CS"/>
        </w:rPr>
        <w:t xml:space="preserve">. </w:t>
      </w:r>
    </w:p>
    <w:p w:rsidR="00664D38" w:rsidRDefault="00664D38" w:rsidP="00664D38">
      <w:pPr>
        <w:spacing w:line="360" w:lineRule="auto"/>
        <w:jc w:val="both"/>
        <w:rPr>
          <w:rFonts w:ascii="Calibri" w:hAnsi="Calibri" w:cs="Cambria"/>
          <w:lang w:val="sr-Latn-CS"/>
        </w:rPr>
      </w:pPr>
    </w:p>
    <w:p w:rsidR="00664D38" w:rsidRPr="003E3DBB" w:rsidRDefault="00664D38" w:rsidP="00664D38">
      <w:pPr>
        <w:spacing w:line="360" w:lineRule="auto"/>
        <w:jc w:val="both"/>
        <w:rPr>
          <w:rFonts w:ascii="Calibri" w:hAnsi="Calibri" w:cs="Cambria"/>
          <w:lang w:val="sr-Latn-CS"/>
        </w:rPr>
      </w:pPr>
      <w:r>
        <w:rPr>
          <w:rFonts w:ascii="Calibri" w:hAnsi="Calibri" w:cs="Cambria"/>
          <w:lang w:val="sr-Latn-CS"/>
        </w:rPr>
        <w:t>Iako p</w:t>
      </w:r>
      <w:r w:rsidRPr="003E3DBB">
        <w:rPr>
          <w:rFonts w:ascii="Calibri" w:hAnsi="Calibri" w:cs="Cambria"/>
          <w:lang w:val="sr-Latn-CS"/>
        </w:rPr>
        <w:t xml:space="preserve">oljoprivredno osiguranje nije univerzalno rješenje za sve rizike sa kojima se suočavaju poljoprivredni proizvođači, </w:t>
      </w:r>
      <w:r>
        <w:rPr>
          <w:rFonts w:ascii="Calibri" w:hAnsi="Calibri" w:cs="Cambria"/>
          <w:lang w:val="sr-Latn-CS"/>
        </w:rPr>
        <w:t>niti</w:t>
      </w:r>
      <w:r w:rsidRPr="003E3DBB">
        <w:rPr>
          <w:rFonts w:ascii="Calibri" w:hAnsi="Calibri" w:cs="Cambria"/>
          <w:lang w:val="sr-Latn-CS"/>
        </w:rPr>
        <w:t xml:space="preserve"> zamjena za standard</w:t>
      </w:r>
      <w:r>
        <w:rPr>
          <w:rFonts w:ascii="Calibri" w:hAnsi="Calibri" w:cs="Cambria"/>
          <w:lang w:val="sr-Latn-CS"/>
        </w:rPr>
        <w:t>e</w:t>
      </w:r>
      <w:r w:rsidRPr="003E3DBB">
        <w:rPr>
          <w:rFonts w:ascii="Calibri" w:hAnsi="Calibri" w:cs="Cambria"/>
          <w:lang w:val="sr-Latn-CS"/>
        </w:rPr>
        <w:t xml:space="preserve"> kvalitetnog upravljanja proizvodnjom, </w:t>
      </w:r>
      <w:r>
        <w:rPr>
          <w:rFonts w:ascii="Calibri" w:hAnsi="Calibri" w:cs="Cambria"/>
          <w:lang w:val="sr-Latn-CS"/>
        </w:rPr>
        <w:t xml:space="preserve">ipak, ono predstavlja </w:t>
      </w:r>
      <w:r w:rsidRPr="003E3DBB">
        <w:rPr>
          <w:rFonts w:ascii="Calibri" w:hAnsi="Calibri" w:cs="Cambria"/>
          <w:lang w:val="sr-Latn-CS"/>
        </w:rPr>
        <w:t>jedn</w:t>
      </w:r>
      <w:r>
        <w:rPr>
          <w:rFonts w:ascii="Calibri" w:hAnsi="Calibri" w:cs="Cambria"/>
          <w:lang w:val="sr-Latn-CS"/>
        </w:rPr>
        <w:t>u</w:t>
      </w:r>
      <w:r w:rsidRPr="003E3DBB">
        <w:rPr>
          <w:rFonts w:ascii="Calibri" w:hAnsi="Calibri" w:cs="Cambria"/>
          <w:lang w:val="sr-Latn-CS"/>
        </w:rPr>
        <w:t xml:space="preserve"> od ključnih mjera u smanj</w:t>
      </w:r>
      <w:r>
        <w:rPr>
          <w:rFonts w:ascii="Calibri" w:hAnsi="Calibri" w:cs="Cambria"/>
          <w:lang w:val="sr-Latn-CS"/>
        </w:rPr>
        <w:t>e</w:t>
      </w:r>
      <w:r w:rsidRPr="003E3DBB">
        <w:rPr>
          <w:rFonts w:ascii="Calibri" w:hAnsi="Calibri" w:cs="Cambria"/>
          <w:lang w:val="sr-Latn-CS"/>
        </w:rPr>
        <w:t>nju rizika sa kojima se poljoprivrednici suočavaju.</w:t>
      </w:r>
      <w:r>
        <w:rPr>
          <w:rFonts w:ascii="Calibri" w:hAnsi="Calibri" w:cs="Cambria"/>
          <w:lang w:val="sr-Latn-CS"/>
        </w:rPr>
        <w:t xml:space="preserve"> Konferencija </w:t>
      </w:r>
      <w:r w:rsidRPr="003E3DBB">
        <w:rPr>
          <w:rFonts w:ascii="Calibri" w:hAnsi="Calibri" w:cs="Cambria"/>
          <w:lang w:val="sr-Latn-CS"/>
        </w:rPr>
        <w:t>će biti prilika da se od strane osiguravajućih društava predstavi način na koji se</w:t>
      </w:r>
      <w:r>
        <w:rPr>
          <w:rFonts w:ascii="Calibri" w:hAnsi="Calibri" w:cs="Cambria"/>
          <w:lang w:val="sr-Latn-CS"/>
        </w:rPr>
        <w:t>,</w:t>
      </w:r>
      <w:r w:rsidRPr="003E3DBB">
        <w:rPr>
          <w:rFonts w:ascii="Calibri" w:hAnsi="Calibri" w:cs="Cambria"/>
          <w:lang w:val="sr-Latn-CS"/>
        </w:rPr>
        <w:t xml:space="preserve"> poboljšanjem određenih uslova i standarda</w:t>
      </w:r>
      <w:r>
        <w:rPr>
          <w:rFonts w:ascii="Calibri" w:hAnsi="Calibri" w:cs="Cambria"/>
          <w:lang w:val="sr-Latn-CS"/>
        </w:rPr>
        <w:t>,</w:t>
      </w:r>
      <w:r w:rsidRPr="003E3DBB">
        <w:rPr>
          <w:rFonts w:ascii="Calibri" w:hAnsi="Calibri" w:cs="Cambria"/>
          <w:lang w:val="sr-Latn-CS"/>
        </w:rPr>
        <w:t xml:space="preserve"> može uticati na smanjenje cijene premije osiguranja</w:t>
      </w:r>
      <w:r>
        <w:rPr>
          <w:rFonts w:ascii="Calibri" w:hAnsi="Calibri" w:cs="Cambria"/>
          <w:lang w:val="sr-Latn-CS"/>
        </w:rPr>
        <w:t>.</w:t>
      </w:r>
      <w:r w:rsidRPr="003E3DBB">
        <w:rPr>
          <w:rFonts w:ascii="Calibri" w:hAnsi="Calibri" w:cs="Cambria"/>
          <w:lang w:val="sr-Latn-CS"/>
        </w:rPr>
        <w:t xml:space="preserve"> Dodatno, banke </w:t>
      </w:r>
      <w:r>
        <w:rPr>
          <w:rFonts w:ascii="Calibri" w:hAnsi="Calibri" w:cs="Cambria"/>
          <w:lang w:val="sr-Latn-CS"/>
        </w:rPr>
        <w:t xml:space="preserve">će </w:t>
      </w:r>
      <w:r w:rsidRPr="003E3DBB">
        <w:rPr>
          <w:rFonts w:ascii="Calibri" w:hAnsi="Calibri" w:cs="Cambria"/>
          <w:lang w:val="sr-Latn-CS"/>
        </w:rPr>
        <w:t>predstav</w:t>
      </w:r>
      <w:r>
        <w:rPr>
          <w:rFonts w:ascii="Calibri" w:hAnsi="Calibri" w:cs="Cambria"/>
          <w:lang w:val="sr-Latn-CS"/>
        </w:rPr>
        <w:t>iti</w:t>
      </w:r>
      <w:r w:rsidRPr="003E3DBB">
        <w:rPr>
          <w:rFonts w:ascii="Calibri" w:hAnsi="Calibri" w:cs="Cambria"/>
          <w:lang w:val="sr-Latn-CS"/>
        </w:rPr>
        <w:t xml:space="preserve"> sopstvena iskustava u kreditiranju poljoprivredne proizvodnje.</w:t>
      </w:r>
    </w:p>
    <w:p w:rsidR="00664D38" w:rsidRPr="003E3DBB" w:rsidRDefault="00664D38" w:rsidP="00664D38">
      <w:pPr>
        <w:spacing w:line="360" w:lineRule="auto"/>
        <w:jc w:val="both"/>
        <w:rPr>
          <w:rFonts w:ascii="Calibri" w:hAnsi="Calibri" w:cs="Cambria"/>
          <w:lang w:val="sr-Latn-CS"/>
        </w:rPr>
      </w:pPr>
    </w:p>
    <w:p w:rsidR="00664D38" w:rsidRDefault="00664D38" w:rsidP="00664D38">
      <w:pPr>
        <w:spacing w:line="276" w:lineRule="auto"/>
        <w:jc w:val="both"/>
        <w:rPr>
          <w:rFonts w:ascii="Helvetica Neue" w:hAnsi="Helvetica Neue"/>
        </w:rPr>
      </w:pPr>
    </w:p>
    <w:p w:rsidR="00664D38" w:rsidRPr="002F2B45" w:rsidRDefault="00664D38" w:rsidP="00664D38">
      <w:pPr>
        <w:numPr>
          <w:ilvl w:val="0"/>
          <w:numId w:val="1"/>
        </w:numPr>
        <w:spacing w:line="360" w:lineRule="auto"/>
        <w:jc w:val="both"/>
        <w:rPr>
          <w:rFonts w:ascii="Calibri" w:hAnsi="Calibri"/>
          <w:b/>
          <w:color w:val="CC0021"/>
        </w:rPr>
      </w:pPr>
      <w:r>
        <w:rPr>
          <w:rFonts w:ascii="Calibri" w:hAnsi="Calibri" w:cs="Calibri"/>
          <w:b/>
          <w:color w:val="CC0021"/>
          <w:szCs w:val="30"/>
          <w:lang w:val="en-US"/>
        </w:rPr>
        <w:t>MEĐUNARODNA SARADNJA</w:t>
      </w:r>
    </w:p>
    <w:p w:rsidR="00664D38" w:rsidRDefault="00664D38" w:rsidP="00664D38">
      <w:pPr>
        <w:spacing w:line="360" w:lineRule="auto"/>
        <w:jc w:val="both"/>
        <w:rPr>
          <w:rFonts w:ascii="Calibri" w:hAnsi="Calibri"/>
        </w:rPr>
      </w:pPr>
      <w:r w:rsidRPr="006C7A33">
        <w:rPr>
          <w:rFonts w:ascii="Calibri" w:hAnsi="Calibri"/>
        </w:rPr>
        <w:t>Predstavnici Ministarstva poljoprivrede i ruralnog razvoja</w:t>
      </w:r>
      <w:r>
        <w:rPr>
          <w:rFonts w:ascii="Calibri" w:hAnsi="Calibri"/>
        </w:rPr>
        <w:t>,</w:t>
      </w:r>
      <w:r w:rsidRPr="006C7A33">
        <w:rPr>
          <w:rFonts w:ascii="Calibri" w:hAnsi="Calibri"/>
        </w:rPr>
        <w:t xml:space="preserve"> zajedno sa predstavnicima udruženja maslinara Bara i Saveza pčelarskih organizacija Crne Gore</w:t>
      </w:r>
      <w:r>
        <w:rPr>
          <w:rFonts w:ascii="Calibri" w:hAnsi="Calibri"/>
        </w:rPr>
        <w:t>,</w:t>
      </w:r>
      <w:r w:rsidRPr="006C7A33">
        <w:rPr>
          <w:rFonts w:ascii="Calibri" w:hAnsi="Calibri"/>
        </w:rPr>
        <w:t xml:space="preserve"> završili su studijsku posj</w:t>
      </w:r>
      <w:r>
        <w:rPr>
          <w:rFonts w:ascii="Calibri" w:hAnsi="Calibri"/>
        </w:rPr>
        <w:t xml:space="preserve">etu </w:t>
      </w:r>
      <w:r w:rsidRPr="006C7A33">
        <w:rPr>
          <w:rFonts w:ascii="Calibri" w:hAnsi="Calibri"/>
        </w:rPr>
        <w:t>američkom državnom univerzitetu Kolorado</w:t>
      </w:r>
      <w:r>
        <w:rPr>
          <w:rFonts w:ascii="Calibri" w:hAnsi="Calibri"/>
        </w:rPr>
        <w:t xml:space="preserve"> na temu razvoja kooperativa</w:t>
      </w:r>
      <w:r w:rsidRPr="006C7A33">
        <w:rPr>
          <w:rFonts w:ascii="Calibri" w:hAnsi="Calibri"/>
        </w:rPr>
        <w:t xml:space="preserve">. </w:t>
      </w:r>
    </w:p>
    <w:p w:rsidR="00664D38" w:rsidRDefault="00664D38" w:rsidP="00664D38">
      <w:pPr>
        <w:spacing w:line="360" w:lineRule="auto"/>
        <w:jc w:val="both"/>
        <w:rPr>
          <w:rFonts w:ascii="Calibri" w:hAnsi="Calibri"/>
        </w:rPr>
      </w:pPr>
    </w:p>
    <w:p w:rsidR="00664D38" w:rsidRPr="006C7A33" w:rsidRDefault="00664D38" w:rsidP="00664D38">
      <w:pPr>
        <w:spacing w:line="360" w:lineRule="auto"/>
        <w:jc w:val="both"/>
        <w:rPr>
          <w:rFonts w:ascii="Calibri" w:hAnsi="Calibri"/>
        </w:rPr>
      </w:pPr>
      <w:r w:rsidRPr="006C7A33">
        <w:rPr>
          <w:rFonts w:ascii="Calibri" w:hAnsi="Calibri"/>
        </w:rPr>
        <w:t xml:space="preserve">Program je podržan od strane </w:t>
      </w:r>
      <w:r>
        <w:rPr>
          <w:rFonts w:ascii="Calibri" w:hAnsi="Calibri"/>
        </w:rPr>
        <w:t>a</w:t>
      </w:r>
      <w:r w:rsidRPr="006C7A33">
        <w:rPr>
          <w:rFonts w:ascii="Calibri" w:hAnsi="Calibri"/>
        </w:rPr>
        <w:t xml:space="preserve">meričkog </w:t>
      </w:r>
      <w:r>
        <w:rPr>
          <w:rFonts w:ascii="Calibri" w:hAnsi="Calibri"/>
        </w:rPr>
        <w:t>M</w:t>
      </w:r>
      <w:r w:rsidRPr="006C7A33">
        <w:rPr>
          <w:rFonts w:ascii="Calibri" w:hAnsi="Calibri"/>
        </w:rPr>
        <w:t>inistarstva poljoprivrede</w:t>
      </w:r>
      <w:r>
        <w:rPr>
          <w:rFonts w:ascii="Calibri" w:hAnsi="Calibri"/>
        </w:rPr>
        <w:t>,</w:t>
      </w:r>
      <w:r w:rsidRPr="006C7A33">
        <w:rPr>
          <w:rFonts w:ascii="Calibri" w:hAnsi="Calibri"/>
        </w:rPr>
        <w:t xml:space="preserve"> koje je obezbijedilo stipendije učesnicima u okviru </w:t>
      </w:r>
      <w:r w:rsidRPr="0044006F">
        <w:rPr>
          <w:rFonts w:ascii="Calibri" w:hAnsi="Calibri"/>
          <w:i/>
        </w:rPr>
        <w:t>Cochran programa</w:t>
      </w:r>
      <w:r w:rsidRPr="006C7A33">
        <w:rPr>
          <w:rFonts w:ascii="Calibri" w:hAnsi="Calibri"/>
        </w:rPr>
        <w:t xml:space="preserve"> stipendiranja, a u saradnji sa Ambasadom SAD u Podgorici. </w:t>
      </w:r>
      <w:r>
        <w:rPr>
          <w:rFonts w:ascii="Calibri" w:hAnsi="Calibri"/>
        </w:rPr>
        <w:t>U</w:t>
      </w:r>
      <w:r w:rsidRPr="006C7A33">
        <w:rPr>
          <w:rFonts w:ascii="Calibri" w:hAnsi="Calibri"/>
        </w:rPr>
        <w:t xml:space="preserve">česnici </w:t>
      </w:r>
      <w:r>
        <w:rPr>
          <w:rFonts w:ascii="Calibri" w:hAnsi="Calibri"/>
        </w:rPr>
        <w:t xml:space="preserve">programa </w:t>
      </w:r>
      <w:r w:rsidRPr="006C7A33">
        <w:rPr>
          <w:rFonts w:ascii="Calibri" w:hAnsi="Calibri"/>
        </w:rPr>
        <w:t>upoznali su se sa načinom osnivanja i rada američkih kooperativa. Smatramo da će ovo biti značajno za predstavnike poljoprivrednih proizvođača</w:t>
      </w:r>
      <w:r>
        <w:rPr>
          <w:rFonts w:ascii="Calibri" w:hAnsi="Calibri"/>
        </w:rPr>
        <w:t>, posebno zbog toga što u ponedjeljak započinjemo raspravu o Zakonu o kooperativama u odborima Skupštine Crne Gore</w:t>
      </w:r>
      <w:r w:rsidRPr="006C7A33">
        <w:rPr>
          <w:rFonts w:ascii="Calibri" w:hAnsi="Calibri"/>
        </w:rPr>
        <w:t xml:space="preserve">. </w:t>
      </w:r>
    </w:p>
    <w:p w:rsidR="00664D38" w:rsidRPr="005E0475" w:rsidRDefault="00664D38" w:rsidP="00664D38">
      <w:pPr>
        <w:spacing w:line="360" w:lineRule="auto"/>
        <w:jc w:val="both"/>
        <w:rPr>
          <w:rFonts w:ascii="Calibri" w:hAnsi="Calibri" w:cs="Cambria"/>
          <w:lang w:val="sr-Latn-CS"/>
        </w:rPr>
      </w:pPr>
    </w:p>
    <w:sectPr w:rsidR="00664D38" w:rsidRPr="005E0475" w:rsidSect="00664D38">
      <w:headerReference w:type="default" r:id="rId11"/>
      <w:footerReference w:type="even" r:id="rId12"/>
      <w:footerReference w:type="default" r:id="rId13"/>
      <w:pgSz w:w="11901" w:h="16834"/>
      <w:pgMar w:top="1134" w:right="1134" w:bottom="567" w:left="1134" w:header="708" w:footer="284"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FC1" w:rsidRDefault="00B15FC1">
      <w:r>
        <w:separator/>
      </w:r>
    </w:p>
  </w:endnote>
  <w:endnote w:type="continuationSeparator" w:id="1">
    <w:p w:rsidR="00B15FC1" w:rsidRDefault="00B15F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YU">
    <w:altName w:val="Helvetica Neue Bold Condensed"/>
    <w:charset w:val="00"/>
    <w:family w:val="swiss"/>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38" w:rsidRDefault="00664D38" w:rsidP="00664D38">
    <w:pPr>
      <w:pStyle w:val="Footer"/>
      <w:framePr w:wrap="around" w:vAnchor="text" w:hAnchor="margin" w:xAlign="right" w:y="1"/>
      <w:rPr>
        <w:rStyle w:val="PageNumber"/>
        <w:rFonts w:cs="Arial"/>
        <w:bCs/>
        <w:iCs/>
      </w:rPr>
    </w:pPr>
    <w:r>
      <w:rPr>
        <w:rStyle w:val="PageNumber"/>
      </w:rPr>
      <w:fldChar w:fldCharType="begin"/>
    </w:r>
    <w:r>
      <w:rPr>
        <w:rStyle w:val="PageNumber"/>
      </w:rPr>
      <w:instrText xml:space="preserve">PAGE  </w:instrText>
    </w:r>
    <w:r>
      <w:rPr>
        <w:rStyle w:val="PageNumber"/>
      </w:rPr>
      <w:fldChar w:fldCharType="end"/>
    </w:r>
  </w:p>
  <w:p w:rsidR="00664D38" w:rsidRDefault="00664D38" w:rsidP="00664D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38" w:rsidRPr="00440A64" w:rsidRDefault="00664D38" w:rsidP="00664D38">
    <w:pPr>
      <w:pStyle w:val="Footer"/>
      <w:ind w:right="360"/>
      <w:jc w:val="right"/>
      <w:rPr>
        <w:rFonts w:ascii="Calibri" w:hAnsi="Calibri"/>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FC1" w:rsidRDefault="00B15FC1">
      <w:r>
        <w:separator/>
      </w:r>
    </w:p>
  </w:footnote>
  <w:footnote w:type="continuationSeparator" w:id="1">
    <w:p w:rsidR="00B15FC1" w:rsidRDefault="00B15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38" w:rsidRPr="00440A64" w:rsidRDefault="00664D38" w:rsidP="00664D38">
    <w:pPr>
      <w:jc w:val="right"/>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0E5"/>
    <w:multiLevelType w:val="hybridMultilevel"/>
    <w:tmpl w:val="2E888698"/>
    <w:lvl w:ilvl="0" w:tplc="0409000B">
      <w:start w:val="1"/>
      <w:numFmt w:val="bullet"/>
      <w:lvlText w:val=""/>
      <w:lvlJc w:val="left"/>
      <w:pPr>
        <w:ind w:left="644" w:hanging="360"/>
      </w:pPr>
      <w:rPr>
        <w:rFonts w:ascii="Wingdings" w:hAnsi="Wingdings" w:hint="default"/>
      </w:rPr>
    </w:lvl>
    <w:lvl w:ilvl="1" w:tplc="081A0003" w:tentative="1">
      <w:start w:val="1"/>
      <w:numFmt w:val="bullet"/>
      <w:lvlText w:val="o"/>
      <w:lvlJc w:val="left"/>
      <w:pPr>
        <w:ind w:left="1364" w:hanging="360"/>
      </w:pPr>
      <w:rPr>
        <w:rFonts w:ascii="Courier New" w:hAnsi="Courier New" w:cs="Calibri"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alibri"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alibri" w:hint="default"/>
      </w:rPr>
    </w:lvl>
    <w:lvl w:ilvl="8" w:tplc="081A0005" w:tentative="1">
      <w:start w:val="1"/>
      <w:numFmt w:val="bullet"/>
      <w:lvlText w:val=""/>
      <w:lvlJc w:val="left"/>
      <w:pPr>
        <w:ind w:left="6404" w:hanging="360"/>
      </w:pPr>
      <w:rPr>
        <w:rFonts w:ascii="Wingdings" w:hAnsi="Wingdings" w:hint="default"/>
      </w:rPr>
    </w:lvl>
  </w:abstractNum>
  <w:abstractNum w:abstractNumId="1">
    <w:nsid w:val="055368CC"/>
    <w:multiLevelType w:val="hybridMultilevel"/>
    <w:tmpl w:val="71B0E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612E5"/>
    <w:multiLevelType w:val="hybridMultilevel"/>
    <w:tmpl w:val="928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760DE"/>
    <w:multiLevelType w:val="hybridMultilevel"/>
    <w:tmpl w:val="7542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3428F"/>
    <w:multiLevelType w:val="hybridMultilevel"/>
    <w:tmpl w:val="73342C0E"/>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A6A47"/>
    <w:multiLevelType w:val="hybridMultilevel"/>
    <w:tmpl w:val="2CE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C304A"/>
    <w:multiLevelType w:val="hybridMultilevel"/>
    <w:tmpl w:val="A21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F2347"/>
    <w:multiLevelType w:val="hybridMultilevel"/>
    <w:tmpl w:val="538A29C0"/>
    <w:lvl w:ilvl="0" w:tplc="14DEDB30">
      <w:start w:val="5"/>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57D66FA"/>
    <w:multiLevelType w:val="hybridMultilevel"/>
    <w:tmpl w:val="98CC6BF0"/>
    <w:lvl w:ilvl="0" w:tplc="1F06A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E7533"/>
    <w:multiLevelType w:val="hybridMultilevel"/>
    <w:tmpl w:val="0148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43B90"/>
    <w:multiLevelType w:val="hybridMultilevel"/>
    <w:tmpl w:val="7918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86444"/>
    <w:multiLevelType w:val="hybridMultilevel"/>
    <w:tmpl w:val="B140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3A429A"/>
    <w:multiLevelType w:val="hybridMultilevel"/>
    <w:tmpl w:val="BAEA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47F69"/>
    <w:multiLevelType w:val="hybridMultilevel"/>
    <w:tmpl w:val="884EA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07779"/>
    <w:multiLevelType w:val="hybridMultilevel"/>
    <w:tmpl w:val="4E405848"/>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A1C17"/>
    <w:multiLevelType w:val="hybridMultilevel"/>
    <w:tmpl w:val="A4EC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D3A84"/>
    <w:multiLevelType w:val="hybridMultilevel"/>
    <w:tmpl w:val="30C0B61E"/>
    <w:lvl w:ilvl="0" w:tplc="1F06AC20">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alibri"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alibri"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alibri"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41547063"/>
    <w:multiLevelType w:val="hybridMultilevel"/>
    <w:tmpl w:val="1B527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CA15BC"/>
    <w:multiLevelType w:val="hybridMultilevel"/>
    <w:tmpl w:val="E74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80C7A"/>
    <w:multiLevelType w:val="hybridMultilevel"/>
    <w:tmpl w:val="914CA3FC"/>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EA25C4"/>
    <w:multiLevelType w:val="hybridMultilevel"/>
    <w:tmpl w:val="081E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30F90"/>
    <w:multiLevelType w:val="hybridMultilevel"/>
    <w:tmpl w:val="7B667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F422A7"/>
    <w:multiLevelType w:val="hybridMultilevel"/>
    <w:tmpl w:val="12580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E79B1"/>
    <w:multiLevelType w:val="hybridMultilevel"/>
    <w:tmpl w:val="6F3607D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alibr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alibri"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alibri"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5BA92EC1"/>
    <w:multiLevelType w:val="hybridMultilevel"/>
    <w:tmpl w:val="E9B66E2C"/>
    <w:lvl w:ilvl="0" w:tplc="966877D0">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A53AAB"/>
    <w:multiLevelType w:val="hybridMultilevel"/>
    <w:tmpl w:val="CB9EE03A"/>
    <w:lvl w:ilvl="0" w:tplc="0A5CD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536B66"/>
    <w:multiLevelType w:val="hybridMultilevel"/>
    <w:tmpl w:val="88720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0E05D4"/>
    <w:multiLevelType w:val="hybridMultilevel"/>
    <w:tmpl w:val="67545C7E"/>
    <w:lvl w:ilvl="0" w:tplc="0A5CD216">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4E6F1E"/>
    <w:multiLevelType w:val="hybridMultilevel"/>
    <w:tmpl w:val="D6DEA0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02C53"/>
    <w:multiLevelType w:val="hybridMultilevel"/>
    <w:tmpl w:val="FB4C20F2"/>
    <w:lvl w:ilvl="0" w:tplc="690ECD06">
      <w:start w:val="2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C52AF"/>
    <w:multiLevelType w:val="hybridMultilevel"/>
    <w:tmpl w:val="7F2AF390"/>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93491"/>
    <w:multiLevelType w:val="hybridMultilevel"/>
    <w:tmpl w:val="C7E6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45A4F"/>
    <w:multiLevelType w:val="hybridMultilevel"/>
    <w:tmpl w:val="A4C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F3707F"/>
    <w:multiLevelType w:val="hybridMultilevel"/>
    <w:tmpl w:val="142C4B9A"/>
    <w:lvl w:ilvl="0" w:tplc="0A5CD216">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836CDE"/>
    <w:multiLevelType w:val="hybridMultilevel"/>
    <w:tmpl w:val="A880A628"/>
    <w:lvl w:ilvl="0" w:tplc="0A5CD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5E293A"/>
    <w:multiLevelType w:val="hybridMultilevel"/>
    <w:tmpl w:val="C110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62109C"/>
    <w:multiLevelType w:val="hybridMultilevel"/>
    <w:tmpl w:val="29F04226"/>
    <w:lvl w:ilvl="0" w:tplc="EB3630D0">
      <w:start w:val="2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467B71"/>
    <w:multiLevelType w:val="hybridMultilevel"/>
    <w:tmpl w:val="72860ED4"/>
    <w:lvl w:ilvl="0" w:tplc="16DA0440">
      <w:start w:val="2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E672FA"/>
    <w:multiLevelType w:val="hybridMultilevel"/>
    <w:tmpl w:val="83886AB4"/>
    <w:lvl w:ilvl="0" w:tplc="0409000B">
      <w:start w:val="1"/>
      <w:numFmt w:val="bullet"/>
      <w:lvlText w:val=""/>
      <w:lvlJc w:val="left"/>
      <w:pPr>
        <w:ind w:left="720" w:hanging="360"/>
      </w:pPr>
      <w:rPr>
        <w:rFonts w:ascii="Wingdings" w:hAnsi="Wingdings" w:hint="default"/>
      </w:rPr>
    </w:lvl>
    <w:lvl w:ilvl="1" w:tplc="1032CBFA">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6975BE"/>
    <w:multiLevelType w:val="hybridMultilevel"/>
    <w:tmpl w:val="9AB235A4"/>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9F4C4A"/>
    <w:multiLevelType w:val="hybridMultilevel"/>
    <w:tmpl w:val="FE4EBDE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6"/>
  </w:num>
  <w:num w:numId="2">
    <w:abstractNumId w:val="19"/>
  </w:num>
  <w:num w:numId="3">
    <w:abstractNumId w:val="30"/>
  </w:num>
  <w:num w:numId="4">
    <w:abstractNumId w:val="4"/>
  </w:num>
  <w:num w:numId="5">
    <w:abstractNumId w:val="17"/>
  </w:num>
  <w:num w:numId="6">
    <w:abstractNumId w:val="8"/>
  </w:num>
  <w:num w:numId="7">
    <w:abstractNumId w:val="16"/>
  </w:num>
  <w:num w:numId="8">
    <w:abstractNumId w:val="22"/>
  </w:num>
  <w:num w:numId="9">
    <w:abstractNumId w:val="38"/>
  </w:num>
  <w:num w:numId="10">
    <w:abstractNumId w:val="23"/>
  </w:num>
  <w:num w:numId="11">
    <w:abstractNumId w:val="21"/>
  </w:num>
  <w:num w:numId="12">
    <w:abstractNumId w:val="24"/>
  </w:num>
  <w:num w:numId="13">
    <w:abstractNumId w:val="0"/>
  </w:num>
  <w:num w:numId="14">
    <w:abstractNumId w:val="1"/>
  </w:num>
  <w:num w:numId="15">
    <w:abstractNumId w:val="37"/>
  </w:num>
  <w:num w:numId="16">
    <w:abstractNumId w:val="11"/>
  </w:num>
  <w:num w:numId="17">
    <w:abstractNumId w:val="29"/>
  </w:num>
  <w:num w:numId="18">
    <w:abstractNumId w:val="20"/>
  </w:num>
  <w:num w:numId="19">
    <w:abstractNumId w:val="36"/>
  </w:num>
  <w:num w:numId="20">
    <w:abstractNumId w:val="13"/>
  </w:num>
  <w:num w:numId="21">
    <w:abstractNumId w:val="5"/>
  </w:num>
  <w:num w:numId="22">
    <w:abstractNumId w:val="40"/>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8"/>
  </w:num>
  <w:num w:numId="26">
    <w:abstractNumId w:val="32"/>
  </w:num>
  <w:num w:numId="27">
    <w:abstractNumId w:val="35"/>
  </w:num>
  <w:num w:numId="28">
    <w:abstractNumId w:val="10"/>
  </w:num>
  <w:num w:numId="29">
    <w:abstractNumId w:val="15"/>
  </w:num>
  <w:num w:numId="30">
    <w:abstractNumId w:val="2"/>
  </w:num>
  <w:num w:numId="31">
    <w:abstractNumId w:val="6"/>
  </w:num>
  <w:num w:numId="32">
    <w:abstractNumId w:val="9"/>
  </w:num>
  <w:num w:numId="33">
    <w:abstractNumId w:val="31"/>
  </w:num>
  <w:num w:numId="34">
    <w:abstractNumId w:val="27"/>
  </w:num>
  <w:num w:numId="35">
    <w:abstractNumId w:val="33"/>
  </w:num>
  <w:num w:numId="36">
    <w:abstractNumId w:val="25"/>
  </w:num>
  <w:num w:numId="37">
    <w:abstractNumId w:val="3"/>
  </w:num>
  <w:num w:numId="38">
    <w:abstractNumId w:val="14"/>
  </w:num>
  <w:num w:numId="39">
    <w:abstractNumId w:val="28"/>
  </w:num>
  <w:num w:numId="40">
    <w:abstractNumId w:val="39"/>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hideSpellingErrors/>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C95160"/>
    <w:rsid w:val="001C0324"/>
    <w:rsid w:val="00664D38"/>
    <w:rsid w:val="007366B3"/>
    <w:rsid w:val="00B15FC1"/>
    <w:rsid w:val="00E3482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Balloon Text"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6C9E"/>
    <w:rPr>
      <w:sz w:val="24"/>
      <w:szCs w:val="24"/>
      <w:lang w:val="en-GB"/>
    </w:rPr>
  </w:style>
  <w:style w:type="paragraph" w:styleId="Heading1">
    <w:name w:val="heading 1"/>
    <w:basedOn w:val="Normal"/>
    <w:next w:val="Normal"/>
    <w:link w:val="Heading1Char"/>
    <w:uiPriority w:val="9"/>
    <w:qFormat/>
    <w:rsid w:val="002E132C"/>
    <w:pPr>
      <w:keepNext/>
      <w:suppressAutoHyphens/>
      <w:ind w:left="720" w:hanging="360"/>
      <w:jc w:val="center"/>
      <w:outlineLvl w:val="0"/>
    </w:pPr>
    <w:rPr>
      <w:rFonts w:ascii="Times New Roman" w:eastAsia="Times New Roman" w:hAnsi="Times New Roman"/>
      <w:b/>
      <w:bCs/>
      <w:sz w:val="28"/>
      <w:lang w:val="sl-SI" w:eastAsia="ar-SA"/>
    </w:rPr>
  </w:style>
  <w:style w:type="paragraph" w:styleId="Heading2">
    <w:name w:val="heading 2"/>
    <w:basedOn w:val="Normal"/>
    <w:next w:val="Normal"/>
    <w:link w:val="Heading2Char"/>
    <w:qFormat/>
    <w:rsid w:val="00636C9E"/>
    <w:pPr>
      <w:keepNext/>
      <w:spacing w:before="240" w:after="60"/>
      <w:outlineLvl w:val="1"/>
    </w:pPr>
    <w:rPr>
      <w:rFonts w:ascii="Calibri" w:eastAsia="Times New Roman" w:hAnsi="Calibri"/>
      <w:b/>
      <w:bCs/>
      <w:i/>
      <w:iCs/>
      <w:sz w:val="28"/>
      <w:szCs w:val="28"/>
      <w:lang/>
    </w:rPr>
  </w:style>
  <w:style w:type="paragraph" w:styleId="Heading3">
    <w:name w:val="heading 3"/>
    <w:basedOn w:val="Normal"/>
    <w:next w:val="Normal"/>
    <w:link w:val="Heading3Char"/>
    <w:uiPriority w:val="9"/>
    <w:qFormat/>
    <w:rsid w:val="00636C9E"/>
    <w:pPr>
      <w:keepNext/>
      <w:spacing w:before="240" w:after="60"/>
      <w:outlineLvl w:val="2"/>
    </w:pPr>
    <w:rPr>
      <w:rFonts w:ascii="Calibri" w:eastAsia="Times New Roman" w:hAnsi="Calibri"/>
      <w:b/>
      <w:bCs/>
      <w:sz w:val="26"/>
      <w:szCs w:val="26"/>
      <w:lang/>
    </w:rPr>
  </w:style>
  <w:style w:type="paragraph" w:styleId="Heading4">
    <w:name w:val="heading 4"/>
    <w:basedOn w:val="Normal"/>
    <w:next w:val="Normal"/>
    <w:link w:val="Heading4Char"/>
    <w:uiPriority w:val="9"/>
    <w:qFormat/>
    <w:rsid w:val="00636C9E"/>
    <w:pPr>
      <w:keepNext/>
      <w:spacing w:before="240" w:after="60"/>
      <w:outlineLvl w:val="3"/>
    </w:pPr>
    <w:rPr>
      <w:rFonts w:eastAsia="Times New Roman"/>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2E132C"/>
    <w:rPr>
      <w:rFonts w:ascii="Times New Roman" w:eastAsia="Times New Roman" w:hAnsi="Times New Roman" w:cs="Calibri"/>
      <w:b/>
      <w:bCs/>
      <w:sz w:val="28"/>
      <w:szCs w:val="24"/>
      <w:lang w:val="sl-SI" w:eastAsia="ar-SA"/>
    </w:rPr>
  </w:style>
  <w:style w:type="character" w:customStyle="1" w:styleId="Heading2Char">
    <w:name w:val="Heading 2 Char"/>
    <w:link w:val="Heading2"/>
    <w:rsid w:val="00636C9E"/>
    <w:rPr>
      <w:rFonts w:ascii="Calibri" w:eastAsia="Times New Roman" w:hAnsi="Calibri" w:cs="Times New Roman"/>
      <w:b/>
      <w:bCs/>
      <w:i/>
      <w:iCs/>
      <w:sz w:val="28"/>
      <w:szCs w:val="28"/>
      <w:lang w:val="en-GB"/>
    </w:rPr>
  </w:style>
  <w:style w:type="character" w:customStyle="1" w:styleId="Heading3Char">
    <w:name w:val="Heading 3 Char"/>
    <w:link w:val="Heading3"/>
    <w:uiPriority w:val="9"/>
    <w:rsid w:val="00636C9E"/>
    <w:rPr>
      <w:rFonts w:ascii="Calibri" w:eastAsia="Times New Roman" w:hAnsi="Calibri" w:cs="Times New Roman"/>
      <w:b/>
      <w:bCs/>
      <w:sz w:val="26"/>
      <w:szCs w:val="26"/>
      <w:lang w:val="en-GB"/>
    </w:rPr>
  </w:style>
  <w:style w:type="character" w:customStyle="1" w:styleId="Heading4Char">
    <w:name w:val="Heading 4 Char"/>
    <w:link w:val="Heading4"/>
    <w:uiPriority w:val="9"/>
    <w:rsid w:val="00636C9E"/>
    <w:rPr>
      <w:rFonts w:ascii="Cambria" w:eastAsia="Times New Roman" w:hAnsi="Cambria" w:cs="Times New Roman"/>
      <w:b/>
      <w:bCs/>
      <w:sz w:val="28"/>
      <w:szCs w:val="28"/>
      <w:lang w:val="en-GB"/>
    </w:rPr>
  </w:style>
  <w:style w:type="character" w:styleId="Hyperlink">
    <w:name w:val="Hyperlink"/>
    <w:uiPriority w:val="99"/>
    <w:rsid w:val="00E41D99"/>
    <w:rPr>
      <w:color w:val="0000FF"/>
      <w:u w:val="single"/>
    </w:rPr>
  </w:style>
  <w:style w:type="paragraph" w:styleId="Header">
    <w:name w:val="header"/>
    <w:basedOn w:val="Normal"/>
    <w:link w:val="HeaderChar"/>
    <w:uiPriority w:val="99"/>
    <w:rsid w:val="00E41D99"/>
    <w:pPr>
      <w:widowControl w:val="0"/>
      <w:tabs>
        <w:tab w:val="center" w:pos="4703"/>
        <w:tab w:val="right" w:pos="9406"/>
      </w:tabs>
      <w:autoSpaceDE w:val="0"/>
      <w:autoSpaceDN w:val="0"/>
      <w:adjustRightInd w:val="0"/>
      <w:jc w:val="both"/>
    </w:pPr>
    <w:rPr>
      <w:rFonts w:ascii="Calibri" w:eastAsia="Times New Roman" w:hAnsi="Calibri"/>
      <w:sz w:val="22"/>
      <w:szCs w:val="22"/>
      <w:lang/>
    </w:rPr>
  </w:style>
  <w:style w:type="character" w:customStyle="1" w:styleId="HeaderChar">
    <w:name w:val="Header Char"/>
    <w:link w:val="Header"/>
    <w:uiPriority w:val="99"/>
    <w:rsid w:val="00E41D99"/>
    <w:rPr>
      <w:rFonts w:ascii="Calibri" w:eastAsia="Times New Roman" w:hAnsi="Calibri"/>
      <w:sz w:val="22"/>
      <w:szCs w:val="22"/>
    </w:rPr>
  </w:style>
  <w:style w:type="table" w:styleId="TableGrid">
    <w:name w:val="Table Grid"/>
    <w:basedOn w:val="TableNormal"/>
    <w:uiPriority w:val="59"/>
    <w:rsid w:val="00BF09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BE3487"/>
    <w:pPr>
      <w:jc w:val="center"/>
    </w:pPr>
    <w:rPr>
      <w:rFonts w:ascii="Arial YU" w:eastAsia="Times New Roman" w:hAnsi="Arial YU"/>
      <w:b/>
      <w:bCs/>
      <w:lang/>
    </w:rPr>
  </w:style>
  <w:style w:type="character" w:customStyle="1" w:styleId="TitleChar">
    <w:name w:val="Title Char"/>
    <w:link w:val="Title"/>
    <w:rsid w:val="00BE3487"/>
    <w:rPr>
      <w:rFonts w:ascii="Arial YU" w:eastAsia="Times New Roman" w:hAnsi="Arial YU"/>
      <w:b/>
      <w:bCs/>
      <w:sz w:val="24"/>
      <w:szCs w:val="24"/>
    </w:rPr>
  </w:style>
  <w:style w:type="paragraph" w:customStyle="1" w:styleId="LightGrid-Accent31">
    <w:name w:val="Light Grid - Accent 31"/>
    <w:basedOn w:val="Normal"/>
    <w:uiPriority w:val="34"/>
    <w:qFormat/>
    <w:rsid w:val="006C767C"/>
    <w:pPr>
      <w:spacing w:after="200" w:line="276" w:lineRule="auto"/>
      <w:ind w:left="720"/>
      <w:contextualSpacing/>
    </w:pPr>
    <w:rPr>
      <w:sz w:val="22"/>
      <w:szCs w:val="22"/>
      <w:lang w:val="en-US"/>
    </w:rPr>
  </w:style>
  <w:style w:type="paragraph" w:styleId="FootnoteText">
    <w:name w:val="footnote text"/>
    <w:aliases w:val="single space,FOOTNOTES,fn,Fußnotentextf,ALTS FOOTNOTE,Footnote,Footnote Text qer,Fußnotentext Char,Footnote Text Char1,Footnote Text Char2 Char,Footnote Text Char1 Char Char,Footnote Text Char2 Char Char C,Fußnote,footnote text Char Char,f"/>
    <w:basedOn w:val="Normal"/>
    <w:link w:val="FootnoteTextChar"/>
    <w:rsid w:val="002E0BAB"/>
    <w:rPr>
      <w:rFonts w:ascii="Times New Roman" w:eastAsia="Times New Roman" w:hAnsi="Times New Roman"/>
      <w:sz w:val="20"/>
      <w:szCs w:val="20"/>
      <w:lang/>
    </w:rPr>
  </w:style>
  <w:style w:type="character" w:customStyle="1" w:styleId="FootnoteTextChar">
    <w:name w:val="Footnote Text Char"/>
    <w:aliases w:val="single space Char,FOOTNOTES Char,fn Char,Fußnotentextf Char,ALTS FOOTNOTE Char,Footnote Char,Footnote Text qer Char,Fußnotentext Char Char,Footnote Text Char1 Char,Footnote Text Char2 Char Char,Footnote Text Char1 Char Char Char"/>
    <w:link w:val="FootnoteText"/>
    <w:rsid w:val="002E0BAB"/>
    <w:rPr>
      <w:rFonts w:ascii="Times New Roman" w:eastAsia="Times New Roman" w:hAnsi="Times New Roman"/>
    </w:rPr>
  </w:style>
  <w:style w:type="character" w:styleId="FootnoteReference">
    <w:name w:val="footnote reference"/>
    <w:aliases w:val="16 Point,Superscript 6 Point,Superscript 6 Point + 11 pt,Ref,de nota al pie,ftref"/>
    <w:rsid w:val="002E0BAB"/>
    <w:rPr>
      <w:vertAlign w:val="superscript"/>
    </w:rPr>
  </w:style>
  <w:style w:type="character" w:styleId="Strong">
    <w:name w:val="Strong"/>
    <w:uiPriority w:val="22"/>
    <w:qFormat/>
    <w:rsid w:val="008A3B20"/>
    <w:rPr>
      <w:b/>
      <w:bCs/>
    </w:rPr>
  </w:style>
  <w:style w:type="character" w:customStyle="1" w:styleId="apple-converted-space">
    <w:name w:val="apple-converted-space"/>
    <w:basedOn w:val="DefaultParagraphFont"/>
    <w:rsid w:val="008A3B20"/>
  </w:style>
  <w:style w:type="paragraph" w:customStyle="1" w:styleId="Default">
    <w:name w:val="Default"/>
    <w:uiPriority w:val="99"/>
    <w:rsid w:val="008A3B2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unhideWhenUsed/>
    <w:rsid w:val="00C415DF"/>
    <w:pPr>
      <w:spacing w:after="200" w:line="276" w:lineRule="auto"/>
    </w:pPr>
    <w:rPr>
      <w:rFonts w:ascii="Lucida Grande" w:hAnsi="Lucida Grande"/>
      <w:sz w:val="18"/>
      <w:szCs w:val="18"/>
      <w:lang/>
    </w:rPr>
  </w:style>
  <w:style w:type="character" w:customStyle="1" w:styleId="BalloonTextChar">
    <w:name w:val="Balloon Text Char"/>
    <w:link w:val="BalloonText"/>
    <w:uiPriority w:val="99"/>
    <w:rsid w:val="00C415DF"/>
    <w:rPr>
      <w:rFonts w:ascii="Lucida Grande" w:eastAsia="Cambria" w:hAnsi="Lucida Grande" w:cs="Times New Roman"/>
      <w:sz w:val="18"/>
      <w:szCs w:val="18"/>
    </w:rPr>
  </w:style>
  <w:style w:type="paragraph" w:styleId="BodyText">
    <w:name w:val="Body Text"/>
    <w:basedOn w:val="Normal"/>
    <w:link w:val="BodyTextChar"/>
    <w:uiPriority w:val="99"/>
    <w:unhideWhenUsed/>
    <w:rsid w:val="00C415DF"/>
    <w:pPr>
      <w:spacing w:after="120"/>
    </w:pPr>
    <w:rPr>
      <w:rFonts w:ascii="Times New Roman" w:eastAsia="Times New Roman" w:hAnsi="Times New Roman"/>
      <w:lang/>
    </w:rPr>
  </w:style>
  <w:style w:type="character" w:customStyle="1" w:styleId="BodyTextChar">
    <w:name w:val="Body Text Char"/>
    <w:link w:val="BodyText"/>
    <w:uiPriority w:val="99"/>
    <w:rsid w:val="00C415DF"/>
    <w:rPr>
      <w:rFonts w:ascii="Times New Roman" w:eastAsia="Times New Roman" w:hAnsi="Times New Roman"/>
      <w:sz w:val="24"/>
      <w:szCs w:val="24"/>
    </w:rPr>
  </w:style>
  <w:style w:type="paragraph" w:customStyle="1" w:styleId="1tekst">
    <w:name w:val="1tekst"/>
    <w:basedOn w:val="Normal"/>
    <w:rsid w:val="00C415DF"/>
    <w:pPr>
      <w:ind w:left="375" w:right="375" w:firstLine="240"/>
      <w:jc w:val="both"/>
    </w:pPr>
    <w:rPr>
      <w:rFonts w:ascii="Arial" w:eastAsia="Times New Roman" w:hAnsi="Arial" w:cs="Arial"/>
      <w:sz w:val="20"/>
      <w:szCs w:val="20"/>
      <w:lang w:val="en-US"/>
    </w:rPr>
  </w:style>
  <w:style w:type="character" w:customStyle="1" w:styleId="normalchar">
    <w:name w:val="normal__char"/>
    <w:basedOn w:val="DefaultParagraphFont"/>
    <w:rsid w:val="00C415DF"/>
  </w:style>
  <w:style w:type="character" w:customStyle="1" w:styleId="IntenseEmphasis1">
    <w:name w:val="Intense Emphasis1"/>
    <w:qFormat/>
    <w:rsid w:val="002E132C"/>
    <w:rPr>
      <w:rFonts w:cs="Times New Roman"/>
      <w:b/>
      <w:bCs/>
      <w:i/>
      <w:iCs/>
      <w:color w:val="4F81BD"/>
    </w:rPr>
  </w:style>
  <w:style w:type="paragraph" w:styleId="Footer">
    <w:name w:val="footer"/>
    <w:basedOn w:val="Normal"/>
    <w:link w:val="FooterChar"/>
    <w:uiPriority w:val="99"/>
    <w:unhideWhenUsed/>
    <w:rsid w:val="002E132C"/>
    <w:pPr>
      <w:tabs>
        <w:tab w:val="center" w:pos="4513"/>
        <w:tab w:val="right" w:pos="9026"/>
      </w:tabs>
    </w:pPr>
    <w:rPr>
      <w:rFonts w:eastAsia="Times New Roman"/>
      <w:sz w:val="22"/>
      <w:szCs w:val="22"/>
      <w:lang w:val="sr-Cyrl-CS" w:eastAsia="en-GB"/>
    </w:rPr>
  </w:style>
  <w:style w:type="character" w:customStyle="1" w:styleId="FooterChar">
    <w:name w:val="Footer Char"/>
    <w:link w:val="Footer"/>
    <w:uiPriority w:val="99"/>
    <w:rsid w:val="002E132C"/>
    <w:rPr>
      <w:rFonts w:ascii="Cambria" w:eastAsia="Times New Roman" w:hAnsi="Cambria" w:cs="Times New Roman"/>
      <w:sz w:val="22"/>
      <w:szCs w:val="22"/>
      <w:lang w:val="sr-Cyrl-CS" w:eastAsia="en-GB"/>
    </w:rPr>
  </w:style>
  <w:style w:type="paragraph" w:customStyle="1" w:styleId="tekst">
    <w:name w:val="tekst"/>
    <w:basedOn w:val="Normal"/>
    <w:rsid w:val="004239B0"/>
    <w:pPr>
      <w:ind w:left="375" w:right="375" w:firstLine="240"/>
      <w:jc w:val="both"/>
    </w:pPr>
    <w:rPr>
      <w:rFonts w:ascii="Arial" w:eastAsia="Times New Roman" w:hAnsi="Arial" w:cs="Arial"/>
      <w:sz w:val="20"/>
      <w:szCs w:val="20"/>
      <w:lang w:val="en-US"/>
    </w:rPr>
  </w:style>
  <w:style w:type="character" w:customStyle="1" w:styleId="BalloonTextChar1">
    <w:name w:val="Balloon Text Char1"/>
    <w:uiPriority w:val="99"/>
    <w:semiHidden/>
    <w:rsid w:val="004239B0"/>
    <w:rPr>
      <w:rFonts w:ascii="Tahoma" w:hAnsi="Tahoma" w:cs="Tahoma"/>
      <w:sz w:val="16"/>
      <w:szCs w:val="16"/>
    </w:rPr>
  </w:style>
  <w:style w:type="paragraph" w:styleId="PlainText">
    <w:name w:val="Plain Text"/>
    <w:basedOn w:val="Normal"/>
    <w:link w:val="PlainTextChar"/>
    <w:uiPriority w:val="99"/>
    <w:unhideWhenUsed/>
    <w:rsid w:val="006418CF"/>
    <w:rPr>
      <w:rFonts w:ascii="Consolas" w:hAnsi="Consolas"/>
      <w:sz w:val="21"/>
      <w:szCs w:val="21"/>
      <w:lang/>
    </w:rPr>
  </w:style>
  <w:style w:type="character" w:customStyle="1" w:styleId="PlainTextChar">
    <w:name w:val="Plain Text Char"/>
    <w:link w:val="PlainText"/>
    <w:uiPriority w:val="99"/>
    <w:rsid w:val="006418CF"/>
    <w:rPr>
      <w:rFonts w:ascii="Consolas" w:eastAsia="Cambria" w:hAnsi="Consolas" w:cs="Times New Roman"/>
      <w:sz w:val="21"/>
      <w:szCs w:val="21"/>
    </w:rPr>
  </w:style>
  <w:style w:type="paragraph" w:customStyle="1" w:styleId="NoSpacing1">
    <w:name w:val="No Spacing1"/>
    <w:link w:val="NoSpacingChar"/>
    <w:qFormat/>
    <w:rsid w:val="006418CF"/>
    <w:rPr>
      <w:rFonts w:ascii="Calibri" w:eastAsia="Times New Roman" w:hAnsi="Calibri"/>
      <w:sz w:val="22"/>
      <w:szCs w:val="22"/>
    </w:rPr>
  </w:style>
  <w:style w:type="character" w:customStyle="1" w:styleId="NoSpacingChar">
    <w:name w:val="No Spacing Char"/>
    <w:link w:val="NoSpacing1"/>
    <w:rsid w:val="006418CF"/>
    <w:rPr>
      <w:rFonts w:ascii="Calibri" w:eastAsia="Times New Roman" w:hAnsi="Calibri"/>
      <w:sz w:val="22"/>
      <w:szCs w:val="22"/>
      <w:lang w:bidi="ar-SA"/>
    </w:rPr>
  </w:style>
  <w:style w:type="character" w:customStyle="1" w:styleId="tekstcijeli">
    <w:name w:val="tekstcijeli"/>
    <w:basedOn w:val="DefaultParagraphFont"/>
    <w:rsid w:val="006744AD"/>
  </w:style>
  <w:style w:type="character" w:customStyle="1" w:styleId="kapital">
    <w:name w:val="kapital"/>
    <w:basedOn w:val="DefaultParagraphFont"/>
    <w:rsid w:val="006744AD"/>
  </w:style>
  <w:style w:type="character" w:customStyle="1" w:styleId="style20">
    <w:name w:val="style20"/>
    <w:basedOn w:val="DefaultParagraphFont"/>
    <w:rsid w:val="006744AD"/>
  </w:style>
  <w:style w:type="character" w:customStyle="1" w:styleId="style39">
    <w:name w:val="style39"/>
    <w:basedOn w:val="DefaultParagraphFont"/>
    <w:rsid w:val="006744AD"/>
  </w:style>
  <w:style w:type="paragraph" w:styleId="NormalWeb">
    <w:name w:val="Normal (Web)"/>
    <w:basedOn w:val="Normal"/>
    <w:uiPriority w:val="99"/>
    <w:unhideWhenUsed/>
    <w:rsid w:val="006744AD"/>
    <w:pPr>
      <w:spacing w:before="100" w:beforeAutospacing="1" w:after="100" w:afterAutospacing="1"/>
    </w:pPr>
    <w:rPr>
      <w:rFonts w:ascii="Times New Roman" w:eastAsia="Times New Roman" w:hAnsi="Times New Roman"/>
      <w:lang w:val="en-US"/>
    </w:rPr>
  </w:style>
  <w:style w:type="paragraph" w:styleId="CommentText">
    <w:name w:val="annotation text"/>
    <w:basedOn w:val="Normal"/>
    <w:link w:val="CommentTextChar"/>
    <w:uiPriority w:val="99"/>
    <w:unhideWhenUsed/>
    <w:rsid w:val="006744AD"/>
    <w:rPr>
      <w:rFonts w:ascii="Times New Roman" w:hAnsi="Times New Roman"/>
      <w:sz w:val="20"/>
      <w:szCs w:val="20"/>
      <w:lang/>
    </w:rPr>
  </w:style>
  <w:style w:type="character" w:customStyle="1" w:styleId="CommentTextChar">
    <w:name w:val="Comment Text Char"/>
    <w:link w:val="CommentText"/>
    <w:uiPriority w:val="99"/>
    <w:rsid w:val="006744AD"/>
    <w:rPr>
      <w:rFonts w:ascii="Times New Roman" w:eastAsia="Cambria" w:hAnsi="Times New Roman"/>
    </w:rPr>
  </w:style>
  <w:style w:type="paragraph" w:styleId="CommentSubject">
    <w:name w:val="annotation subject"/>
    <w:basedOn w:val="CommentText"/>
    <w:next w:val="CommentText"/>
    <w:link w:val="CommentSubjectChar"/>
    <w:uiPriority w:val="99"/>
    <w:unhideWhenUsed/>
    <w:rsid w:val="006744AD"/>
    <w:rPr>
      <w:b/>
      <w:bCs/>
    </w:rPr>
  </w:style>
  <w:style w:type="character" w:customStyle="1" w:styleId="CommentSubjectChar">
    <w:name w:val="Comment Subject Char"/>
    <w:link w:val="CommentSubject"/>
    <w:uiPriority w:val="99"/>
    <w:rsid w:val="006744AD"/>
    <w:rPr>
      <w:rFonts w:ascii="Times New Roman" w:eastAsia="Cambria" w:hAnsi="Times New Roman"/>
      <w:b/>
      <w:bCs/>
    </w:rPr>
  </w:style>
  <w:style w:type="paragraph" w:customStyle="1" w:styleId="Style2">
    <w:name w:val="Style2"/>
    <w:basedOn w:val="Heading2"/>
    <w:link w:val="Style2Char"/>
    <w:qFormat/>
    <w:rsid w:val="006744AD"/>
    <w:pPr>
      <w:keepLines/>
      <w:spacing w:before="0" w:after="0"/>
      <w:jc w:val="both"/>
    </w:pPr>
    <w:rPr>
      <w:rFonts w:ascii="Garamond" w:hAnsi="Garamond"/>
      <w:iCs w:val="0"/>
      <w:lang w:val="sv-SE"/>
    </w:rPr>
  </w:style>
  <w:style w:type="character" w:customStyle="1" w:styleId="Style2Char">
    <w:name w:val="Style2 Char"/>
    <w:link w:val="Style2"/>
    <w:rsid w:val="006744AD"/>
    <w:rPr>
      <w:rFonts w:ascii="Garamond" w:eastAsia="Times New Roman" w:hAnsi="Garamond"/>
      <w:b/>
      <w:bCs/>
      <w:i/>
      <w:sz w:val="28"/>
      <w:szCs w:val="28"/>
      <w:lang w:val="sv-SE"/>
    </w:rPr>
  </w:style>
  <w:style w:type="paragraph" w:customStyle="1" w:styleId="Style4">
    <w:name w:val="Style4"/>
    <w:basedOn w:val="Heading4"/>
    <w:link w:val="Style4Char"/>
    <w:qFormat/>
    <w:rsid w:val="006744AD"/>
    <w:pPr>
      <w:keepLines/>
      <w:spacing w:before="200" w:after="0"/>
      <w:ind w:left="360" w:hanging="360"/>
      <w:jc w:val="both"/>
    </w:pPr>
    <w:rPr>
      <w:rFonts w:ascii="Garamond" w:hAnsi="Garamond"/>
      <w:bCs w:val="0"/>
      <w:i/>
      <w:sz w:val="24"/>
      <w:szCs w:val="24"/>
      <w:lang w:val="pl-PL"/>
    </w:rPr>
  </w:style>
  <w:style w:type="character" w:customStyle="1" w:styleId="Style4Char">
    <w:name w:val="Style4 Char"/>
    <w:link w:val="Style4"/>
    <w:rsid w:val="006744AD"/>
    <w:rPr>
      <w:rFonts w:ascii="Garamond" w:eastAsia="Times New Roman" w:hAnsi="Garamond"/>
      <w:b/>
      <w:i/>
      <w:sz w:val="24"/>
      <w:szCs w:val="24"/>
      <w:lang w:val="pl-PL"/>
    </w:rPr>
  </w:style>
  <w:style w:type="character" w:styleId="PageNumber">
    <w:name w:val="page number"/>
    <w:rsid w:val="003B38C8"/>
    <w:rPr>
      <w:rFonts w:ascii="Arial Narrow" w:hAnsi="Arial Narrow"/>
      <w:spacing w:val="10"/>
      <w:sz w:val="24"/>
      <w:szCs w:val="24"/>
      <w:lang w:val="sr-Latn-CS" w:eastAsia="en-US" w:bidi="ar-SA"/>
    </w:rPr>
  </w:style>
  <w:style w:type="character" w:styleId="Emphasis">
    <w:name w:val="Emphasis"/>
    <w:uiPriority w:val="20"/>
    <w:qFormat/>
    <w:rsid w:val="001E24FF"/>
    <w:rPr>
      <w:i/>
      <w:iCs/>
    </w:rPr>
  </w:style>
  <w:style w:type="character" w:customStyle="1" w:styleId="samipodnaslov">
    <w:name w:val="samipodnaslov"/>
    <w:basedOn w:val="DefaultParagraphFont"/>
    <w:rsid w:val="001E24FF"/>
  </w:style>
  <w:style w:type="paragraph" w:customStyle="1" w:styleId="Char">
    <w:name w:val="Char"/>
    <w:basedOn w:val="Normal"/>
    <w:semiHidden/>
    <w:rsid w:val="0066351F"/>
    <w:pPr>
      <w:spacing w:after="160" w:line="240" w:lineRule="exact"/>
    </w:pPr>
    <w:rPr>
      <w:rFonts w:ascii="Tahoma" w:eastAsia="Times New Roman" w:hAnsi="Tahoma"/>
      <w:sz w:val="20"/>
      <w:szCs w:val="20"/>
      <w:lang w:val="en-US"/>
    </w:rPr>
  </w:style>
  <w:style w:type="paragraph" w:customStyle="1" w:styleId="breadcrumbs">
    <w:name w:val="breadcrumbs"/>
    <w:basedOn w:val="Normal"/>
    <w:rsid w:val="00E53D51"/>
    <w:pPr>
      <w:spacing w:before="100" w:beforeAutospacing="1" w:after="100" w:afterAutospacing="1"/>
    </w:pPr>
    <w:rPr>
      <w:rFonts w:ascii="Times New Roman" w:eastAsia="Times New Roman" w:hAnsi="Times New Roman"/>
      <w:lang w:val="en-US"/>
    </w:rPr>
  </w:style>
  <w:style w:type="character" w:customStyle="1" w:styleId="black">
    <w:name w:val="black"/>
    <w:basedOn w:val="DefaultParagraphFont"/>
    <w:rsid w:val="00E53D51"/>
  </w:style>
  <w:style w:type="character" w:customStyle="1" w:styleId="inlinequotebox">
    <w:name w:val="inline_quotebox"/>
    <w:basedOn w:val="DefaultParagraphFont"/>
    <w:rsid w:val="00E53D51"/>
  </w:style>
  <w:style w:type="character" w:customStyle="1" w:styleId="rubnnaslov">
    <w:name w:val="rubnnaslov"/>
    <w:basedOn w:val="DefaultParagraphFont"/>
    <w:rsid w:val="00E53D51"/>
  </w:style>
  <w:style w:type="character" w:styleId="CommentReference">
    <w:name w:val="annotation reference"/>
    <w:uiPriority w:val="99"/>
    <w:rsid w:val="00E53D51"/>
    <w:rPr>
      <w:sz w:val="16"/>
      <w:szCs w:val="16"/>
    </w:rPr>
  </w:style>
  <w:style w:type="paragraph" w:styleId="DocumentMap">
    <w:name w:val="Document Map"/>
    <w:basedOn w:val="Normal"/>
    <w:link w:val="DocumentMapChar"/>
    <w:uiPriority w:val="99"/>
    <w:rsid w:val="005E7EF9"/>
    <w:rPr>
      <w:rFonts w:ascii="Lucida Grande" w:hAnsi="Lucida Grande"/>
      <w:lang/>
    </w:rPr>
  </w:style>
  <w:style w:type="character" w:customStyle="1" w:styleId="DocumentMapChar">
    <w:name w:val="Document Map Char"/>
    <w:link w:val="DocumentMap"/>
    <w:uiPriority w:val="99"/>
    <w:rsid w:val="005E7EF9"/>
    <w:rPr>
      <w:rFonts w:ascii="Lucida Grande" w:hAnsi="Lucida Grande"/>
      <w:sz w:val="24"/>
      <w:szCs w:val="24"/>
      <w:lang w:val="en-GB"/>
    </w:rPr>
  </w:style>
  <w:style w:type="character" w:customStyle="1" w:styleId="SubtleEmphasis1">
    <w:name w:val="Subtle Emphasis1"/>
    <w:uiPriority w:val="19"/>
    <w:qFormat/>
    <w:rsid w:val="00BC450B"/>
    <w:rPr>
      <w:i/>
      <w:iCs/>
      <w:color w:val="808080"/>
    </w:rPr>
  </w:style>
  <w:style w:type="character" w:customStyle="1" w:styleId="textexposedshow">
    <w:name w:val="text_exposed_show"/>
    <w:basedOn w:val="DefaultParagraphFont"/>
    <w:rsid w:val="00A1380E"/>
  </w:style>
  <w:style w:type="paragraph" w:styleId="BodyTextIndent">
    <w:name w:val="Body Text Indent"/>
    <w:basedOn w:val="Normal"/>
    <w:link w:val="BodyTextIndentChar"/>
    <w:rsid w:val="008A6B9A"/>
    <w:pPr>
      <w:spacing w:after="120"/>
      <w:ind w:left="360"/>
    </w:pPr>
  </w:style>
  <w:style w:type="character" w:customStyle="1" w:styleId="BodyTextIndentChar">
    <w:name w:val="Body Text Indent Char"/>
    <w:link w:val="BodyTextIndent"/>
    <w:rsid w:val="008A6B9A"/>
    <w:rPr>
      <w:sz w:val="24"/>
      <w:szCs w:val="24"/>
      <w:lang w:val="en-GB" w:eastAsia="en-US"/>
    </w:rPr>
  </w:style>
  <w:style w:type="paragraph" w:customStyle="1" w:styleId="ColorfulList-Accent11">
    <w:name w:val="Colorful List - Accent 11"/>
    <w:basedOn w:val="Normal"/>
    <w:uiPriority w:val="34"/>
    <w:qFormat/>
    <w:rsid w:val="004F71E7"/>
    <w:pPr>
      <w:ind w:left="720"/>
    </w:pPr>
    <w:rPr>
      <w:rFonts w:ascii="Times New Roman" w:hAnsi="Times New Roman"/>
      <w:lang w:eastAsia="en-GB"/>
    </w:rPr>
  </w:style>
  <w:style w:type="paragraph" w:styleId="ColorfulList-Accent1">
    <w:name w:val="Colorful List Accent 1"/>
    <w:basedOn w:val="Normal"/>
    <w:uiPriority w:val="34"/>
    <w:qFormat/>
    <w:rsid w:val="00EC0B1F"/>
    <w:pPr>
      <w:ind w:left="720"/>
    </w:pPr>
    <w:rPr>
      <w:rFonts w:ascii="Times New Roman" w:hAnsi="Times New Roman"/>
      <w:lang w:eastAsia="en-GB"/>
    </w:rPr>
  </w:style>
  <w:style w:type="table" w:styleId="MediumGrid3-Accent3">
    <w:name w:val="Medium Grid 3 Accent 3"/>
    <w:basedOn w:val="TableNormal"/>
    <w:uiPriority w:val="60"/>
    <w:rsid w:val="00E66000"/>
    <w:rPr>
      <w:rFonts w:eastAsia="Times New Roman"/>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66000"/>
    <w:rPr>
      <w:rFonts w:eastAsia="Times New Roman"/>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BookTitle">
    <w:name w:val="Book Title"/>
    <w:basedOn w:val="TableNormal"/>
    <w:uiPriority w:val="69"/>
    <w:qFormat/>
    <w:rsid w:val="00E66000"/>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rfulShading-Accent4">
    <w:name w:val="Colorful Shading Accent 4"/>
    <w:basedOn w:val="TableNormal"/>
    <w:uiPriority w:val="62"/>
    <w:rsid w:val="00E66000"/>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Symbol" w:eastAsia="Times New Roman" w:hAnsi="Symbo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mbol" w:eastAsia="Times New Roman" w:hAnsi="Symbo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hps">
    <w:name w:val="hps"/>
    <w:basedOn w:val="DefaultParagraphFont"/>
    <w:rsid w:val="00F5734C"/>
  </w:style>
  <w:style w:type="paragraph" w:customStyle="1" w:styleId="Normal0">
    <w:name w:val="Normal_0"/>
    <w:qFormat/>
    <w:rsid w:val="00F5734C"/>
    <w:pPr>
      <w:spacing w:after="200" w:line="276" w:lineRule="auto"/>
    </w:pPr>
    <w:rPr>
      <w:rFonts w:ascii="Times New Roman" w:hAnsi="Times New Roman"/>
      <w:sz w:val="22"/>
      <w:szCs w:val="22"/>
      <w:lang w:val="en-GB"/>
    </w:rPr>
  </w:style>
</w:styles>
</file>

<file path=word/webSettings.xml><?xml version="1.0" encoding="utf-8"?>
<w:webSettings xmlns:r="http://schemas.openxmlformats.org/officeDocument/2006/relationships" xmlns:w="http://schemas.openxmlformats.org/wordprocessingml/2006/main">
  <w:divs>
    <w:div w:id="141697475">
      <w:bodyDiv w:val="1"/>
      <w:marLeft w:val="0"/>
      <w:marRight w:val="0"/>
      <w:marTop w:val="0"/>
      <w:marBottom w:val="0"/>
      <w:divBdr>
        <w:top w:val="none" w:sz="0" w:space="0" w:color="auto"/>
        <w:left w:val="none" w:sz="0" w:space="0" w:color="auto"/>
        <w:bottom w:val="none" w:sz="0" w:space="0" w:color="auto"/>
        <w:right w:val="none" w:sz="0" w:space="0" w:color="auto"/>
      </w:divBdr>
    </w:div>
    <w:div w:id="210532264">
      <w:bodyDiv w:val="1"/>
      <w:marLeft w:val="0"/>
      <w:marRight w:val="0"/>
      <w:marTop w:val="0"/>
      <w:marBottom w:val="0"/>
      <w:divBdr>
        <w:top w:val="none" w:sz="0" w:space="0" w:color="auto"/>
        <w:left w:val="none" w:sz="0" w:space="0" w:color="auto"/>
        <w:bottom w:val="none" w:sz="0" w:space="0" w:color="auto"/>
        <w:right w:val="none" w:sz="0" w:space="0" w:color="auto"/>
      </w:divBdr>
    </w:div>
    <w:div w:id="303825101">
      <w:bodyDiv w:val="1"/>
      <w:marLeft w:val="0"/>
      <w:marRight w:val="0"/>
      <w:marTop w:val="0"/>
      <w:marBottom w:val="0"/>
      <w:divBdr>
        <w:top w:val="none" w:sz="0" w:space="0" w:color="auto"/>
        <w:left w:val="none" w:sz="0" w:space="0" w:color="auto"/>
        <w:bottom w:val="none" w:sz="0" w:space="0" w:color="auto"/>
        <w:right w:val="none" w:sz="0" w:space="0" w:color="auto"/>
      </w:divBdr>
    </w:div>
    <w:div w:id="430976235">
      <w:bodyDiv w:val="1"/>
      <w:marLeft w:val="0"/>
      <w:marRight w:val="0"/>
      <w:marTop w:val="0"/>
      <w:marBottom w:val="0"/>
      <w:divBdr>
        <w:top w:val="none" w:sz="0" w:space="0" w:color="auto"/>
        <w:left w:val="none" w:sz="0" w:space="0" w:color="auto"/>
        <w:bottom w:val="none" w:sz="0" w:space="0" w:color="auto"/>
        <w:right w:val="none" w:sz="0" w:space="0" w:color="auto"/>
      </w:divBdr>
    </w:div>
    <w:div w:id="578171559">
      <w:bodyDiv w:val="1"/>
      <w:marLeft w:val="0"/>
      <w:marRight w:val="0"/>
      <w:marTop w:val="0"/>
      <w:marBottom w:val="0"/>
      <w:divBdr>
        <w:top w:val="none" w:sz="0" w:space="0" w:color="auto"/>
        <w:left w:val="none" w:sz="0" w:space="0" w:color="auto"/>
        <w:bottom w:val="none" w:sz="0" w:space="0" w:color="auto"/>
        <w:right w:val="none" w:sz="0" w:space="0" w:color="auto"/>
      </w:divBdr>
    </w:div>
    <w:div w:id="704840134">
      <w:bodyDiv w:val="1"/>
      <w:marLeft w:val="0"/>
      <w:marRight w:val="0"/>
      <w:marTop w:val="0"/>
      <w:marBottom w:val="0"/>
      <w:divBdr>
        <w:top w:val="none" w:sz="0" w:space="0" w:color="auto"/>
        <w:left w:val="none" w:sz="0" w:space="0" w:color="auto"/>
        <w:bottom w:val="none" w:sz="0" w:space="0" w:color="auto"/>
        <w:right w:val="none" w:sz="0" w:space="0" w:color="auto"/>
      </w:divBdr>
    </w:div>
    <w:div w:id="788932427">
      <w:bodyDiv w:val="1"/>
      <w:marLeft w:val="0"/>
      <w:marRight w:val="0"/>
      <w:marTop w:val="0"/>
      <w:marBottom w:val="0"/>
      <w:divBdr>
        <w:top w:val="none" w:sz="0" w:space="0" w:color="auto"/>
        <w:left w:val="none" w:sz="0" w:space="0" w:color="auto"/>
        <w:bottom w:val="none" w:sz="0" w:space="0" w:color="auto"/>
        <w:right w:val="none" w:sz="0" w:space="0" w:color="auto"/>
      </w:divBdr>
    </w:div>
    <w:div w:id="848639469">
      <w:bodyDiv w:val="1"/>
      <w:marLeft w:val="0"/>
      <w:marRight w:val="0"/>
      <w:marTop w:val="0"/>
      <w:marBottom w:val="0"/>
      <w:divBdr>
        <w:top w:val="none" w:sz="0" w:space="0" w:color="auto"/>
        <w:left w:val="none" w:sz="0" w:space="0" w:color="auto"/>
        <w:bottom w:val="none" w:sz="0" w:space="0" w:color="auto"/>
        <w:right w:val="none" w:sz="0" w:space="0" w:color="auto"/>
      </w:divBdr>
    </w:div>
    <w:div w:id="996228719">
      <w:bodyDiv w:val="1"/>
      <w:marLeft w:val="0"/>
      <w:marRight w:val="0"/>
      <w:marTop w:val="0"/>
      <w:marBottom w:val="0"/>
      <w:divBdr>
        <w:top w:val="none" w:sz="0" w:space="0" w:color="auto"/>
        <w:left w:val="none" w:sz="0" w:space="0" w:color="auto"/>
        <w:bottom w:val="none" w:sz="0" w:space="0" w:color="auto"/>
        <w:right w:val="none" w:sz="0" w:space="0" w:color="auto"/>
      </w:divBdr>
    </w:div>
    <w:div w:id="1000353169">
      <w:bodyDiv w:val="1"/>
      <w:marLeft w:val="0"/>
      <w:marRight w:val="0"/>
      <w:marTop w:val="0"/>
      <w:marBottom w:val="0"/>
      <w:divBdr>
        <w:top w:val="none" w:sz="0" w:space="0" w:color="auto"/>
        <w:left w:val="none" w:sz="0" w:space="0" w:color="auto"/>
        <w:bottom w:val="none" w:sz="0" w:space="0" w:color="auto"/>
        <w:right w:val="none" w:sz="0" w:space="0" w:color="auto"/>
      </w:divBdr>
    </w:div>
    <w:div w:id="1025447414">
      <w:bodyDiv w:val="1"/>
      <w:marLeft w:val="0"/>
      <w:marRight w:val="0"/>
      <w:marTop w:val="0"/>
      <w:marBottom w:val="0"/>
      <w:divBdr>
        <w:top w:val="none" w:sz="0" w:space="0" w:color="auto"/>
        <w:left w:val="none" w:sz="0" w:space="0" w:color="auto"/>
        <w:bottom w:val="none" w:sz="0" w:space="0" w:color="auto"/>
        <w:right w:val="none" w:sz="0" w:space="0" w:color="auto"/>
      </w:divBdr>
    </w:div>
    <w:div w:id="1115095838">
      <w:bodyDiv w:val="1"/>
      <w:marLeft w:val="0"/>
      <w:marRight w:val="0"/>
      <w:marTop w:val="0"/>
      <w:marBottom w:val="0"/>
      <w:divBdr>
        <w:top w:val="none" w:sz="0" w:space="0" w:color="auto"/>
        <w:left w:val="none" w:sz="0" w:space="0" w:color="auto"/>
        <w:bottom w:val="none" w:sz="0" w:space="0" w:color="auto"/>
        <w:right w:val="none" w:sz="0" w:space="0" w:color="auto"/>
      </w:divBdr>
    </w:div>
    <w:div w:id="1186989113">
      <w:bodyDiv w:val="1"/>
      <w:marLeft w:val="0"/>
      <w:marRight w:val="0"/>
      <w:marTop w:val="0"/>
      <w:marBottom w:val="0"/>
      <w:divBdr>
        <w:top w:val="none" w:sz="0" w:space="0" w:color="auto"/>
        <w:left w:val="none" w:sz="0" w:space="0" w:color="auto"/>
        <w:bottom w:val="none" w:sz="0" w:space="0" w:color="auto"/>
        <w:right w:val="none" w:sz="0" w:space="0" w:color="auto"/>
      </w:divBdr>
    </w:div>
    <w:div w:id="1248539851">
      <w:bodyDiv w:val="1"/>
      <w:marLeft w:val="0"/>
      <w:marRight w:val="0"/>
      <w:marTop w:val="0"/>
      <w:marBottom w:val="0"/>
      <w:divBdr>
        <w:top w:val="none" w:sz="0" w:space="0" w:color="auto"/>
        <w:left w:val="none" w:sz="0" w:space="0" w:color="auto"/>
        <w:bottom w:val="none" w:sz="0" w:space="0" w:color="auto"/>
        <w:right w:val="none" w:sz="0" w:space="0" w:color="auto"/>
      </w:divBdr>
    </w:div>
    <w:div w:id="1309481207">
      <w:bodyDiv w:val="1"/>
      <w:marLeft w:val="0"/>
      <w:marRight w:val="0"/>
      <w:marTop w:val="0"/>
      <w:marBottom w:val="0"/>
      <w:divBdr>
        <w:top w:val="none" w:sz="0" w:space="0" w:color="auto"/>
        <w:left w:val="none" w:sz="0" w:space="0" w:color="auto"/>
        <w:bottom w:val="none" w:sz="0" w:space="0" w:color="auto"/>
        <w:right w:val="none" w:sz="0" w:space="0" w:color="auto"/>
      </w:divBdr>
    </w:div>
    <w:div w:id="1441687013">
      <w:bodyDiv w:val="1"/>
      <w:marLeft w:val="0"/>
      <w:marRight w:val="0"/>
      <w:marTop w:val="0"/>
      <w:marBottom w:val="0"/>
      <w:divBdr>
        <w:top w:val="none" w:sz="0" w:space="0" w:color="auto"/>
        <w:left w:val="none" w:sz="0" w:space="0" w:color="auto"/>
        <w:bottom w:val="none" w:sz="0" w:space="0" w:color="auto"/>
        <w:right w:val="none" w:sz="0" w:space="0" w:color="auto"/>
      </w:divBdr>
    </w:div>
    <w:div w:id="1643465688">
      <w:bodyDiv w:val="1"/>
      <w:marLeft w:val="0"/>
      <w:marRight w:val="0"/>
      <w:marTop w:val="0"/>
      <w:marBottom w:val="0"/>
      <w:divBdr>
        <w:top w:val="none" w:sz="0" w:space="0" w:color="auto"/>
        <w:left w:val="none" w:sz="0" w:space="0" w:color="auto"/>
        <w:bottom w:val="none" w:sz="0" w:space="0" w:color="auto"/>
        <w:right w:val="none" w:sz="0" w:space="0" w:color="auto"/>
      </w:divBdr>
    </w:div>
    <w:div w:id="20263197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binet@mpr.gov.me" TargetMode="External"/><Relationship Id="rId4" Type="http://schemas.openxmlformats.org/officeDocument/2006/relationships/settings" Target="settings.xml"/><Relationship Id="rId9" Type="http://schemas.openxmlformats.org/officeDocument/2006/relationships/hyperlink" Target="http://www.minpolj.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40D4A-BCFD-4131-AB0F-7AFECE37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MIPA</Company>
  <LinksUpToDate>false</LinksUpToDate>
  <CharactersWithSpaces>17201</CharactersWithSpaces>
  <SharedDoc>false</SharedDoc>
  <HLinks>
    <vt:vector size="12" baseType="variant">
      <vt:variant>
        <vt:i4>1179768</vt:i4>
      </vt:variant>
      <vt:variant>
        <vt:i4>3</vt:i4>
      </vt:variant>
      <vt:variant>
        <vt:i4>0</vt:i4>
      </vt:variant>
      <vt:variant>
        <vt:i4>5</vt:i4>
      </vt:variant>
      <vt:variant>
        <vt:lpwstr>mailto:kabinet@mpr.gov.me</vt:lpwstr>
      </vt:variant>
      <vt:variant>
        <vt:lpwstr/>
      </vt:variant>
      <vt:variant>
        <vt:i4>8257583</vt:i4>
      </vt:variant>
      <vt:variant>
        <vt:i4>0</vt:i4>
      </vt:variant>
      <vt:variant>
        <vt:i4>0</vt:i4>
      </vt:variant>
      <vt:variant>
        <vt:i4>5</vt:i4>
      </vt:variant>
      <vt:variant>
        <vt:lpwstr>http://www.minpolj.gov.me/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Ivanovic</dc:creator>
  <cp:lastModifiedBy>irena.kovacevic</cp:lastModifiedBy>
  <cp:revision>2</cp:revision>
  <cp:lastPrinted>2014-08-07T08:35:00Z</cp:lastPrinted>
  <dcterms:created xsi:type="dcterms:W3CDTF">2014-09-27T10:43:00Z</dcterms:created>
  <dcterms:modified xsi:type="dcterms:W3CDTF">2014-09-27T10:43:00Z</dcterms:modified>
</cp:coreProperties>
</file>