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C5B5" w14:textId="77777777" w:rsidR="003C394B" w:rsidRPr="00EB3E44" w:rsidRDefault="003C394B" w:rsidP="003C394B">
      <w:pPr>
        <w:jc w:val="center"/>
        <w:rPr>
          <w:b/>
          <w:bCs/>
          <w:sz w:val="28"/>
          <w:szCs w:val="28"/>
        </w:rPr>
      </w:pPr>
      <w:r w:rsidRPr="00EB3E44">
        <w:rPr>
          <w:b/>
          <w:bCs/>
          <w:sz w:val="28"/>
          <w:szCs w:val="28"/>
        </w:rPr>
        <w:t>C L A R I F I C A T I O N S</w:t>
      </w:r>
      <w:r w:rsidRPr="00EB3E44">
        <w:rPr>
          <w:b/>
          <w:bCs/>
          <w:sz w:val="28"/>
          <w:szCs w:val="28"/>
        </w:rPr>
        <w:tab/>
        <w:t>No. 1</w:t>
      </w:r>
    </w:p>
    <w:p w14:paraId="2A2C8B4D" w14:textId="77777777" w:rsidR="003C394B" w:rsidRPr="00EB3E44" w:rsidRDefault="003C394B" w:rsidP="003C394B">
      <w:pPr>
        <w:jc w:val="center"/>
        <w:rPr>
          <w:b/>
          <w:bCs/>
          <w:sz w:val="28"/>
          <w:szCs w:val="28"/>
        </w:rPr>
      </w:pPr>
      <w:r w:rsidRPr="00EB3E44">
        <w:rPr>
          <w:b/>
          <w:bCs/>
          <w:sz w:val="28"/>
          <w:szCs w:val="28"/>
        </w:rPr>
        <w:t>Procurement related to:</w:t>
      </w:r>
    </w:p>
    <w:p w14:paraId="09E8CDFC" w14:textId="77777777" w:rsidR="003C394B" w:rsidRDefault="003C394B" w:rsidP="003C394B">
      <w:pPr>
        <w:jc w:val="center"/>
        <w:rPr>
          <w:b/>
          <w:sz w:val="28"/>
          <w:szCs w:val="28"/>
        </w:rPr>
      </w:pPr>
      <w:bookmarkStart w:id="0" w:name="_Hlk135136191"/>
      <w:r w:rsidRPr="00EB3E44">
        <w:rPr>
          <w:b/>
          <w:sz w:val="28"/>
          <w:szCs w:val="28"/>
        </w:rPr>
        <w:t xml:space="preserve">Vocational Equipment for Secondary Schools in Montenegro </w:t>
      </w:r>
    </w:p>
    <w:p w14:paraId="4332FB30" w14:textId="1F9C9F9F" w:rsidR="003C394B" w:rsidRDefault="003C394B" w:rsidP="003C394B">
      <w:pPr>
        <w:jc w:val="center"/>
        <w:rPr>
          <w:b/>
          <w:sz w:val="28"/>
          <w:szCs w:val="28"/>
        </w:rPr>
      </w:pPr>
      <w:r w:rsidRPr="00EB3E44">
        <w:rPr>
          <w:b/>
          <w:sz w:val="28"/>
          <w:szCs w:val="28"/>
        </w:rPr>
        <w:t>ICB No:</w:t>
      </w:r>
      <w:r w:rsidRPr="00EB3E44">
        <w:rPr>
          <w:sz w:val="28"/>
          <w:szCs w:val="28"/>
        </w:rPr>
        <w:t xml:space="preserve"> </w:t>
      </w:r>
      <w:bookmarkEnd w:id="0"/>
      <w:r w:rsidRPr="00EB3E44">
        <w:rPr>
          <w:b/>
          <w:sz w:val="28"/>
          <w:szCs w:val="28"/>
        </w:rPr>
        <w:t>24-011/25-12009/1</w:t>
      </w:r>
      <w:r>
        <w:rPr>
          <w:b/>
          <w:sz w:val="28"/>
          <w:szCs w:val="28"/>
        </w:rPr>
        <w:t xml:space="preserve">, </w:t>
      </w:r>
    </w:p>
    <w:p w14:paraId="15DB3496" w14:textId="435ECCA7" w:rsidR="003C394B" w:rsidRPr="00EB3E44" w:rsidRDefault="00D86958" w:rsidP="003C394B">
      <w:pPr>
        <w:jc w:val="center"/>
        <w:rPr>
          <w:b/>
          <w:sz w:val="28"/>
          <w:szCs w:val="28"/>
        </w:rPr>
      </w:pPr>
      <w:r>
        <w:rPr>
          <w:bCs/>
          <w:sz w:val="28"/>
          <w:szCs w:val="28"/>
        </w:rPr>
        <w:t>issu</w:t>
      </w:r>
      <w:r w:rsidR="003C394B" w:rsidRPr="00EB3E44">
        <w:rPr>
          <w:bCs/>
          <w:sz w:val="28"/>
          <w:szCs w:val="28"/>
        </w:rPr>
        <w:t xml:space="preserve">ed </w:t>
      </w:r>
      <w:r w:rsidR="003C394B" w:rsidRPr="00EB3E44">
        <w:rPr>
          <w:sz w:val="28"/>
          <w:szCs w:val="28"/>
        </w:rPr>
        <w:t xml:space="preserve">on </w:t>
      </w:r>
      <w:r>
        <w:rPr>
          <w:sz w:val="28"/>
          <w:szCs w:val="28"/>
        </w:rPr>
        <w:t>3</w:t>
      </w:r>
      <w:r w:rsidR="003C394B" w:rsidRPr="00EB3E44">
        <w:rPr>
          <w:sz w:val="28"/>
          <w:szCs w:val="28"/>
        </w:rPr>
        <w:t xml:space="preserve"> </w:t>
      </w:r>
      <w:r>
        <w:rPr>
          <w:sz w:val="28"/>
          <w:szCs w:val="28"/>
        </w:rPr>
        <w:t>April</w:t>
      </w:r>
      <w:r w:rsidR="003C394B" w:rsidRPr="00EB3E44">
        <w:rPr>
          <w:sz w:val="28"/>
          <w:szCs w:val="28"/>
        </w:rPr>
        <w:t xml:space="preserve"> 2026</w:t>
      </w:r>
    </w:p>
    <w:tbl>
      <w:tblPr>
        <w:tblStyle w:val="TableGrid"/>
        <w:tblW w:w="0" w:type="auto"/>
        <w:tblLook w:val="04A0" w:firstRow="1" w:lastRow="0" w:firstColumn="1" w:lastColumn="0" w:noHBand="0" w:noVBand="1"/>
      </w:tblPr>
      <w:tblGrid>
        <w:gridCol w:w="534"/>
        <w:gridCol w:w="4154"/>
        <w:gridCol w:w="4662"/>
      </w:tblGrid>
      <w:tr w:rsidR="00181304" w:rsidRPr="00AD3E09" w14:paraId="18D9F648" w14:textId="77777777" w:rsidTr="009E49DF">
        <w:tc>
          <w:tcPr>
            <w:tcW w:w="534" w:type="dxa"/>
          </w:tcPr>
          <w:p w14:paraId="5BF0157F" w14:textId="2C175974" w:rsidR="00181304" w:rsidRPr="00AD3E09" w:rsidRDefault="00181304" w:rsidP="00134226">
            <w:pPr>
              <w:jc w:val="center"/>
              <w:rPr>
                <w:lang w:val="en-GB"/>
              </w:rPr>
            </w:pPr>
            <w:r w:rsidRPr="00AD3E09">
              <w:rPr>
                <w:lang w:val="en-GB"/>
              </w:rPr>
              <w:t>No.</w:t>
            </w:r>
          </w:p>
        </w:tc>
        <w:tc>
          <w:tcPr>
            <w:tcW w:w="4154" w:type="dxa"/>
          </w:tcPr>
          <w:p w14:paraId="2475914A" w14:textId="14BB8183" w:rsidR="00181304" w:rsidRPr="00AD3E09" w:rsidRDefault="00181304" w:rsidP="007738B4">
            <w:pPr>
              <w:jc w:val="both"/>
              <w:rPr>
                <w:lang w:val="en-GB"/>
              </w:rPr>
            </w:pPr>
            <w:r w:rsidRPr="00AD3E09">
              <w:rPr>
                <w:lang w:val="en-GB"/>
              </w:rPr>
              <w:t>Question</w:t>
            </w:r>
          </w:p>
        </w:tc>
        <w:tc>
          <w:tcPr>
            <w:tcW w:w="4662" w:type="dxa"/>
          </w:tcPr>
          <w:p w14:paraId="4D5389CA" w14:textId="6CA63A82" w:rsidR="00181304" w:rsidRPr="00AD3E09" w:rsidRDefault="00181304">
            <w:pPr>
              <w:rPr>
                <w:lang w:val="en-GB"/>
              </w:rPr>
            </w:pPr>
            <w:r w:rsidRPr="00AD3E09">
              <w:rPr>
                <w:lang w:val="en-GB"/>
              </w:rPr>
              <w:t>Answer</w:t>
            </w:r>
          </w:p>
        </w:tc>
      </w:tr>
      <w:tr w:rsidR="00181304" w:rsidRPr="007D39C3" w14:paraId="4E1B0FE7" w14:textId="77777777" w:rsidTr="009E49DF">
        <w:tc>
          <w:tcPr>
            <w:tcW w:w="534" w:type="dxa"/>
          </w:tcPr>
          <w:p w14:paraId="7CC9F135" w14:textId="33E73F37" w:rsidR="00181304" w:rsidRPr="007D39C3" w:rsidRDefault="00134226" w:rsidP="00134226">
            <w:pPr>
              <w:jc w:val="center"/>
              <w:rPr>
                <w:lang w:val="en-GB"/>
              </w:rPr>
            </w:pPr>
            <w:r w:rsidRPr="007D39C3">
              <w:rPr>
                <w:lang w:val="en-GB"/>
              </w:rPr>
              <w:t>1</w:t>
            </w:r>
          </w:p>
        </w:tc>
        <w:tc>
          <w:tcPr>
            <w:tcW w:w="4154" w:type="dxa"/>
          </w:tcPr>
          <w:p w14:paraId="1BEE6CC1" w14:textId="77777777" w:rsidR="00FC6337" w:rsidRPr="007D39C3" w:rsidRDefault="00FC6337" w:rsidP="007738B4">
            <w:pPr>
              <w:jc w:val="both"/>
              <w:rPr>
                <w:b/>
                <w:bCs/>
                <w:lang w:val="en-GB"/>
              </w:rPr>
            </w:pPr>
            <w:r w:rsidRPr="007D39C3">
              <w:rPr>
                <w:b/>
                <w:bCs/>
                <w:lang w:val="en-GB"/>
              </w:rPr>
              <w:t>General Requirements</w:t>
            </w:r>
          </w:p>
          <w:p w14:paraId="70F6D953" w14:textId="24CEDD8A" w:rsidR="00FC6337" w:rsidRPr="007D39C3" w:rsidRDefault="00FC6337" w:rsidP="007738B4">
            <w:pPr>
              <w:jc w:val="both"/>
              <w:rPr>
                <w:b/>
                <w:bCs/>
                <w:lang w:val="en-GB"/>
              </w:rPr>
            </w:pPr>
            <w:r w:rsidRPr="007D39C3">
              <w:rPr>
                <w:b/>
                <w:bCs/>
                <w:lang w:val="en-GB"/>
              </w:rPr>
              <w:t>Technical requirements</w:t>
            </w:r>
          </w:p>
          <w:p w14:paraId="4D6741F1" w14:textId="33B2E48E" w:rsidR="00181304" w:rsidRPr="007D39C3" w:rsidRDefault="00181304" w:rsidP="007738B4">
            <w:pPr>
              <w:jc w:val="both"/>
              <w:rPr>
                <w:b/>
                <w:bCs/>
                <w:lang w:val="en-GB"/>
              </w:rPr>
            </w:pPr>
            <w:r w:rsidRPr="007D39C3">
              <w:rPr>
                <w:b/>
                <w:bCs/>
                <w:lang w:val="en-GB"/>
              </w:rPr>
              <w:t>*All panels, keyboards and labels will be in English and in Montenegrin</w:t>
            </w:r>
          </w:p>
          <w:p w14:paraId="0D59888E" w14:textId="77777777" w:rsidR="00181304" w:rsidRPr="007D39C3" w:rsidRDefault="00181304" w:rsidP="007738B4">
            <w:pPr>
              <w:jc w:val="both"/>
              <w:rPr>
                <w:lang w:val="en-GB"/>
              </w:rPr>
            </w:pPr>
            <w:r w:rsidRPr="007D39C3">
              <w:rPr>
                <w:lang w:val="en-GB"/>
              </w:rPr>
              <w:t>A laptop or PC for example will have either a QWERTY or QWERTZ keyboard.</w:t>
            </w:r>
          </w:p>
          <w:p w14:paraId="6A378246" w14:textId="3ED8666F" w:rsidR="00181304" w:rsidRPr="007D39C3" w:rsidRDefault="00181304" w:rsidP="007738B4">
            <w:pPr>
              <w:jc w:val="both"/>
              <w:rPr>
                <w:lang w:val="en-GB"/>
              </w:rPr>
            </w:pPr>
            <w:r w:rsidRPr="007D39C3">
              <w:rPr>
                <w:lang w:val="en-GB"/>
              </w:rPr>
              <w:t>Labels on devices will be in English. Please advise what you expect to be in Montenegrin.</w:t>
            </w:r>
          </w:p>
        </w:tc>
        <w:tc>
          <w:tcPr>
            <w:tcW w:w="4662" w:type="dxa"/>
          </w:tcPr>
          <w:p w14:paraId="6501C5DD" w14:textId="618084BE" w:rsidR="00D21D51" w:rsidRPr="007D39C3" w:rsidRDefault="00D21D51" w:rsidP="00D21D51">
            <w:r w:rsidRPr="007D39C3">
              <w:t xml:space="preserve">This issue is subject of </w:t>
            </w:r>
            <w:r w:rsidR="00781BD1" w:rsidRPr="007D39C3">
              <w:rPr>
                <w:bCs/>
                <w:lang w:val="en-GB"/>
              </w:rPr>
              <w:t>Addendum</w:t>
            </w:r>
            <w:r w:rsidRPr="007D39C3">
              <w:t xml:space="preserve"> No.1.</w:t>
            </w:r>
          </w:p>
          <w:p w14:paraId="0D4BC2CC" w14:textId="77777777" w:rsidR="00D21D51" w:rsidRPr="007D39C3" w:rsidRDefault="00D21D51">
            <w:pPr>
              <w:rPr>
                <w:lang w:val="en-GB"/>
              </w:rPr>
            </w:pPr>
          </w:p>
          <w:p w14:paraId="6E8DB9BA" w14:textId="5F01E7CD" w:rsidR="00FC6337" w:rsidRPr="007D39C3" w:rsidRDefault="00FC6337">
            <w:pPr>
              <w:rPr>
                <w:lang w:val="en-GB"/>
              </w:rPr>
            </w:pPr>
          </w:p>
        </w:tc>
      </w:tr>
      <w:tr w:rsidR="00181304" w:rsidRPr="007D39C3" w14:paraId="2D539F83" w14:textId="77777777" w:rsidTr="009E49DF">
        <w:tc>
          <w:tcPr>
            <w:tcW w:w="534" w:type="dxa"/>
          </w:tcPr>
          <w:p w14:paraId="7F3DEA27" w14:textId="4970DED5" w:rsidR="00181304" w:rsidRPr="007D39C3" w:rsidRDefault="00134226" w:rsidP="00134226">
            <w:pPr>
              <w:jc w:val="center"/>
              <w:rPr>
                <w:lang w:val="en-GB"/>
              </w:rPr>
            </w:pPr>
            <w:r w:rsidRPr="007D39C3">
              <w:rPr>
                <w:lang w:val="en-GB"/>
              </w:rPr>
              <w:t>2</w:t>
            </w:r>
          </w:p>
        </w:tc>
        <w:tc>
          <w:tcPr>
            <w:tcW w:w="4154" w:type="dxa"/>
          </w:tcPr>
          <w:p w14:paraId="6C70FAB6" w14:textId="77777777" w:rsidR="00181304" w:rsidRPr="007D39C3" w:rsidRDefault="00181304" w:rsidP="007738B4">
            <w:pPr>
              <w:jc w:val="both"/>
              <w:rPr>
                <w:b/>
                <w:bCs/>
                <w:lang w:val="en-GB"/>
              </w:rPr>
            </w:pPr>
            <w:r w:rsidRPr="007D39C3">
              <w:rPr>
                <w:b/>
                <w:bCs/>
                <w:lang w:val="en-GB"/>
              </w:rPr>
              <w:t>*Manufacturer’s Authorization document</w:t>
            </w:r>
          </w:p>
          <w:p w14:paraId="037F34E8" w14:textId="6A3D8F31" w:rsidR="00181304" w:rsidRPr="007D39C3" w:rsidRDefault="00181304" w:rsidP="007738B4">
            <w:pPr>
              <w:jc w:val="both"/>
              <w:rPr>
                <w:lang w:val="en-GB"/>
              </w:rPr>
            </w:pPr>
            <w:r w:rsidRPr="007D39C3">
              <w:rPr>
                <w:lang w:val="en-GB"/>
              </w:rPr>
              <w:t>Some manufacturers refer us to their dealer as they do not quote directly. How should we cope with</w:t>
            </w:r>
            <w:r w:rsidR="007738B4" w:rsidRPr="007D39C3">
              <w:rPr>
                <w:lang w:val="en-GB"/>
              </w:rPr>
              <w:t xml:space="preserve"> </w:t>
            </w:r>
            <w:r w:rsidRPr="007D39C3">
              <w:rPr>
                <w:lang w:val="en-GB"/>
              </w:rPr>
              <w:t>this in terms of getting the MAF; as we cannot get this from the Manufacturer himself.</w:t>
            </w:r>
          </w:p>
          <w:p w14:paraId="054CE730" w14:textId="03274586" w:rsidR="00181304" w:rsidRPr="007D39C3" w:rsidRDefault="00181304" w:rsidP="007738B4">
            <w:pPr>
              <w:jc w:val="both"/>
              <w:rPr>
                <w:lang w:val="en-GB"/>
              </w:rPr>
            </w:pPr>
            <w:r w:rsidRPr="007D39C3">
              <w:rPr>
                <w:lang w:val="en-GB"/>
              </w:rPr>
              <w:t>We assume to include the documents as mentioned with each item in the Technical Specifications</w:t>
            </w:r>
            <w:r w:rsidR="007738B4" w:rsidRPr="007D39C3">
              <w:rPr>
                <w:lang w:val="en-GB"/>
              </w:rPr>
              <w:t xml:space="preserve"> </w:t>
            </w:r>
            <w:r w:rsidRPr="007D39C3">
              <w:rPr>
                <w:lang w:val="en-GB"/>
              </w:rPr>
              <w:t>only!</w:t>
            </w:r>
          </w:p>
        </w:tc>
        <w:tc>
          <w:tcPr>
            <w:tcW w:w="4662" w:type="dxa"/>
          </w:tcPr>
          <w:p w14:paraId="77724191" w14:textId="2757512B" w:rsidR="00181304" w:rsidRPr="007D39C3" w:rsidRDefault="00912F39" w:rsidP="00D21D51">
            <w:pPr>
              <w:jc w:val="both"/>
              <w:rPr>
                <w:lang w:val="en-GB"/>
              </w:rPr>
            </w:pPr>
            <w:r w:rsidRPr="007D39C3">
              <w:rPr>
                <w:b/>
                <w:bCs/>
                <w:lang w:val="en-GB"/>
              </w:rPr>
              <w:t>Manufacturer’s Authorization document</w:t>
            </w:r>
            <w:r w:rsidR="00DB47DF" w:rsidRPr="007D39C3">
              <w:rPr>
                <w:lang w:val="en-GB"/>
              </w:rPr>
              <w:t xml:space="preserve"> </w:t>
            </w:r>
            <w:r w:rsidR="00E57E57" w:rsidRPr="007D39C3">
              <w:rPr>
                <w:lang w:val="en-GB"/>
              </w:rPr>
              <w:t xml:space="preserve">should be issued by manufacturer or its formally authorized representative, subject to proof that such authorization exists as requested for each item in the </w:t>
            </w:r>
            <w:proofErr w:type="gramStart"/>
            <w:r w:rsidR="00E57E57" w:rsidRPr="007D39C3">
              <w:rPr>
                <w:lang w:val="en-GB"/>
              </w:rPr>
              <w:t>Technical</w:t>
            </w:r>
            <w:proofErr w:type="gramEnd"/>
            <w:r w:rsidR="00E57E57" w:rsidRPr="007D39C3">
              <w:rPr>
                <w:lang w:val="en-GB"/>
              </w:rPr>
              <w:t xml:space="preserve"> specifications.</w:t>
            </w:r>
          </w:p>
          <w:p w14:paraId="724DCA37" w14:textId="3E523D50" w:rsidR="00F76077" w:rsidRPr="007D39C3" w:rsidRDefault="00F76077" w:rsidP="00912F39">
            <w:pPr>
              <w:pStyle w:val="ListParagraph"/>
              <w:numPr>
                <w:ilvl w:val="0"/>
                <w:numId w:val="7"/>
              </w:numPr>
              <w:spacing w:after="120"/>
              <w:ind w:left="0"/>
              <w:jc w:val="both"/>
              <w:rPr>
                <w:lang w:val="en-GB"/>
              </w:rPr>
            </w:pPr>
          </w:p>
        </w:tc>
      </w:tr>
      <w:tr w:rsidR="00181304" w:rsidRPr="007D39C3" w14:paraId="1763CBE6" w14:textId="77777777" w:rsidTr="009E49DF">
        <w:tc>
          <w:tcPr>
            <w:tcW w:w="534" w:type="dxa"/>
          </w:tcPr>
          <w:p w14:paraId="7C1B1E0E" w14:textId="0A217C45" w:rsidR="00181304" w:rsidRPr="007D39C3" w:rsidRDefault="00134226" w:rsidP="00134226">
            <w:pPr>
              <w:jc w:val="center"/>
              <w:rPr>
                <w:lang w:val="en-GB"/>
              </w:rPr>
            </w:pPr>
            <w:r w:rsidRPr="007D39C3">
              <w:rPr>
                <w:lang w:val="en-GB"/>
              </w:rPr>
              <w:t>3</w:t>
            </w:r>
          </w:p>
        </w:tc>
        <w:tc>
          <w:tcPr>
            <w:tcW w:w="4154" w:type="dxa"/>
          </w:tcPr>
          <w:p w14:paraId="4FD5E147" w14:textId="77777777" w:rsidR="00181304" w:rsidRPr="007D39C3" w:rsidRDefault="00181304" w:rsidP="007738B4">
            <w:pPr>
              <w:jc w:val="both"/>
              <w:rPr>
                <w:b/>
                <w:bCs/>
                <w:lang w:val="en-GB"/>
              </w:rPr>
            </w:pPr>
            <w:r w:rsidRPr="007D39C3">
              <w:rPr>
                <w:b/>
                <w:bCs/>
                <w:lang w:val="en-GB"/>
              </w:rPr>
              <w:t>*All Software should be on English or Montenegrin language.</w:t>
            </w:r>
          </w:p>
          <w:p w14:paraId="375D0B81" w14:textId="5B3053CE" w:rsidR="00181304" w:rsidRPr="007D39C3" w:rsidRDefault="00181304" w:rsidP="007738B4">
            <w:pPr>
              <w:jc w:val="both"/>
              <w:rPr>
                <w:lang w:val="en-GB"/>
              </w:rPr>
            </w:pPr>
            <w:r w:rsidRPr="007D39C3">
              <w:rPr>
                <w:lang w:val="en-GB"/>
              </w:rPr>
              <w:t>English SW is acceptable then?</w:t>
            </w:r>
          </w:p>
        </w:tc>
        <w:tc>
          <w:tcPr>
            <w:tcW w:w="4662" w:type="dxa"/>
          </w:tcPr>
          <w:p w14:paraId="078F16A1" w14:textId="0CB289BB" w:rsidR="00181304" w:rsidRPr="007D39C3" w:rsidRDefault="00FC6337" w:rsidP="00643C98">
            <w:pPr>
              <w:rPr>
                <w:lang w:val="en-GB"/>
              </w:rPr>
            </w:pPr>
            <w:r w:rsidRPr="007D39C3">
              <w:rPr>
                <w:lang w:val="en-GB"/>
              </w:rPr>
              <w:t>Yes</w:t>
            </w:r>
            <w:r w:rsidR="00D94960" w:rsidRPr="007D39C3">
              <w:rPr>
                <w:lang w:val="en-GB"/>
              </w:rPr>
              <w:t xml:space="preserve">, </w:t>
            </w:r>
            <w:r w:rsidR="00F76077" w:rsidRPr="007D39C3">
              <w:rPr>
                <w:lang w:val="en-GB"/>
              </w:rPr>
              <w:t xml:space="preserve">all Software should be on English </w:t>
            </w:r>
            <w:r w:rsidR="00F76077" w:rsidRPr="007D39C3">
              <w:rPr>
                <w:b/>
                <w:lang w:val="en-GB"/>
              </w:rPr>
              <w:t>or</w:t>
            </w:r>
            <w:r w:rsidR="00F76077" w:rsidRPr="007D39C3">
              <w:rPr>
                <w:lang w:val="en-GB"/>
              </w:rPr>
              <w:t xml:space="preserve"> Montenegrin language, </w:t>
            </w:r>
            <w:r w:rsidR="00E57C9A" w:rsidRPr="007D39C3">
              <w:t xml:space="preserve">as required by the Technical </w:t>
            </w:r>
            <w:r w:rsidR="00643C98" w:rsidRPr="007D39C3">
              <w:t>Requirement</w:t>
            </w:r>
            <w:r w:rsidR="00E57C9A" w:rsidRPr="007D39C3">
              <w:t>s.</w:t>
            </w:r>
          </w:p>
        </w:tc>
      </w:tr>
      <w:tr w:rsidR="00181304" w:rsidRPr="007D39C3" w14:paraId="2BC8F58A" w14:textId="77777777" w:rsidTr="009E49DF">
        <w:tc>
          <w:tcPr>
            <w:tcW w:w="534" w:type="dxa"/>
          </w:tcPr>
          <w:p w14:paraId="6A91ECE0" w14:textId="41A907A2" w:rsidR="00181304" w:rsidRPr="007D39C3" w:rsidRDefault="00134226" w:rsidP="00134226">
            <w:pPr>
              <w:jc w:val="center"/>
              <w:rPr>
                <w:lang w:val="en-GB"/>
              </w:rPr>
            </w:pPr>
            <w:r w:rsidRPr="007D39C3">
              <w:rPr>
                <w:lang w:val="en-GB"/>
              </w:rPr>
              <w:t>4</w:t>
            </w:r>
          </w:p>
        </w:tc>
        <w:tc>
          <w:tcPr>
            <w:tcW w:w="4154" w:type="dxa"/>
          </w:tcPr>
          <w:p w14:paraId="6B2AA0C0" w14:textId="77777777" w:rsidR="00181304" w:rsidRPr="007D39C3" w:rsidRDefault="00181304" w:rsidP="007738B4">
            <w:pPr>
              <w:jc w:val="both"/>
              <w:rPr>
                <w:b/>
                <w:bCs/>
                <w:lang w:val="en-GB"/>
              </w:rPr>
            </w:pPr>
            <w:r w:rsidRPr="007D39C3">
              <w:rPr>
                <w:b/>
                <w:bCs/>
                <w:lang w:val="en-GB"/>
              </w:rPr>
              <w:t>*Upon delivery of the goods, technical documentation for equipment (such as instruction manual</w:t>
            </w:r>
          </w:p>
          <w:p w14:paraId="2553E015" w14:textId="0A010F24" w:rsidR="00181304" w:rsidRPr="007D39C3" w:rsidRDefault="00181304" w:rsidP="007738B4">
            <w:pPr>
              <w:jc w:val="both"/>
              <w:rPr>
                <w:b/>
                <w:bCs/>
                <w:lang w:val="en-GB"/>
              </w:rPr>
            </w:pPr>
            <w:r w:rsidRPr="007D39C3">
              <w:rPr>
                <w:b/>
                <w:bCs/>
                <w:lang w:val="en-GB"/>
              </w:rPr>
              <w:t xml:space="preserve">for the use, maintenance, calibration, booklets with experiments, etc.), </w:t>
            </w:r>
            <w:r w:rsidRPr="007D39C3">
              <w:rPr>
                <w:b/>
                <w:bCs/>
                <w:i/>
                <w:iCs/>
                <w:lang w:val="en-GB"/>
              </w:rPr>
              <w:t>in Montenegrin and English</w:t>
            </w:r>
            <w:r w:rsidR="00D94960" w:rsidRPr="007D39C3">
              <w:rPr>
                <w:b/>
                <w:bCs/>
                <w:i/>
                <w:iCs/>
                <w:lang w:val="en-GB"/>
              </w:rPr>
              <w:t xml:space="preserve"> </w:t>
            </w:r>
            <w:r w:rsidRPr="007D39C3">
              <w:rPr>
                <w:b/>
                <w:bCs/>
                <w:lang w:val="en-GB"/>
              </w:rPr>
              <w:t>shall be provided for all delivered items and software.</w:t>
            </w:r>
          </w:p>
          <w:p w14:paraId="7B3941A9" w14:textId="194B2A5A" w:rsidR="00181304" w:rsidRPr="007D39C3" w:rsidRDefault="00181304" w:rsidP="007738B4">
            <w:pPr>
              <w:jc w:val="both"/>
              <w:rPr>
                <w:lang w:val="en-GB"/>
              </w:rPr>
            </w:pPr>
            <w:r w:rsidRPr="007D39C3">
              <w:rPr>
                <w:lang w:val="en-GB"/>
              </w:rPr>
              <w:t>We have contacted about 25 manufacturers so far and not a single one has any user manual or didactic</w:t>
            </w:r>
            <w:r w:rsidR="007738B4" w:rsidRPr="007D39C3">
              <w:rPr>
                <w:lang w:val="en-GB"/>
              </w:rPr>
              <w:t xml:space="preserve"> </w:t>
            </w:r>
            <w:r w:rsidRPr="007D39C3">
              <w:rPr>
                <w:lang w:val="en-GB"/>
              </w:rPr>
              <w:t>material available in Montenegrin language. How should we deal with this? Translating everything is</w:t>
            </w:r>
            <w:r w:rsidR="007738B4" w:rsidRPr="007D39C3">
              <w:rPr>
                <w:lang w:val="en-GB"/>
              </w:rPr>
              <w:t xml:space="preserve"> </w:t>
            </w:r>
            <w:r w:rsidRPr="007D39C3">
              <w:rPr>
                <w:lang w:val="en-GB"/>
              </w:rPr>
              <w:t xml:space="preserve">almost impossible as we do not know how many pages we are talking about here. And there </w:t>
            </w:r>
            <w:r w:rsidRPr="007D39C3">
              <w:rPr>
                <w:lang w:val="en-GB"/>
              </w:rPr>
              <w:lastRenderedPageBreak/>
              <w:t>is no time</w:t>
            </w:r>
            <w:r w:rsidR="007738B4" w:rsidRPr="007D39C3">
              <w:rPr>
                <w:lang w:val="en-GB"/>
              </w:rPr>
              <w:t xml:space="preserve"> </w:t>
            </w:r>
            <w:r w:rsidRPr="007D39C3">
              <w:rPr>
                <w:lang w:val="en-GB"/>
              </w:rPr>
              <w:t>to gather all this information. Can you please advise?</w:t>
            </w:r>
          </w:p>
        </w:tc>
        <w:tc>
          <w:tcPr>
            <w:tcW w:w="4662" w:type="dxa"/>
          </w:tcPr>
          <w:p w14:paraId="193F9F16" w14:textId="77777777" w:rsidR="00781BD1" w:rsidRPr="007D39C3" w:rsidRDefault="00781BD1" w:rsidP="00781BD1">
            <w:r w:rsidRPr="007D39C3">
              <w:lastRenderedPageBreak/>
              <w:t xml:space="preserve">This issue is subject of </w:t>
            </w:r>
            <w:r w:rsidRPr="007D39C3">
              <w:rPr>
                <w:bCs/>
                <w:lang w:val="en-GB"/>
              </w:rPr>
              <w:t>Addendum</w:t>
            </w:r>
            <w:r w:rsidRPr="007D39C3">
              <w:t xml:space="preserve"> No.1.</w:t>
            </w:r>
          </w:p>
          <w:p w14:paraId="5E98ED00" w14:textId="0CAFE64C" w:rsidR="00181304" w:rsidRPr="007D39C3" w:rsidRDefault="00181304">
            <w:pPr>
              <w:rPr>
                <w:lang w:val="en-GB"/>
              </w:rPr>
            </w:pPr>
          </w:p>
        </w:tc>
      </w:tr>
      <w:tr w:rsidR="00181304" w:rsidRPr="007D39C3" w14:paraId="16155A83" w14:textId="77777777" w:rsidTr="009E49DF">
        <w:tc>
          <w:tcPr>
            <w:tcW w:w="534" w:type="dxa"/>
          </w:tcPr>
          <w:p w14:paraId="57806F1F" w14:textId="0C969DE8" w:rsidR="00181304" w:rsidRPr="007D39C3" w:rsidRDefault="00134226" w:rsidP="00134226">
            <w:pPr>
              <w:jc w:val="center"/>
              <w:rPr>
                <w:lang w:val="en-GB"/>
              </w:rPr>
            </w:pPr>
            <w:r w:rsidRPr="007D39C3">
              <w:rPr>
                <w:lang w:val="en-GB"/>
              </w:rPr>
              <w:t>5</w:t>
            </w:r>
          </w:p>
        </w:tc>
        <w:tc>
          <w:tcPr>
            <w:tcW w:w="4154" w:type="dxa"/>
          </w:tcPr>
          <w:p w14:paraId="69CBBD39" w14:textId="77777777" w:rsidR="00181304" w:rsidRPr="007D39C3" w:rsidRDefault="00181304" w:rsidP="007738B4">
            <w:pPr>
              <w:jc w:val="both"/>
              <w:rPr>
                <w:b/>
                <w:bCs/>
                <w:lang w:val="en-GB"/>
              </w:rPr>
            </w:pPr>
            <w:r w:rsidRPr="007D39C3">
              <w:rPr>
                <w:lang w:val="en-GB"/>
              </w:rPr>
              <w:t>*</w:t>
            </w:r>
            <w:r w:rsidRPr="007D39C3">
              <w:rPr>
                <w:b/>
                <w:bCs/>
                <w:lang w:val="en-GB"/>
              </w:rPr>
              <w:t>PCs and Laptops</w:t>
            </w:r>
          </w:p>
          <w:p w14:paraId="7533D6BE" w14:textId="6E5126A2" w:rsidR="00181304" w:rsidRPr="007D39C3" w:rsidRDefault="00181304" w:rsidP="007738B4">
            <w:pPr>
              <w:jc w:val="both"/>
              <w:rPr>
                <w:lang w:val="en-GB"/>
              </w:rPr>
            </w:pPr>
            <w:r w:rsidRPr="007D39C3">
              <w:rPr>
                <w:lang w:val="en-GB"/>
              </w:rPr>
              <w:t>Certain items in LOT1 require a PC. Can you confirm that the PCs listed under item 1.8 All-in-One</w:t>
            </w:r>
            <w:r w:rsidR="00FC6337" w:rsidRPr="007D39C3">
              <w:rPr>
                <w:lang w:val="en-GB"/>
              </w:rPr>
              <w:t xml:space="preserve"> </w:t>
            </w:r>
            <w:r w:rsidRPr="007D39C3">
              <w:rPr>
                <w:lang w:val="en-GB"/>
              </w:rPr>
              <w:t>Desktop Computer, 1.28 Desktop Computer and 1.129 Laptop for trainers will be used for this</w:t>
            </w:r>
            <w:r w:rsidR="00FC6337" w:rsidRPr="007D39C3">
              <w:rPr>
                <w:lang w:val="en-GB"/>
              </w:rPr>
              <w:t xml:space="preserve"> </w:t>
            </w:r>
            <w:r w:rsidRPr="007D39C3">
              <w:rPr>
                <w:lang w:val="en-GB"/>
              </w:rPr>
              <w:t>equipment. Or should bidders offer this equipment including a PC when required.</w:t>
            </w:r>
          </w:p>
        </w:tc>
        <w:tc>
          <w:tcPr>
            <w:tcW w:w="4662" w:type="dxa"/>
          </w:tcPr>
          <w:p w14:paraId="60C23919" w14:textId="60275C10" w:rsidR="00181304" w:rsidRPr="007D39C3" w:rsidRDefault="002F70C4" w:rsidP="0032717C">
            <w:pPr>
              <w:rPr>
                <w:lang w:val="en-GB"/>
              </w:rPr>
            </w:pPr>
            <w:r w:rsidRPr="007D39C3">
              <w:rPr>
                <w:lang w:val="en-GB"/>
              </w:rPr>
              <w:t xml:space="preserve">If </w:t>
            </w:r>
            <w:r w:rsidR="00FC6337" w:rsidRPr="007D39C3">
              <w:rPr>
                <w:lang w:val="en-GB"/>
              </w:rPr>
              <w:t xml:space="preserve">PCs or Laptops are </w:t>
            </w:r>
            <w:r w:rsidRPr="007D39C3">
              <w:rPr>
                <w:lang w:val="en-GB"/>
              </w:rPr>
              <w:t xml:space="preserve">specified within </w:t>
            </w:r>
            <w:proofErr w:type="gramStart"/>
            <w:r w:rsidR="00E57E57" w:rsidRPr="007D39C3">
              <w:rPr>
                <w:lang w:val="en-GB"/>
              </w:rPr>
              <w:t>T</w:t>
            </w:r>
            <w:r w:rsidRPr="007D39C3">
              <w:rPr>
                <w:lang w:val="en-GB"/>
              </w:rPr>
              <w:t>echnical</w:t>
            </w:r>
            <w:proofErr w:type="gramEnd"/>
            <w:r w:rsidRPr="007D39C3">
              <w:rPr>
                <w:lang w:val="en-GB"/>
              </w:rPr>
              <w:t xml:space="preserve"> specifications for the item, they should be included in the offer.  If only software is specified it should be installed on separately requested items.  More than one software application for simulators can be installed on one laptop</w:t>
            </w:r>
            <w:r w:rsidR="00C6430C" w:rsidRPr="007D39C3">
              <w:rPr>
                <w:lang w:val="en-GB"/>
              </w:rPr>
              <w:t xml:space="preserve"> or PC</w:t>
            </w:r>
            <w:r w:rsidRPr="007D39C3">
              <w:rPr>
                <w:lang w:val="en-GB"/>
              </w:rPr>
              <w:t xml:space="preserve">. In total software requested for all simulators should be installed and items operational. </w:t>
            </w:r>
            <w:r w:rsidR="00480846" w:rsidRPr="007D39C3">
              <w:rPr>
                <w:lang w:val="en-GB"/>
              </w:rPr>
              <w:t>No additional items other than those specified in the technical specifications are requested.</w:t>
            </w:r>
          </w:p>
        </w:tc>
      </w:tr>
      <w:tr w:rsidR="00181304" w:rsidRPr="007D39C3" w14:paraId="1D400956" w14:textId="77777777" w:rsidTr="009E49DF">
        <w:tc>
          <w:tcPr>
            <w:tcW w:w="534" w:type="dxa"/>
          </w:tcPr>
          <w:p w14:paraId="63AA6CFB" w14:textId="09348EC6" w:rsidR="00181304" w:rsidRPr="007D39C3" w:rsidRDefault="00134226" w:rsidP="00134226">
            <w:pPr>
              <w:jc w:val="center"/>
              <w:rPr>
                <w:lang w:val="en-GB"/>
              </w:rPr>
            </w:pPr>
            <w:r w:rsidRPr="007D39C3">
              <w:rPr>
                <w:lang w:val="en-GB"/>
              </w:rPr>
              <w:t>6</w:t>
            </w:r>
          </w:p>
        </w:tc>
        <w:tc>
          <w:tcPr>
            <w:tcW w:w="4154" w:type="dxa"/>
          </w:tcPr>
          <w:p w14:paraId="6F333341" w14:textId="77777777" w:rsidR="00181304" w:rsidRPr="007D39C3" w:rsidRDefault="00181304" w:rsidP="007738B4">
            <w:pPr>
              <w:jc w:val="both"/>
              <w:rPr>
                <w:b/>
                <w:bCs/>
                <w:lang w:val="en-GB"/>
              </w:rPr>
            </w:pPr>
            <w:r w:rsidRPr="007D39C3">
              <w:rPr>
                <w:b/>
                <w:bCs/>
                <w:lang w:val="en-GB"/>
              </w:rPr>
              <w:t>*Request for extension of the submission deadline</w:t>
            </w:r>
          </w:p>
          <w:p w14:paraId="3D41258C" w14:textId="088788DE" w:rsidR="00181304" w:rsidRPr="007D39C3" w:rsidRDefault="00181304" w:rsidP="007738B4">
            <w:pPr>
              <w:jc w:val="both"/>
              <w:rPr>
                <w:lang w:val="en-GB"/>
              </w:rPr>
            </w:pPr>
            <w:r w:rsidRPr="007D39C3">
              <w:rPr>
                <w:lang w:val="en-GB"/>
              </w:rPr>
              <w:t xml:space="preserve">To ensure that all bidders can provide a high-quality, comprehensive, </w:t>
            </w:r>
            <w:r w:rsidR="007D1656" w:rsidRPr="007D39C3">
              <w:rPr>
                <w:lang w:val="en-GB"/>
              </w:rPr>
              <w:t>and competitive</w:t>
            </w:r>
            <w:r w:rsidRPr="007D39C3">
              <w:rPr>
                <w:lang w:val="en-GB"/>
              </w:rPr>
              <w:t xml:space="preserve"> proposal that</w:t>
            </w:r>
            <w:r w:rsidR="007738B4" w:rsidRPr="007D39C3">
              <w:rPr>
                <w:lang w:val="en-GB"/>
              </w:rPr>
              <w:t xml:space="preserve"> </w:t>
            </w:r>
            <w:r w:rsidRPr="007D39C3">
              <w:rPr>
                <w:lang w:val="en-GB"/>
              </w:rPr>
              <w:t>meets your standards, we kindly request an extension of the current submission deadline. Given the</w:t>
            </w:r>
            <w:r w:rsidR="007738B4" w:rsidRPr="007D39C3">
              <w:rPr>
                <w:lang w:val="en-GB"/>
              </w:rPr>
              <w:t xml:space="preserve"> </w:t>
            </w:r>
            <w:r w:rsidRPr="007D39C3">
              <w:rPr>
                <w:lang w:val="en-GB"/>
              </w:rPr>
              <w:t xml:space="preserve">extensive number of deliverables required, the current timeframe </w:t>
            </w:r>
            <w:r w:rsidR="00E57E57" w:rsidRPr="007D39C3">
              <w:rPr>
                <w:lang w:val="en-GB"/>
              </w:rPr>
              <w:t>is considered</w:t>
            </w:r>
            <w:r w:rsidRPr="007D39C3">
              <w:rPr>
                <w:lang w:val="en-GB"/>
              </w:rPr>
              <w:t xml:space="preserve"> disproportionate to</w:t>
            </w:r>
            <w:r w:rsidR="007738B4" w:rsidRPr="007D39C3">
              <w:rPr>
                <w:lang w:val="en-GB"/>
              </w:rPr>
              <w:t xml:space="preserve"> </w:t>
            </w:r>
            <w:r w:rsidRPr="007D39C3">
              <w:rPr>
                <w:lang w:val="en-GB"/>
              </w:rPr>
              <w:t>the workload involved.</w:t>
            </w:r>
          </w:p>
          <w:p w14:paraId="074A3FB5" w14:textId="77777777" w:rsidR="00181304" w:rsidRPr="007D39C3" w:rsidRDefault="00181304" w:rsidP="007738B4">
            <w:pPr>
              <w:jc w:val="both"/>
              <w:rPr>
                <w:lang w:val="en-GB"/>
              </w:rPr>
            </w:pPr>
            <w:r w:rsidRPr="007D39C3">
              <w:rPr>
                <w:lang w:val="en-GB"/>
              </w:rPr>
              <w:t>Specifically, the following process-driven factors necessitate additional time:</w:t>
            </w:r>
          </w:p>
          <w:p w14:paraId="6E265629" w14:textId="458B70F7" w:rsidR="00181304" w:rsidRPr="007D39C3" w:rsidRDefault="00181304" w:rsidP="007738B4">
            <w:pPr>
              <w:jc w:val="both"/>
              <w:rPr>
                <w:lang w:val="en-GB"/>
              </w:rPr>
            </w:pPr>
            <w:r w:rsidRPr="007D39C3">
              <w:rPr>
                <w:b/>
                <w:bCs/>
                <w:lang w:val="en-GB"/>
              </w:rPr>
              <w:t xml:space="preserve">Manufacturer Engagement &amp; Sourcing: </w:t>
            </w:r>
            <w:r w:rsidRPr="007D39C3">
              <w:rPr>
                <w:lang w:val="en-GB"/>
              </w:rPr>
              <w:t>Identifying and contacting multiple global manufacturers for</w:t>
            </w:r>
            <w:r w:rsidR="007738B4" w:rsidRPr="007D39C3">
              <w:rPr>
                <w:lang w:val="en-GB"/>
              </w:rPr>
              <w:t xml:space="preserve"> </w:t>
            </w:r>
            <w:r w:rsidRPr="007D39C3">
              <w:rPr>
                <w:i/>
                <w:iCs/>
                <w:lang w:val="en-GB"/>
              </w:rPr>
              <w:t xml:space="preserve">all 350 unique items </w:t>
            </w:r>
            <w:r w:rsidRPr="007D39C3">
              <w:rPr>
                <w:lang w:val="en-GB"/>
              </w:rPr>
              <w:t>to ensure availability and technical alignment.</w:t>
            </w:r>
          </w:p>
          <w:p w14:paraId="3B9EED51" w14:textId="7FC005A1" w:rsidR="00181304" w:rsidRPr="007D39C3" w:rsidRDefault="00181304" w:rsidP="007738B4">
            <w:pPr>
              <w:jc w:val="both"/>
              <w:rPr>
                <w:lang w:val="en-GB"/>
              </w:rPr>
            </w:pPr>
            <w:r w:rsidRPr="007D39C3">
              <w:rPr>
                <w:b/>
                <w:bCs/>
                <w:lang w:val="en-GB"/>
              </w:rPr>
              <w:t xml:space="preserve">Third-Party Quotations &amp; Lead Times: </w:t>
            </w:r>
            <w:r w:rsidRPr="007D39C3">
              <w:rPr>
                <w:lang w:val="en-GB"/>
              </w:rPr>
              <w:t>Obtaining formal quotes and the required technical data</w:t>
            </w:r>
            <w:r w:rsidR="007738B4" w:rsidRPr="007D39C3">
              <w:rPr>
                <w:lang w:val="en-GB"/>
              </w:rPr>
              <w:t xml:space="preserve"> </w:t>
            </w:r>
            <w:r w:rsidRPr="007D39C3">
              <w:rPr>
                <w:lang w:val="en-GB"/>
              </w:rPr>
              <w:t>sheets from suppliers, which involves external lead times beyond our control.</w:t>
            </w:r>
          </w:p>
          <w:p w14:paraId="1E383A5F" w14:textId="3B153CC5" w:rsidR="00181304" w:rsidRPr="007D39C3" w:rsidRDefault="00181304" w:rsidP="007738B4">
            <w:pPr>
              <w:jc w:val="both"/>
              <w:rPr>
                <w:lang w:val="en-GB"/>
              </w:rPr>
            </w:pPr>
            <w:r w:rsidRPr="007D39C3">
              <w:rPr>
                <w:b/>
                <w:bCs/>
                <w:lang w:val="en-GB"/>
              </w:rPr>
              <w:t xml:space="preserve">Technical Compliance Verification: </w:t>
            </w:r>
            <w:r w:rsidRPr="007D39C3">
              <w:rPr>
                <w:lang w:val="en-GB"/>
              </w:rPr>
              <w:t>Populating the extensive compliance sheets for each individual</w:t>
            </w:r>
            <w:r w:rsidR="007738B4" w:rsidRPr="007D39C3">
              <w:rPr>
                <w:lang w:val="en-GB"/>
              </w:rPr>
              <w:t xml:space="preserve"> </w:t>
            </w:r>
            <w:r w:rsidRPr="007D39C3">
              <w:rPr>
                <w:lang w:val="en-GB"/>
              </w:rPr>
              <w:t>item, which requires a meticulous review of manufacturer specifications.</w:t>
            </w:r>
          </w:p>
          <w:p w14:paraId="79C2D22B" w14:textId="14CA520A" w:rsidR="00181304" w:rsidRPr="007D39C3" w:rsidRDefault="00181304" w:rsidP="007738B4">
            <w:pPr>
              <w:jc w:val="both"/>
              <w:rPr>
                <w:lang w:val="en-GB"/>
              </w:rPr>
            </w:pPr>
            <w:r w:rsidRPr="007D39C3">
              <w:rPr>
                <w:b/>
                <w:bCs/>
                <w:lang w:val="en-GB"/>
              </w:rPr>
              <w:t xml:space="preserve">Logistics &amp; Freight Costing: </w:t>
            </w:r>
            <w:r w:rsidRPr="007D39C3">
              <w:rPr>
                <w:lang w:val="en-GB"/>
              </w:rPr>
              <w:t>Securing accurate transportation and insurance quotes for the full scope</w:t>
            </w:r>
            <w:r w:rsidR="007738B4" w:rsidRPr="007D39C3">
              <w:rPr>
                <w:lang w:val="en-GB"/>
              </w:rPr>
              <w:t xml:space="preserve"> </w:t>
            </w:r>
            <w:r w:rsidRPr="007D39C3">
              <w:rPr>
                <w:lang w:val="en-GB"/>
              </w:rPr>
              <w:t>of items to provide a realistic and competitive financial offer.</w:t>
            </w:r>
          </w:p>
          <w:p w14:paraId="1C23CDED" w14:textId="6B46C04C" w:rsidR="00181304" w:rsidRPr="007D39C3" w:rsidRDefault="00181304" w:rsidP="007738B4">
            <w:pPr>
              <w:jc w:val="both"/>
              <w:rPr>
                <w:lang w:val="en-GB"/>
              </w:rPr>
            </w:pPr>
            <w:r w:rsidRPr="007D39C3">
              <w:rPr>
                <w:lang w:val="en-GB"/>
              </w:rPr>
              <w:t xml:space="preserve">Since you are requesting a significant volume of detailed information and </w:t>
            </w:r>
            <w:proofErr w:type="gramStart"/>
            <w:r w:rsidRPr="007D39C3">
              <w:rPr>
                <w:lang w:val="en-GB"/>
              </w:rPr>
              <w:t>documentation</w:t>
            </w:r>
            <w:proofErr w:type="gramEnd"/>
            <w:r w:rsidRPr="007D39C3">
              <w:rPr>
                <w:lang w:val="en-GB"/>
              </w:rPr>
              <w:t xml:space="preserve"> we are kindly</w:t>
            </w:r>
            <w:r w:rsidR="007738B4" w:rsidRPr="007D39C3">
              <w:rPr>
                <w:lang w:val="en-GB"/>
              </w:rPr>
              <w:t xml:space="preserve"> </w:t>
            </w:r>
            <w:r w:rsidRPr="007D39C3">
              <w:rPr>
                <w:lang w:val="en-GB"/>
              </w:rPr>
              <w:t>asking you to extend the deadline by another 4 weeks.</w:t>
            </w:r>
          </w:p>
        </w:tc>
        <w:tc>
          <w:tcPr>
            <w:tcW w:w="4662" w:type="dxa"/>
          </w:tcPr>
          <w:p w14:paraId="7438AB54" w14:textId="55C36708" w:rsidR="00F93ADC" w:rsidRPr="007D39C3" w:rsidRDefault="00EF238F" w:rsidP="00F93ADC">
            <w:pPr>
              <w:pStyle w:val="NormalWeb"/>
            </w:pPr>
            <w:r w:rsidRPr="007D39C3">
              <w:rPr>
                <w:lang w:val="en-GB"/>
              </w:rPr>
              <w:t xml:space="preserve"> </w:t>
            </w:r>
            <w:r w:rsidR="00781BD1" w:rsidRPr="007D39C3">
              <w:rPr>
                <w:rFonts w:asciiTheme="minorHAnsi" w:hAnsiTheme="minorHAnsi" w:cstheme="minorHAnsi"/>
                <w:sz w:val="22"/>
                <w:szCs w:val="22"/>
              </w:rPr>
              <w:t>This issue is subject of Addendum No.1.</w:t>
            </w:r>
          </w:p>
          <w:p w14:paraId="249FB06D" w14:textId="7521F89A" w:rsidR="00181304" w:rsidRPr="007D39C3" w:rsidRDefault="00181304">
            <w:pPr>
              <w:rPr>
                <w:lang w:val="en-GB"/>
              </w:rPr>
            </w:pPr>
          </w:p>
        </w:tc>
      </w:tr>
      <w:tr w:rsidR="00181304" w:rsidRPr="007D39C3" w14:paraId="32D60D47" w14:textId="77777777" w:rsidTr="009E49DF">
        <w:tc>
          <w:tcPr>
            <w:tcW w:w="534" w:type="dxa"/>
          </w:tcPr>
          <w:p w14:paraId="50FBDB48" w14:textId="4055EBF7" w:rsidR="00181304" w:rsidRPr="007D39C3" w:rsidRDefault="00134226" w:rsidP="00134226">
            <w:pPr>
              <w:jc w:val="center"/>
              <w:rPr>
                <w:lang w:val="en-GB"/>
              </w:rPr>
            </w:pPr>
            <w:r w:rsidRPr="007D39C3">
              <w:rPr>
                <w:lang w:val="en-GB"/>
              </w:rPr>
              <w:t>7</w:t>
            </w:r>
          </w:p>
        </w:tc>
        <w:tc>
          <w:tcPr>
            <w:tcW w:w="4154" w:type="dxa"/>
          </w:tcPr>
          <w:p w14:paraId="03E7A0EF" w14:textId="77777777" w:rsidR="00181304" w:rsidRPr="007D39C3" w:rsidRDefault="00181304" w:rsidP="007738B4">
            <w:pPr>
              <w:jc w:val="both"/>
              <w:rPr>
                <w:b/>
                <w:bCs/>
                <w:lang w:val="en-GB"/>
              </w:rPr>
            </w:pPr>
            <w:r w:rsidRPr="007D39C3">
              <w:rPr>
                <w:b/>
                <w:bCs/>
                <w:lang w:val="en-GB"/>
              </w:rPr>
              <w:t xml:space="preserve">*ITB 14.8 </w:t>
            </w:r>
            <w:proofErr w:type="gramStart"/>
            <w:r w:rsidRPr="007D39C3">
              <w:rPr>
                <w:b/>
                <w:bCs/>
                <w:lang w:val="en-GB"/>
              </w:rPr>
              <w:t>b)(</w:t>
            </w:r>
            <w:proofErr w:type="spellStart"/>
            <w:proofErr w:type="gramEnd"/>
            <w:r w:rsidRPr="007D39C3">
              <w:rPr>
                <w:b/>
                <w:bCs/>
                <w:lang w:val="en-GB"/>
              </w:rPr>
              <w:t>i</w:t>
            </w:r>
            <w:proofErr w:type="spellEnd"/>
            <w:r w:rsidRPr="007D39C3">
              <w:rPr>
                <w:b/>
                <w:bCs/>
                <w:lang w:val="en-GB"/>
              </w:rPr>
              <w:t>) and (c)(v)</w:t>
            </w:r>
          </w:p>
          <w:p w14:paraId="1E982ED0" w14:textId="2F6C8B89" w:rsidR="00181304" w:rsidRPr="007D39C3" w:rsidRDefault="00181304" w:rsidP="007738B4">
            <w:pPr>
              <w:jc w:val="both"/>
              <w:rPr>
                <w:b/>
                <w:bCs/>
                <w:lang w:val="en-GB"/>
              </w:rPr>
            </w:pPr>
            <w:r w:rsidRPr="007D39C3">
              <w:rPr>
                <w:b/>
                <w:bCs/>
                <w:lang w:val="en-GB"/>
              </w:rPr>
              <w:lastRenderedPageBreak/>
              <w:t>The evaluation for the supply of goods will exclude import duties and taxes payable on imported</w:t>
            </w:r>
            <w:r w:rsidR="00EE0BD3" w:rsidRPr="007D39C3">
              <w:rPr>
                <w:b/>
                <w:bCs/>
                <w:lang w:val="en-GB"/>
              </w:rPr>
              <w:t xml:space="preserve"> </w:t>
            </w:r>
            <w:r w:rsidRPr="007D39C3">
              <w:rPr>
                <w:b/>
                <w:bCs/>
                <w:lang w:val="en-GB"/>
              </w:rPr>
              <w:t>goods and the value added tax</w:t>
            </w:r>
          </w:p>
          <w:p w14:paraId="3395183D" w14:textId="7A554273" w:rsidR="00181304" w:rsidRPr="007D39C3" w:rsidRDefault="00181304" w:rsidP="007738B4">
            <w:pPr>
              <w:jc w:val="both"/>
              <w:rPr>
                <w:b/>
                <w:bCs/>
                <w:lang w:val="en-GB"/>
              </w:rPr>
            </w:pPr>
            <w:r w:rsidRPr="007D39C3">
              <w:rPr>
                <w:b/>
                <w:bCs/>
                <w:lang w:val="en-GB"/>
              </w:rPr>
              <w:t>The Bid total price shall be on DDP parity including unloading at final destination (i.e. school</w:t>
            </w:r>
            <w:r w:rsidR="00EE0BD3" w:rsidRPr="007D39C3">
              <w:rPr>
                <w:b/>
                <w:bCs/>
                <w:lang w:val="en-GB"/>
              </w:rPr>
              <w:t xml:space="preserve"> </w:t>
            </w:r>
            <w:r w:rsidRPr="007D39C3">
              <w:rPr>
                <w:b/>
                <w:bCs/>
                <w:lang w:val="en-GB"/>
              </w:rPr>
              <w:t>premises), installation, commissioning, training and after sale service for each Lot.</w:t>
            </w:r>
          </w:p>
          <w:p w14:paraId="44E6BE9E" w14:textId="3CC94687" w:rsidR="00181304" w:rsidRPr="007D39C3" w:rsidRDefault="00181304" w:rsidP="007738B4">
            <w:pPr>
              <w:jc w:val="both"/>
              <w:rPr>
                <w:lang w:val="en-GB"/>
              </w:rPr>
            </w:pPr>
            <w:r w:rsidRPr="007D39C3">
              <w:rPr>
                <w:lang w:val="en-GB"/>
              </w:rPr>
              <w:t xml:space="preserve">The price schedules show CIP Montenegro. But when you mention </w:t>
            </w:r>
            <w:r w:rsidRPr="007D39C3">
              <w:rPr>
                <w:b/>
                <w:bCs/>
                <w:lang w:val="en-GB"/>
              </w:rPr>
              <w:t>The Bid total price shall be on</w:t>
            </w:r>
            <w:r w:rsidR="00EE0BD3" w:rsidRPr="007D39C3">
              <w:rPr>
                <w:b/>
                <w:bCs/>
                <w:lang w:val="en-GB"/>
              </w:rPr>
              <w:t xml:space="preserve"> </w:t>
            </w:r>
            <w:r w:rsidRPr="007D39C3">
              <w:rPr>
                <w:b/>
                <w:bCs/>
                <w:lang w:val="en-GB"/>
              </w:rPr>
              <w:t xml:space="preserve">DDP </w:t>
            </w:r>
            <w:r w:rsidRPr="007D39C3">
              <w:rPr>
                <w:lang w:val="en-GB"/>
              </w:rPr>
              <w:t>it means we also need to take care of all taxes and duties when awarded a contract. Can you</w:t>
            </w:r>
            <w:r w:rsidR="00EE0BD3" w:rsidRPr="007D39C3">
              <w:rPr>
                <w:lang w:val="en-GB"/>
              </w:rPr>
              <w:t xml:space="preserve"> </w:t>
            </w:r>
            <w:r w:rsidRPr="007D39C3">
              <w:rPr>
                <w:lang w:val="en-GB"/>
              </w:rPr>
              <w:t>please explain as it is rather confusing using the CIP and DDP terms together.</w:t>
            </w:r>
          </w:p>
          <w:p w14:paraId="6918364A" w14:textId="632B8020" w:rsidR="00181304" w:rsidRPr="007D39C3" w:rsidRDefault="00181304" w:rsidP="007738B4">
            <w:pPr>
              <w:jc w:val="both"/>
              <w:rPr>
                <w:lang w:val="en-GB"/>
              </w:rPr>
            </w:pPr>
            <w:r w:rsidRPr="007D39C3">
              <w:rPr>
                <w:lang w:val="en-GB"/>
              </w:rPr>
              <w:t>Is the project tax exempted?</w:t>
            </w:r>
          </w:p>
        </w:tc>
        <w:tc>
          <w:tcPr>
            <w:tcW w:w="4662" w:type="dxa"/>
          </w:tcPr>
          <w:p w14:paraId="7B081120" w14:textId="6DADAFBE" w:rsidR="00181304" w:rsidRPr="007D39C3" w:rsidRDefault="00AD5852" w:rsidP="001C0263">
            <w:pPr>
              <w:jc w:val="both"/>
            </w:pPr>
            <w:r w:rsidRPr="007D39C3">
              <w:lastRenderedPageBreak/>
              <w:t>As specified in BDS ITB 14.8 (b)(</w:t>
            </w:r>
            <w:proofErr w:type="spellStart"/>
            <w:r w:rsidRPr="007D39C3">
              <w:t>i</w:t>
            </w:r>
            <w:proofErr w:type="spellEnd"/>
            <w:r w:rsidRPr="007D39C3">
              <w:t xml:space="preserve">) and (c)(v), </w:t>
            </w:r>
            <w:r w:rsidRPr="007D39C3">
              <w:rPr>
                <w:b/>
              </w:rPr>
              <w:t xml:space="preserve">solely for the purpose of facilitating the comparison of </w:t>
            </w:r>
            <w:r w:rsidRPr="007D39C3">
              <w:rPr>
                <w:b/>
              </w:rPr>
              <w:lastRenderedPageBreak/>
              <w:t>bids</w:t>
            </w:r>
            <w:r w:rsidRPr="007D39C3">
              <w:t xml:space="preserve"> by the Purchaser, the bid price shall be quoted on a CIP basis, in accordance with Section IV: Price Schedule Forms.</w:t>
            </w:r>
          </w:p>
          <w:p w14:paraId="4ED2F7D0" w14:textId="1B1927A8" w:rsidR="00132E08" w:rsidRPr="007D39C3" w:rsidRDefault="00132E08" w:rsidP="001C0263">
            <w:pPr>
              <w:jc w:val="both"/>
              <w:rPr>
                <w:bCs/>
              </w:rPr>
            </w:pPr>
            <w:r w:rsidRPr="007D39C3">
              <w:rPr>
                <w:bCs/>
                <w:lang w:val="en-GB"/>
              </w:rPr>
              <w:t xml:space="preserve">The Bid total price (DDP parity) </w:t>
            </w:r>
            <w:r w:rsidR="00A909F0" w:rsidRPr="007D39C3">
              <w:rPr>
                <w:bCs/>
              </w:rPr>
              <w:t xml:space="preserve">shall include all costs related to the supply, delivery, handling, and insurance of the goods to the final destination, including, but not limited to, transport costs, insurance, export and import customs clearance, import duties and taxes, as well as </w:t>
            </w:r>
            <w:r w:rsidR="005530CC" w:rsidRPr="007D39C3">
              <w:rPr>
                <w:bCs/>
                <w:u w:val="single"/>
                <w:lang w:val="en-GB"/>
              </w:rPr>
              <w:t>unloading at final destination (i.e. school premises),</w:t>
            </w:r>
            <w:r w:rsidR="005530CC" w:rsidRPr="007D39C3">
              <w:rPr>
                <w:b/>
                <w:bCs/>
                <w:u w:val="single"/>
                <w:lang w:val="en-GB"/>
              </w:rPr>
              <w:t xml:space="preserve"> </w:t>
            </w:r>
            <w:r w:rsidR="00A909F0" w:rsidRPr="007D39C3">
              <w:rPr>
                <w:bCs/>
              </w:rPr>
              <w:t>installation, commissioning, training, and after-sales services.</w:t>
            </w:r>
            <w:r w:rsidR="00B35EB0" w:rsidRPr="007D39C3">
              <w:rPr>
                <w:rFonts w:ascii="Times New Roman" w:eastAsia="Times New Roman" w:hAnsi="Times New Roman" w:cs="Times New Roman"/>
                <w:b/>
                <w:kern w:val="0"/>
                <w:sz w:val="24"/>
                <w:szCs w:val="24"/>
                <w:u w:val="single"/>
                <w:lang w:val="en-GB"/>
                <w14:ligatures w14:val="none"/>
              </w:rPr>
              <w:t xml:space="preserve"> </w:t>
            </w:r>
          </w:p>
          <w:p w14:paraId="3EF874EC" w14:textId="724692A1" w:rsidR="00894482" w:rsidRPr="007D39C3" w:rsidRDefault="00A909F0" w:rsidP="001C0263">
            <w:pPr>
              <w:jc w:val="both"/>
              <w:rPr>
                <w:bCs/>
                <w:lang w:val="en-GB"/>
              </w:rPr>
            </w:pPr>
            <w:r w:rsidRPr="007D39C3">
              <w:rPr>
                <w:bCs/>
              </w:rPr>
              <w:t xml:space="preserve">The Project is partially exempt from VAT, depending on the source of financing. Specifically, the portion financed by the </w:t>
            </w:r>
          </w:p>
          <w:p w14:paraId="60E7AC9E" w14:textId="3033B22F" w:rsidR="00AD5852" w:rsidRPr="007D39C3" w:rsidRDefault="00753E38" w:rsidP="001C0263">
            <w:pPr>
              <w:jc w:val="both"/>
              <w:rPr>
                <w:bCs/>
              </w:rPr>
            </w:pPr>
            <w:r w:rsidRPr="007D39C3">
              <w:rPr>
                <w:bCs/>
              </w:rPr>
              <w:t>European Investment Bank (EIB), representing 51% of the contract price, shall be subject to a VAT rate of 0%. The remaining 49% of the contract price, financed by the Government of Montenegro, shall be subject to VAT at the applicable rate of 21%, which shall be borne by the Supplier</w:t>
            </w:r>
            <w:r w:rsidR="00A909F0" w:rsidRPr="007D39C3">
              <w:rPr>
                <w:bCs/>
              </w:rPr>
              <w:t>.</w:t>
            </w:r>
          </w:p>
        </w:tc>
      </w:tr>
      <w:tr w:rsidR="00181304" w:rsidRPr="007D39C3" w14:paraId="3E32C81B" w14:textId="77777777" w:rsidTr="009E49DF">
        <w:tc>
          <w:tcPr>
            <w:tcW w:w="534" w:type="dxa"/>
          </w:tcPr>
          <w:p w14:paraId="72AB39F1" w14:textId="3B4A38C0" w:rsidR="00181304" w:rsidRPr="007D39C3" w:rsidRDefault="00134226" w:rsidP="00134226">
            <w:pPr>
              <w:jc w:val="center"/>
              <w:rPr>
                <w:lang w:val="en-GB"/>
              </w:rPr>
            </w:pPr>
            <w:r w:rsidRPr="007D39C3">
              <w:rPr>
                <w:lang w:val="en-GB"/>
              </w:rPr>
              <w:lastRenderedPageBreak/>
              <w:t>8</w:t>
            </w:r>
          </w:p>
        </w:tc>
        <w:tc>
          <w:tcPr>
            <w:tcW w:w="4154" w:type="dxa"/>
          </w:tcPr>
          <w:p w14:paraId="129DB110" w14:textId="77777777" w:rsidR="00181304" w:rsidRPr="007D39C3" w:rsidRDefault="00181304" w:rsidP="007738B4">
            <w:pPr>
              <w:jc w:val="both"/>
              <w:rPr>
                <w:b/>
                <w:bCs/>
                <w:lang w:val="en-GB"/>
              </w:rPr>
            </w:pPr>
            <w:r w:rsidRPr="007D39C3">
              <w:rPr>
                <w:b/>
                <w:bCs/>
                <w:lang w:val="en-GB"/>
              </w:rPr>
              <w:t>*GCC 25.1 Responsibility for transportation of the Goods shall be as specified in the Incoterms.</w:t>
            </w:r>
          </w:p>
          <w:p w14:paraId="469E76C6" w14:textId="77777777" w:rsidR="00181304" w:rsidRPr="007D39C3" w:rsidRDefault="00181304" w:rsidP="007738B4">
            <w:pPr>
              <w:jc w:val="both"/>
              <w:rPr>
                <w:b/>
                <w:bCs/>
                <w:lang w:val="en-GB"/>
              </w:rPr>
            </w:pPr>
            <w:r w:rsidRPr="007D39C3">
              <w:rPr>
                <w:b/>
                <w:bCs/>
                <w:lang w:val="en-GB"/>
              </w:rPr>
              <w:t>Delivery is made according to DDP parity.</w:t>
            </w:r>
          </w:p>
          <w:p w14:paraId="2DDAC5F1" w14:textId="483F5A1A" w:rsidR="00181304" w:rsidRPr="007D39C3" w:rsidRDefault="00181304" w:rsidP="007738B4">
            <w:pPr>
              <w:jc w:val="both"/>
              <w:rPr>
                <w:lang w:val="en-GB"/>
              </w:rPr>
            </w:pPr>
            <w:r w:rsidRPr="007D39C3">
              <w:rPr>
                <w:lang w:val="en-GB"/>
              </w:rPr>
              <w:t>Again reference is made to DDP term</w:t>
            </w:r>
          </w:p>
        </w:tc>
        <w:tc>
          <w:tcPr>
            <w:tcW w:w="4662" w:type="dxa"/>
          </w:tcPr>
          <w:p w14:paraId="3CE87DE6" w14:textId="5CB56738" w:rsidR="00181304" w:rsidRPr="007D39C3" w:rsidRDefault="009E2D3B">
            <w:pPr>
              <w:rPr>
                <w:lang w:val="en-GB"/>
              </w:rPr>
            </w:pPr>
            <w:r w:rsidRPr="007D39C3">
              <w:rPr>
                <w:lang w:val="en-GB"/>
              </w:rPr>
              <w:t>Please see answer No.7</w:t>
            </w:r>
          </w:p>
        </w:tc>
      </w:tr>
      <w:tr w:rsidR="00181304" w:rsidRPr="007D39C3" w14:paraId="269F8FD3" w14:textId="77777777" w:rsidTr="009E49DF">
        <w:tc>
          <w:tcPr>
            <w:tcW w:w="534" w:type="dxa"/>
          </w:tcPr>
          <w:p w14:paraId="04D712C3" w14:textId="296FE54F" w:rsidR="00181304" w:rsidRPr="007D39C3" w:rsidRDefault="00134226" w:rsidP="00134226">
            <w:pPr>
              <w:jc w:val="center"/>
              <w:rPr>
                <w:lang w:val="en-GB"/>
              </w:rPr>
            </w:pPr>
            <w:r w:rsidRPr="007D39C3">
              <w:rPr>
                <w:lang w:val="en-GB"/>
              </w:rPr>
              <w:t>9</w:t>
            </w:r>
          </w:p>
        </w:tc>
        <w:tc>
          <w:tcPr>
            <w:tcW w:w="4154" w:type="dxa"/>
          </w:tcPr>
          <w:p w14:paraId="1232C5EE" w14:textId="77777777" w:rsidR="00181304" w:rsidRPr="007D39C3" w:rsidRDefault="00181304" w:rsidP="007738B4">
            <w:pPr>
              <w:jc w:val="both"/>
              <w:rPr>
                <w:b/>
                <w:bCs/>
                <w:lang w:val="en-GB"/>
              </w:rPr>
            </w:pPr>
            <w:r w:rsidRPr="007D39C3">
              <w:rPr>
                <w:b/>
                <w:bCs/>
                <w:lang w:val="en-GB"/>
              </w:rPr>
              <w:t>*</w:t>
            </w:r>
            <w:proofErr w:type="gramStart"/>
            <w:r w:rsidRPr="007D39C3">
              <w:rPr>
                <w:b/>
                <w:bCs/>
                <w:lang w:val="en-GB"/>
              </w:rPr>
              <w:t>page</w:t>
            </w:r>
            <w:proofErr w:type="gramEnd"/>
            <w:r w:rsidRPr="007D39C3">
              <w:rPr>
                <w:b/>
                <w:bCs/>
                <w:lang w:val="en-GB"/>
              </w:rPr>
              <w:t xml:space="preserve"> 58 to 60 in the tender document</w:t>
            </w:r>
          </w:p>
          <w:p w14:paraId="6B1D5080" w14:textId="34A1C270" w:rsidR="00181304" w:rsidRPr="007D39C3" w:rsidRDefault="00181304" w:rsidP="007738B4">
            <w:pPr>
              <w:jc w:val="both"/>
              <w:rPr>
                <w:lang w:val="en-GB"/>
              </w:rPr>
            </w:pPr>
            <w:r w:rsidRPr="007D39C3">
              <w:rPr>
                <w:lang w:val="en-GB"/>
              </w:rPr>
              <w:t>These refer to a TAX exemption process concluding one part will be tax exempted and the other part</w:t>
            </w:r>
            <w:r w:rsidR="001C0263" w:rsidRPr="007D39C3">
              <w:rPr>
                <w:lang w:val="en-GB"/>
              </w:rPr>
              <w:t xml:space="preserve"> </w:t>
            </w:r>
            <w:r w:rsidRPr="007D39C3">
              <w:rPr>
                <w:lang w:val="en-GB"/>
              </w:rPr>
              <w:t>will not. Can you please clarify the situation regarding all taxes and duties for this project so we</w:t>
            </w:r>
          </w:p>
          <w:p w14:paraId="49F76442" w14:textId="5EA6412C" w:rsidR="00181304" w:rsidRPr="007D39C3" w:rsidRDefault="00181304" w:rsidP="007738B4">
            <w:pPr>
              <w:jc w:val="both"/>
              <w:rPr>
                <w:lang w:val="en-GB"/>
              </w:rPr>
            </w:pPr>
            <w:r w:rsidRPr="007D39C3">
              <w:rPr>
                <w:lang w:val="en-GB"/>
              </w:rPr>
              <w:t>understand what is in place.</w:t>
            </w:r>
          </w:p>
        </w:tc>
        <w:tc>
          <w:tcPr>
            <w:tcW w:w="4662" w:type="dxa"/>
          </w:tcPr>
          <w:p w14:paraId="32CE1244" w14:textId="3645BFBD" w:rsidR="00181304" w:rsidRPr="007D39C3" w:rsidRDefault="009E2D3B">
            <w:pPr>
              <w:rPr>
                <w:lang w:val="en-GB"/>
              </w:rPr>
            </w:pPr>
            <w:r w:rsidRPr="007D39C3">
              <w:rPr>
                <w:lang w:val="en-GB"/>
              </w:rPr>
              <w:t xml:space="preserve"> Please see answer No.7</w:t>
            </w:r>
          </w:p>
        </w:tc>
      </w:tr>
      <w:tr w:rsidR="00181304" w:rsidRPr="007D39C3" w14:paraId="0B3CFAFF" w14:textId="77777777" w:rsidTr="009E49DF">
        <w:tc>
          <w:tcPr>
            <w:tcW w:w="534" w:type="dxa"/>
          </w:tcPr>
          <w:p w14:paraId="70D657F1" w14:textId="1A14801D" w:rsidR="00181304" w:rsidRPr="007D39C3" w:rsidRDefault="00134226" w:rsidP="00134226">
            <w:pPr>
              <w:jc w:val="center"/>
              <w:rPr>
                <w:lang w:val="en-GB"/>
              </w:rPr>
            </w:pPr>
            <w:r w:rsidRPr="007D39C3">
              <w:rPr>
                <w:lang w:val="en-GB"/>
              </w:rPr>
              <w:t>10</w:t>
            </w:r>
          </w:p>
        </w:tc>
        <w:tc>
          <w:tcPr>
            <w:tcW w:w="4154" w:type="dxa"/>
          </w:tcPr>
          <w:p w14:paraId="49D2B583" w14:textId="77777777" w:rsidR="00181304" w:rsidRPr="007D39C3" w:rsidRDefault="00181304" w:rsidP="007738B4">
            <w:pPr>
              <w:jc w:val="both"/>
              <w:rPr>
                <w:b/>
                <w:bCs/>
                <w:lang w:val="en-GB"/>
              </w:rPr>
            </w:pPr>
            <w:r w:rsidRPr="007D39C3">
              <w:rPr>
                <w:b/>
                <w:bCs/>
                <w:lang w:val="en-GB"/>
              </w:rPr>
              <w:t>*ITB 14.8 (a)(iii), (b)(ii) and (c)(v)</w:t>
            </w:r>
          </w:p>
          <w:p w14:paraId="338A2DBE" w14:textId="77777777" w:rsidR="00181304" w:rsidRPr="007D39C3" w:rsidRDefault="00181304" w:rsidP="007738B4">
            <w:pPr>
              <w:jc w:val="both"/>
              <w:rPr>
                <w:b/>
                <w:bCs/>
                <w:lang w:val="en-GB"/>
              </w:rPr>
            </w:pPr>
            <w:r w:rsidRPr="007D39C3">
              <w:rPr>
                <w:b/>
                <w:bCs/>
                <w:i/>
                <w:iCs/>
                <w:lang w:val="en-GB"/>
              </w:rPr>
              <w:t xml:space="preserve">The Purchaser shall not pay any </w:t>
            </w:r>
            <w:proofErr w:type="gramStart"/>
            <w:r w:rsidRPr="007D39C3">
              <w:rPr>
                <w:b/>
                <w:bCs/>
                <w:i/>
                <w:iCs/>
                <w:lang w:val="en-GB"/>
              </w:rPr>
              <w:t>amount</w:t>
            </w:r>
            <w:proofErr w:type="gramEnd"/>
            <w:r w:rsidRPr="007D39C3">
              <w:rPr>
                <w:b/>
                <w:bCs/>
                <w:i/>
                <w:iCs/>
                <w:lang w:val="en-GB"/>
              </w:rPr>
              <w:t xml:space="preserve"> </w:t>
            </w:r>
            <w:r w:rsidRPr="007D39C3">
              <w:rPr>
                <w:b/>
                <w:bCs/>
                <w:lang w:val="en-GB"/>
              </w:rPr>
              <w:t>of Custom Duties and other Import Taxes.</w:t>
            </w:r>
          </w:p>
          <w:p w14:paraId="5709B2FB" w14:textId="77777777" w:rsidR="00181304" w:rsidRPr="007D39C3" w:rsidRDefault="00181304" w:rsidP="007738B4">
            <w:pPr>
              <w:jc w:val="both"/>
              <w:rPr>
                <w:lang w:val="en-GB"/>
              </w:rPr>
            </w:pPr>
            <w:r w:rsidRPr="007D39C3">
              <w:rPr>
                <w:lang w:val="en-GB"/>
              </w:rPr>
              <w:t>So this means that the Bidder should also take care of these costs when awarded a contract.</w:t>
            </w:r>
          </w:p>
          <w:p w14:paraId="69F89AB4" w14:textId="04EA537C" w:rsidR="00FC6337" w:rsidRPr="007D39C3" w:rsidRDefault="00181304" w:rsidP="001C0263">
            <w:pPr>
              <w:jc w:val="both"/>
              <w:rPr>
                <w:lang w:val="en-GB"/>
              </w:rPr>
            </w:pPr>
            <w:r w:rsidRPr="007D39C3">
              <w:rPr>
                <w:lang w:val="en-GB"/>
              </w:rPr>
              <w:t>If so, then please extend the deadline by at least 4 weeks because we need to get HS codes for all items and</w:t>
            </w:r>
            <w:r w:rsidR="001C0263" w:rsidRPr="007D39C3">
              <w:rPr>
                <w:lang w:val="en-GB"/>
              </w:rPr>
              <w:t xml:space="preserve"> </w:t>
            </w:r>
            <w:r w:rsidRPr="007D39C3">
              <w:rPr>
                <w:lang w:val="en-GB"/>
              </w:rPr>
              <w:t>this takes time. The code is required for determining customs duties.</w:t>
            </w:r>
          </w:p>
        </w:tc>
        <w:tc>
          <w:tcPr>
            <w:tcW w:w="4662" w:type="dxa"/>
          </w:tcPr>
          <w:p w14:paraId="0153E9CC" w14:textId="1E937C3A" w:rsidR="00181304" w:rsidRPr="007D39C3" w:rsidRDefault="001B0024">
            <w:pPr>
              <w:rPr>
                <w:lang w:val="en-GB"/>
              </w:rPr>
            </w:pPr>
            <w:r w:rsidRPr="007D39C3">
              <w:rPr>
                <w:lang w:val="en-GB"/>
              </w:rPr>
              <w:t xml:space="preserve"> Please see answer</w:t>
            </w:r>
            <w:r w:rsidR="00284560" w:rsidRPr="007D39C3">
              <w:rPr>
                <w:lang w:val="en-GB"/>
              </w:rPr>
              <w:t>s</w:t>
            </w:r>
            <w:r w:rsidRPr="007D39C3">
              <w:rPr>
                <w:lang w:val="en-GB"/>
              </w:rPr>
              <w:t xml:space="preserve"> No.</w:t>
            </w:r>
            <w:r w:rsidR="00284560" w:rsidRPr="007D39C3">
              <w:rPr>
                <w:lang w:val="en-GB"/>
              </w:rPr>
              <w:t>6 and No.</w:t>
            </w:r>
            <w:r w:rsidRPr="007D39C3">
              <w:rPr>
                <w:lang w:val="en-GB"/>
              </w:rPr>
              <w:t>7</w:t>
            </w:r>
          </w:p>
        </w:tc>
      </w:tr>
      <w:tr w:rsidR="00181304" w:rsidRPr="007D39C3" w14:paraId="0655F6CF" w14:textId="77777777" w:rsidTr="009E49DF">
        <w:trPr>
          <w:trHeight w:val="70"/>
        </w:trPr>
        <w:tc>
          <w:tcPr>
            <w:tcW w:w="534" w:type="dxa"/>
          </w:tcPr>
          <w:p w14:paraId="48017966" w14:textId="166DEBF1" w:rsidR="00181304" w:rsidRPr="007D39C3" w:rsidRDefault="00134226" w:rsidP="00134226">
            <w:pPr>
              <w:jc w:val="center"/>
              <w:rPr>
                <w:lang w:val="en-GB"/>
              </w:rPr>
            </w:pPr>
            <w:r w:rsidRPr="007D39C3">
              <w:rPr>
                <w:lang w:val="en-GB"/>
              </w:rPr>
              <w:t>11</w:t>
            </w:r>
          </w:p>
        </w:tc>
        <w:tc>
          <w:tcPr>
            <w:tcW w:w="4154" w:type="dxa"/>
          </w:tcPr>
          <w:p w14:paraId="46B61E67" w14:textId="77777777" w:rsidR="00181304" w:rsidRPr="007D39C3" w:rsidRDefault="00181304" w:rsidP="007738B4">
            <w:pPr>
              <w:jc w:val="both"/>
              <w:rPr>
                <w:b/>
                <w:bCs/>
                <w:lang w:val="en-GB"/>
              </w:rPr>
            </w:pPr>
            <w:r w:rsidRPr="007D39C3">
              <w:rPr>
                <w:b/>
                <w:bCs/>
                <w:lang w:val="en-GB"/>
              </w:rPr>
              <w:t>ITB 17.2 (b)</w:t>
            </w:r>
          </w:p>
          <w:p w14:paraId="53B93626" w14:textId="77777777" w:rsidR="00181304" w:rsidRPr="007D39C3" w:rsidRDefault="00181304" w:rsidP="007738B4">
            <w:pPr>
              <w:jc w:val="both"/>
              <w:rPr>
                <w:b/>
                <w:bCs/>
                <w:lang w:val="en-GB"/>
              </w:rPr>
            </w:pPr>
            <w:r w:rsidRPr="007D39C3">
              <w:rPr>
                <w:b/>
                <w:bCs/>
                <w:i/>
                <w:iCs/>
                <w:lang w:val="en-GB"/>
              </w:rPr>
              <w:t xml:space="preserve">Bidders shall submit an agreement/letter of intention </w:t>
            </w:r>
            <w:r w:rsidRPr="007D39C3">
              <w:rPr>
                <w:b/>
                <w:bCs/>
                <w:lang w:val="en-GB"/>
              </w:rPr>
              <w:t>from the manufacturer or vendor</w:t>
            </w:r>
          </w:p>
          <w:p w14:paraId="035F3CC1" w14:textId="77777777" w:rsidR="00181304" w:rsidRPr="007D39C3" w:rsidRDefault="00181304" w:rsidP="007738B4">
            <w:pPr>
              <w:jc w:val="both"/>
              <w:rPr>
                <w:lang w:val="en-GB"/>
              </w:rPr>
            </w:pPr>
            <w:r w:rsidRPr="007D39C3">
              <w:rPr>
                <w:lang w:val="en-GB"/>
              </w:rPr>
              <w:lastRenderedPageBreak/>
              <w:t>What exactly do you want us to include here. We are already including MAFs for most items.</w:t>
            </w:r>
          </w:p>
          <w:p w14:paraId="7B9B284D" w14:textId="4CF7292F" w:rsidR="00181304" w:rsidRPr="007D39C3" w:rsidRDefault="00181304" w:rsidP="00BD332B">
            <w:pPr>
              <w:jc w:val="both"/>
              <w:rPr>
                <w:b/>
                <w:bCs/>
                <w:lang w:val="en-GB"/>
              </w:rPr>
            </w:pPr>
            <w:r w:rsidRPr="007D39C3">
              <w:rPr>
                <w:lang w:val="en-GB"/>
              </w:rPr>
              <w:t>Considering the diverse nature of the 350 items requested, we assume you are not expecting us to</w:t>
            </w:r>
            <w:r w:rsidR="00BD332B" w:rsidRPr="007D39C3">
              <w:rPr>
                <w:lang w:val="en-GB"/>
              </w:rPr>
              <w:t xml:space="preserve"> </w:t>
            </w:r>
            <w:r w:rsidRPr="007D39C3">
              <w:rPr>
                <w:lang w:val="en-GB"/>
              </w:rPr>
              <w:t>include a letter from every single manufacturer. This will be very time consuming.</w:t>
            </w:r>
          </w:p>
        </w:tc>
        <w:tc>
          <w:tcPr>
            <w:tcW w:w="4662" w:type="dxa"/>
          </w:tcPr>
          <w:p w14:paraId="7C5AC1D1" w14:textId="7E6AFA41" w:rsidR="00181304" w:rsidRPr="007D39C3" w:rsidRDefault="00DB47DF" w:rsidP="002D5E1E">
            <w:pPr>
              <w:jc w:val="both"/>
              <w:rPr>
                <w:lang w:val="en-GB"/>
              </w:rPr>
            </w:pPr>
            <w:r w:rsidRPr="007D39C3">
              <w:rPr>
                <w:lang w:val="en-GB"/>
              </w:rPr>
              <w:lastRenderedPageBreak/>
              <w:t>MAF should be issued by manufacturer or</w:t>
            </w:r>
            <w:r w:rsidR="008D631F" w:rsidRPr="007D39C3">
              <w:rPr>
                <w:lang w:val="en-GB"/>
              </w:rPr>
              <w:t xml:space="preserve"> its formally authorized representative, subject to </w:t>
            </w:r>
            <w:r w:rsidR="008D631F" w:rsidRPr="007D39C3">
              <w:rPr>
                <w:lang w:val="en-GB"/>
              </w:rPr>
              <w:lastRenderedPageBreak/>
              <w:t>proof</w:t>
            </w:r>
            <w:r w:rsidR="005530CC" w:rsidRPr="007D39C3">
              <w:rPr>
                <w:lang w:val="en-GB"/>
              </w:rPr>
              <w:t xml:space="preserve"> that such authorization exists </w:t>
            </w:r>
            <w:r w:rsidRPr="007D39C3">
              <w:rPr>
                <w:lang w:val="en-GB"/>
              </w:rPr>
              <w:t>as requested for each item in the technical specifications.</w:t>
            </w:r>
          </w:p>
          <w:p w14:paraId="61BC9CBA" w14:textId="4799E1D7" w:rsidR="00AD3E09" w:rsidRPr="007D39C3" w:rsidRDefault="00AD3E09" w:rsidP="002D5E1E">
            <w:pPr>
              <w:suppressAutoHyphens/>
              <w:jc w:val="both"/>
              <w:rPr>
                <w:lang w:val="en-GB"/>
              </w:rPr>
            </w:pPr>
            <w:r w:rsidRPr="007D39C3">
              <w:rPr>
                <w:lang w:val="en-GB"/>
              </w:rPr>
              <w:t xml:space="preserve">The total effective warranty period for each item shall consist of the standard twelve (12) months plus the applicable manufacturer’s commercial warranty extension where specified. </w:t>
            </w:r>
          </w:p>
          <w:p w14:paraId="0F1D0224" w14:textId="77777777" w:rsidR="00AD3E09" w:rsidRPr="007D39C3" w:rsidRDefault="00AD3E09" w:rsidP="002D5E1E">
            <w:pPr>
              <w:suppressAutoHyphens/>
              <w:jc w:val="both"/>
              <w:rPr>
                <w:sz w:val="16"/>
                <w:szCs w:val="16"/>
                <w:lang w:val="en-GB"/>
              </w:rPr>
            </w:pPr>
          </w:p>
          <w:p w14:paraId="65BEBA68" w14:textId="77777777" w:rsidR="00AD3E09" w:rsidRPr="007D39C3" w:rsidRDefault="00AD3E09" w:rsidP="002D5E1E">
            <w:pPr>
              <w:jc w:val="both"/>
              <w:rPr>
                <w:lang w:val="en-GB"/>
              </w:rPr>
            </w:pPr>
            <w:r w:rsidRPr="007D39C3">
              <w:rPr>
                <w:lang w:val="en-GB"/>
              </w:rPr>
              <w:t>Bidders should issue declaration describing who is providing warranty-aftersales service on behalf of manufacturers for all items offered.</w:t>
            </w:r>
          </w:p>
          <w:p w14:paraId="350F79ED" w14:textId="77777777" w:rsidR="009821CE" w:rsidRPr="007D39C3" w:rsidRDefault="009821CE" w:rsidP="002D5E1E">
            <w:pPr>
              <w:jc w:val="both"/>
              <w:rPr>
                <w:lang w:val="en-GB"/>
              </w:rPr>
            </w:pPr>
          </w:p>
          <w:p w14:paraId="0A66018B" w14:textId="4329A5C6" w:rsidR="00065E55" w:rsidRPr="007D39C3" w:rsidRDefault="00AD3E09" w:rsidP="00A05075">
            <w:pPr>
              <w:jc w:val="both"/>
              <w:rPr>
                <w:lang w:val="en-GB"/>
              </w:rPr>
            </w:pPr>
            <w:r w:rsidRPr="007D39C3">
              <w:rPr>
                <w:lang w:val="en-GB"/>
              </w:rPr>
              <w:t>In the case warranty requirements where not covered by MAF bidders should submit</w:t>
            </w:r>
            <w:r w:rsidR="00A21052" w:rsidRPr="007D39C3">
              <w:rPr>
                <w:b/>
                <w:bCs/>
                <w:lang w:val="en-GB"/>
              </w:rPr>
              <w:t xml:space="preserve"> </w:t>
            </w:r>
            <w:r w:rsidRPr="007D39C3">
              <w:rPr>
                <w:lang w:val="en-GB"/>
              </w:rPr>
              <w:t>documentary evidence from the manufacturer or manufacturer representative demonstrating their commitment to provide technical support, spares, and maintenance for the specified warranty and post-warranty periods.</w:t>
            </w:r>
            <w:r w:rsidR="00A05075" w:rsidRPr="007D39C3">
              <w:rPr>
                <w:lang w:val="en-GB"/>
              </w:rPr>
              <w:t xml:space="preserve"> </w:t>
            </w:r>
          </w:p>
        </w:tc>
      </w:tr>
      <w:tr w:rsidR="009E49DF" w:rsidRPr="007D39C3" w14:paraId="7B72C030" w14:textId="77777777" w:rsidTr="009E49DF">
        <w:trPr>
          <w:trHeight w:val="70"/>
        </w:trPr>
        <w:tc>
          <w:tcPr>
            <w:tcW w:w="534" w:type="dxa"/>
          </w:tcPr>
          <w:p w14:paraId="339C8079" w14:textId="3281605C" w:rsidR="009E49DF" w:rsidRPr="007D39C3" w:rsidRDefault="00E61E1F" w:rsidP="00134226">
            <w:pPr>
              <w:jc w:val="center"/>
              <w:rPr>
                <w:lang w:val="en-GB"/>
              </w:rPr>
            </w:pPr>
            <w:r w:rsidRPr="007D39C3">
              <w:rPr>
                <w:lang w:val="en-GB"/>
              </w:rPr>
              <w:lastRenderedPageBreak/>
              <w:t>12</w:t>
            </w:r>
          </w:p>
        </w:tc>
        <w:tc>
          <w:tcPr>
            <w:tcW w:w="4154" w:type="dxa"/>
          </w:tcPr>
          <w:p w14:paraId="090C0AF6" w14:textId="77777777" w:rsidR="009E49DF" w:rsidRPr="007D39C3" w:rsidRDefault="009E49DF" w:rsidP="009E49DF">
            <w:pPr>
              <w:jc w:val="both"/>
              <w:rPr>
                <w:lang w:val="en-GB"/>
              </w:rPr>
            </w:pPr>
            <w:r w:rsidRPr="007D39C3">
              <w:rPr>
                <w:lang w:val="en-GB"/>
              </w:rPr>
              <w:t xml:space="preserve">In Section III: Evaluation and Qualification Criteria, it is required that </w:t>
            </w:r>
            <w:r w:rsidRPr="007D39C3">
              <w:rPr>
                <w:i/>
                <w:iCs/>
                <w:lang w:val="en-GB"/>
              </w:rPr>
              <w:t xml:space="preserve">“No consistent history of court/arbitral award decisions against the Bidder…” </w:t>
            </w:r>
            <w:r w:rsidRPr="007D39C3">
              <w:rPr>
                <w:lang w:val="en-GB"/>
              </w:rPr>
              <w:t>and that a certificate must confirm that both the Bidder and its legal representative have not been convicted of specified offences.</w:t>
            </w:r>
          </w:p>
          <w:p w14:paraId="15F965C5" w14:textId="2E0D23DC" w:rsidR="009E49DF" w:rsidRPr="007D39C3" w:rsidRDefault="009E49DF" w:rsidP="009E49DF">
            <w:pPr>
              <w:jc w:val="both"/>
              <w:rPr>
                <w:lang w:val="en-GB"/>
              </w:rPr>
            </w:pPr>
            <w:r w:rsidRPr="007D39C3">
              <w:rPr>
                <w:lang w:val="en-GB"/>
              </w:rPr>
              <w:t>We would appreciate your clear confirmation of who is considered the “legal representative” for this purpose — specifically, whether this refers to beneficial owners or only officially appointed management (e.g., CEO/Board members).</w:t>
            </w:r>
          </w:p>
        </w:tc>
        <w:tc>
          <w:tcPr>
            <w:tcW w:w="4662" w:type="dxa"/>
          </w:tcPr>
          <w:p w14:paraId="1BC1F8CE" w14:textId="591B18E9" w:rsidR="00A05075" w:rsidRPr="007D39C3" w:rsidRDefault="00A05075" w:rsidP="00C43506">
            <w:pPr>
              <w:jc w:val="both"/>
              <w:rPr>
                <w:lang w:val="en-GB"/>
              </w:rPr>
            </w:pPr>
            <w:r w:rsidRPr="007D39C3">
              <w:t xml:space="preserve">With reference to Section III – Evaluation and Qualification Criteria, Legal Capability, the term “legal representative” refers to the person </w:t>
            </w:r>
            <w:r w:rsidRPr="007D39C3">
              <w:rPr>
                <w:lang w:val="en-GB"/>
              </w:rPr>
              <w:t xml:space="preserve">duly authorized to </w:t>
            </w:r>
            <w:r w:rsidRPr="007D39C3">
              <w:t>sign the bid on behalf of the Bidder under a valid Power of Attorney.</w:t>
            </w:r>
          </w:p>
        </w:tc>
      </w:tr>
      <w:tr w:rsidR="009E49DF" w:rsidRPr="007D39C3" w14:paraId="0A3570B3" w14:textId="77777777" w:rsidTr="009E49DF">
        <w:trPr>
          <w:trHeight w:val="70"/>
        </w:trPr>
        <w:tc>
          <w:tcPr>
            <w:tcW w:w="534" w:type="dxa"/>
          </w:tcPr>
          <w:p w14:paraId="697CE568" w14:textId="30037A33" w:rsidR="009E49DF" w:rsidRPr="007D39C3" w:rsidRDefault="00E61E1F" w:rsidP="00134226">
            <w:pPr>
              <w:jc w:val="center"/>
              <w:rPr>
                <w:lang w:val="en-GB"/>
              </w:rPr>
            </w:pPr>
            <w:r w:rsidRPr="007D39C3">
              <w:rPr>
                <w:lang w:val="en-GB"/>
              </w:rPr>
              <w:t>13</w:t>
            </w:r>
          </w:p>
        </w:tc>
        <w:tc>
          <w:tcPr>
            <w:tcW w:w="4154" w:type="dxa"/>
          </w:tcPr>
          <w:p w14:paraId="7779BC0A" w14:textId="78537020" w:rsidR="009E49DF" w:rsidRPr="007D39C3" w:rsidRDefault="009E49DF" w:rsidP="007738B4">
            <w:pPr>
              <w:jc w:val="both"/>
              <w:rPr>
                <w:lang w:val="en-GB"/>
              </w:rPr>
            </w:pPr>
            <w:r w:rsidRPr="007D39C3">
              <w:rPr>
                <w:lang w:val="en-GB"/>
              </w:rPr>
              <w:t>Regarding the requirement on financial capacity (availability of credit lines equal to at least 25% of the bid price), we kindly request your confirmation that a bank statement evidencing sufficient available account balance is considered acceptable proof of compliance</w:t>
            </w:r>
          </w:p>
        </w:tc>
        <w:tc>
          <w:tcPr>
            <w:tcW w:w="4662" w:type="dxa"/>
          </w:tcPr>
          <w:p w14:paraId="32A12D73" w14:textId="7DC05D4B" w:rsidR="00277409" w:rsidRPr="007D39C3" w:rsidRDefault="00277409" w:rsidP="00277409">
            <w:pPr>
              <w:jc w:val="both"/>
              <w:rPr>
                <w:lang w:val="en-GB"/>
              </w:rPr>
            </w:pPr>
            <w:r w:rsidRPr="007D39C3">
              <w:rPr>
                <w:lang w:val="en-GB"/>
              </w:rPr>
              <w:t xml:space="preserve">A bank statement evidencing sufficient available account balance is </w:t>
            </w:r>
            <w:r w:rsidRPr="007D39C3">
              <w:rPr>
                <w:b/>
                <w:lang w:val="en-GB"/>
              </w:rPr>
              <w:t>not</w:t>
            </w:r>
            <w:r w:rsidRPr="007D39C3">
              <w:rPr>
                <w:lang w:val="en-GB"/>
              </w:rPr>
              <w:t xml:space="preserve"> considered acceptable proof of compliance. </w:t>
            </w:r>
          </w:p>
          <w:p w14:paraId="142FD61A" w14:textId="7D226BA3" w:rsidR="002B0176" w:rsidRPr="007D39C3" w:rsidRDefault="0021546B" w:rsidP="00277409">
            <w:pPr>
              <w:jc w:val="both"/>
              <w:rPr>
                <w:lang w:val="en-GB"/>
              </w:rPr>
            </w:pPr>
            <w:r w:rsidRPr="007D39C3">
              <w:rPr>
                <w:lang w:val="en-GB"/>
              </w:rPr>
              <w:t>The Consultant shall demonstrate that it has access to, or has available, lines of credit (statement issued by the Bank</w:t>
            </w:r>
            <w:r w:rsidRPr="007D39C3">
              <w:rPr>
                <w:bCs/>
                <w:lang w:val="en-GB"/>
              </w:rPr>
              <w:t xml:space="preserve"> about liquidity of the account</w:t>
            </w:r>
            <w:r w:rsidRPr="007D39C3">
              <w:rPr>
                <w:lang w:val="en-GB"/>
              </w:rPr>
              <w:t xml:space="preserve">) sufficient to meet the cash flow requirements estimated as </w:t>
            </w:r>
            <w:r w:rsidRPr="007D39C3">
              <w:rPr>
                <w:bCs/>
                <w:lang w:val="en-GB"/>
              </w:rPr>
              <w:t>at least 25% of the bidder’s bid price</w:t>
            </w:r>
            <w:r w:rsidRPr="007D39C3">
              <w:rPr>
                <w:lang w:val="en-GB"/>
              </w:rPr>
              <w:t xml:space="preserve"> for the subject contract/lot net of the Bidder´s</w:t>
            </w:r>
            <w:r w:rsidR="00277409" w:rsidRPr="007D39C3">
              <w:rPr>
                <w:lang w:val="en-GB"/>
              </w:rPr>
              <w:t xml:space="preserve"> other commitments, as requested in Tender Dossier.</w:t>
            </w:r>
          </w:p>
        </w:tc>
      </w:tr>
      <w:tr w:rsidR="00C43506" w:rsidRPr="007D39C3" w14:paraId="45338050" w14:textId="77777777" w:rsidTr="009E49DF">
        <w:trPr>
          <w:trHeight w:val="70"/>
        </w:trPr>
        <w:tc>
          <w:tcPr>
            <w:tcW w:w="534" w:type="dxa"/>
          </w:tcPr>
          <w:p w14:paraId="477AA04E" w14:textId="43643678" w:rsidR="00C43506" w:rsidRPr="007D39C3" w:rsidRDefault="00C43506" w:rsidP="00C43506">
            <w:pPr>
              <w:jc w:val="center"/>
              <w:rPr>
                <w:lang w:val="en-GB"/>
              </w:rPr>
            </w:pPr>
            <w:r w:rsidRPr="007D39C3">
              <w:rPr>
                <w:lang w:val="en-GB"/>
              </w:rPr>
              <w:t>14</w:t>
            </w:r>
          </w:p>
        </w:tc>
        <w:tc>
          <w:tcPr>
            <w:tcW w:w="4154" w:type="dxa"/>
          </w:tcPr>
          <w:p w14:paraId="1A872506" w14:textId="1F9D3A0F" w:rsidR="00C43506" w:rsidRPr="007D39C3" w:rsidRDefault="007D39C3" w:rsidP="00C43506">
            <w:pPr>
              <w:jc w:val="both"/>
              <w:rPr>
                <w:lang w:val="en-GB"/>
              </w:rPr>
            </w:pPr>
            <w:r>
              <w:rPr>
                <w:lang w:val="en-GB"/>
              </w:rPr>
              <w:t>-</w:t>
            </w:r>
            <w:r w:rsidR="00C43506" w:rsidRPr="007D39C3">
              <w:rPr>
                <w:lang w:val="en-GB"/>
              </w:rPr>
              <w:t>Concerning the requirement that bidders must satisfy qualification criteria for each lot separately; we understand that the same contracts may be used across multiple lots.</w:t>
            </w:r>
          </w:p>
          <w:p w14:paraId="4DA40C74" w14:textId="6DC905BF" w:rsidR="00C43506" w:rsidRPr="007D39C3" w:rsidRDefault="007D39C3" w:rsidP="00C43506">
            <w:pPr>
              <w:jc w:val="both"/>
              <w:rPr>
                <w:lang w:val="en-GB"/>
              </w:rPr>
            </w:pPr>
            <w:r>
              <w:rPr>
                <w:lang w:val="en-GB"/>
              </w:rPr>
              <w:t>-</w:t>
            </w:r>
            <w:r w:rsidR="00C43506" w:rsidRPr="007D39C3">
              <w:rPr>
                <w:lang w:val="en-GB"/>
              </w:rPr>
              <w:t xml:space="preserve">We would appreciate your confirmation that this interpretation also applies to </w:t>
            </w:r>
            <w:r w:rsidR="00C43506" w:rsidRPr="007D39C3">
              <w:rPr>
                <w:lang w:val="en-GB"/>
              </w:rPr>
              <w:lastRenderedPageBreak/>
              <w:t>financial criteria, including cash flow and turnover.</w:t>
            </w:r>
          </w:p>
          <w:p w14:paraId="297E9D9A" w14:textId="77777777" w:rsidR="00C43506" w:rsidRPr="007D39C3" w:rsidRDefault="00C43506" w:rsidP="00C43506">
            <w:pPr>
              <w:jc w:val="both"/>
              <w:rPr>
                <w:lang w:val="en-GB"/>
              </w:rPr>
            </w:pPr>
            <w:r w:rsidRPr="007D39C3">
              <w:rPr>
                <w:lang w:val="en-GB"/>
              </w:rPr>
              <w:t>Specifically, please confirm whether:</w:t>
            </w:r>
          </w:p>
          <w:p w14:paraId="3A34D548" w14:textId="77777777" w:rsidR="00C43506" w:rsidRPr="007D39C3" w:rsidRDefault="00C43506" w:rsidP="00C43506">
            <w:pPr>
              <w:pStyle w:val="ListParagraph"/>
              <w:numPr>
                <w:ilvl w:val="0"/>
                <w:numId w:val="1"/>
              </w:numPr>
              <w:jc w:val="both"/>
              <w:rPr>
                <w:lang w:val="en-GB"/>
              </w:rPr>
            </w:pPr>
            <w:r w:rsidRPr="007D39C3">
              <w:rPr>
                <w:lang w:val="en-GB"/>
              </w:rPr>
              <w:t>the required cash flow may correspond to 25% of the largest lot only, and</w:t>
            </w:r>
          </w:p>
          <w:p w14:paraId="4664A54E" w14:textId="19890FEE" w:rsidR="00C43506" w:rsidRPr="007D39C3" w:rsidRDefault="00C43506" w:rsidP="00C43506">
            <w:pPr>
              <w:pStyle w:val="ListParagraph"/>
              <w:numPr>
                <w:ilvl w:val="0"/>
                <w:numId w:val="1"/>
              </w:numPr>
              <w:jc w:val="both"/>
              <w:rPr>
                <w:lang w:val="en-GB"/>
              </w:rPr>
            </w:pPr>
            <w:r w:rsidRPr="007D39C3">
              <w:rPr>
                <w:lang w:val="en-GB"/>
              </w:rPr>
              <w:t>an annual turnover equal to EUR 1,335,000 would be considered sufficient for participation in Lots 3–5.</w:t>
            </w:r>
          </w:p>
        </w:tc>
        <w:tc>
          <w:tcPr>
            <w:tcW w:w="4662" w:type="dxa"/>
          </w:tcPr>
          <w:p w14:paraId="623B7FA8" w14:textId="56CD716A" w:rsidR="007D39C3" w:rsidRPr="007D39C3" w:rsidRDefault="00861733" w:rsidP="007D39C3">
            <w:pPr>
              <w:autoSpaceDE w:val="0"/>
              <w:autoSpaceDN w:val="0"/>
              <w:adjustRightInd w:val="0"/>
              <w:spacing w:after="120"/>
              <w:jc w:val="both"/>
            </w:pPr>
            <w:r w:rsidRPr="00861733">
              <w:rPr>
                <w:lang w:val="en-GB"/>
              </w:rPr>
              <w:lastRenderedPageBreak/>
              <w:t>Please note that where the same contracts are used across multiple lots, they must fully meet all requirements specified for each individual lot.</w:t>
            </w:r>
            <w:r>
              <w:rPr>
                <w:lang w:val="en-GB"/>
              </w:rPr>
              <w:t xml:space="preserve"> </w:t>
            </w:r>
            <w:r w:rsidR="007D39C3" w:rsidRPr="007D39C3">
              <w:rPr>
                <w:lang w:val="en-GB"/>
              </w:rPr>
              <w:t>We underline: “A</w:t>
            </w:r>
            <w:r w:rsidR="007D39C3" w:rsidRPr="007D39C3">
              <w:t xml:space="preserve"> bidder submitting an offer for more than one lot must fully satisfy </w:t>
            </w:r>
            <w:r w:rsidR="007D39C3" w:rsidRPr="007D39C3">
              <w:rPr>
                <w:b/>
                <w:bCs/>
              </w:rPr>
              <w:t>all</w:t>
            </w:r>
            <w:r w:rsidR="007D39C3" w:rsidRPr="007D39C3">
              <w:t xml:space="preserve"> qualification requirements for </w:t>
            </w:r>
            <w:r w:rsidR="007D39C3" w:rsidRPr="007D39C3">
              <w:rPr>
                <w:b/>
                <w:bCs/>
              </w:rPr>
              <w:t>each individual lot</w:t>
            </w:r>
            <w:r w:rsidR="007D39C3" w:rsidRPr="007D39C3">
              <w:t xml:space="preserve"> and must </w:t>
            </w:r>
            <w:r w:rsidR="007D39C3" w:rsidRPr="007D39C3">
              <w:lastRenderedPageBreak/>
              <w:t xml:space="preserve">provide </w:t>
            </w:r>
            <w:r w:rsidR="007D39C3" w:rsidRPr="007D39C3">
              <w:rPr>
                <w:b/>
                <w:bCs/>
              </w:rPr>
              <w:t>separate, lot-specific evidence</w:t>
            </w:r>
            <w:r w:rsidR="007D39C3" w:rsidRPr="007D39C3">
              <w:t xml:space="preserve"> demonstrating compliance with the requirements for that respective lot.</w:t>
            </w:r>
          </w:p>
          <w:p w14:paraId="4C1DED34" w14:textId="419C7C91" w:rsidR="00B632CB" w:rsidRPr="00B632CB" w:rsidRDefault="00C43506" w:rsidP="00B632CB">
            <w:pPr>
              <w:jc w:val="both"/>
              <w:rPr>
                <w:lang w:val="en-GB"/>
              </w:rPr>
            </w:pPr>
            <w:r w:rsidRPr="007D39C3">
              <w:rPr>
                <w:lang w:val="en-GB"/>
              </w:rPr>
              <w:t>With reference to the Section III - Evaluation and Qualification Criteria for Lots 1–5,</w:t>
            </w:r>
            <w:r w:rsidR="00B632CB" w:rsidRPr="007D39C3">
              <w:rPr>
                <w:lang w:val="en-GB"/>
              </w:rPr>
              <w:t xml:space="preserve"> bidders submitting offers for more than one lot will take into consideration that the financial capacity requirements (including cash flow and average annual turnover) shall be assessed on a cumulative basis, corresponding to the total value of the lots for which the bidder applies. </w:t>
            </w:r>
            <w:r w:rsidR="00B632CB" w:rsidRPr="00B632CB">
              <w:rPr>
                <w:lang w:val="en-GB"/>
              </w:rPr>
              <w:t>Therefore,</w:t>
            </w:r>
            <w:r w:rsidR="00B632CB" w:rsidRPr="007D39C3">
              <w:rPr>
                <w:lang w:val="en-GB"/>
              </w:rPr>
              <w:t xml:space="preserve"> </w:t>
            </w:r>
            <w:r w:rsidR="00B632CB" w:rsidRPr="00B632CB">
              <w:rPr>
                <w:lang w:val="en-GB"/>
              </w:rPr>
              <w:t xml:space="preserve">the required cash flow shall be calculated as at least 25% of the combined bid price of all lots applied for. </w:t>
            </w:r>
          </w:p>
          <w:p w14:paraId="030D1278" w14:textId="69C47690" w:rsidR="00B632CB" w:rsidRPr="007D39C3" w:rsidRDefault="00B632CB" w:rsidP="00B632CB">
            <w:pPr>
              <w:jc w:val="both"/>
              <w:rPr>
                <w:lang w:val="en-GB"/>
              </w:rPr>
            </w:pPr>
            <w:r w:rsidRPr="007D39C3">
              <w:rPr>
                <w:lang w:val="en-GB"/>
              </w:rPr>
              <w:t>Similarly, the required average annual turnover shall correspond to the sum of the minimum turnover requirements for each lot.</w:t>
            </w:r>
          </w:p>
          <w:p w14:paraId="1E267A6E" w14:textId="31F71938" w:rsidR="00C43506" w:rsidRPr="007D39C3" w:rsidRDefault="00274C14" w:rsidP="00C43506">
            <w:pPr>
              <w:jc w:val="both"/>
              <w:rPr>
                <w:lang w:val="en-GB"/>
              </w:rPr>
            </w:pPr>
            <w:r w:rsidRPr="007D39C3">
              <w:rPr>
                <w:lang w:val="en-GB"/>
              </w:rPr>
              <w:t xml:space="preserve">Please refer to addendum No.1. </w:t>
            </w:r>
          </w:p>
        </w:tc>
      </w:tr>
      <w:tr w:rsidR="00C43506" w:rsidRPr="007D39C3" w14:paraId="317C8A07" w14:textId="77777777" w:rsidTr="009E49DF">
        <w:trPr>
          <w:trHeight w:val="70"/>
        </w:trPr>
        <w:tc>
          <w:tcPr>
            <w:tcW w:w="534" w:type="dxa"/>
          </w:tcPr>
          <w:p w14:paraId="5B086CAD" w14:textId="3B0D7D62" w:rsidR="00C43506" w:rsidRPr="007D39C3" w:rsidRDefault="00C43506" w:rsidP="00C43506">
            <w:pPr>
              <w:jc w:val="center"/>
              <w:rPr>
                <w:lang w:val="en-GB"/>
              </w:rPr>
            </w:pPr>
            <w:r w:rsidRPr="007D39C3">
              <w:rPr>
                <w:lang w:val="en-GB"/>
              </w:rPr>
              <w:lastRenderedPageBreak/>
              <w:t>15</w:t>
            </w:r>
          </w:p>
        </w:tc>
        <w:tc>
          <w:tcPr>
            <w:tcW w:w="4154" w:type="dxa"/>
          </w:tcPr>
          <w:p w14:paraId="33BE145C" w14:textId="77777777" w:rsidR="00C43506" w:rsidRPr="007D39C3" w:rsidRDefault="00C43506" w:rsidP="00C43506">
            <w:pPr>
              <w:jc w:val="both"/>
              <w:rPr>
                <w:lang w:val="en-GB"/>
              </w:rPr>
            </w:pPr>
            <w:r w:rsidRPr="007D39C3">
              <w:rPr>
                <w:lang w:val="en-GB"/>
              </w:rPr>
              <w:t>With respect to financial documentation, where audited statements are not required under national legislation (as is the case in Poland), we kindly request your confirmation of which alternative financial documents will be considered acceptable for compliance with this requirement. In this regard, we would like to propose and respectfully request confirmation that financial statements officially submitted to and accepted by the competent national authorities (e.g., tax authorities or other regulatory bodies in the country of registration) may be considered as acceptable evidence.</w:t>
            </w:r>
          </w:p>
          <w:p w14:paraId="1E1FD4D5" w14:textId="77777777" w:rsidR="00C43506" w:rsidRPr="007D39C3" w:rsidRDefault="00C43506" w:rsidP="00C43506">
            <w:pPr>
              <w:jc w:val="both"/>
              <w:rPr>
                <w:lang w:val="en-GB"/>
              </w:rPr>
            </w:pPr>
          </w:p>
          <w:p w14:paraId="6D3DFDF7" w14:textId="4634A6D3" w:rsidR="00C43506" w:rsidRPr="007D39C3" w:rsidRDefault="00C43506" w:rsidP="00C43506">
            <w:pPr>
              <w:jc w:val="both"/>
              <w:rPr>
                <w:lang w:val="en-GB"/>
              </w:rPr>
            </w:pPr>
            <w:r w:rsidRPr="007D39C3">
              <w:rPr>
                <w:lang w:val="en-GB"/>
              </w:rPr>
              <w:t>We believe that such documents provide a reliable and verifiable representation of the Bidder’s financial standing</w:t>
            </w:r>
          </w:p>
        </w:tc>
        <w:tc>
          <w:tcPr>
            <w:tcW w:w="4662" w:type="dxa"/>
          </w:tcPr>
          <w:p w14:paraId="2CE672E6" w14:textId="77777777" w:rsidR="00C43506" w:rsidRPr="007D39C3" w:rsidRDefault="00523B12" w:rsidP="00523B12">
            <w:pPr>
              <w:jc w:val="both"/>
              <w:rPr>
                <w:lang w:val="en-GB"/>
              </w:rPr>
            </w:pPr>
            <w:bookmarkStart w:id="1" w:name="_Toc208477126"/>
            <w:bookmarkStart w:id="2" w:name="_Hlk215483833"/>
            <w:r w:rsidRPr="007D39C3">
              <w:t>As specified in</w:t>
            </w:r>
            <w:r w:rsidRPr="007D39C3">
              <w:rPr>
                <w:b/>
              </w:rPr>
              <w:t xml:space="preserve"> </w:t>
            </w:r>
            <w:r w:rsidR="00F3257C" w:rsidRPr="007D39C3">
              <w:rPr>
                <w:b/>
                <w:lang w:val="en-GB"/>
              </w:rPr>
              <w:t>Section III - Evaluation and Qualification Criteria</w:t>
            </w:r>
            <w:bookmarkEnd w:id="1"/>
            <w:r w:rsidRPr="007D39C3">
              <w:rPr>
                <w:b/>
                <w:lang w:val="en-GB"/>
              </w:rPr>
              <w:t xml:space="preserve"> </w:t>
            </w:r>
            <w:bookmarkEnd w:id="2"/>
            <w:r w:rsidRPr="007D39C3">
              <w:rPr>
                <w:b/>
                <w:lang w:val="en-GB"/>
              </w:rPr>
              <w:t>“</w:t>
            </w:r>
            <w:r w:rsidR="00F3257C" w:rsidRPr="007D39C3">
              <w:rPr>
                <w:lang w:val="en-GB"/>
              </w:rPr>
              <w:t xml:space="preserve">The Bidder shall submit the audited balance sheets or, </w:t>
            </w:r>
            <w:r w:rsidR="00F3257C" w:rsidRPr="007D39C3">
              <w:rPr>
                <w:b/>
                <w:lang w:val="en-GB"/>
              </w:rPr>
              <w:t>if not required by the laws of the Bidder’s country, other financial statements acceptable to the Purchaser</w:t>
            </w:r>
            <w:r w:rsidR="00F3257C" w:rsidRPr="007D39C3">
              <w:rPr>
                <w:lang w:val="en-GB"/>
              </w:rPr>
              <w:t>, for the last three (3) financially closed years (i.e. 2025, 2024 and 2023). These statements must demonstrate a positive profit in at least two out of the above mentioned three financial years. One of those two years must be the last closed financial year. If the financial year 2025 has not been closed, the financial years 2024, 2023 and 2022 will be taken into consideration</w:t>
            </w:r>
            <w:r w:rsidRPr="007D39C3">
              <w:rPr>
                <w:lang w:val="en-GB"/>
              </w:rPr>
              <w:t>”.</w:t>
            </w:r>
          </w:p>
          <w:p w14:paraId="7E44D3C1" w14:textId="1298A0A1" w:rsidR="00523B12" w:rsidRPr="007D39C3" w:rsidRDefault="00523B12" w:rsidP="00523B12">
            <w:pPr>
              <w:jc w:val="both"/>
              <w:rPr>
                <w:lang w:val="en-GB"/>
              </w:rPr>
            </w:pPr>
            <w:r w:rsidRPr="007D39C3">
              <w:rPr>
                <w:lang w:val="en-GB"/>
              </w:rPr>
              <w:t>The financial statements officially submitted to and accepted by the competent national authorities in the country of Bidder’s registration (e.g., tax authorities or other regulatory bodies) may be considered as acceptable evidence for the Purchaser.</w:t>
            </w:r>
          </w:p>
        </w:tc>
      </w:tr>
      <w:tr w:rsidR="00C43506" w:rsidRPr="007D39C3" w14:paraId="1B9B3FBE" w14:textId="77777777" w:rsidTr="009E49DF">
        <w:trPr>
          <w:trHeight w:val="70"/>
        </w:trPr>
        <w:tc>
          <w:tcPr>
            <w:tcW w:w="534" w:type="dxa"/>
          </w:tcPr>
          <w:p w14:paraId="1E522947" w14:textId="1CD3D313" w:rsidR="00C43506" w:rsidRPr="007D39C3" w:rsidRDefault="00C43506" w:rsidP="00C43506">
            <w:pPr>
              <w:jc w:val="center"/>
              <w:rPr>
                <w:lang w:val="en-GB"/>
              </w:rPr>
            </w:pPr>
            <w:r w:rsidRPr="007D39C3">
              <w:rPr>
                <w:lang w:val="en-GB"/>
              </w:rPr>
              <w:t>16</w:t>
            </w:r>
          </w:p>
        </w:tc>
        <w:tc>
          <w:tcPr>
            <w:tcW w:w="4154" w:type="dxa"/>
          </w:tcPr>
          <w:p w14:paraId="57311E00" w14:textId="055EAF07" w:rsidR="00C43506" w:rsidRPr="007D39C3" w:rsidRDefault="00C43506" w:rsidP="00C43506">
            <w:pPr>
              <w:jc w:val="both"/>
              <w:rPr>
                <w:lang w:val="en-GB"/>
              </w:rPr>
            </w:pPr>
            <w:r w:rsidRPr="007D39C3">
              <w:rPr>
                <w:lang w:val="en-GB"/>
              </w:rPr>
              <w:t>Regarding the experience requirement, it is stated that the Bidder must have completed at least two (2) contracts, each with a value equal to or greater than the bid price for the respective lot.</w:t>
            </w:r>
          </w:p>
          <w:p w14:paraId="48ECE1E2" w14:textId="6F064BD6" w:rsidR="00C43506" w:rsidRPr="007D39C3" w:rsidRDefault="00C43506" w:rsidP="00C43506">
            <w:pPr>
              <w:jc w:val="both"/>
              <w:rPr>
                <w:lang w:val="en-GB"/>
              </w:rPr>
            </w:pPr>
            <w:r w:rsidRPr="007D39C3">
              <w:rPr>
                <w:lang w:val="en-GB"/>
              </w:rPr>
              <w:t xml:space="preserve">We would like to clearly highlight that this requirement appears significantly more stringent than standard international procurement practice, both in terms of the </w:t>
            </w:r>
            <w:r w:rsidRPr="007D39C3">
              <w:rPr>
                <w:lang w:val="en-GB"/>
              </w:rPr>
              <w:lastRenderedPageBreak/>
              <w:t>number of contracts required and their respective value thresholds.</w:t>
            </w:r>
          </w:p>
          <w:p w14:paraId="42A273BE" w14:textId="77777777" w:rsidR="00C43506" w:rsidRPr="007D39C3" w:rsidRDefault="00C43506" w:rsidP="00C43506">
            <w:pPr>
              <w:jc w:val="both"/>
              <w:rPr>
                <w:lang w:val="en-GB"/>
              </w:rPr>
            </w:pPr>
            <w:r w:rsidRPr="007D39C3">
              <w:rPr>
                <w:lang w:val="en-GB"/>
              </w:rPr>
              <w:t>In particular, the requirement effectively imposes a double burden:</w:t>
            </w:r>
          </w:p>
          <w:p w14:paraId="2820ACD9" w14:textId="77777777" w:rsidR="00C43506" w:rsidRPr="007D39C3" w:rsidRDefault="00C43506" w:rsidP="00C43506">
            <w:pPr>
              <w:pStyle w:val="ListParagraph"/>
              <w:numPr>
                <w:ilvl w:val="0"/>
                <w:numId w:val="2"/>
              </w:numPr>
              <w:jc w:val="both"/>
              <w:rPr>
                <w:lang w:val="en-GB"/>
              </w:rPr>
            </w:pPr>
            <w:r w:rsidRPr="007D39C3">
              <w:rPr>
                <w:lang w:val="en-GB"/>
              </w:rPr>
              <w:t>requiring multiple contracts (minimum two), and</w:t>
            </w:r>
          </w:p>
          <w:p w14:paraId="0893C924" w14:textId="77777777" w:rsidR="00C43506" w:rsidRPr="007D39C3" w:rsidRDefault="00C43506" w:rsidP="00C43506">
            <w:pPr>
              <w:pStyle w:val="ListParagraph"/>
              <w:numPr>
                <w:ilvl w:val="0"/>
                <w:numId w:val="2"/>
              </w:numPr>
              <w:jc w:val="both"/>
              <w:rPr>
                <w:lang w:val="en-GB"/>
              </w:rPr>
            </w:pPr>
            <w:r w:rsidRPr="007D39C3">
              <w:rPr>
                <w:lang w:val="en-GB"/>
              </w:rPr>
              <w:t>requiring each of them to individually match 100% of the bid price,</w:t>
            </w:r>
          </w:p>
          <w:p w14:paraId="2898286C" w14:textId="77777777" w:rsidR="00C43506" w:rsidRPr="007D39C3" w:rsidRDefault="00C43506" w:rsidP="00C43506">
            <w:pPr>
              <w:jc w:val="both"/>
              <w:rPr>
                <w:lang w:val="en-GB"/>
              </w:rPr>
            </w:pPr>
            <w:r w:rsidRPr="007D39C3">
              <w:rPr>
                <w:lang w:val="en-GB"/>
              </w:rPr>
              <w:t>which results in a combined expectation that is substantially higher than commonly applied benchmarks in comparable tenders.</w:t>
            </w:r>
          </w:p>
          <w:p w14:paraId="4BE99183" w14:textId="77777777" w:rsidR="00C43506" w:rsidRPr="007D39C3" w:rsidRDefault="00C43506" w:rsidP="00C43506">
            <w:pPr>
              <w:jc w:val="both"/>
              <w:rPr>
                <w:lang w:val="en-GB"/>
              </w:rPr>
            </w:pPr>
            <w:r w:rsidRPr="007D39C3">
              <w:rPr>
                <w:lang w:val="en-GB"/>
              </w:rPr>
              <w:t>In established practice across international procurement procedures, including those aligned with IFI standards, it is more typical to require:</w:t>
            </w:r>
          </w:p>
          <w:p w14:paraId="02484DE1" w14:textId="77777777" w:rsidR="00C43506" w:rsidRPr="007D39C3" w:rsidRDefault="00C43506" w:rsidP="00C43506">
            <w:pPr>
              <w:pStyle w:val="ListParagraph"/>
              <w:numPr>
                <w:ilvl w:val="0"/>
                <w:numId w:val="3"/>
              </w:numPr>
              <w:jc w:val="both"/>
              <w:rPr>
                <w:lang w:val="en-GB"/>
              </w:rPr>
            </w:pPr>
            <w:r w:rsidRPr="007D39C3">
              <w:rPr>
                <w:lang w:val="en-GB"/>
              </w:rPr>
              <w:t>one or more contracts at 70–80% of the estimated contract value, or</w:t>
            </w:r>
          </w:p>
          <w:p w14:paraId="2AE052AF" w14:textId="77777777" w:rsidR="00C43506" w:rsidRPr="007D39C3" w:rsidRDefault="00C43506" w:rsidP="00C43506">
            <w:pPr>
              <w:pStyle w:val="ListParagraph"/>
              <w:numPr>
                <w:ilvl w:val="0"/>
                <w:numId w:val="3"/>
              </w:numPr>
              <w:jc w:val="both"/>
              <w:rPr>
                <w:lang w:val="en-GB"/>
              </w:rPr>
            </w:pPr>
            <w:r w:rsidRPr="007D39C3">
              <w:rPr>
                <w:lang w:val="en-GB"/>
              </w:rPr>
              <w:t>a combination of contracts whose aggregate value demonstrates sufficient experience and capacity.</w:t>
            </w:r>
          </w:p>
          <w:p w14:paraId="7AD0C1EA" w14:textId="77777777" w:rsidR="00C43506" w:rsidRPr="007D39C3" w:rsidRDefault="00C43506" w:rsidP="00C43506">
            <w:pPr>
              <w:jc w:val="both"/>
              <w:rPr>
                <w:lang w:val="en-GB"/>
              </w:rPr>
            </w:pPr>
            <w:r w:rsidRPr="007D39C3">
              <w:rPr>
                <w:lang w:val="en-GB"/>
              </w:rPr>
              <w:t>In this context, the current requirement appears disproportionate to the scope and nature of the procurement and may unduly restrict competition, potentially excluding qualified and experienced bidders who are fully capable of successful contract execution.</w:t>
            </w:r>
          </w:p>
          <w:p w14:paraId="510641F6" w14:textId="27E051AD" w:rsidR="00C43506" w:rsidRPr="007D39C3" w:rsidRDefault="00C43506" w:rsidP="00C43506">
            <w:pPr>
              <w:jc w:val="both"/>
              <w:rPr>
                <w:lang w:val="en-GB"/>
              </w:rPr>
            </w:pPr>
            <w:r w:rsidRPr="007D39C3">
              <w:rPr>
                <w:lang w:val="en-GB"/>
              </w:rPr>
              <w:t>We therefore kindly request reconsideration and adjustment of this requirement, to ensure that it is aligned with widely accepted procurement practices and the principles of proportionality and fair competition</w:t>
            </w:r>
          </w:p>
        </w:tc>
        <w:tc>
          <w:tcPr>
            <w:tcW w:w="4662" w:type="dxa"/>
          </w:tcPr>
          <w:p w14:paraId="781D6AE8" w14:textId="6F74DE90" w:rsidR="00C43506" w:rsidRPr="007D39C3" w:rsidRDefault="006468AA" w:rsidP="00DE0D21">
            <w:pPr>
              <w:jc w:val="both"/>
              <w:rPr>
                <w:lang w:val="en-GB"/>
              </w:rPr>
            </w:pPr>
            <w:r w:rsidRPr="007D39C3">
              <w:lastRenderedPageBreak/>
              <w:t>The Purchaser confirms that the requirements concerning the Bidder’s experience remain unchanged, as specified in the Tender Dossier.</w:t>
            </w:r>
          </w:p>
        </w:tc>
      </w:tr>
      <w:tr w:rsidR="00C43506" w:rsidRPr="007D39C3" w14:paraId="3A020E99" w14:textId="77777777" w:rsidTr="009E49DF">
        <w:trPr>
          <w:trHeight w:val="70"/>
        </w:trPr>
        <w:tc>
          <w:tcPr>
            <w:tcW w:w="534" w:type="dxa"/>
          </w:tcPr>
          <w:p w14:paraId="7FB556EC" w14:textId="3386808C" w:rsidR="00C43506" w:rsidRPr="007D39C3" w:rsidRDefault="00C43506" w:rsidP="00C43506">
            <w:pPr>
              <w:jc w:val="center"/>
              <w:rPr>
                <w:lang w:val="en-GB"/>
              </w:rPr>
            </w:pPr>
            <w:r w:rsidRPr="007D39C3">
              <w:rPr>
                <w:lang w:val="en-GB"/>
              </w:rPr>
              <w:t>17</w:t>
            </w:r>
          </w:p>
        </w:tc>
        <w:tc>
          <w:tcPr>
            <w:tcW w:w="4154" w:type="dxa"/>
          </w:tcPr>
          <w:p w14:paraId="1797C4DD" w14:textId="77777777" w:rsidR="00C43506" w:rsidRPr="007D39C3" w:rsidRDefault="00C43506" w:rsidP="00C43506">
            <w:pPr>
              <w:jc w:val="both"/>
              <w:rPr>
                <w:lang w:val="en-GB"/>
              </w:rPr>
            </w:pPr>
            <w:r w:rsidRPr="007D39C3">
              <w:rPr>
                <w:lang w:val="en-GB"/>
              </w:rPr>
              <w:t>Furthermore, with reference to ITB 16.2 (Note to Bidders) and Clause 3.7.4 of the European Investment Bank Guide to Procurement, we would like to formally highlight that the current thresholds for similar contracts appear excessively high and may limit effective international competition.</w:t>
            </w:r>
          </w:p>
          <w:p w14:paraId="34681951" w14:textId="77777777" w:rsidR="00C43506" w:rsidRPr="007D39C3" w:rsidRDefault="00C43506" w:rsidP="00C43506">
            <w:pPr>
              <w:jc w:val="both"/>
              <w:rPr>
                <w:lang w:val="en-GB"/>
              </w:rPr>
            </w:pPr>
            <w:r w:rsidRPr="007D39C3">
              <w:rPr>
                <w:lang w:val="en-GB"/>
              </w:rPr>
              <w:t>Given the technical nature of the procurement and the diversity of the market, such thresholds may exclude otherwise qualified and experienced suppliers.</w:t>
            </w:r>
          </w:p>
          <w:p w14:paraId="6AD49797" w14:textId="18A019C3" w:rsidR="00C43506" w:rsidRPr="007D39C3" w:rsidRDefault="00C43506" w:rsidP="00C43506">
            <w:pPr>
              <w:jc w:val="both"/>
              <w:rPr>
                <w:lang w:val="en-GB"/>
              </w:rPr>
            </w:pPr>
            <w:r w:rsidRPr="007D39C3">
              <w:rPr>
                <w:lang w:val="en-GB"/>
              </w:rPr>
              <w:lastRenderedPageBreak/>
              <w:t>We therefore strongly encourage a review and adjustment of these requirements to ensure alignment with the principles of proportionality, fairness, and open competition.</w:t>
            </w:r>
          </w:p>
        </w:tc>
        <w:tc>
          <w:tcPr>
            <w:tcW w:w="4662" w:type="dxa"/>
          </w:tcPr>
          <w:p w14:paraId="3B324563" w14:textId="77777777" w:rsidR="00C43506" w:rsidRPr="007D39C3" w:rsidRDefault="00A82F5A" w:rsidP="00762E9D">
            <w:pPr>
              <w:jc w:val="both"/>
              <w:rPr>
                <w:rFonts w:cstheme="minorHAnsi"/>
                <w:bCs/>
                <w:i/>
                <w:color w:val="000000"/>
              </w:rPr>
            </w:pPr>
            <w:r w:rsidRPr="007D39C3">
              <w:rPr>
                <w:lang w:val="en-GB"/>
              </w:rPr>
              <w:lastRenderedPageBreak/>
              <w:t xml:space="preserve">With reference to EIB </w:t>
            </w:r>
            <w:proofErr w:type="spellStart"/>
            <w:r w:rsidRPr="007D39C3">
              <w:rPr>
                <w:lang w:val="en-GB"/>
              </w:rPr>
              <w:t>GtP</w:t>
            </w:r>
            <w:proofErr w:type="spellEnd"/>
            <w:r w:rsidRPr="007D39C3">
              <w:rPr>
                <w:lang w:val="en-GB"/>
              </w:rPr>
              <w:t xml:space="preserve">, Clause </w:t>
            </w:r>
            <w:r w:rsidRPr="007D39C3">
              <w:rPr>
                <w:bCs/>
              </w:rPr>
              <w:t xml:space="preserve">3.5 The Bank’s review of procurement decisions and sub-clause </w:t>
            </w:r>
            <w:r w:rsidRPr="007D39C3">
              <w:rPr>
                <w:rStyle w:val="fontstyle01"/>
                <w:rFonts w:asciiTheme="minorHAnsi" w:hAnsiTheme="minorHAnsi" w:cstheme="minorHAnsi"/>
                <w:b w:val="0"/>
                <w:sz w:val="22"/>
                <w:szCs w:val="22"/>
              </w:rPr>
              <w:t xml:space="preserve">3.5.1 Public sector operations, </w:t>
            </w:r>
            <w:r w:rsidR="00762E9D" w:rsidRPr="007D39C3">
              <w:rPr>
                <w:rStyle w:val="fontstyle01"/>
                <w:rFonts w:asciiTheme="minorHAnsi" w:hAnsiTheme="minorHAnsi" w:cstheme="minorHAnsi"/>
                <w:b w:val="0"/>
                <w:sz w:val="22"/>
                <w:szCs w:val="22"/>
              </w:rPr>
              <w:t>please note: “</w:t>
            </w:r>
            <w:r w:rsidR="00762E9D" w:rsidRPr="007D39C3">
              <w:rPr>
                <w:rFonts w:cstheme="minorHAnsi"/>
                <w:b/>
                <w:bCs/>
                <w:i/>
                <w:color w:val="000000"/>
              </w:rPr>
              <w:t xml:space="preserve">Prior review. </w:t>
            </w:r>
            <w:r w:rsidR="00762E9D" w:rsidRPr="007D39C3">
              <w:rPr>
                <w:rFonts w:cstheme="minorHAnsi"/>
                <w:bCs/>
                <w:i/>
                <w:color w:val="000000"/>
              </w:rPr>
              <w:t>All international procurement procedures are subject to prior review by the Bank. Prior review means that promoters must send the Bank the relevant documentation and seek the Bank’s concurrence prior to all major decisions about procurement”.</w:t>
            </w:r>
          </w:p>
          <w:p w14:paraId="4D5871A6" w14:textId="77777777" w:rsidR="00B14066" w:rsidRPr="007D39C3" w:rsidRDefault="00B14066" w:rsidP="00B14066">
            <w:pPr>
              <w:jc w:val="both"/>
            </w:pPr>
            <w:r w:rsidRPr="007D39C3">
              <w:t>This Tender Dossier was subject to prior review by the Bank, following which a no-objection was issued to the Promoter.</w:t>
            </w:r>
          </w:p>
          <w:p w14:paraId="78C85F6F" w14:textId="49FF82B5" w:rsidR="00CE063F" w:rsidRPr="007D39C3" w:rsidRDefault="00CE063F" w:rsidP="00CE063F">
            <w:pPr>
              <w:jc w:val="both"/>
              <w:rPr>
                <w:lang w:val="en-GB"/>
              </w:rPr>
            </w:pPr>
            <w:r w:rsidRPr="007D39C3">
              <w:t>Therefore, all requirements remain unchanged, as specified in the Tender Dossier.</w:t>
            </w:r>
          </w:p>
        </w:tc>
      </w:tr>
      <w:tr w:rsidR="00C43506" w:rsidRPr="007D39C3" w14:paraId="6A89F82A" w14:textId="77777777" w:rsidTr="009E49DF">
        <w:trPr>
          <w:trHeight w:val="70"/>
        </w:trPr>
        <w:tc>
          <w:tcPr>
            <w:tcW w:w="534" w:type="dxa"/>
          </w:tcPr>
          <w:p w14:paraId="0C992435" w14:textId="38D6D8CF" w:rsidR="00C43506" w:rsidRPr="007D39C3" w:rsidRDefault="00C43506" w:rsidP="00C43506">
            <w:pPr>
              <w:jc w:val="center"/>
              <w:rPr>
                <w:lang w:val="en-GB"/>
              </w:rPr>
            </w:pPr>
            <w:r w:rsidRPr="007D39C3">
              <w:rPr>
                <w:lang w:val="en-GB"/>
              </w:rPr>
              <w:t>18</w:t>
            </w:r>
          </w:p>
        </w:tc>
        <w:tc>
          <w:tcPr>
            <w:tcW w:w="4154" w:type="dxa"/>
          </w:tcPr>
          <w:p w14:paraId="2647883E" w14:textId="77777777" w:rsidR="00C43506" w:rsidRPr="007D39C3" w:rsidRDefault="00C43506" w:rsidP="00C43506">
            <w:pPr>
              <w:jc w:val="both"/>
              <w:rPr>
                <w:lang w:val="en-GB"/>
              </w:rPr>
            </w:pPr>
            <w:r w:rsidRPr="007D39C3">
              <w:rPr>
                <w:lang w:val="en-GB"/>
              </w:rPr>
              <w:t>In relation to JV participation, we would appreciate your clear confirmation and detailed clarification of how the experience requirement will be applied.</w:t>
            </w:r>
          </w:p>
          <w:p w14:paraId="21428ACB" w14:textId="77777777" w:rsidR="00C43506" w:rsidRPr="007D39C3" w:rsidRDefault="00C43506" w:rsidP="00C43506">
            <w:pPr>
              <w:jc w:val="both"/>
              <w:rPr>
                <w:lang w:val="en-GB"/>
              </w:rPr>
            </w:pPr>
            <w:r w:rsidRPr="007D39C3">
              <w:rPr>
                <w:lang w:val="en-GB"/>
              </w:rPr>
              <w:t>Based on the current wording, it may be interpreted that each JV member must independently demonstrate a contract equal to the full bid price, which appears overly restrictive and not aligned with standard JV evaluation practices.</w:t>
            </w:r>
          </w:p>
          <w:p w14:paraId="6A0EB4FB" w14:textId="10D3402D" w:rsidR="00C43506" w:rsidRPr="007D39C3" w:rsidRDefault="00C43506" w:rsidP="00C43506">
            <w:pPr>
              <w:jc w:val="both"/>
              <w:rPr>
                <w:lang w:val="en-GB"/>
              </w:rPr>
            </w:pPr>
            <w:r w:rsidRPr="007D39C3">
              <w:rPr>
                <w:lang w:val="en-GB"/>
              </w:rPr>
              <w:t>We kindly request clarification to ensure a reasonable and proportionate distribution of requirements among JV members.</w:t>
            </w:r>
          </w:p>
        </w:tc>
        <w:tc>
          <w:tcPr>
            <w:tcW w:w="4662" w:type="dxa"/>
          </w:tcPr>
          <w:p w14:paraId="5141F612" w14:textId="148CDEF3" w:rsidR="00C43506" w:rsidRPr="007D39C3" w:rsidRDefault="00166F2D" w:rsidP="00C43506">
            <w:pPr>
              <w:jc w:val="both"/>
              <w:rPr>
                <w:lang w:val="en-GB"/>
              </w:rPr>
            </w:pPr>
            <w:r w:rsidRPr="007D39C3">
              <w:rPr>
                <w:lang w:val="en-GB"/>
              </w:rPr>
              <w:t>With reference to Section III – Evaluation and Qualification Criteria, Experience Requirements for Lots 1–5, the requirement shall be satisfied by the Joint Venture as a whole. Where one contract is required, it may be implemented by any one member of the JV. Where two contracts are required, each contract must be implemented in full by either a single member or by different members of the JV; however, a single contract may not be split between multiple members for the purpose of meeting this requirement.</w:t>
            </w:r>
          </w:p>
        </w:tc>
      </w:tr>
      <w:tr w:rsidR="00901633" w:rsidRPr="007D39C3" w14:paraId="535E5FF4" w14:textId="77777777" w:rsidTr="009E49DF">
        <w:trPr>
          <w:trHeight w:val="70"/>
        </w:trPr>
        <w:tc>
          <w:tcPr>
            <w:tcW w:w="534" w:type="dxa"/>
          </w:tcPr>
          <w:p w14:paraId="70747AC8" w14:textId="62F52FAA" w:rsidR="00901633" w:rsidRPr="007D39C3" w:rsidRDefault="00901633" w:rsidP="00901633">
            <w:pPr>
              <w:jc w:val="center"/>
              <w:rPr>
                <w:lang w:val="en-GB"/>
              </w:rPr>
            </w:pPr>
            <w:r w:rsidRPr="007D39C3">
              <w:rPr>
                <w:lang w:val="en-GB"/>
              </w:rPr>
              <w:t>19</w:t>
            </w:r>
          </w:p>
        </w:tc>
        <w:tc>
          <w:tcPr>
            <w:tcW w:w="4154" w:type="dxa"/>
          </w:tcPr>
          <w:p w14:paraId="3F974397" w14:textId="57A8422B" w:rsidR="00901633" w:rsidRPr="007D39C3" w:rsidRDefault="00901633" w:rsidP="00901633">
            <w:pPr>
              <w:jc w:val="both"/>
              <w:rPr>
                <w:lang w:val="en-GB"/>
              </w:rPr>
            </w:pPr>
            <w:r w:rsidRPr="007D39C3">
              <w:rPr>
                <w:lang w:val="en-GB"/>
              </w:rPr>
              <w:t>Please confirm whether multiple contracts executed within the same project (e.g., different equipment supplied to the same institutions within the same timeframe and delivery scope) may be considered as one combined contract for the purpose of meeting the experience requirement.</w:t>
            </w:r>
          </w:p>
        </w:tc>
        <w:tc>
          <w:tcPr>
            <w:tcW w:w="4662" w:type="dxa"/>
          </w:tcPr>
          <w:p w14:paraId="2908D84A" w14:textId="2F2DC93D" w:rsidR="00901633" w:rsidRPr="007D39C3" w:rsidRDefault="00901633" w:rsidP="00901633">
            <w:pPr>
              <w:jc w:val="both"/>
              <w:rPr>
                <w:lang w:val="en-GB"/>
              </w:rPr>
            </w:pPr>
            <w:r w:rsidRPr="007D39C3">
              <w:t xml:space="preserve">With reference to Section III – Evaluation and Qualification Criteria, Experience requirements </w:t>
            </w:r>
            <w:r w:rsidRPr="007D39C3">
              <w:rPr>
                <w:b/>
                <w:bCs/>
              </w:rPr>
              <w:t>each contract</w:t>
            </w:r>
            <w:r w:rsidRPr="007D39C3">
              <w:t xml:space="preserve"> must be considered in its entirety. Multiple contracts executed within the same project, even if related to the same institution, timeframe, or delivery scope, cannot be combined to meet the minimum value or experience requirement. Only individual contracts as executed and formally signed are acceptable for this purpose. </w:t>
            </w:r>
          </w:p>
        </w:tc>
      </w:tr>
      <w:tr w:rsidR="00901633" w:rsidRPr="007D39C3" w14:paraId="0258B387" w14:textId="77777777" w:rsidTr="009E49DF">
        <w:trPr>
          <w:trHeight w:val="70"/>
        </w:trPr>
        <w:tc>
          <w:tcPr>
            <w:tcW w:w="534" w:type="dxa"/>
          </w:tcPr>
          <w:p w14:paraId="70A7CE8F" w14:textId="74149985" w:rsidR="00901633" w:rsidRPr="007D39C3" w:rsidRDefault="00901633" w:rsidP="00901633">
            <w:pPr>
              <w:jc w:val="center"/>
              <w:rPr>
                <w:lang w:val="en-GB"/>
              </w:rPr>
            </w:pPr>
            <w:r w:rsidRPr="007D39C3">
              <w:rPr>
                <w:lang w:val="en-GB"/>
              </w:rPr>
              <w:t>20</w:t>
            </w:r>
          </w:p>
        </w:tc>
        <w:tc>
          <w:tcPr>
            <w:tcW w:w="4154" w:type="dxa"/>
          </w:tcPr>
          <w:p w14:paraId="70AC3038" w14:textId="166E328B" w:rsidR="00901633" w:rsidRPr="007D39C3" w:rsidRDefault="00901633" w:rsidP="00901633">
            <w:pPr>
              <w:jc w:val="both"/>
              <w:rPr>
                <w:b/>
                <w:bCs/>
                <w:lang w:val="en-GB"/>
              </w:rPr>
            </w:pPr>
            <w:r w:rsidRPr="007D39C3">
              <w:rPr>
                <w:lang w:val="en-GB"/>
              </w:rPr>
              <w:t>Finally, we would appreciate your confirmation that the service support requirements refer to standard working days and hours, and not to 24/7 availability</w:t>
            </w:r>
            <w:r w:rsidRPr="007D39C3">
              <w:rPr>
                <w:b/>
                <w:bCs/>
                <w:lang w:val="en-GB"/>
              </w:rPr>
              <w:t>.</w:t>
            </w:r>
          </w:p>
        </w:tc>
        <w:tc>
          <w:tcPr>
            <w:tcW w:w="4662" w:type="dxa"/>
          </w:tcPr>
          <w:p w14:paraId="18C2C051" w14:textId="6389EB2F" w:rsidR="00490F23" w:rsidRPr="007D39C3" w:rsidRDefault="00BE6E69" w:rsidP="00901633">
            <w:pPr>
              <w:jc w:val="both"/>
              <w:rPr>
                <w:lang w:val="en-GB"/>
              </w:rPr>
            </w:pPr>
            <w:r w:rsidRPr="007D39C3">
              <w:rPr>
                <w:lang w:val="en-GB"/>
              </w:rPr>
              <w:t>Service support requirements refer to regular working hours (8:00am-16:00pm Monday through Friday).</w:t>
            </w:r>
          </w:p>
        </w:tc>
      </w:tr>
      <w:tr w:rsidR="00901633" w:rsidRPr="007D39C3" w14:paraId="488C2643" w14:textId="77777777" w:rsidTr="009E49DF">
        <w:trPr>
          <w:trHeight w:val="70"/>
        </w:trPr>
        <w:tc>
          <w:tcPr>
            <w:tcW w:w="534" w:type="dxa"/>
          </w:tcPr>
          <w:p w14:paraId="0F32498B" w14:textId="59AED583" w:rsidR="00901633" w:rsidRPr="007D39C3" w:rsidRDefault="00901633" w:rsidP="00901633">
            <w:pPr>
              <w:jc w:val="center"/>
              <w:rPr>
                <w:lang w:val="en-GB"/>
              </w:rPr>
            </w:pPr>
            <w:r w:rsidRPr="007D39C3">
              <w:rPr>
                <w:lang w:val="en-GB"/>
              </w:rPr>
              <w:t>21</w:t>
            </w:r>
          </w:p>
        </w:tc>
        <w:tc>
          <w:tcPr>
            <w:tcW w:w="4154" w:type="dxa"/>
          </w:tcPr>
          <w:p w14:paraId="173C1F8F" w14:textId="073F89F6" w:rsidR="00901633" w:rsidRPr="007D39C3" w:rsidRDefault="00901633" w:rsidP="00901633">
            <w:pPr>
              <w:jc w:val="both"/>
              <w:rPr>
                <w:lang w:val="en-GB"/>
              </w:rPr>
            </w:pPr>
            <w:r w:rsidRPr="007D39C3">
              <w:rPr>
                <w:lang w:val="en-GB"/>
              </w:rPr>
              <w:t>For Lot 2, Item 2.11 - Relief Ink, the required specifications indicate 210 pieces of ink, while the quantity listed is 200 pieces. Could you please confirm whether the correct requested quantity is one set, rather than 200 pieces?</w:t>
            </w:r>
          </w:p>
        </w:tc>
        <w:tc>
          <w:tcPr>
            <w:tcW w:w="4662" w:type="dxa"/>
          </w:tcPr>
          <w:p w14:paraId="1BB923BF" w14:textId="77777777" w:rsidR="00781BD1" w:rsidRPr="007D39C3" w:rsidRDefault="00781BD1" w:rsidP="00781BD1">
            <w:pPr>
              <w:jc w:val="both"/>
            </w:pPr>
            <w:r w:rsidRPr="007D39C3">
              <w:t xml:space="preserve">This issue is subject of </w:t>
            </w:r>
            <w:r w:rsidRPr="007D39C3">
              <w:rPr>
                <w:bCs/>
                <w:lang w:val="en-GB"/>
              </w:rPr>
              <w:t>Addendum</w:t>
            </w:r>
            <w:r w:rsidRPr="007D39C3">
              <w:t xml:space="preserve"> No.1.</w:t>
            </w:r>
          </w:p>
          <w:p w14:paraId="78935E0E" w14:textId="4BE1424B" w:rsidR="00901633" w:rsidRPr="007D39C3" w:rsidRDefault="00901633" w:rsidP="001559A0">
            <w:pPr>
              <w:jc w:val="both"/>
              <w:rPr>
                <w:lang w:val="en-GB"/>
              </w:rPr>
            </w:pPr>
          </w:p>
        </w:tc>
      </w:tr>
      <w:tr w:rsidR="00901633" w:rsidRPr="007D39C3" w14:paraId="209A5851" w14:textId="77777777" w:rsidTr="009E49DF">
        <w:trPr>
          <w:trHeight w:val="70"/>
        </w:trPr>
        <w:tc>
          <w:tcPr>
            <w:tcW w:w="534" w:type="dxa"/>
          </w:tcPr>
          <w:p w14:paraId="23FE1312" w14:textId="3002E186" w:rsidR="00901633" w:rsidRPr="007D39C3" w:rsidRDefault="00901633" w:rsidP="00901633">
            <w:pPr>
              <w:jc w:val="center"/>
              <w:rPr>
                <w:lang w:val="en-GB"/>
              </w:rPr>
            </w:pPr>
            <w:r w:rsidRPr="007D39C3">
              <w:rPr>
                <w:lang w:val="en-GB"/>
              </w:rPr>
              <w:t>22</w:t>
            </w:r>
          </w:p>
        </w:tc>
        <w:tc>
          <w:tcPr>
            <w:tcW w:w="4154" w:type="dxa"/>
          </w:tcPr>
          <w:p w14:paraId="652E7121" w14:textId="62B6030F" w:rsidR="00901633" w:rsidRPr="007D39C3" w:rsidRDefault="00901633" w:rsidP="00901633">
            <w:pPr>
              <w:jc w:val="both"/>
              <w:rPr>
                <w:lang w:val="en-GB"/>
              </w:rPr>
            </w:pPr>
            <w:r w:rsidRPr="007D39C3">
              <w:rPr>
                <w:lang w:val="en-GB"/>
              </w:rPr>
              <w:t>For Lot 2, Item 2.16 - Paperboard for printmaking, the required specifications indicate 1000 pieces of paperboard, while the quantity listed is 1000 pieces. Could you please confirm whether the correct requested quantity is one set, rather than 1000 pieces?</w:t>
            </w:r>
          </w:p>
        </w:tc>
        <w:tc>
          <w:tcPr>
            <w:tcW w:w="4662" w:type="dxa"/>
          </w:tcPr>
          <w:p w14:paraId="4FA39010" w14:textId="77777777" w:rsidR="00781BD1" w:rsidRPr="007D39C3" w:rsidRDefault="00781BD1" w:rsidP="00781BD1">
            <w:pPr>
              <w:jc w:val="both"/>
            </w:pPr>
            <w:r w:rsidRPr="007D39C3">
              <w:t xml:space="preserve">This issue is subject of </w:t>
            </w:r>
            <w:r w:rsidRPr="007D39C3">
              <w:rPr>
                <w:bCs/>
                <w:lang w:val="en-GB"/>
              </w:rPr>
              <w:t>Addendum</w:t>
            </w:r>
            <w:r w:rsidRPr="007D39C3">
              <w:t xml:space="preserve"> No.1.</w:t>
            </w:r>
          </w:p>
          <w:p w14:paraId="41B6E5CA" w14:textId="5E6479DA" w:rsidR="001559A0" w:rsidRPr="007D39C3" w:rsidRDefault="001559A0" w:rsidP="001559A0">
            <w:pPr>
              <w:jc w:val="both"/>
              <w:rPr>
                <w:lang w:val="en-GB"/>
              </w:rPr>
            </w:pPr>
          </w:p>
        </w:tc>
      </w:tr>
      <w:tr w:rsidR="00901633" w:rsidRPr="007D39C3" w14:paraId="0D774CC8" w14:textId="77777777" w:rsidTr="009E49DF">
        <w:trPr>
          <w:trHeight w:val="70"/>
        </w:trPr>
        <w:tc>
          <w:tcPr>
            <w:tcW w:w="534" w:type="dxa"/>
          </w:tcPr>
          <w:p w14:paraId="1C119816" w14:textId="3F857025" w:rsidR="00901633" w:rsidRPr="007D39C3" w:rsidRDefault="00901633" w:rsidP="00901633">
            <w:pPr>
              <w:jc w:val="center"/>
              <w:rPr>
                <w:lang w:val="en-GB"/>
              </w:rPr>
            </w:pPr>
            <w:r w:rsidRPr="007D39C3">
              <w:rPr>
                <w:lang w:val="en-GB"/>
              </w:rPr>
              <w:t>23</w:t>
            </w:r>
          </w:p>
        </w:tc>
        <w:tc>
          <w:tcPr>
            <w:tcW w:w="4154" w:type="dxa"/>
          </w:tcPr>
          <w:p w14:paraId="5C8EC98A" w14:textId="77777777" w:rsidR="00901633" w:rsidRPr="007D39C3" w:rsidRDefault="00901633" w:rsidP="00901633">
            <w:pPr>
              <w:jc w:val="both"/>
              <w:rPr>
                <w:lang w:val="en-GB"/>
              </w:rPr>
            </w:pPr>
            <w:r w:rsidRPr="007D39C3">
              <w:rPr>
                <w:lang w:val="en-GB"/>
              </w:rPr>
              <w:t>Item 4.3 Airway practice simulator</w:t>
            </w:r>
          </w:p>
          <w:p w14:paraId="6CD6A373" w14:textId="77777777" w:rsidR="00901633" w:rsidRPr="007D39C3" w:rsidRDefault="00901633" w:rsidP="00901633">
            <w:pPr>
              <w:numPr>
                <w:ilvl w:val="0"/>
                <w:numId w:val="10"/>
              </w:numPr>
              <w:jc w:val="both"/>
              <w:rPr>
                <w:lang w:val="en-GB"/>
              </w:rPr>
            </w:pPr>
            <w:r w:rsidRPr="007D39C3">
              <w:rPr>
                <w:lang w:val="en-GB"/>
              </w:rPr>
              <w:lastRenderedPageBreak/>
              <w:t>Is it acceptable to offer two (2) lung bags?</w:t>
            </w:r>
          </w:p>
          <w:p w14:paraId="6A044FAB" w14:textId="4461D29D" w:rsidR="00781BD1" w:rsidRPr="007D39C3" w:rsidRDefault="00901633" w:rsidP="00C96E54">
            <w:pPr>
              <w:pStyle w:val="ListParagraph"/>
              <w:numPr>
                <w:ilvl w:val="0"/>
                <w:numId w:val="10"/>
              </w:numPr>
              <w:jc w:val="both"/>
              <w:rPr>
                <w:lang w:val="en-GB"/>
              </w:rPr>
            </w:pPr>
            <w:r w:rsidRPr="007D39C3">
              <w:rPr>
                <w:lang w:val="en-GB"/>
              </w:rPr>
              <w:t>Is it acceptable to offer tongue bulb that is not inflatable?</w:t>
            </w:r>
            <w:r w:rsidR="00781BD1" w:rsidRPr="007D39C3">
              <w:rPr>
                <w:vanish/>
                <w:lang w:val="en-GB"/>
              </w:rPr>
              <w:cr/>
              <w:t>12nsion approx.: 220 x 60 x 200</w:t>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r w:rsidR="00781BD1" w:rsidRPr="007D39C3">
              <w:rPr>
                <w:vanish/>
                <w:lang w:val="en-GB"/>
              </w:rPr>
              <w:pgNum/>
            </w:r>
          </w:p>
        </w:tc>
        <w:tc>
          <w:tcPr>
            <w:tcW w:w="4662" w:type="dxa"/>
          </w:tcPr>
          <w:p w14:paraId="2DC55A35" w14:textId="77777777" w:rsidR="009821CE" w:rsidRPr="007D39C3" w:rsidRDefault="00781BD1" w:rsidP="00781BD1">
            <w:pPr>
              <w:numPr>
                <w:ilvl w:val="0"/>
                <w:numId w:val="9"/>
              </w:numPr>
              <w:contextualSpacing/>
              <w:jc w:val="both"/>
              <w:rPr>
                <w:lang w:val="en-GB"/>
              </w:rPr>
            </w:pPr>
            <w:r w:rsidRPr="007D39C3">
              <w:rPr>
                <w:lang w:val="en-GB"/>
              </w:rPr>
              <w:lastRenderedPageBreak/>
              <w:t>This issue is subject of Addendum No.1.</w:t>
            </w:r>
          </w:p>
          <w:p w14:paraId="53EDD28F" w14:textId="77777777" w:rsidR="00C96E54" w:rsidRPr="007D39C3" w:rsidRDefault="00C96E54" w:rsidP="00C96E54">
            <w:pPr>
              <w:contextualSpacing/>
              <w:jc w:val="both"/>
              <w:rPr>
                <w:lang w:val="en-GB"/>
              </w:rPr>
            </w:pPr>
          </w:p>
          <w:p w14:paraId="65B3AA5D" w14:textId="77777777" w:rsidR="00C96E54" w:rsidRPr="007D39C3" w:rsidRDefault="00C96E54" w:rsidP="00C96E54">
            <w:pPr>
              <w:contextualSpacing/>
              <w:jc w:val="both"/>
              <w:rPr>
                <w:lang w:val="en-GB"/>
              </w:rPr>
            </w:pPr>
          </w:p>
          <w:p w14:paraId="69C1313F" w14:textId="07226652" w:rsidR="00901633" w:rsidRPr="007D39C3" w:rsidRDefault="00901633" w:rsidP="00781BD1">
            <w:pPr>
              <w:numPr>
                <w:ilvl w:val="0"/>
                <w:numId w:val="9"/>
              </w:numPr>
              <w:contextualSpacing/>
              <w:jc w:val="both"/>
              <w:rPr>
                <w:lang w:val="en-GB"/>
              </w:rPr>
            </w:pPr>
            <w:r w:rsidRPr="007D39C3">
              <w:rPr>
                <w:lang w:val="en-GB"/>
              </w:rPr>
              <w:t>No, it is not acceptable.</w:t>
            </w:r>
          </w:p>
          <w:p w14:paraId="42713E7E" w14:textId="2CB2FC8E" w:rsidR="00901633" w:rsidRPr="007D39C3" w:rsidRDefault="00901633" w:rsidP="00901633">
            <w:pPr>
              <w:jc w:val="both"/>
              <w:rPr>
                <w:lang w:val="en-GB"/>
              </w:rPr>
            </w:pPr>
          </w:p>
        </w:tc>
      </w:tr>
      <w:tr w:rsidR="00901633" w:rsidRPr="007D39C3" w14:paraId="6597A7D4" w14:textId="77777777" w:rsidTr="009E49DF">
        <w:trPr>
          <w:trHeight w:val="70"/>
        </w:trPr>
        <w:tc>
          <w:tcPr>
            <w:tcW w:w="534" w:type="dxa"/>
          </w:tcPr>
          <w:p w14:paraId="2FD464DB" w14:textId="1CEBF758" w:rsidR="00901633" w:rsidRPr="007D39C3" w:rsidRDefault="00901633" w:rsidP="00901633">
            <w:pPr>
              <w:jc w:val="center"/>
              <w:rPr>
                <w:lang w:val="en-GB"/>
              </w:rPr>
            </w:pPr>
            <w:r w:rsidRPr="007D39C3">
              <w:rPr>
                <w:lang w:val="en-GB"/>
              </w:rPr>
              <w:lastRenderedPageBreak/>
              <w:t>24</w:t>
            </w:r>
          </w:p>
        </w:tc>
        <w:tc>
          <w:tcPr>
            <w:tcW w:w="4154" w:type="dxa"/>
          </w:tcPr>
          <w:p w14:paraId="4CCEF856" w14:textId="39B68D60" w:rsidR="00901633" w:rsidRPr="007D39C3" w:rsidRDefault="00901633" w:rsidP="00901633">
            <w:pPr>
              <w:jc w:val="both"/>
              <w:rPr>
                <w:lang w:val="en-GB"/>
              </w:rPr>
            </w:pPr>
            <w:r w:rsidRPr="007D39C3">
              <w:rPr>
                <w:lang w:val="en-GB"/>
              </w:rPr>
              <w:t>Item 4.4 Paediatric care manikin</w:t>
            </w:r>
          </w:p>
          <w:p w14:paraId="022DF06B" w14:textId="20BD3137"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manikin with eyes open without closing and does not bend at waist? </w:t>
            </w:r>
          </w:p>
        </w:tc>
        <w:tc>
          <w:tcPr>
            <w:tcW w:w="4662" w:type="dxa"/>
          </w:tcPr>
          <w:p w14:paraId="376CD798" w14:textId="0CB830B5" w:rsidR="00901633" w:rsidRPr="007D39C3" w:rsidRDefault="00901633" w:rsidP="00901633">
            <w:pPr>
              <w:jc w:val="both"/>
              <w:rPr>
                <w:lang w:val="en-GB"/>
              </w:rPr>
            </w:pPr>
            <w:r w:rsidRPr="007D39C3">
              <w:rPr>
                <w:lang w:val="en-GB"/>
              </w:rPr>
              <w:t>No, it is not acceptable.</w:t>
            </w:r>
          </w:p>
        </w:tc>
      </w:tr>
      <w:tr w:rsidR="00901633" w:rsidRPr="007D39C3" w14:paraId="63919A05" w14:textId="77777777" w:rsidTr="009E49DF">
        <w:trPr>
          <w:trHeight w:val="70"/>
        </w:trPr>
        <w:tc>
          <w:tcPr>
            <w:tcW w:w="534" w:type="dxa"/>
          </w:tcPr>
          <w:p w14:paraId="061FE8A5" w14:textId="7EE88C4E" w:rsidR="00901633" w:rsidRPr="007D39C3" w:rsidRDefault="00901633" w:rsidP="00901633">
            <w:pPr>
              <w:jc w:val="center"/>
              <w:rPr>
                <w:lang w:val="en-GB"/>
              </w:rPr>
            </w:pPr>
            <w:r w:rsidRPr="007D39C3">
              <w:rPr>
                <w:lang w:val="en-GB"/>
              </w:rPr>
              <w:t>25</w:t>
            </w:r>
          </w:p>
        </w:tc>
        <w:tc>
          <w:tcPr>
            <w:tcW w:w="4154" w:type="dxa"/>
          </w:tcPr>
          <w:p w14:paraId="70B3D575" w14:textId="77777777" w:rsidR="00901633" w:rsidRPr="007D39C3" w:rsidRDefault="00901633" w:rsidP="00901633">
            <w:pPr>
              <w:jc w:val="both"/>
              <w:rPr>
                <w:lang w:val="en-GB"/>
              </w:rPr>
            </w:pPr>
            <w:r w:rsidRPr="007D39C3">
              <w:rPr>
                <w:lang w:val="en-GB"/>
              </w:rPr>
              <w:t>Item 4.11 CPR and airway trainer advance</w:t>
            </w:r>
          </w:p>
          <w:p w14:paraId="50295F63" w14:textId="49C3968C" w:rsidR="00901633" w:rsidRPr="007D39C3" w:rsidRDefault="00901633" w:rsidP="00901633">
            <w:pPr>
              <w:jc w:val="both"/>
              <w:rPr>
                <w:lang w:val="en-GB"/>
              </w:rPr>
            </w:pPr>
            <w:r w:rsidRPr="007D39C3">
              <w:rPr>
                <w:lang w:val="en-GB"/>
              </w:rPr>
              <w:t>Sound guided chest compression + or digital chest compression</w:t>
            </w:r>
          </w:p>
          <w:p w14:paraId="112CA84F" w14:textId="6E30AD38" w:rsidR="00901633" w:rsidRPr="007D39C3" w:rsidRDefault="00901633" w:rsidP="00901633">
            <w:pPr>
              <w:jc w:val="both"/>
              <w:rPr>
                <w:lang w:val="en-GB"/>
              </w:rPr>
            </w:pPr>
            <w:r w:rsidRPr="007D39C3">
              <w:rPr>
                <w:lang w:val="en-GB"/>
              </w:rPr>
              <w:t>Is it possible to allow option to offer digital chest compression?</w:t>
            </w:r>
          </w:p>
        </w:tc>
        <w:tc>
          <w:tcPr>
            <w:tcW w:w="4662" w:type="dxa"/>
          </w:tcPr>
          <w:p w14:paraId="7941922C" w14:textId="168B2929" w:rsidR="00901633" w:rsidRPr="007D39C3" w:rsidRDefault="00901633" w:rsidP="00901633">
            <w:pPr>
              <w:jc w:val="both"/>
              <w:rPr>
                <w:lang w:val="en-GB"/>
              </w:rPr>
            </w:pPr>
            <w:r w:rsidRPr="007D39C3">
              <w:rPr>
                <w:lang w:val="en-GB"/>
              </w:rPr>
              <w:t>Sound guided chest compression is requested and it can be provided through trainer or external source as tablet or smartphone.</w:t>
            </w:r>
          </w:p>
        </w:tc>
      </w:tr>
      <w:tr w:rsidR="00901633" w:rsidRPr="007D39C3" w14:paraId="3E6C2B09" w14:textId="77777777" w:rsidTr="009E49DF">
        <w:trPr>
          <w:trHeight w:val="70"/>
        </w:trPr>
        <w:tc>
          <w:tcPr>
            <w:tcW w:w="534" w:type="dxa"/>
          </w:tcPr>
          <w:p w14:paraId="1497F513" w14:textId="6725451E" w:rsidR="00901633" w:rsidRPr="007D39C3" w:rsidRDefault="00901633" w:rsidP="00901633">
            <w:pPr>
              <w:jc w:val="center"/>
              <w:rPr>
                <w:lang w:val="en-GB"/>
              </w:rPr>
            </w:pPr>
            <w:r w:rsidRPr="007D39C3">
              <w:rPr>
                <w:lang w:val="en-GB"/>
              </w:rPr>
              <w:t>26</w:t>
            </w:r>
          </w:p>
        </w:tc>
        <w:tc>
          <w:tcPr>
            <w:tcW w:w="4154" w:type="dxa"/>
          </w:tcPr>
          <w:p w14:paraId="22E1A584" w14:textId="736B2339" w:rsidR="00901633" w:rsidRPr="007D39C3" w:rsidRDefault="00901633" w:rsidP="00901633">
            <w:pPr>
              <w:jc w:val="both"/>
              <w:rPr>
                <w:lang w:val="en-GB"/>
              </w:rPr>
            </w:pPr>
            <w:r w:rsidRPr="007D39C3">
              <w:rPr>
                <w:lang w:val="en-GB"/>
              </w:rPr>
              <w:t>Item 4.12 CPR and airway trainer basic</w:t>
            </w:r>
          </w:p>
          <w:p w14:paraId="24A18D61" w14:textId="67000CDB"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CPR and airway trainer basic without suction feature and no practice of oral, digital, and nasal intubation </w:t>
            </w:r>
          </w:p>
        </w:tc>
        <w:tc>
          <w:tcPr>
            <w:tcW w:w="4662" w:type="dxa"/>
          </w:tcPr>
          <w:p w14:paraId="64B993E9" w14:textId="166F2166" w:rsidR="00901633" w:rsidRPr="007D39C3" w:rsidRDefault="00B33CCC" w:rsidP="00901633">
            <w:pPr>
              <w:jc w:val="both"/>
              <w:rPr>
                <w:lang w:val="en-GB"/>
              </w:rPr>
            </w:pPr>
            <w:r w:rsidRPr="007D39C3">
              <w:rPr>
                <w:lang w:val="en-GB"/>
              </w:rPr>
              <w:t>No, it is not acceptable.</w:t>
            </w:r>
          </w:p>
        </w:tc>
      </w:tr>
      <w:tr w:rsidR="00901633" w:rsidRPr="007D39C3" w14:paraId="38759585" w14:textId="77777777" w:rsidTr="009E49DF">
        <w:trPr>
          <w:trHeight w:val="70"/>
        </w:trPr>
        <w:tc>
          <w:tcPr>
            <w:tcW w:w="534" w:type="dxa"/>
          </w:tcPr>
          <w:p w14:paraId="41DDA6DE" w14:textId="003E57E1" w:rsidR="00901633" w:rsidRPr="007D39C3" w:rsidRDefault="00901633" w:rsidP="00901633">
            <w:pPr>
              <w:jc w:val="center"/>
              <w:rPr>
                <w:lang w:val="en-GB"/>
              </w:rPr>
            </w:pPr>
            <w:r w:rsidRPr="007D39C3">
              <w:rPr>
                <w:lang w:val="en-GB"/>
              </w:rPr>
              <w:t>27</w:t>
            </w:r>
          </w:p>
        </w:tc>
        <w:tc>
          <w:tcPr>
            <w:tcW w:w="4154" w:type="dxa"/>
          </w:tcPr>
          <w:p w14:paraId="2341A8F2" w14:textId="169A2BC3" w:rsidR="00901633" w:rsidRPr="007D39C3" w:rsidRDefault="00901633" w:rsidP="00901633">
            <w:pPr>
              <w:jc w:val="both"/>
              <w:rPr>
                <w:lang w:val="en-GB"/>
              </w:rPr>
            </w:pPr>
            <w:r w:rsidRPr="007D39C3">
              <w:rPr>
                <w:lang w:val="en-GB"/>
              </w:rPr>
              <w:t>Item 4.33 Bleeding control trainer</w:t>
            </w:r>
          </w:p>
          <w:p w14:paraId="6F57751A" w14:textId="09F99EB0"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Blood powder of 100g </w:t>
            </w:r>
          </w:p>
        </w:tc>
        <w:tc>
          <w:tcPr>
            <w:tcW w:w="4662" w:type="dxa"/>
          </w:tcPr>
          <w:p w14:paraId="09345A37" w14:textId="22BC117A" w:rsidR="00901633" w:rsidRPr="007D39C3" w:rsidRDefault="00B33CCC" w:rsidP="00901633">
            <w:pPr>
              <w:jc w:val="both"/>
              <w:rPr>
                <w:lang w:val="en-GB"/>
              </w:rPr>
            </w:pPr>
            <w:r w:rsidRPr="007D39C3">
              <w:rPr>
                <w:lang w:val="en-GB"/>
              </w:rPr>
              <w:t>No, it is not acceptable. Blood powder 500g is requested. Tenderers could offer 5x100g.</w:t>
            </w:r>
          </w:p>
        </w:tc>
      </w:tr>
      <w:tr w:rsidR="00901633" w:rsidRPr="007D39C3" w14:paraId="37240D4F" w14:textId="77777777" w:rsidTr="009E49DF">
        <w:trPr>
          <w:trHeight w:val="70"/>
        </w:trPr>
        <w:tc>
          <w:tcPr>
            <w:tcW w:w="534" w:type="dxa"/>
          </w:tcPr>
          <w:p w14:paraId="5D665995" w14:textId="7C0D3FAA" w:rsidR="00901633" w:rsidRPr="007D39C3" w:rsidRDefault="00901633" w:rsidP="00901633">
            <w:pPr>
              <w:jc w:val="center"/>
              <w:rPr>
                <w:lang w:val="en-GB"/>
              </w:rPr>
            </w:pPr>
            <w:r w:rsidRPr="007D39C3">
              <w:rPr>
                <w:lang w:val="en-GB"/>
              </w:rPr>
              <w:t>28</w:t>
            </w:r>
          </w:p>
        </w:tc>
        <w:tc>
          <w:tcPr>
            <w:tcW w:w="4154" w:type="dxa"/>
          </w:tcPr>
          <w:p w14:paraId="72965AEF" w14:textId="6F5EA700" w:rsidR="00901633" w:rsidRPr="007D39C3" w:rsidRDefault="00901633" w:rsidP="00901633">
            <w:pPr>
              <w:jc w:val="both"/>
              <w:rPr>
                <w:lang w:val="en-GB"/>
              </w:rPr>
            </w:pPr>
            <w:r w:rsidRPr="007D39C3">
              <w:rPr>
                <w:lang w:val="en-GB"/>
              </w:rPr>
              <w:t>Item 4.43 Cervical orthosis</w:t>
            </w:r>
          </w:p>
          <w:p w14:paraId="3A8797B9" w14:textId="2A0C1BBA" w:rsidR="00901633" w:rsidRPr="007D39C3" w:rsidRDefault="00901633" w:rsidP="001B3950">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w:t>
            </w:r>
            <w:r w:rsidR="001B3950" w:rsidRPr="007D39C3">
              <w:rPr>
                <w:rFonts w:asciiTheme="minorHAnsi" w:hAnsiTheme="minorHAnsi" w:cstheme="minorBidi"/>
                <w:color w:val="auto"/>
                <w:kern w:val="2"/>
                <w:sz w:val="22"/>
                <w:szCs w:val="22"/>
                <w:lang w:val="en-GB"/>
              </w:rPr>
              <w:t xml:space="preserve">One piece with Velcro closure? </w:t>
            </w:r>
          </w:p>
        </w:tc>
        <w:tc>
          <w:tcPr>
            <w:tcW w:w="4662" w:type="dxa"/>
          </w:tcPr>
          <w:p w14:paraId="422D10B5" w14:textId="77777777" w:rsidR="00150570" w:rsidRPr="007D39C3" w:rsidRDefault="00150570" w:rsidP="00150570">
            <w:pPr>
              <w:jc w:val="both"/>
            </w:pPr>
            <w:r w:rsidRPr="007D39C3">
              <w:t xml:space="preserve">This issue is subject of </w:t>
            </w:r>
            <w:r w:rsidRPr="007D39C3">
              <w:rPr>
                <w:bCs/>
                <w:lang w:val="en-GB"/>
              </w:rPr>
              <w:t>Addendum</w:t>
            </w:r>
            <w:r w:rsidRPr="007D39C3">
              <w:t xml:space="preserve"> No.1.</w:t>
            </w:r>
          </w:p>
          <w:p w14:paraId="7ED471F0" w14:textId="31948630" w:rsidR="00901633" w:rsidRPr="007D39C3" w:rsidRDefault="00901633" w:rsidP="00901633">
            <w:pPr>
              <w:jc w:val="both"/>
              <w:rPr>
                <w:lang w:val="en-GB"/>
              </w:rPr>
            </w:pPr>
          </w:p>
        </w:tc>
      </w:tr>
      <w:tr w:rsidR="00901633" w:rsidRPr="007D39C3" w14:paraId="1AF3F682" w14:textId="77777777" w:rsidTr="009E49DF">
        <w:trPr>
          <w:trHeight w:val="70"/>
        </w:trPr>
        <w:tc>
          <w:tcPr>
            <w:tcW w:w="534" w:type="dxa"/>
          </w:tcPr>
          <w:p w14:paraId="5C629D65" w14:textId="5AD7B476" w:rsidR="00901633" w:rsidRPr="007D39C3" w:rsidRDefault="00901633" w:rsidP="00901633">
            <w:pPr>
              <w:jc w:val="center"/>
              <w:rPr>
                <w:lang w:val="en-GB"/>
              </w:rPr>
            </w:pPr>
            <w:r w:rsidRPr="007D39C3">
              <w:rPr>
                <w:lang w:val="en-GB"/>
              </w:rPr>
              <w:t>29</w:t>
            </w:r>
          </w:p>
        </w:tc>
        <w:tc>
          <w:tcPr>
            <w:tcW w:w="4154" w:type="dxa"/>
          </w:tcPr>
          <w:p w14:paraId="0F8BD245" w14:textId="215F89F8" w:rsidR="00901633" w:rsidRPr="007D39C3" w:rsidRDefault="00901633" w:rsidP="00901633">
            <w:pPr>
              <w:jc w:val="both"/>
              <w:rPr>
                <w:lang w:val="en-GB"/>
              </w:rPr>
            </w:pPr>
            <w:r w:rsidRPr="007D39C3">
              <w:rPr>
                <w:lang w:val="en-GB"/>
              </w:rPr>
              <w:t xml:space="preserve">Item 4.48 Basket stretcher </w:t>
            </w:r>
          </w:p>
          <w:p w14:paraId="4E3D11F8" w14:textId="693CB453"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basket stretcher dimensions 220 x 60 x 20cm and without Moulded runners? </w:t>
            </w:r>
          </w:p>
        </w:tc>
        <w:tc>
          <w:tcPr>
            <w:tcW w:w="4662" w:type="dxa"/>
          </w:tcPr>
          <w:p w14:paraId="66D03C52" w14:textId="77777777" w:rsidR="00150570" w:rsidRPr="007D39C3" w:rsidRDefault="00150570" w:rsidP="00150570">
            <w:pPr>
              <w:jc w:val="both"/>
            </w:pPr>
            <w:r w:rsidRPr="007D39C3">
              <w:t xml:space="preserve">This issue is subject of </w:t>
            </w:r>
            <w:r w:rsidRPr="007D39C3">
              <w:rPr>
                <w:bCs/>
                <w:lang w:val="en-GB"/>
              </w:rPr>
              <w:t>Addendum</w:t>
            </w:r>
            <w:r w:rsidRPr="007D39C3">
              <w:t xml:space="preserve"> No.1.</w:t>
            </w:r>
          </w:p>
          <w:p w14:paraId="17E72E9D" w14:textId="59673104" w:rsidR="00901633" w:rsidRPr="007D39C3" w:rsidRDefault="00901633" w:rsidP="001559A0">
            <w:pPr>
              <w:jc w:val="both"/>
            </w:pPr>
          </w:p>
        </w:tc>
      </w:tr>
      <w:tr w:rsidR="00901633" w:rsidRPr="007D39C3" w14:paraId="08971EBF" w14:textId="77777777" w:rsidTr="009E49DF">
        <w:trPr>
          <w:trHeight w:val="70"/>
        </w:trPr>
        <w:tc>
          <w:tcPr>
            <w:tcW w:w="534" w:type="dxa"/>
          </w:tcPr>
          <w:p w14:paraId="7363AC2A" w14:textId="729D80DE" w:rsidR="00901633" w:rsidRPr="007D39C3" w:rsidRDefault="004827A4" w:rsidP="00901633">
            <w:pPr>
              <w:jc w:val="center"/>
              <w:rPr>
                <w:lang w:val="en-GB"/>
              </w:rPr>
            </w:pPr>
            <w:r w:rsidRPr="007D39C3">
              <w:rPr>
                <w:lang w:val="en-GB"/>
              </w:rPr>
              <w:t>30</w:t>
            </w:r>
          </w:p>
        </w:tc>
        <w:tc>
          <w:tcPr>
            <w:tcW w:w="4154" w:type="dxa"/>
          </w:tcPr>
          <w:p w14:paraId="032ACD81" w14:textId="77777777" w:rsidR="00901633" w:rsidRPr="007D39C3" w:rsidRDefault="00901633" w:rsidP="00901633">
            <w:pPr>
              <w:jc w:val="both"/>
              <w:rPr>
                <w:lang w:val="en-GB"/>
              </w:rPr>
            </w:pPr>
            <w:r w:rsidRPr="007D39C3">
              <w:rPr>
                <w:lang w:val="en-GB"/>
              </w:rPr>
              <w:t>Item 4.54 Water bath</w:t>
            </w:r>
          </w:p>
          <w:p w14:paraId="738C7681" w14:textId="77777777"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water bath that does not include Microprocessor PID temperature control but has basic digital temperature control? </w:t>
            </w:r>
          </w:p>
          <w:p w14:paraId="51D0BACC" w14:textId="3588AAE4" w:rsidR="00901633" w:rsidRPr="007D39C3" w:rsidRDefault="00901633" w:rsidP="00901633">
            <w:pPr>
              <w:jc w:val="both"/>
              <w:rPr>
                <w:lang w:val="en-GB"/>
              </w:rPr>
            </w:pPr>
            <w:r w:rsidRPr="007D39C3">
              <w:rPr>
                <w:lang w:val="en-GB"/>
              </w:rPr>
              <w:t xml:space="preserve">Is it acceptable to offer Temperature range RT+5°C to 95°C? </w:t>
            </w:r>
          </w:p>
        </w:tc>
        <w:tc>
          <w:tcPr>
            <w:tcW w:w="4662" w:type="dxa"/>
          </w:tcPr>
          <w:p w14:paraId="4F9B018B" w14:textId="2A6B5163" w:rsidR="00901633" w:rsidRPr="007D39C3" w:rsidRDefault="00901633" w:rsidP="00901633">
            <w:pPr>
              <w:jc w:val="both"/>
              <w:rPr>
                <w:lang w:val="en-GB"/>
              </w:rPr>
            </w:pPr>
            <w:r w:rsidRPr="007D39C3">
              <w:rPr>
                <w:lang w:val="en-GB"/>
              </w:rPr>
              <w:t>No, it is not acceptable.</w:t>
            </w:r>
          </w:p>
        </w:tc>
      </w:tr>
      <w:tr w:rsidR="00901633" w:rsidRPr="007D39C3" w14:paraId="0CAF988C" w14:textId="77777777" w:rsidTr="009E49DF">
        <w:trPr>
          <w:trHeight w:val="70"/>
        </w:trPr>
        <w:tc>
          <w:tcPr>
            <w:tcW w:w="534" w:type="dxa"/>
          </w:tcPr>
          <w:p w14:paraId="43AE0E7B" w14:textId="1EE46972" w:rsidR="00901633" w:rsidRPr="007D39C3" w:rsidRDefault="004827A4" w:rsidP="00901633">
            <w:pPr>
              <w:jc w:val="center"/>
              <w:rPr>
                <w:lang w:val="en-GB"/>
              </w:rPr>
            </w:pPr>
            <w:r w:rsidRPr="007D39C3">
              <w:rPr>
                <w:lang w:val="en-GB"/>
              </w:rPr>
              <w:t>31</w:t>
            </w:r>
          </w:p>
        </w:tc>
        <w:tc>
          <w:tcPr>
            <w:tcW w:w="4154" w:type="dxa"/>
          </w:tcPr>
          <w:p w14:paraId="27285210" w14:textId="6DAA23FF" w:rsidR="00901633" w:rsidRPr="007D39C3" w:rsidRDefault="00901633" w:rsidP="00901633">
            <w:pPr>
              <w:jc w:val="both"/>
              <w:rPr>
                <w:lang w:val="en-GB"/>
              </w:rPr>
            </w:pPr>
            <w:r w:rsidRPr="007D39C3">
              <w:rPr>
                <w:lang w:val="en-GB"/>
              </w:rPr>
              <w:t xml:space="preserve">Item 4.57 Clevenger apparatus </w:t>
            </w:r>
          </w:p>
          <w:p w14:paraId="076E4C65" w14:textId="794C41B5"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150 mm </w:t>
            </w:r>
            <w:proofErr w:type="spellStart"/>
            <w:r w:rsidRPr="007D39C3">
              <w:rPr>
                <w:rFonts w:asciiTheme="minorHAnsi" w:hAnsiTheme="minorHAnsi" w:cstheme="minorBidi"/>
                <w:color w:val="auto"/>
                <w:kern w:val="2"/>
                <w:sz w:val="22"/>
                <w:szCs w:val="22"/>
                <w:lang w:val="en-GB"/>
              </w:rPr>
              <w:t>Allihn</w:t>
            </w:r>
            <w:proofErr w:type="spellEnd"/>
            <w:r w:rsidRPr="007D39C3">
              <w:rPr>
                <w:rFonts w:asciiTheme="minorHAnsi" w:hAnsiTheme="minorHAnsi" w:cstheme="minorBidi"/>
                <w:color w:val="auto"/>
                <w:kern w:val="2"/>
                <w:sz w:val="22"/>
                <w:szCs w:val="22"/>
                <w:lang w:val="en-GB"/>
              </w:rPr>
              <w:t xml:space="preserve"> condenser? </w:t>
            </w:r>
          </w:p>
        </w:tc>
        <w:tc>
          <w:tcPr>
            <w:tcW w:w="4662" w:type="dxa"/>
          </w:tcPr>
          <w:p w14:paraId="2D756BA6" w14:textId="08D403B0" w:rsidR="00901633" w:rsidRPr="007D39C3" w:rsidRDefault="00B33CCC" w:rsidP="00901633">
            <w:pPr>
              <w:jc w:val="both"/>
              <w:rPr>
                <w:lang w:val="en-GB"/>
              </w:rPr>
            </w:pPr>
            <w:r w:rsidRPr="007D39C3">
              <w:rPr>
                <w:lang w:val="en-GB"/>
              </w:rPr>
              <w:t>No, it is not acceptable.</w:t>
            </w:r>
          </w:p>
        </w:tc>
      </w:tr>
      <w:tr w:rsidR="00901633" w:rsidRPr="007D39C3" w14:paraId="3B9CC10F" w14:textId="77777777" w:rsidTr="009E49DF">
        <w:trPr>
          <w:trHeight w:val="70"/>
        </w:trPr>
        <w:tc>
          <w:tcPr>
            <w:tcW w:w="534" w:type="dxa"/>
          </w:tcPr>
          <w:p w14:paraId="1C677DF5" w14:textId="1A32F983" w:rsidR="00901633" w:rsidRPr="007D39C3" w:rsidRDefault="004827A4" w:rsidP="00901633">
            <w:pPr>
              <w:jc w:val="center"/>
              <w:rPr>
                <w:lang w:val="en-GB"/>
              </w:rPr>
            </w:pPr>
            <w:r w:rsidRPr="007D39C3">
              <w:rPr>
                <w:lang w:val="en-GB"/>
              </w:rPr>
              <w:t>32</w:t>
            </w:r>
          </w:p>
        </w:tc>
        <w:tc>
          <w:tcPr>
            <w:tcW w:w="4154" w:type="dxa"/>
          </w:tcPr>
          <w:p w14:paraId="65858CC3" w14:textId="77777777" w:rsidR="00901633" w:rsidRPr="007D39C3" w:rsidRDefault="00901633" w:rsidP="00901633">
            <w:pPr>
              <w:jc w:val="both"/>
              <w:rPr>
                <w:lang w:val="en-GB"/>
              </w:rPr>
            </w:pPr>
            <w:r w:rsidRPr="007D39C3">
              <w:rPr>
                <w:lang w:val="en-GB"/>
              </w:rPr>
              <w:t xml:space="preserve">Item 4.63 Tripod </w:t>
            </w:r>
          </w:p>
          <w:p w14:paraId="4957D102" w14:textId="68F17D8C"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Tripod with an inner ring diameter of 120mm and a height of 210mm </w:t>
            </w:r>
          </w:p>
        </w:tc>
        <w:tc>
          <w:tcPr>
            <w:tcW w:w="4662" w:type="dxa"/>
          </w:tcPr>
          <w:p w14:paraId="1A117763" w14:textId="77777777" w:rsidR="00150570" w:rsidRPr="007D39C3" w:rsidRDefault="00150570" w:rsidP="00150570">
            <w:pPr>
              <w:jc w:val="both"/>
            </w:pPr>
            <w:r w:rsidRPr="007D39C3">
              <w:t xml:space="preserve">This issue is subject of </w:t>
            </w:r>
            <w:r w:rsidRPr="007D39C3">
              <w:rPr>
                <w:bCs/>
                <w:lang w:val="en-GB"/>
              </w:rPr>
              <w:t>Addendum</w:t>
            </w:r>
            <w:r w:rsidRPr="007D39C3">
              <w:t xml:space="preserve"> No.1.</w:t>
            </w:r>
          </w:p>
          <w:p w14:paraId="4B8B74C5" w14:textId="77777777" w:rsidR="00B33CCC" w:rsidRPr="007D39C3" w:rsidRDefault="00B33CCC" w:rsidP="00B33CCC">
            <w:pPr>
              <w:jc w:val="both"/>
              <w:rPr>
                <w:lang w:val="en-GB"/>
              </w:rPr>
            </w:pPr>
            <w:r w:rsidRPr="007D39C3">
              <w:rPr>
                <w:lang w:val="en-GB"/>
              </w:rPr>
              <w:t>Tenderers are allowed to offer better specifications.</w:t>
            </w:r>
          </w:p>
          <w:p w14:paraId="48FA0B9F" w14:textId="692F7A8E" w:rsidR="00901633" w:rsidRPr="007D39C3" w:rsidRDefault="00901633" w:rsidP="001559A0">
            <w:pPr>
              <w:jc w:val="both"/>
              <w:rPr>
                <w:lang w:val="en-GB"/>
              </w:rPr>
            </w:pPr>
          </w:p>
        </w:tc>
      </w:tr>
      <w:tr w:rsidR="00901633" w:rsidRPr="007D39C3" w14:paraId="19C5440C" w14:textId="77777777" w:rsidTr="009E49DF">
        <w:trPr>
          <w:trHeight w:val="70"/>
        </w:trPr>
        <w:tc>
          <w:tcPr>
            <w:tcW w:w="534" w:type="dxa"/>
          </w:tcPr>
          <w:p w14:paraId="3674DA29" w14:textId="3F1B4AC5" w:rsidR="00901633" w:rsidRPr="007D39C3" w:rsidRDefault="004827A4" w:rsidP="00901633">
            <w:pPr>
              <w:jc w:val="center"/>
              <w:rPr>
                <w:lang w:val="en-GB"/>
              </w:rPr>
            </w:pPr>
            <w:r w:rsidRPr="007D39C3">
              <w:rPr>
                <w:lang w:val="en-GB"/>
              </w:rPr>
              <w:t>33</w:t>
            </w:r>
          </w:p>
        </w:tc>
        <w:tc>
          <w:tcPr>
            <w:tcW w:w="4154" w:type="dxa"/>
          </w:tcPr>
          <w:p w14:paraId="60F504B7" w14:textId="56109872" w:rsidR="00901633" w:rsidRPr="007D39C3" w:rsidRDefault="00901633" w:rsidP="00901633">
            <w:pPr>
              <w:jc w:val="both"/>
              <w:rPr>
                <w:lang w:val="en-GB"/>
              </w:rPr>
            </w:pPr>
            <w:r w:rsidRPr="007D39C3">
              <w:rPr>
                <w:lang w:val="en-GB"/>
              </w:rPr>
              <w:t xml:space="preserve">Item 4.88 Desktop Computer </w:t>
            </w:r>
          </w:p>
          <w:p w14:paraId="3BE23109" w14:textId="0C8E674E"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possible to omit the request for obligatory documentation for this particular item since it is unrealistic to expect the manufacturer of Desktop Computers to </w:t>
            </w:r>
            <w:r w:rsidRPr="007D39C3">
              <w:rPr>
                <w:rFonts w:asciiTheme="minorHAnsi" w:hAnsiTheme="minorHAnsi" w:cstheme="minorBidi"/>
                <w:color w:val="auto"/>
                <w:kern w:val="2"/>
                <w:sz w:val="22"/>
                <w:szCs w:val="22"/>
                <w:lang w:val="en-GB"/>
              </w:rPr>
              <w:lastRenderedPageBreak/>
              <w:t xml:space="preserve">issue Authorization or any other related document for this type of device? </w:t>
            </w:r>
          </w:p>
        </w:tc>
        <w:tc>
          <w:tcPr>
            <w:tcW w:w="4662" w:type="dxa"/>
          </w:tcPr>
          <w:p w14:paraId="7D1398C2" w14:textId="77777777" w:rsidR="00B33CCC" w:rsidRPr="007D39C3" w:rsidRDefault="00B33CCC" w:rsidP="00B33CCC">
            <w:pPr>
              <w:jc w:val="both"/>
              <w:rPr>
                <w:lang w:val="en-GB"/>
              </w:rPr>
            </w:pPr>
            <w:r w:rsidRPr="007D39C3">
              <w:rPr>
                <w:lang w:val="en-GB"/>
              </w:rPr>
              <w:lastRenderedPageBreak/>
              <w:t xml:space="preserve">Manufacturer Authorisation is requested. </w:t>
            </w:r>
          </w:p>
          <w:p w14:paraId="6F7FED73" w14:textId="73D85218" w:rsidR="00901633" w:rsidRPr="007D39C3" w:rsidRDefault="00B33CCC" w:rsidP="00B33CCC">
            <w:pPr>
              <w:jc w:val="both"/>
              <w:rPr>
                <w:lang w:val="en-GB"/>
              </w:rPr>
            </w:pPr>
            <w:r w:rsidRPr="007D39C3">
              <w:rPr>
                <w:lang w:val="en-GB"/>
              </w:rPr>
              <w:t>Please see Answer No. 11</w:t>
            </w:r>
          </w:p>
        </w:tc>
      </w:tr>
      <w:tr w:rsidR="00901633" w:rsidRPr="007D39C3" w14:paraId="4417B287" w14:textId="77777777" w:rsidTr="009E49DF">
        <w:trPr>
          <w:trHeight w:val="70"/>
        </w:trPr>
        <w:tc>
          <w:tcPr>
            <w:tcW w:w="534" w:type="dxa"/>
          </w:tcPr>
          <w:p w14:paraId="5DCDDB6D" w14:textId="28AA86FC" w:rsidR="00901633" w:rsidRPr="007D39C3" w:rsidRDefault="004827A4" w:rsidP="00901633">
            <w:pPr>
              <w:jc w:val="center"/>
              <w:rPr>
                <w:lang w:val="en-GB"/>
              </w:rPr>
            </w:pPr>
            <w:r w:rsidRPr="007D39C3">
              <w:rPr>
                <w:lang w:val="en-GB"/>
              </w:rPr>
              <w:t>34</w:t>
            </w:r>
          </w:p>
        </w:tc>
        <w:tc>
          <w:tcPr>
            <w:tcW w:w="4154" w:type="dxa"/>
          </w:tcPr>
          <w:p w14:paraId="6E5A058F" w14:textId="77777777" w:rsidR="00901633" w:rsidRPr="007D39C3" w:rsidRDefault="00901633" w:rsidP="00901633">
            <w:pPr>
              <w:jc w:val="both"/>
              <w:rPr>
                <w:lang w:val="en-GB"/>
              </w:rPr>
            </w:pPr>
            <w:r w:rsidRPr="007D39C3">
              <w:rPr>
                <w:lang w:val="en-GB"/>
              </w:rPr>
              <w:t>Item 4.91 Dental Chair</w:t>
            </w:r>
          </w:p>
          <w:p w14:paraId="0666B865" w14:textId="14CF2152" w:rsidR="004930DC" w:rsidRPr="007D39C3" w:rsidRDefault="00901633" w:rsidP="001B3950">
            <w:pPr>
              <w:pStyle w:val="Default"/>
              <w:numPr>
                <w:ilvl w:val="0"/>
                <w:numId w:val="4"/>
              </w:numPr>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keypad for dental chair, light and cuspidor control that doesn’t have “soft touch”? </w:t>
            </w:r>
          </w:p>
          <w:p w14:paraId="7B0C2D8B" w14:textId="307FC802" w:rsidR="00901633" w:rsidRPr="007D39C3" w:rsidRDefault="00901633" w:rsidP="004930DC">
            <w:pPr>
              <w:pStyle w:val="Default"/>
              <w:numPr>
                <w:ilvl w:val="0"/>
                <w:numId w:val="4"/>
              </w:numPr>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Is it acceptable to offer Dental Chair without •high speed terminal with water regulation, LED lamp, •Midwest air micro motor, speed regulation, direction regulation, 25 000 rpm at 3 bars, Additional 3-way syringe for assistant, Instrument tray, Metal star base with silicone wheels?</w:t>
            </w:r>
            <w:r w:rsidRPr="007D39C3">
              <w:rPr>
                <w:sz w:val="22"/>
                <w:szCs w:val="22"/>
                <w:lang w:val="en-GB"/>
              </w:rPr>
              <w:t xml:space="preserve"> </w:t>
            </w:r>
          </w:p>
          <w:p w14:paraId="52A19A95" w14:textId="77777777" w:rsidR="00901633" w:rsidRPr="007D39C3" w:rsidRDefault="00901633" w:rsidP="00901633">
            <w:pPr>
              <w:pStyle w:val="Default"/>
              <w:numPr>
                <w:ilvl w:val="0"/>
                <w:numId w:val="4"/>
              </w:numPr>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acceptable to offer Dental Chair that has Midwest turbine with 609 C, and equivalent of “Contra angle handpiece 1:1 Direct Drive” and “Straight handpiece 1:1 Direct Drive”? </w:t>
            </w:r>
          </w:p>
          <w:p w14:paraId="1AC14DFC" w14:textId="77777777" w:rsidR="00901633" w:rsidRPr="007D39C3" w:rsidRDefault="00901633" w:rsidP="00901633">
            <w:pPr>
              <w:pStyle w:val="Default"/>
              <w:numPr>
                <w:ilvl w:val="0"/>
                <w:numId w:val="4"/>
              </w:numPr>
              <w:jc w:val="both"/>
              <w:rPr>
                <w:lang w:val="en-GB"/>
              </w:rPr>
            </w:pPr>
            <w:r w:rsidRPr="007D39C3">
              <w:rPr>
                <w:rFonts w:asciiTheme="minorHAnsi" w:hAnsiTheme="minorHAnsi" w:cstheme="minorBidi"/>
                <w:color w:val="auto"/>
                <w:kern w:val="2"/>
                <w:sz w:val="22"/>
                <w:szCs w:val="22"/>
                <w:lang w:val="en-GB"/>
              </w:rPr>
              <w:t xml:space="preserve">Is it acceptable to offer water driven saliva injector? </w:t>
            </w:r>
          </w:p>
          <w:p w14:paraId="3D67BBE4" w14:textId="4BE491FC" w:rsidR="00901633" w:rsidRPr="007D39C3" w:rsidRDefault="00901633" w:rsidP="00901633">
            <w:pPr>
              <w:pStyle w:val="Default"/>
              <w:numPr>
                <w:ilvl w:val="0"/>
                <w:numId w:val="4"/>
              </w:numPr>
              <w:jc w:val="both"/>
              <w:rPr>
                <w:lang w:val="en-GB"/>
              </w:rPr>
            </w:pPr>
            <w:r w:rsidRPr="007D39C3">
              <w:rPr>
                <w:rFonts w:asciiTheme="minorHAnsi" w:hAnsiTheme="minorHAnsi" w:cstheme="minorBidi"/>
                <w:color w:val="auto"/>
                <w:kern w:val="2"/>
                <w:sz w:val="22"/>
                <w:szCs w:val="22"/>
                <w:lang w:val="en-GB"/>
              </w:rPr>
              <w:t xml:space="preserve">Is it acceptable to offer LED light with minimum 35000LUX and </w:t>
            </w:r>
            <w:r w:rsidRPr="007D39C3">
              <w:rPr>
                <w:rFonts w:asciiTheme="minorHAnsi" w:hAnsiTheme="minorHAnsi" w:cstheme="minorBidi"/>
                <w:b/>
                <w:bCs/>
                <w:color w:val="auto"/>
                <w:kern w:val="2"/>
                <w:sz w:val="22"/>
                <w:szCs w:val="22"/>
                <w:lang w:val="en-GB"/>
              </w:rPr>
              <w:t>manual on/off switch?</w:t>
            </w:r>
            <w:r w:rsidRPr="007D39C3">
              <w:rPr>
                <w:sz w:val="22"/>
                <w:szCs w:val="22"/>
                <w:lang w:val="en-GB"/>
              </w:rPr>
              <w:t xml:space="preserve"> </w:t>
            </w:r>
          </w:p>
        </w:tc>
        <w:tc>
          <w:tcPr>
            <w:tcW w:w="4662" w:type="dxa"/>
          </w:tcPr>
          <w:p w14:paraId="45464881" w14:textId="06131408" w:rsidR="00B33CCC" w:rsidRPr="007D39C3" w:rsidRDefault="00150570" w:rsidP="004B5D40">
            <w:pPr>
              <w:pStyle w:val="ListParagraph"/>
              <w:numPr>
                <w:ilvl w:val="0"/>
                <w:numId w:val="11"/>
              </w:numPr>
              <w:jc w:val="both"/>
              <w:rPr>
                <w:lang w:val="en-GB"/>
              </w:rPr>
            </w:pPr>
            <w:r w:rsidRPr="007D39C3">
              <w:rPr>
                <w:lang w:val="en-GB"/>
              </w:rPr>
              <w:t>This issue is subject of Addendum No.1.</w:t>
            </w:r>
          </w:p>
          <w:p w14:paraId="693DF16C" w14:textId="77777777" w:rsidR="001B3950" w:rsidRPr="007D39C3" w:rsidRDefault="001B3950" w:rsidP="001B3950">
            <w:pPr>
              <w:jc w:val="both"/>
              <w:rPr>
                <w:lang w:val="en-GB"/>
              </w:rPr>
            </w:pPr>
          </w:p>
          <w:p w14:paraId="2487FA72" w14:textId="77777777" w:rsidR="001B3950" w:rsidRPr="007D39C3" w:rsidRDefault="001B3950" w:rsidP="001B3950">
            <w:pPr>
              <w:jc w:val="both"/>
              <w:rPr>
                <w:lang w:val="en-GB"/>
              </w:rPr>
            </w:pPr>
          </w:p>
          <w:p w14:paraId="0F9F9C77" w14:textId="77777777" w:rsidR="001B3950" w:rsidRPr="007D39C3" w:rsidRDefault="001B3950" w:rsidP="001B3950">
            <w:pPr>
              <w:jc w:val="both"/>
              <w:rPr>
                <w:lang w:val="en-GB"/>
              </w:rPr>
            </w:pPr>
          </w:p>
          <w:p w14:paraId="3458501C" w14:textId="77777777" w:rsidR="00B33CCC" w:rsidRPr="007D39C3" w:rsidRDefault="00B33CCC" w:rsidP="00B33CCC">
            <w:pPr>
              <w:pStyle w:val="ListParagraph"/>
              <w:numPr>
                <w:ilvl w:val="0"/>
                <w:numId w:val="11"/>
              </w:numPr>
              <w:jc w:val="both"/>
              <w:rPr>
                <w:lang w:val="en-GB"/>
              </w:rPr>
            </w:pPr>
            <w:r w:rsidRPr="007D39C3">
              <w:rPr>
                <w:lang w:val="en-GB"/>
              </w:rPr>
              <w:t xml:space="preserve">No, it is not acceptable. </w:t>
            </w:r>
          </w:p>
          <w:p w14:paraId="3B061472" w14:textId="77777777" w:rsidR="00B33CCC" w:rsidRPr="007D39C3" w:rsidRDefault="00B33CCC" w:rsidP="00B33CCC">
            <w:pPr>
              <w:pStyle w:val="ListParagraph"/>
              <w:ind w:left="360"/>
              <w:jc w:val="both"/>
              <w:rPr>
                <w:lang w:val="en-GB"/>
              </w:rPr>
            </w:pPr>
            <w:r w:rsidRPr="007D39C3">
              <w:rPr>
                <w:lang w:val="en-GB"/>
              </w:rPr>
              <w:t>Tenderers are allowed to offer better specifications.</w:t>
            </w:r>
          </w:p>
          <w:p w14:paraId="0FA9AD89" w14:textId="77777777" w:rsidR="00901633" w:rsidRPr="007D39C3" w:rsidRDefault="00901633" w:rsidP="00901633">
            <w:pPr>
              <w:jc w:val="both"/>
              <w:rPr>
                <w:lang w:val="en-GB"/>
              </w:rPr>
            </w:pPr>
          </w:p>
          <w:p w14:paraId="7B731D88" w14:textId="77777777" w:rsidR="004930DC" w:rsidRPr="007D39C3" w:rsidRDefault="004930DC" w:rsidP="00901633">
            <w:pPr>
              <w:jc w:val="both"/>
              <w:rPr>
                <w:lang w:val="en-GB"/>
              </w:rPr>
            </w:pPr>
          </w:p>
          <w:p w14:paraId="0A40F687" w14:textId="77777777" w:rsidR="004930DC" w:rsidRPr="007D39C3" w:rsidRDefault="004930DC" w:rsidP="00901633">
            <w:pPr>
              <w:jc w:val="both"/>
              <w:rPr>
                <w:lang w:val="en-GB"/>
              </w:rPr>
            </w:pPr>
          </w:p>
          <w:p w14:paraId="793E3FED" w14:textId="77777777" w:rsidR="004930DC" w:rsidRPr="007D39C3" w:rsidRDefault="004930DC" w:rsidP="00901633">
            <w:pPr>
              <w:jc w:val="both"/>
              <w:rPr>
                <w:lang w:val="en-GB"/>
              </w:rPr>
            </w:pPr>
          </w:p>
          <w:p w14:paraId="4CDD2625" w14:textId="77777777" w:rsidR="001B3950" w:rsidRPr="007D39C3" w:rsidRDefault="001B3950" w:rsidP="00901633">
            <w:pPr>
              <w:jc w:val="both"/>
              <w:rPr>
                <w:lang w:val="en-GB"/>
              </w:rPr>
            </w:pPr>
          </w:p>
          <w:p w14:paraId="03BCBFE1" w14:textId="77777777" w:rsidR="004930DC" w:rsidRPr="007D39C3" w:rsidRDefault="004930DC" w:rsidP="004930DC">
            <w:pPr>
              <w:numPr>
                <w:ilvl w:val="0"/>
                <w:numId w:val="11"/>
              </w:numPr>
              <w:contextualSpacing/>
              <w:jc w:val="both"/>
              <w:rPr>
                <w:lang w:val="en-GB"/>
              </w:rPr>
            </w:pPr>
            <w:r w:rsidRPr="007D39C3">
              <w:rPr>
                <w:lang w:val="en-GB"/>
              </w:rPr>
              <w:t>No prior opinion on the assessment of the tender can be given by the Contracting Authority in reply to a question or a request for clarification. Equivalent dental tools are acceptable with requested 1:1 ratio.</w:t>
            </w:r>
          </w:p>
          <w:p w14:paraId="25D12606" w14:textId="77777777" w:rsidR="004930DC" w:rsidRPr="007D39C3" w:rsidRDefault="004930DC" w:rsidP="004930DC">
            <w:pPr>
              <w:numPr>
                <w:ilvl w:val="0"/>
                <w:numId w:val="11"/>
              </w:numPr>
              <w:contextualSpacing/>
              <w:jc w:val="both"/>
              <w:rPr>
                <w:lang w:val="en-GB"/>
              </w:rPr>
            </w:pPr>
            <w:r w:rsidRPr="007D39C3">
              <w:rPr>
                <w:lang w:val="en-GB"/>
              </w:rPr>
              <w:t xml:space="preserve">No, it is not acceptable. </w:t>
            </w:r>
          </w:p>
          <w:p w14:paraId="1E043937" w14:textId="77777777" w:rsidR="004930DC" w:rsidRPr="007D39C3" w:rsidRDefault="004930DC" w:rsidP="004930DC">
            <w:pPr>
              <w:pStyle w:val="ListParagraph"/>
              <w:rPr>
                <w:lang w:val="en-GB"/>
              </w:rPr>
            </w:pPr>
          </w:p>
          <w:p w14:paraId="48161E8C" w14:textId="77777777" w:rsidR="001B3950" w:rsidRPr="007D39C3" w:rsidRDefault="001B3950" w:rsidP="001B3950">
            <w:pPr>
              <w:pStyle w:val="ListParagraph"/>
              <w:numPr>
                <w:ilvl w:val="0"/>
                <w:numId w:val="11"/>
              </w:numPr>
              <w:ind w:hanging="357"/>
            </w:pPr>
            <w:r w:rsidRPr="007D39C3">
              <w:t xml:space="preserve">This issue is subject of </w:t>
            </w:r>
            <w:r w:rsidRPr="007D39C3">
              <w:rPr>
                <w:bCs/>
                <w:lang w:val="en-GB"/>
              </w:rPr>
              <w:t>Addendum</w:t>
            </w:r>
            <w:r w:rsidRPr="007D39C3">
              <w:t xml:space="preserve"> No.1.</w:t>
            </w:r>
          </w:p>
          <w:p w14:paraId="5FF390BB" w14:textId="3A180F77" w:rsidR="004930DC" w:rsidRPr="007D39C3" w:rsidRDefault="004930DC" w:rsidP="004930DC">
            <w:pPr>
              <w:ind w:left="360"/>
              <w:contextualSpacing/>
              <w:jc w:val="both"/>
              <w:rPr>
                <w:lang w:val="en-GB"/>
              </w:rPr>
            </w:pPr>
          </w:p>
          <w:p w14:paraId="4F9FE4C1" w14:textId="1E76EDDA" w:rsidR="004930DC" w:rsidRPr="007D39C3" w:rsidRDefault="004930DC" w:rsidP="00901633">
            <w:pPr>
              <w:jc w:val="both"/>
              <w:rPr>
                <w:lang w:val="en-GB"/>
              </w:rPr>
            </w:pPr>
          </w:p>
        </w:tc>
      </w:tr>
      <w:tr w:rsidR="00901633" w:rsidRPr="007D39C3" w14:paraId="7277A932" w14:textId="77777777" w:rsidTr="009E49DF">
        <w:trPr>
          <w:trHeight w:val="70"/>
        </w:trPr>
        <w:tc>
          <w:tcPr>
            <w:tcW w:w="534" w:type="dxa"/>
          </w:tcPr>
          <w:p w14:paraId="4D1E1BEE" w14:textId="4AB81C7E" w:rsidR="00901633" w:rsidRPr="007D39C3" w:rsidRDefault="004827A4" w:rsidP="00901633">
            <w:pPr>
              <w:jc w:val="center"/>
              <w:rPr>
                <w:lang w:val="en-GB"/>
              </w:rPr>
            </w:pPr>
            <w:r w:rsidRPr="007D39C3">
              <w:rPr>
                <w:lang w:val="en-GB"/>
              </w:rPr>
              <w:t>35</w:t>
            </w:r>
          </w:p>
        </w:tc>
        <w:tc>
          <w:tcPr>
            <w:tcW w:w="4154" w:type="dxa"/>
          </w:tcPr>
          <w:p w14:paraId="63476968" w14:textId="636333C6" w:rsidR="00901633" w:rsidRPr="007D39C3" w:rsidRDefault="00901633" w:rsidP="00901633">
            <w:pPr>
              <w:jc w:val="both"/>
              <w:rPr>
                <w:lang w:val="en-GB"/>
              </w:rPr>
            </w:pPr>
            <w:r w:rsidRPr="007D39C3">
              <w:rPr>
                <w:lang w:val="en-GB"/>
              </w:rPr>
              <w:t xml:space="preserve">Item 4.92 Dental Compressor </w:t>
            </w:r>
          </w:p>
          <w:p w14:paraId="1B4CE241" w14:textId="77777777" w:rsidR="00901633" w:rsidRPr="007D39C3" w:rsidRDefault="00901633" w:rsidP="00901633">
            <w:pPr>
              <w:pStyle w:val="Default"/>
              <w:numPr>
                <w:ilvl w:val="0"/>
                <w:numId w:val="5"/>
              </w:numPr>
              <w:jc w:val="both"/>
              <w:rPr>
                <w:lang w:val="en-GB"/>
              </w:rPr>
            </w:pPr>
            <w:r w:rsidRPr="007D39C3">
              <w:rPr>
                <w:rFonts w:asciiTheme="minorHAnsi" w:hAnsiTheme="minorHAnsi" w:cstheme="minorBidi"/>
                <w:color w:val="auto"/>
                <w:kern w:val="2"/>
                <w:sz w:val="22"/>
                <w:szCs w:val="22"/>
                <w:lang w:val="en-GB"/>
              </w:rPr>
              <w:t xml:space="preserve">Is it acceptable to offer Digital Compressor with Noise level 70dB? </w:t>
            </w:r>
          </w:p>
          <w:p w14:paraId="17226536" w14:textId="3E4FED3C" w:rsidR="00901633" w:rsidRPr="007D39C3" w:rsidRDefault="00901633" w:rsidP="00901633">
            <w:pPr>
              <w:pStyle w:val="Default"/>
              <w:numPr>
                <w:ilvl w:val="0"/>
                <w:numId w:val="5"/>
              </w:numPr>
              <w:jc w:val="both"/>
              <w:rPr>
                <w:lang w:val="en-GB"/>
              </w:rPr>
            </w:pPr>
            <w:r w:rsidRPr="007D39C3">
              <w:rPr>
                <w:rFonts w:asciiTheme="minorHAnsi" w:hAnsiTheme="minorHAnsi" w:cstheme="minorBidi"/>
                <w:color w:val="auto"/>
                <w:kern w:val="2"/>
                <w:sz w:val="22"/>
                <w:szCs w:val="22"/>
                <w:lang w:val="en-GB"/>
              </w:rPr>
              <w:t>Is it acceptable to offer Digital Compressor without • Connectors and air compressor tubing hose for connection with dental chair, technical working stations and other dental equipment requiring compressed air?</w:t>
            </w:r>
            <w:r w:rsidRPr="007D39C3">
              <w:rPr>
                <w:sz w:val="22"/>
                <w:szCs w:val="22"/>
                <w:lang w:val="en-GB"/>
              </w:rPr>
              <w:t xml:space="preserve"> </w:t>
            </w:r>
          </w:p>
        </w:tc>
        <w:tc>
          <w:tcPr>
            <w:tcW w:w="4662" w:type="dxa"/>
          </w:tcPr>
          <w:p w14:paraId="267BE4D7" w14:textId="77777777" w:rsidR="00532435" w:rsidRPr="007D39C3" w:rsidRDefault="00532435" w:rsidP="00532435">
            <w:pPr>
              <w:pStyle w:val="ListParagraph"/>
              <w:numPr>
                <w:ilvl w:val="0"/>
                <w:numId w:val="12"/>
              </w:numPr>
              <w:rPr>
                <w:lang w:val="en-GB"/>
              </w:rPr>
            </w:pPr>
            <w:r w:rsidRPr="007D39C3">
              <w:rPr>
                <w:lang w:val="en-GB"/>
              </w:rPr>
              <w:t>This issue is subject of Addendum No.1.</w:t>
            </w:r>
          </w:p>
          <w:p w14:paraId="7184B437" w14:textId="77777777" w:rsidR="002D72C5" w:rsidRPr="007D39C3" w:rsidRDefault="002D72C5" w:rsidP="002D72C5">
            <w:pPr>
              <w:ind w:left="360"/>
              <w:jc w:val="both"/>
              <w:rPr>
                <w:color w:val="FF0000"/>
              </w:rPr>
            </w:pPr>
          </w:p>
          <w:p w14:paraId="02E853EA" w14:textId="77777777" w:rsidR="00532435" w:rsidRPr="007D39C3" w:rsidRDefault="00532435" w:rsidP="002D72C5">
            <w:pPr>
              <w:ind w:left="360"/>
              <w:jc w:val="both"/>
              <w:rPr>
                <w:color w:val="FF0000"/>
              </w:rPr>
            </w:pPr>
          </w:p>
          <w:p w14:paraId="0B02900E" w14:textId="77777777" w:rsidR="002D72C5" w:rsidRPr="007D39C3" w:rsidRDefault="002D72C5" w:rsidP="002D72C5">
            <w:pPr>
              <w:pStyle w:val="ListParagraph"/>
              <w:numPr>
                <w:ilvl w:val="0"/>
                <w:numId w:val="12"/>
              </w:numPr>
              <w:jc w:val="both"/>
              <w:rPr>
                <w:lang w:val="en-GB"/>
              </w:rPr>
            </w:pPr>
            <w:r w:rsidRPr="007D39C3">
              <w:rPr>
                <w:lang w:val="en-GB"/>
              </w:rPr>
              <w:t>No, it is not acceptable. Dental compressor should be connected with all equipment requiring compressed air.</w:t>
            </w:r>
          </w:p>
          <w:p w14:paraId="1D9183BD" w14:textId="77777777" w:rsidR="00901633" w:rsidRPr="007D39C3" w:rsidRDefault="00901633" w:rsidP="00901633">
            <w:pPr>
              <w:jc w:val="both"/>
              <w:rPr>
                <w:lang w:val="en-GB"/>
              </w:rPr>
            </w:pPr>
          </w:p>
        </w:tc>
      </w:tr>
      <w:tr w:rsidR="00901633" w:rsidRPr="007D39C3" w14:paraId="57A0B92C" w14:textId="77777777" w:rsidTr="009E49DF">
        <w:trPr>
          <w:trHeight w:val="70"/>
        </w:trPr>
        <w:tc>
          <w:tcPr>
            <w:tcW w:w="534" w:type="dxa"/>
          </w:tcPr>
          <w:p w14:paraId="4B856971" w14:textId="27791A45" w:rsidR="00901633" w:rsidRPr="007D39C3" w:rsidRDefault="004827A4" w:rsidP="00901633">
            <w:pPr>
              <w:jc w:val="center"/>
              <w:rPr>
                <w:lang w:val="en-GB"/>
              </w:rPr>
            </w:pPr>
            <w:r w:rsidRPr="007D39C3">
              <w:rPr>
                <w:lang w:val="en-GB"/>
              </w:rPr>
              <w:t>36</w:t>
            </w:r>
          </w:p>
        </w:tc>
        <w:tc>
          <w:tcPr>
            <w:tcW w:w="4154" w:type="dxa"/>
          </w:tcPr>
          <w:p w14:paraId="19C1ECEB" w14:textId="5AE8F412" w:rsidR="00901633" w:rsidRPr="007D39C3" w:rsidRDefault="00901633" w:rsidP="00901633">
            <w:pPr>
              <w:jc w:val="both"/>
              <w:rPr>
                <w:lang w:val="en-GB"/>
              </w:rPr>
            </w:pPr>
            <w:r w:rsidRPr="007D39C3">
              <w:rPr>
                <w:lang w:val="en-GB"/>
              </w:rPr>
              <w:t xml:space="preserve">Item 4.99 Desktop Computer </w:t>
            </w:r>
          </w:p>
          <w:p w14:paraId="582AF070" w14:textId="560280D2"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Is it possible to omit the request for obligatory documentation for this particular item since it is unrealistic to expect the manufacturer of Desktop Computers to issue Authorization or any other related document for this type of device? </w:t>
            </w:r>
          </w:p>
        </w:tc>
        <w:tc>
          <w:tcPr>
            <w:tcW w:w="4662" w:type="dxa"/>
          </w:tcPr>
          <w:p w14:paraId="7AA642BE" w14:textId="77777777" w:rsidR="000E35F6" w:rsidRPr="007D39C3" w:rsidRDefault="000E35F6" w:rsidP="000E35F6">
            <w:pPr>
              <w:jc w:val="both"/>
              <w:rPr>
                <w:lang w:val="en-GB"/>
              </w:rPr>
            </w:pPr>
            <w:r w:rsidRPr="007D39C3">
              <w:rPr>
                <w:lang w:val="en-GB"/>
              </w:rPr>
              <w:t xml:space="preserve">Manufacturer Authorisation is requested. </w:t>
            </w:r>
          </w:p>
          <w:p w14:paraId="0256D11B" w14:textId="575B6C55" w:rsidR="00901633" w:rsidRPr="007D39C3" w:rsidRDefault="000E35F6" w:rsidP="000E35F6">
            <w:pPr>
              <w:jc w:val="both"/>
              <w:rPr>
                <w:lang w:val="en-GB"/>
              </w:rPr>
            </w:pPr>
            <w:r w:rsidRPr="007D39C3">
              <w:rPr>
                <w:lang w:val="en-GB"/>
              </w:rPr>
              <w:t>Please see Answer No. 11</w:t>
            </w:r>
          </w:p>
        </w:tc>
      </w:tr>
      <w:tr w:rsidR="00901633" w:rsidRPr="007D39C3" w14:paraId="35F34172" w14:textId="77777777" w:rsidTr="009E49DF">
        <w:trPr>
          <w:trHeight w:val="70"/>
        </w:trPr>
        <w:tc>
          <w:tcPr>
            <w:tcW w:w="534" w:type="dxa"/>
          </w:tcPr>
          <w:p w14:paraId="07F40533" w14:textId="2B1B4878" w:rsidR="00901633" w:rsidRPr="007D39C3" w:rsidRDefault="004827A4" w:rsidP="00901633">
            <w:pPr>
              <w:jc w:val="center"/>
              <w:rPr>
                <w:lang w:val="en-GB"/>
              </w:rPr>
            </w:pPr>
            <w:r w:rsidRPr="007D39C3">
              <w:rPr>
                <w:lang w:val="en-GB"/>
              </w:rPr>
              <w:t>37</w:t>
            </w:r>
          </w:p>
        </w:tc>
        <w:tc>
          <w:tcPr>
            <w:tcW w:w="4154" w:type="dxa"/>
          </w:tcPr>
          <w:p w14:paraId="18B1BFFF" w14:textId="77777777" w:rsidR="00901633" w:rsidRPr="007D39C3" w:rsidRDefault="00901633" w:rsidP="00901633">
            <w:pPr>
              <w:jc w:val="both"/>
              <w:rPr>
                <w:lang w:val="en-GB"/>
              </w:rPr>
            </w:pPr>
            <w:r w:rsidRPr="007D39C3">
              <w:rPr>
                <w:lang w:val="en-GB"/>
              </w:rPr>
              <w:t>Items: 4.15, 4.54, 4.58, 4.59, 4.60, 4.61</w:t>
            </w:r>
          </w:p>
          <w:p w14:paraId="377832BF" w14:textId="51219514" w:rsidR="00901633" w:rsidRPr="007D39C3" w:rsidRDefault="00901633" w:rsidP="00901633">
            <w:pPr>
              <w:pStyle w:val="Default"/>
              <w:jc w:val="both"/>
              <w:rPr>
                <w:rFonts w:asciiTheme="minorHAnsi" w:hAnsiTheme="minorHAnsi" w:cstheme="minorBidi"/>
                <w:color w:val="auto"/>
                <w:kern w:val="2"/>
                <w:sz w:val="22"/>
                <w:szCs w:val="22"/>
                <w:lang w:val="en-GB"/>
              </w:rPr>
            </w:pPr>
            <w:r w:rsidRPr="007D39C3">
              <w:rPr>
                <w:rFonts w:asciiTheme="minorHAnsi" w:hAnsiTheme="minorHAnsi" w:cstheme="minorBidi"/>
                <w:color w:val="auto"/>
                <w:kern w:val="2"/>
                <w:sz w:val="22"/>
                <w:szCs w:val="22"/>
                <w:lang w:val="en-GB"/>
              </w:rPr>
              <w:t xml:space="preserve">The manufacturers of the equipment we plan to offer for items 4.15, 4.54, 4.58, 4.59, 4.60, 4.61, due to their business policy, issue authorizations exclusively to their authorized representatives/distributors. Is it possible to submit an authorization for these items from a distributor who is directly </w:t>
            </w:r>
            <w:r w:rsidRPr="007D39C3">
              <w:rPr>
                <w:rFonts w:asciiTheme="minorHAnsi" w:hAnsiTheme="minorHAnsi" w:cstheme="minorBidi"/>
                <w:color w:val="auto"/>
                <w:kern w:val="2"/>
                <w:sz w:val="22"/>
                <w:szCs w:val="22"/>
                <w:lang w:val="en-GB"/>
              </w:rPr>
              <w:lastRenderedPageBreak/>
              <w:t xml:space="preserve">authorized by the manufacturer along with the submission of that authorization, which proves their connection? </w:t>
            </w:r>
          </w:p>
        </w:tc>
        <w:tc>
          <w:tcPr>
            <w:tcW w:w="4662" w:type="dxa"/>
          </w:tcPr>
          <w:p w14:paraId="7D1A45D6" w14:textId="77777777" w:rsidR="000E35F6" w:rsidRPr="007D39C3" w:rsidRDefault="000E35F6" w:rsidP="000E35F6">
            <w:pPr>
              <w:jc w:val="both"/>
              <w:rPr>
                <w:lang w:val="en-GB"/>
              </w:rPr>
            </w:pPr>
            <w:r w:rsidRPr="007D39C3">
              <w:rPr>
                <w:lang w:val="en-GB"/>
              </w:rPr>
              <w:lastRenderedPageBreak/>
              <w:t xml:space="preserve">Manufacturer Authorisation is requested. </w:t>
            </w:r>
          </w:p>
          <w:p w14:paraId="193F8C3A" w14:textId="73F60BF0" w:rsidR="00901633" w:rsidRPr="007D39C3" w:rsidRDefault="000E35F6" w:rsidP="000E35F6">
            <w:pPr>
              <w:jc w:val="both"/>
              <w:rPr>
                <w:lang w:val="en-GB"/>
              </w:rPr>
            </w:pPr>
            <w:r w:rsidRPr="007D39C3">
              <w:rPr>
                <w:lang w:val="en-GB"/>
              </w:rPr>
              <w:t>Please see Answer No. 11</w:t>
            </w:r>
          </w:p>
        </w:tc>
      </w:tr>
      <w:tr w:rsidR="00BE6E69" w:rsidRPr="00AD3E09" w14:paraId="3D06FE0E" w14:textId="77777777" w:rsidTr="00BE6E69">
        <w:trPr>
          <w:trHeight w:val="70"/>
        </w:trPr>
        <w:tc>
          <w:tcPr>
            <w:tcW w:w="534" w:type="dxa"/>
          </w:tcPr>
          <w:p w14:paraId="7E58F55B" w14:textId="77777777" w:rsidR="00BE6E69" w:rsidRPr="007D39C3" w:rsidRDefault="00BE6E69" w:rsidP="003B7521">
            <w:pPr>
              <w:jc w:val="center"/>
              <w:rPr>
                <w:lang w:val="en-GB"/>
              </w:rPr>
            </w:pPr>
            <w:r w:rsidRPr="007D39C3">
              <w:rPr>
                <w:lang w:val="en-GB"/>
              </w:rPr>
              <w:t>38</w:t>
            </w:r>
          </w:p>
        </w:tc>
        <w:tc>
          <w:tcPr>
            <w:tcW w:w="4154" w:type="dxa"/>
          </w:tcPr>
          <w:p w14:paraId="35C9A10A" w14:textId="77777777" w:rsidR="00BE6E69" w:rsidRPr="007D39C3" w:rsidRDefault="00BE6E69" w:rsidP="003B7521">
            <w:pPr>
              <w:jc w:val="both"/>
              <w:rPr>
                <w:lang w:val="en-GB"/>
              </w:rPr>
            </w:pPr>
            <w:r w:rsidRPr="007D39C3">
              <w:rPr>
                <w:lang w:val="en-GB"/>
              </w:rPr>
              <w:t>Item 4.3 Airway practice simulator</w:t>
            </w:r>
          </w:p>
          <w:p w14:paraId="1333D593" w14:textId="77777777" w:rsidR="00BE6E69" w:rsidRPr="007D39C3" w:rsidRDefault="00BE6E69" w:rsidP="003B7521">
            <w:pPr>
              <w:jc w:val="both"/>
              <w:rPr>
                <w:lang w:val="en-GB"/>
              </w:rPr>
            </w:pPr>
            <w:r w:rsidRPr="007D39C3">
              <w:rPr>
                <w:lang w:val="en-GB"/>
              </w:rPr>
              <w:t>Is it acceptable to offer just fibre optic examination?</w:t>
            </w:r>
          </w:p>
        </w:tc>
        <w:tc>
          <w:tcPr>
            <w:tcW w:w="4662" w:type="dxa"/>
          </w:tcPr>
          <w:p w14:paraId="44000894" w14:textId="77777777" w:rsidR="00BE6E69" w:rsidRPr="007D39C3" w:rsidRDefault="00BE6E69" w:rsidP="00BE6E69">
            <w:pPr>
              <w:jc w:val="both"/>
            </w:pPr>
            <w:r w:rsidRPr="007D39C3">
              <w:t xml:space="preserve">This issue is subject of </w:t>
            </w:r>
            <w:r w:rsidRPr="007D39C3">
              <w:rPr>
                <w:bCs/>
                <w:lang w:val="en-GB"/>
              </w:rPr>
              <w:t>Addendum</w:t>
            </w:r>
            <w:r w:rsidRPr="007D39C3">
              <w:t xml:space="preserve"> No.1.</w:t>
            </w:r>
          </w:p>
          <w:p w14:paraId="7FE63187" w14:textId="1BC05ADC" w:rsidR="00BE6E69" w:rsidRPr="00AD3E09" w:rsidRDefault="00BE6E69" w:rsidP="002C275A">
            <w:pPr>
              <w:jc w:val="both"/>
              <w:rPr>
                <w:lang w:val="en-GB"/>
              </w:rPr>
            </w:pPr>
          </w:p>
        </w:tc>
      </w:tr>
    </w:tbl>
    <w:p w14:paraId="10E662BE" w14:textId="77777777" w:rsidR="00181304" w:rsidRPr="00AD3E09" w:rsidRDefault="00181304">
      <w:pPr>
        <w:rPr>
          <w:lang w:val="en-GB"/>
        </w:rPr>
      </w:pPr>
    </w:p>
    <w:sectPr w:rsidR="00181304" w:rsidRPr="00AD3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5D53"/>
    <w:multiLevelType w:val="hybridMultilevel"/>
    <w:tmpl w:val="A366F992"/>
    <w:lvl w:ilvl="0" w:tplc="FE2C8218">
      <w:start w:val="1"/>
      <w:numFmt w:val="lowerLetter"/>
      <w:lvlText w:val="%1)"/>
      <w:lvlJc w:val="left"/>
      <w:pPr>
        <w:ind w:left="360" w:hanging="360"/>
      </w:pPr>
      <w:rPr>
        <w:rFonts w:asciiTheme="minorHAnsi" w:hAnsiTheme="minorHAnsi" w:cstheme="minorHAnsi" w:hint="default"/>
        <w:sz w:val="22"/>
        <w:szCs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 w15:restartNumberingAfterBreak="0">
    <w:nsid w:val="1F8A1DFC"/>
    <w:multiLevelType w:val="hybridMultilevel"/>
    <w:tmpl w:val="AB50948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 w15:restartNumberingAfterBreak="0">
    <w:nsid w:val="2470202A"/>
    <w:multiLevelType w:val="hybridMultilevel"/>
    <w:tmpl w:val="87FAF6B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3FD7495"/>
    <w:multiLevelType w:val="hybridMultilevel"/>
    <w:tmpl w:val="96A6FEE8"/>
    <w:lvl w:ilvl="0" w:tplc="07360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21FD8"/>
    <w:multiLevelType w:val="hybridMultilevel"/>
    <w:tmpl w:val="B678C476"/>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 w15:restartNumberingAfterBreak="0">
    <w:nsid w:val="467668DA"/>
    <w:multiLevelType w:val="hybridMultilevel"/>
    <w:tmpl w:val="49F498F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4AD3E1D"/>
    <w:multiLevelType w:val="hybridMultilevel"/>
    <w:tmpl w:val="1D56F270"/>
    <w:lvl w:ilvl="0" w:tplc="6B308B9E">
      <w:start w:val="1"/>
      <w:numFmt w:val="lowerLetter"/>
      <w:lvlText w:val="%1)"/>
      <w:lvlJc w:val="left"/>
      <w:pPr>
        <w:ind w:left="360" w:hanging="360"/>
      </w:pPr>
      <w:rPr>
        <w:rFonts w:asciiTheme="minorHAnsi" w:hAnsiTheme="minorHAnsi" w:cstheme="minorHAnsi" w:hint="default"/>
        <w:sz w:val="22"/>
        <w:szCs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7" w15:restartNumberingAfterBreak="0">
    <w:nsid w:val="57510484"/>
    <w:multiLevelType w:val="hybridMultilevel"/>
    <w:tmpl w:val="B14C6516"/>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15:restartNumberingAfterBreak="0">
    <w:nsid w:val="5CF902BF"/>
    <w:multiLevelType w:val="hybridMultilevel"/>
    <w:tmpl w:val="589E27D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 w15:restartNumberingAfterBreak="0">
    <w:nsid w:val="6C361AC5"/>
    <w:multiLevelType w:val="hybridMultilevel"/>
    <w:tmpl w:val="AD1476FC"/>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0"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6987658">
    <w:abstractNumId w:val="7"/>
  </w:num>
  <w:num w:numId="2" w16cid:durableId="805968517">
    <w:abstractNumId w:val="1"/>
  </w:num>
  <w:num w:numId="3" w16cid:durableId="1977373085">
    <w:abstractNumId w:val="8"/>
  </w:num>
  <w:num w:numId="4" w16cid:durableId="260458157">
    <w:abstractNumId w:val="6"/>
  </w:num>
  <w:num w:numId="5" w16cid:durableId="2049817">
    <w:abstractNumId w:val="0"/>
  </w:num>
  <w:num w:numId="6" w16cid:durableId="1586188298">
    <w:abstractNumId w:val="10"/>
  </w:num>
  <w:num w:numId="7" w16cid:durableId="1253271350">
    <w:abstractNumId w:val="3"/>
  </w:num>
  <w:num w:numId="8" w16cid:durableId="731536408">
    <w:abstractNumId w:val="11"/>
  </w:num>
  <w:num w:numId="9" w16cid:durableId="167797555">
    <w:abstractNumId w:val="9"/>
  </w:num>
  <w:num w:numId="10" w16cid:durableId="8290267">
    <w:abstractNumId w:val="4"/>
  </w:num>
  <w:num w:numId="11" w16cid:durableId="1290435363">
    <w:abstractNumId w:val="5"/>
  </w:num>
  <w:num w:numId="12" w16cid:durableId="1913081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04"/>
    <w:rsid w:val="00021E49"/>
    <w:rsid w:val="00065E55"/>
    <w:rsid w:val="00071C2C"/>
    <w:rsid w:val="00084540"/>
    <w:rsid w:val="000D1DFB"/>
    <w:rsid w:val="000E35F6"/>
    <w:rsid w:val="00105C90"/>
    <w:rsid w:val="00131A37"/>
    <w:rsid w:val="00132E08"/>
    <w:rsid w:val="00134226"/>
    <w:rsid w:val="00150570"/>
    <w:rsid w:val="001559A0"/>
    <w:rsid w:val="00166F2D"/>
    <w:rsid w:val="00181304"/>
    <w:rsid w:val="001A27B9"/>
    <w:rsid w:val="001B0024"/>
    <w:rsid w:val="001B3950"/>
    <w:rsid w:val="001C0263"/>
    <w:rsid w:val="001E2AAE"/>
    <w:rsid w:val="0021546B"/>
    <w:rsid w:val="002205D6"/>
    <w:rsid w:val="00253A56"/>
    <w:rsid w:val="00274C14"/>
    <w:rsid w:val="00277409"/>
    <w:rsid w:val="00284560"/>
    <w:rsid w:val="00286C89"/>
    <w:rsid w:val="00286E10"/>
    <w:rsid w:val="002934F5"/>
    <w:rsid w:val="002940B6"/>
    <w:rsid w:val="002B0176"/>
    <w:rsid w:val="002B6F25"/>
    <w:rsid w:val="002C275A"/>
    <w:rsid w:val="002D3166"/>
    <w:rsid w:val="002D5E1E"/>
    <w:rsid w:val="002D72C5"/>
    <w:rsid w:val="002E2884"/>
    <w:rsid w:val="002F70C4"/>
    <w:rsid w:val="00313792"/>
    <w:rsid w:val="0031502D"/>
    <w:rsid w:val="0032717C"/>
    <w:rsid w:val="003919AF"/>
    <w:rsid w:val="003B0C79"/>
    <w:rsid w:val="003B196C"/>
    <w:rsid w:val="003C394B"/>
    <w:rsid w:val="003D17C4"/>
    <w:rsid w:val="003F6BF1"/>
    <w:rsid w:val="00403B1D"/>
    <w:rsid w:val="004549EF"/>
    <w:rsid w:val="004622E7"/>
    <w:rsid w:val="00480290"/>
    <w:rsid w:val="00480846"/>
    <w:rsid w:val="004827A4"/>
    <w:rsid w:val="00490F23"/>
    <w:rsid w:val="004930DC"/>
    <w:rsid w:val="004E1A09"/>
    <w:rsid w:val="00503397"/>
    <w:rsid w:val="00523B12"/>
    <w:rsid w:val="00532435"/>
    <w:rsid w:val="005530CC"/>
    <w:rsid w:val="00574814"/>
    <w:rsid w:val="00582F85"/>
    <w:rsid w:val="005C0B9E"/>
    <w:rsid w:val="005C717A"/>
    <w:rsid w:val="005D4FE1"/>
    <w:rsid w:val="00643C98"/>
    <w:rsid w:val="006468AA"/>
    <w:rsid w:val="00693207"/>
    <w:rsid w:val="006A78A2"/>
    <w:rsid w:val="006F46F5"/>
    <w:rsid w:val="007201FE"/>
    <w:rsid w:val="00753E38"/>
    <w:rsid w:val="007541A3"/>
    <w:rsid w:val="00762E9D"/>
    <w:rsid w:val="007738B4"/>
    <w:rsid w:val="00781AF2"/>
    <w:rsid w:val="00781BD1"/>
    <w:rsid w:val="00783A2B"/>
    <w:rsid w:val="007D1656"/>
    <w:rsid w:val="007D39C3"/>
    <w:rsid w:val="00806815"/>
    <w:rsid w:val="00861733"/>
    <w:rsid w:val="00894482"/>
    <w:rsid w:val="008D631F"/>
    <w:rsid w:val="00901633"/>
    <w:rsid w:val="00904864"/>
    <w:rsid w:val="00912F39"/>
    <w:rsid w:val="0093557F"/>
    <w:rsid w:val="00982176"/>
    <w:rsid w:val="009821CE"/>
    <w:rsid w:val="00982D84"/>
    <w:rsid w:val="00995C2D"/>
    <w:rsid w:val="009A1B95"/>
    <w:rsid w:val="009B6CA0"/>
    <w:rsid w:val="009C34B2"/>
    <w:rsid w:val="009D145B"/>
    <w:rsid w:val="009E2D3B"/>
    <w:rsid w:val="009E49DF"/>
    <w:rsid w:val="009F4446"/>
    <w:rsid w:val="00A05075"/>
    <w:rsid w:val="00A21052"/>
    <w:rsid w:val="00A54FA0"/>
    <w:rsid w:val="00A555BF"/>
    <w:rsid w:val="00A82F5A"/>
    <w:rsid w:val="00A87557"/>
    <w:rsid w:val="00A909F0"/>
    <w:rsid w:val="00AD3E09"/>
    <w:rsid w:val="00AD5852"/>
    <w:rsid w:val="00B016E6"/>
    <w:rsid w:val="00B14066"/>
    <w:rsid w:val="00B210AA"/>
    <w:rsid w:val="00B33CCC"/>
    <w:rsid w:val="00B35EB0"/>
    <w:rsid w:val="00B617AE"/>
    <w:rsid w:val="00B632CB"/>
    <w:rsid w:val="00BB3EF0"/>
    <w:rsid w:val="00BD332B"/>
    <w:rsid w:val="00BE6945"/>
    <w:rsid w:val="00BE6E69"/>
    <w:rsid w:val="00C37F10"/>
    <w:rsid w:val="00C43506"/>
    <w:rsid w:val="00C51701"/>
    <w:rsid w:val="00C53A81"/>
    <w:rsid w:val="00C53B1E"/>
    <w:rsid w:val="00C6430C"/>
    <w:rsid w:val="00C74772"/>
    <w:rsid w:val="00C96E54"/>
    <w:rsid w:val="00CA3694"/>
    <w:rsid w:val="00CE063F"/>
    <w:rsid w:val="00CE7BB1"/>
    <w:rsid w:val="00CF499B"/>
    <w:rsid w:val="00D17C4D"/>
    <w:rsid w:val="00D21D51"/>
    <w:rsid w:val="00D86958"/>
    <w:rsid w:val="00D93FDC"/>
    <w:rsid w:val="00D94960"/>
    <w:rsid w:val="00DB47DF"/>
    <w:rsid w:val="00DD6DA0"/>
    <w:rsid w:val="00DD7E70"/>
    <w:rsid w:val="00DE0D21"/>
    <w:rsid w:val="00DE3564"/>
    <w:rsid w:val="00E26396"/>
    <w:rsid w:val="00E57C9A"/>
    <w:rsid w:val="00E57E57"/>
    <w:rsid w:val="00E61E1F"/>
    <w:rsid w:val="00E67B93"/>
    <w:rsid w:val="00E76CAC"/>
    <w:rsid w:val="00EA3164"/>
    <w:rsid w:val="00ED6E06"/>
    <w:rsid w:val="00EE0BD3"/>
    <w:rsid w:val="00EF238F"/>
    <w:rsid w:val="00F3257C"/>
    <w:rsid w:val="00F76077"/>
    <w:rsid w:val="00F87964"/>
    <w:rsid w:val="00F93ADC"/>
    <w:rsid w:val="00F952E2"/>
    <w:rsid w:val="00FB695A"/>
    <w:rsid w:val="00FC3D27"/>
    <w:rsid w:val="00FC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3FE8"/>
  <w15:chartTrackingRefBased/>
  <w15:docId w15:val="{28D0AA20-852B-4CA6-9388-3B527C7D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50"/>
  </w:style>
  <w:style w:type="paragraph" w:styleId="Heading1">
    <w:name w:val="heading 1"/>
    <w:basedOn w:val="Normal"/>
    <w:next w:val="Normal"/>
    <w:link w:val="Heading1Char"/>
    <w:uiPriority w:val="9"/>
    <w:qFormat/>
    <w:rsid w:val="001813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13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13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13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13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1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13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13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13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13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1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04"/>
    <w:rPr>
      <w:rFonts w:eastAsiaTheme="majorEastAsia" w:cstheme="majorBidi"/>
      <w:color w:val="272727" w:themeColor="text1" w:themeTint="D8"/>
    </w:rPr>
  </w:style>
  <w:style w:type="paragraph" w:styleId="Title">
    <w:name w:val="Title"/>
    <w:basedOn w:val="Normal"/>
    <w:next w:val="Normal"/>
    <w:link w:val="TitleChar"/>
    <w:uiPriority w:val="10"/>
    <w:qFormat/>
    <w:rsid w:val="0018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304"/>
    <w:rPr>
      <w:i/>
      <w:iCs/>
      <w:color w:val="404040" w:themeColor="text1" w:themeTint="BF"/>
    </w:rPr>
  </w:style>
  <w:style w:type="paragraph" w:styleId="ListParagraph">
    <w:name w:val="List Paragraph"/>
    <w:aliases w:val="Citation List,본문(내용),List Paragraph (numbered (a)),Paragraph,List Paragraph Red,lp1,Liste Paragraf,Colorful List - Accent 11,PROVERE 1,List Paragraph 1,Bullet Points,Paragraphe de liste,Bullet List,Table of contents numbered,Heading 2_sj"/>
    <w:basedOn w:val="Normal"/>
    <w:link w:val="ListParagraphChar"/>
    <w:uiPriority w:val="34"/>
    <w:qFormat/>
    <w:rsid w:val="00181304"/>
    <w:pPr>
      <w:ind w:left="720"/>
      <w:contextualSpacing/>
    </w:pPr>
  </w:style>
  <w:style w:type="character" w:styleId="IntenseEmphasis">
    <w:name w:val="Intense Emphasis"/>
    <w:basedOn w:val="DefaultParagraphFont"/>
    <w:uiPriority w:val="21"/>
    <w:qFormat/>
    <w:rsid w:val="00181304"/>
    <w:rPr>
      <w:i/>
      <w:iCs/>
      <w:color w:val="365F91" w:themeColor="accent1" w:themeShade="BF"/>
    </w:rPr>
  </w:style>
  <w:style w:type="paragraph" w:styleId="IntenseQuote">
    <w:name w:val="Intense Quote"/>
    <w:basedOn w:val="Normal"/>
    <w:next w:val="Normal"/>
    <w:link w:val="IntenseQuoteChar"/>
    <w:uiPriority w:val="30"/>
    <w:qFormat/>
    <w:rsid w:val="001813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1304"/>
    <w:rPr>
      <w:i/>
      <w:iCs/>
      <w:color w:val="365F91" w:themeColor="accent1" w:themeShade="BF"/>
    </w:rPr>
  </w:style>
  <w:style w:type="character" w:styleId="IntenseReference">
    <w:name w:val="Intense Reference"/>
    <w:basedOn w:val="DefaultParagraphFont"/>
    <w:uiPriority w:val="32"/>
    <w:qFormat/>
    <w:rsid w:val="00181304"/>
    <w:rPr>
      <w:b/>
      <w:bCs/>
      <w:smallCaps/>
      <w:color w:val="365F91" w:themeColor="accent1" w:themeShade="BF"/>
      <w:spacing w:val="5"/>
    </w:rPr>
  </w:style>
  <w:style w:type="table" w:styleId="TableGrid">
    <w:name w:val="Table Grid"/>
    <w:basedOn w:val="TableNormal"/>
    <w:uiPriority w:val="59"/>
    <w:rsid w:val="0018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B1E"/>
    <w:rPr>
      <w:color w:val="0000FF" w:themeColor="hyperlink"/>
      <w:u w:val="single"/>
    </w:rPr>
  </w:style>
  <w:style w:type="character" w:customStyle="1" w:styleId="UnresolvedMention1">
    <w:name w:val="Unresolved Mention1"/>
    <w:basedOn w:val="DefaultParagraphFont"/>
    <w:uiPriority w:val="99"/>
    <w:semiHidden/>
    <w:unhideWhenUsed/>
    <w:rsid w:val="00C53B1E"/>
    <w:rPr>
      <w:color w:val="605E5C"/>
      <w:shd w:val="clear" w:color="auto" w:fill="E1DFDD"/>
    </w:rPr>
  </w:style>
  <w:style w:type="paragraph" w:customStyle="1" w:styleId="Default">
    <w:name w:val="Default"/>
    <w:rsid w:val="00403B1D"/>
    <w:pPr>
      <w:autoSpaceDE w:val="0"/>
      <w:autoSpaceDN w:val="0"/>
      <w:adjustRightInd w:val="0"/>
      <w:spacing w:after="0" w:line="240" w:lineRule="auto"/>
    </w:pPr>
    <w:rPr>
      <w:rFonts w:ascii="Times New Roman" w:hAnsi="Times New Roman" w:cs="Times New Roman"/>
      <w:color w:val="000000"/>
      <w:kern w:val="0"/>
      <w:sz w:val="24"/>
      <w:szCs w:val="24"/>
      <w:lang w:val="sr-Latn-RS"/>
    </w:rPr>
  </w:style>
  <w:style w:type="character" w:styleId="CommentReference">
    <w:name w:val="annotation reference"/>
    <w:basedOn w:val="DefaultParagraphFont"/>
    <w:uiPriority w:val="99"/>
    <w:semiHidden/>
    <w:unhideWhenUsed/>
    <w:rsid w:val="00D94960"/>
    <w:rPr>
      <w:sz w:val="16"/>
      <w:szCs w:val="16"/>
    </w:rPr>
  </w:style>
  <w:style w:type="paragraph" w:styleId="CommentText">
    <w:name w:val="annotation text"/>
    <w:basedOn w:val="Normal"/>
    <w:link w:val="CommentTextChar"/>
    <w:uiPriority w:val="99"/>
    <w:semiHidden/>
    <w:unhideWhenUsed/>
    <w:rsid w:val="00D94960"/>
    <w:pPr>
      <w:spacing w:line="240" w:lineRule="auto"/>
    </w:pPr>
    <w:rPr>
      <w:sz w:val="20"/>
      <w:szCs w:val="20"/>
    </w:rPr>
  </w:style>
  <w:style w:type="character" w:customStyle="1" w:styleId="CommentTextChar">
    <w:name w:val="Comment Text Char"/>
    <w:basedOn w:val="DefaultParagraphFont"/>
    <w:link w:val="CommentText"/>
    <w:uiPriority w:val="99"/>
    <w:semiHidden/>
    <w:rsid w:val="00D94960"/>
    <w:rPr>
      <w:sz w:val="20"/>
      <w:szCs w:val="20"/>
    </w:rPr>
  </w:style>
  <w:style w:type="paragraph" w:styleId="CommentSubject">
    <w:name w:val="annotation subject"/>
    <w:basedOn w:val="CommentText"/>
    <w:next w:val="CommentText"/>
    <w:link w:val="CommentSubjectChar"/>
    <w:uiPriority w:val="99"/>
    <w:semiHidden/>
    <w:unhideWhenUsed/>
    <w:rsid w:val="00D94960"/>
    <w:rPr>
      <w:b/>
      <w:bCs/>
    </w:rPr>
  </w:style>
  <w:style w:type="character" w:customStyle="1" w:styleId="CommentSubjectChar">
    <w:name w:val="Comment Subject Char"/>
    <w:basedOn w:val="CommentTextChar"/>
    <w:link w:val="CommentSubject"/>
    <w:uiPriority w:val="99"/>
    <w:semiHidden/>
    <w:rsid w:val="00D94960"/>
    <w:rPr>
      <w:b/>
      <w:bCs/>
      <w:sz w:val="20"/>
      <w:szCs w:val="20"/>
    </w:rPr>
  </w:style>
  <w:style w:type="paragraph" w:styleId="BalloonText">
    <w:name w:val="Balloon Text"/>
    <w:basedOn w:val="Normal"/>
    <w:link w:val="BalloonTextChar"/>
    <w:uiPriority w:val="99"/>
    <w:semiHidden/>
    <w:unhideWhenUsed/>
    <w:rsid w:val="00D9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960"/>
    <w:rPr>
      <w:rFonts w:ascii="Segoe UI" w:hAnsi="Segoe UI" w:cs="Segoe UI"/>
      <w:sz w:val="18"/>
      <w:szCs w:val="18"/>
    </w:rPr>
  </w:style>
  <w:style w:type="paragraph" w:styleId="NormalWeb">
    <w:name w:val="Normal (Web)"/>
    <w:basedOn w:val="Normal"/>
    <w:uiPriority w:val="99"/>
    <w:semiHidden/>
    <w:unhideWhenUsed/>
    <w:rsid w:val="00F93A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style-span">
    <w:name w:val="apple-style-span"/>
    <w:basedOn w:val="DefaultParagraphFont"/>
    <w:rsid w:val="00582F85"/>
  </w:style>
  <w:style w:type="paragraph" w:customStyle="1" w:styleId="Sub-ClauseText">
    <w:name w:val="Sub-Clause Text"/>
    <w:basedOn w:val="Normal"/>
    <w:rsid w:val="00065E55"/>
    <w:pPr>
      <w:spacing w:before="120" w:after="120" w:line="240" w:lineRule="auto"/>
      <w:jc w:val="both"/>
    </w:pPr>
    <w:rPr>
      <w:rFonts w:ascii="Times New Roman" w:eastAsia="Times New Roman" w:hAnsi="Times New Roman" w:cs="Times New Roman"/>
      <w:spacing w:val="-4"/>
      <w:kern w:val="0"/>
      <w:sz w:val="24"/>
      <w:szCs w:val="24"/>
      <w:lang w:val="en-GB"/>
      <w14:ligatures w14:val="none"/>
    </w:rPr>
  </w:style>
  <w:style w:type="character" w:customStyle="1" w:styleId="ListParagraphChar">
    <w:name w:val="List Paragraph Char"/>
    <w:aliases w:val="Citation List Char,본문(내용) Char,List Paragraph (numbered (a)) Char,Paragraph Char,List Paragraph Red Char,lp1 Char,Liste Paragraf Char,Colorful List - Accent 11 Char,PROVERE 1 Char,List Paragraph 1 Char,Bullet Points Char"/>
    <w:basedOn w:val="DefaultParagraphFont"/>
    <w:link w:val="ListParagraph"/>
    <w:uiPriority w:val="34"/>
    <w:qFormat/>
    <w:rsid w:val="00F76077"/>
  </w:style>
  <w:style w:type="character" w:customStyle="1" w:styleId="fontstyle01">
    <w:name w:val="fontstyle01"/>
    <w:basedOn w:val="DefaultParagraphFont"/>
    <w:rsid w:val="00A82F5A"/>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232285">
      <w:bodyDiv w:val="1"/>
      <w:marLeft w:val="0"/>
      <w:marRight w:val="0"/>
      <w:marTop w:val="0"/>
      <w:marBottom w:val="0"/>
      <w:divBdr>
        <w:top w:val="none" w:sz="0" w:space="0" w:color="auto"/>
        <w:left w:val="none" w:sz="0" w:space="0" w:color="auto"/>
        <w:bottom w:val="none" w:sz="0" w:space="0" w:color="auto"/>
        <w:right w:val="none" w:sz="0" w:space="0" w:color="auto"/>
      </w:divBdr>
    </w:div>
    <w:div w:id="1354109324">
      <w:bodyDiv w:val="1"/>
      <w:marLeft w:val="0"/>
      <w:marRight w:val="0"/>
      <w:marTop w:val="0"/>
      <w:marBottom w:val="0"/>
      <w:divBdr>
        <w:top w:val="none" w:sz="0" w:space="0" w:color="auto"/>
        <w:left w:val="none" w:sz="0" w:space="0" w:color="auto"/>
        <w:bottom w:val="none" w:sz="0" w:space="0" w:color="auto"/>
        <w:right w:val="none" w:sz="0" w:space="0" w:color="auto"/>
      </w:divBdr>
    </w:div>
    <w:div w:id="1836453134">
      <w:bodyDiv w:val="1"/>
      <w:marLeft w:val="0"/>
      <w:marRight w:val="0"/>
      <w:marTop w:val="0"/>
      <w:marBottom w:val="0"/>
      <w:divBdr>
        <w:top w:val="none" w:sz="0" w:space="0" w:color="auto"/>
        <w:left w:val="none" w:sz="0" w:space="0" w:color="auto"/>
        <w:bottom w:val="none" w:sz="0" w:space="0" w:color="auto"/>
        <w:right w:val="none" w:sz="0" w:space="0" w:color="auto"/>
      </w:divBdr>
    </w:div>
    <w:div w:id="1916892383">
      <w:bodyDiv w:val="1"/>
      <w:marLeft w:val="0"/>
      <w:marRight w:val="0"/>
      <w:marTop w:val="0"/>
      <w:marBottom w:val="0"/>
      <w:divBdr>
        <w:top w:val="none" w:sz="0" w:space="0" w:color="auto"/>
        <w:left w:val="none" w:sz="0" w:space="0" w:color="auto"/>
        <w:bottom w:val="none" w:sz="0" w:space="0" w:color="auto"/>
        <w:right w:val="none" w:sz="0" w:space="0" w:color="auto"/>
      </w:divBdr>
    </w:div>
    <w:div w:id="2048555261">
      <w:bodyDiv w:val="1"/>
      <w:marLeft w:val="0"/>
      <w:marRight w:val="0"/>
      <w:marTop w:val="0"/>
      <w:marBottom w:val="0"/>
      <w:divBdr>
        <w:top w:val="none" w:sz="0" w:space="0" w:color="auto"/>
        <w:left w:val="none" w:sz="0" w:space="0" w:color="auto"/>
        <w:bottom w:val="none" w:sz="0" w:space="0" w:color="auto"/>
        <w:right w:val="none" w:sz="0" w:space="0" w:color="auto"/>
      </w:divBdr>
      <w:divsChild>
        <w:div w:id="1035010198">
          <w:marLeft w:val="0"/>
          <w:marRight w:val="0"/>
          <w:marTop w:val="0"/>
          <w:marBottom w:val="0"/>
          <w:divBdr>
            <w:top w:val="none" w:sz="0" w:space="0" w:color="auto"/>
            <w:left w:val="none" w:sz="0" w:space="0" w:color="auto"/>
            <w:bottom w:val="none" w:sz="0" w:space="0" w:color="auto"/>
            <w:right w:val="none" w:sz="0" w:space="0" w:color="auto"/>
          </w:divBdr>
          <w:divsChild>
            <w:div w:id="745810024">
              <w:marLeft w:val="0"/>
              <w:marRight w:val="0"/>
              <w:marTop w:val="0"/>
              <w:marBottom w:val="0"/>
              <w:divBdr>
                <w:top w:val="none" w:sz="0" w:space="0" w:color="auto"/>
                <w:left w:val="none" w:sz="0" w:space="0" w:color="auto"/>
                <w:bottom w:val="none" w:sz="0" w:space="0" w:color="auto"/>
                <w:right w:val="none" w:sz="0" w:space="0" w:color="auto"/>
              </w:divBdr>
              <w:divsChild>
                <w:div w:id="241258916">
                  <w:marLeft w:val="0"/>
                  <w:marRight w:val="0"/>
                  <w:marTop w:val="0"/>
                  <w:marBottom w:val="0"/>
                  <w:divBdr>
                    <w:top w:val="none" w:sz="0" w:space="0" w:color="auto"/>
                    <w:left w:val="none" w:sz="0" w:space="0" w:color="auto"/>
                    <w:bottom w:val="none" w:sz="0" w:space="0" w:color="auto"/>
                    <w:right w:val="none" w:sz="0" w:space="0" w:color="auto"/>
                  </w:divBdr>
                  <w:divsChild>
                    <w:div w:id="378285833">
                      <w:marLeft w:val="0"/>
                      <w:marRight w:val="0"/>
                      <w:marTop w:val="0"/>
                      <w:marBottom w:val="0"/>
                      <w:divBdr>
                        <w:top w:val="none" w:sz="0" w:space="0" w:color="auto"/>
                        <w:left w:val="none" w:sz="0" w:space="0" w:color="auto"/>
                        <w:bottom w:val="none" w:sz="0" w:space="0" w:color="auto"/>
                        <w:right w:val="none" w:sz="0" w:space="0" w:color="auto"/>
                      </w:divBdr>
                      <w:divsChild>
                        <w:div w:id="488982957">
                          <w:marLeft w:val="0"/>
                          <w:marRight w:val="0"/>
                          <w:marTop w:val="0"/>
                          <w:marBottom w:val="0"/>
                          <w:divBdr>
                            <w:top w:val="none" w:sz="0" w:space="0" w:color="auto"/>
                            <w:left w:val="none" w:sz="0" w:space="0" w:color="auto"/>
                            <w:bottom w:val="none" w:sz="0" w:space="0" w:color="auto"/>
                            <w:right w:val="none" w:sz="0" w:space="0" w:color="auto"/>
                          </w:divBdr>
                          <w:divsChild>
                            <w:div w:id="660085509">
                              <w:marLeft w:val="0"/>
                              <w:marRight w:val="0"/>
                              <w:marTop w:val="0"/>
                              <w:marBottom w:val="0"/>
                              <w:divBdr>
                                <w:top w:val="none" w:sz="0" w:space="0" w:color="auto"/>
                                <w:left w:val="none" w:sz="0" w:space="0" w:color="auto"/>
                                <w:bottom w:val="none" w:sz="0" w:space="0" w:color="auto"/>
                                <w:right w:val="none" w:sz="0" w:space="0" w:color="auto"/>
                              </w:divBdr>
                              <w:divsChild>
                                <w:div w:id="15777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Suzana Beaumard (SUB)</cp:lastModifiedBy>
  <cp:revision>5</cp:revision>
  <dcterms:created xsi:type="dcterms:W3CDTF">2026-04-02T14:50:00Z</dcterms:created>
  <dcterms:modified xsi:type="dcterms:W3CDTF">2026-04-02T15:46:00Z</dcterms:modified>
</cp:coreProperties>
</file>