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FE0FF" w14:textId="77777777" w:rsidR="0062403C" w:rsidRPr="00C16C97" w:rsidRDefault="0062403C" w:rsidP="0062403C">
      <w:pPr>
        <w:spacing w:after="160"/>
        <w:jc w:val="center"/>
        <w:rPr>
          <w:rFonts w:ascii="Cambria" w:eastAsia="Calibri" w:hAnsi="Cambria" w:cs="Times New Roman"/>
          <w:b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b/>
          <w:noProof/>
          <w:sz w:val="24"/>
          <w:szCs w:val="24"/>
        </w:rPr>
        <w:drawing>
          <wp:inline distT="0" distB="0" distL="0" distR="0" wp14:anchorId="2F3CC428" wp14:editId="493E118A">
            <wp:extent cx="914400" cy="1024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77B1D" w14:textId="77777777" w:rsidR="003B30B1" w:rsidRPr="00C16C97" w:rsidRDefault="003B30B1" w:rsidP="003B30B1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Vlada Crne Gore</w:t>
      </w:r>
    </w:p>
    <w:p w14:paraId="0D5AF7A2" w14:textId="77777777" w:rsidR="003B30B1" w:rsidRPr="00C16C97" w:rsidRDefault="003B30B1" w:rsidP="003B30B1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Kabinet predsjednika </w:t>
      </w:r>
    </w:p>
    <w:p w14:paraId="75DAAB22" w14:textId="77777777" w:rsidR="0062403C" w:rsidRPr="00C16C97" w:rsidRDefault="003B30B1" w:rsidP="003B30B1">
      <w:pPr>
        <w:spacing w:after="0"/>
        <w:jc w:val="center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Kancelarija za evropske integracije</w:t>
      </w:r>
    </w:p>
    <w:p w14:paraId="60E43AC6" w14:textId="77777777" w:rsidR="0062403C" w:rsidRPr="00C16C97" w:rsidRDefault="0062403C" w:rsidP="003B30B1">
      <w:pPr>
        <w:spacing w:after="120"/>
        <w:rPr>
          <w:rFonts w:ascii="Cambria" w:hAnsi="Cambria" w:cs="Times New Roman"/>
          <w:sz w:val="24"/>
          <w:szCs w:val="24"/>
          <w:lang w:val="bs-Latn-BA"/>
        </w:rPr>
      </w:pPr>
    </w:p>
    <w:p w14:paraId="2EAFAED9" w14:textId="77777777" w:rsidR="002F5C0C" w:rsidRPr="00C16C97" w:rsidRDefault="002F5C0C" w:rsidP="00D83BFA">
      <w:pPr>
        <w:spacing w:after="0"/>
        <w:jc w:val="both"/>
        <w:rPr>
          <w:rFonts w:ascii="Cambria" w:hAnsi="Cambria" w:cs="Times New Roman"/>
          <w:sz w:val="24"/>
          <w:szCs w:val="24"/>
          <w:lang w:val="bs-Latn-BA"/>
        </w:rPr>
      </w:pPr>
    </w:p>
    <w:p w14:paraId="24D38A68" w14:textId="77777777" w:rsidR="00D83BFA" w:rsidRPr="00C16C97" w:rsidRDefault="00D83BFA" w:rsidP="00D83BFA">
      <w:pPr>
        <w:spacing w:after="0"/>
        <w:jc w:val="center"/>
        <w:rPr>
          <w:rFonts w:ascii="Cambria" w:hAnsi="Cambria" w:cs="Times New Roman"/>
          <w:b/>
          <w:sz w:val="28"/>
          <w:szCs w:val="24"/>
          <w:lang w:val="bs-Latn-BA"/>
        </w:rPr>
      </w:pPr>
      <w:r w:rsidRPr="00C16C97">
        <w:rPr>
          <w:rFonts w:ascii="Cambria" w:hAnsi="Cambria" w:cs="Times New Roman"/>
          <w:b/>
          <w:sz w:val="28"/>
          <w:szCs w:val="24"/>
          <w:lang w:val="bs-Latn-BA"/>
        </w:rPr>
        <w:t>Informacija o novoj metodologiji pristupanja Evropskoj uniji</w:t>
      </w:r>
    </w:p>
    <w:p w14:paraId="62718DDF" w14:textId="77777777" w:rsidR="00D83BFA" w:rsidRPr="00C16C97" w:rsidRDefault="00D83BFA" w:rsidP="00D83BFA">
      <w:pPr>
        <w:spacing w:after="0"/>
        <w:jc w:val="center"/>
        <w:rPr>
          <w:rFonts w:ascii="Cambria" w:hAnsi="Cambria" w:cs="Times New Roman"/>
          <w:b/>
          <w:sz w:val="28"/>
          <w:szCs w:val="24"/>
          <w:lang w:val="bs-Latn-BA"/>
        </w:rPr>
      </w:pPr>
    </w:p>
    <w:p w14:paraId="395C98E7" w14:textId="77777777" w:rsidR="005C4579" w:rsidRPr="00C16C97" w:rsidRDefault="00423589" w:rsidP="005C4579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bs-Latn-BA"/>
        </w:rPr>
      </w:pPr>
      <w:r w:rsidRPr="00C16C97">
        <w:rPr>
          <w:rFonts w:ascii="Cambria" w:hAnsi="Cambria" w:cs="Times New Roman"/>
          <w:sz w:val="24"/>
          <w:szCs w:val="24"/>
          <w:lang w:val="bs-Latn-BA"/>
        </w:rPr>
        <w:t xml:space="preserve">Polazeći od strateške </w:t>
      </w:r>
      <w:proofErr w:type="spellStart"/>
      <w:r w:rsidRPr="00C16C97">
        <w:rPr>
          <w:rFonts w:ascii="Cambria" w:hAnsi="Cambria" w:cs="Times New Roman"/>
          <w:sz w:val="24"/>
          <w:szCs w:val="24"/>
          <w:lang w:val="bs-Latn-BA"/>
        </w:rPr>
        <w:t>opredijeljenosti</w:t>
      </w:r>
      <w:proofErr w:type="spellEnd"/>
      <w:r w:rsidRPr="00C16C97">
        <w:rPr>
          <w:rFonts w:ascii="Cambria" w:hAnsi="Cambria" w:cs="Times New Roman"/>
          <w:sz w:val="24"/>
          <w:szCs w:val="24"/>
          <w:lang w:val="bs-Latn-BA"/>
        </w:rPr>
        <w:t xml:space="preserve"> ka evropskoj perspektivi Zapadnog Balkana, koja je izražena na samitu u Solunu iz 2003, a potom potvrđena u Strategiji proširenja iz </w:t>
      </w:r>
      <w:r w:rsidR="009D5D6F" w:rsidRPr="00C16C97">
        <w:rPr>
          <w:rFonts w:ascii="Cambria" w:hAnsi="Cambria" w:cs="Times New Roman"/>
          <w:sz w:val="24"/>
          <w:szCs w:val="24"/>
          <w:lang w:val="bs-Latn-BA"/>
        </w:rPr>
        <w:t xml:space="preserve">februara </w:t>
      </w:r>
      <w:r w:rsidRPr="00C16C97">
        <w:rPr>
          <w:rFonts w:ascii="Cambria" w:hAnsi="Cambria" w:cs="Times New Roman"/>
          <w:sz w:val="24"/>
          <w:szCs w:val="24"/>
          <w:lang w:val="bs-Latn-BA"/>
        </w:rPr>
        <w:t xml:space="preserve">2018, Evropska unija je </w:t>
      </w:r>
      <w:r w:rsidR="009D5D6F" w:rsidRPr="00C16C97">
        <w:rPr>
          <w:rFonts w:ascii="Cambria" w:hAnsi="Cambria" w:cs="Times New Roman"/>
          <w:sz w:val="24"/>
          <w:szCs w:val="24"/>
          <w:lang w:val="bs-Latn-BA"/>
        </w:rPr>
        <w:t>dvije godine kasnije</w:t>
      </w:r>
      <w:r w:rsidRPr="00C16C97">
        <w:rPr>
          <w:rFonts w:ascii="Cambria" w:hAnsi="Cambria" w:cs="Times New Roman"/>
          <w:sz w:val="24"/>
          <w:szCs w:val="24"/>
          <w:lang w:val="bs-Latn-BA"/>
        </w:rPr>
        <w:t>, kroz prijedlog nove metodologije pristupanja</w:t>
      </w:r>
      <w:r w:rsidR="009D5D6F" w:rsidRPr="00C16C97">
        <w:rPr>
          <w:rFonts w:ascii="Cambria" w:hAnsi="Cambria" w:cs="Times New Roman"/>
          <w:sz w:val="24"/>
          <w:szCs w:val="24"/>
          <w:lang w:val="bs-Latn-BA"/>
        </w:rPr>
        <w:t xml:space="preserve"> </w:t>
      </w:r>
      <w:r w:rsidR="009D5D6F" w:rsidRPr="00C16C97">
        <w:rPr>
          <w:rFonts w:ascii="Cambria" w:hAnsi="Cambria" w:cs="Times New Roman"/>
          <w:i/>
          <w:sz w:val="24"/>
          <w:szCs w:val="24"/>
          <w:lang w:val="bs-Latn-BA"/>
        </w:rPr>
        <w:t>(</w:t>
      </w:r>
      <w:r w:rsidR="009D5D6F" w:rsidRPr="00C16C97">
        <w:rPr>
          <w:rFonts w:ascii="Cambria" w:eastAsia="Times New Roman" w:hAnsi="Cambria" w:cs="Times New Roman"/>
          <w:bCs/>
          <w:i/>
          <w:lang w:val="bs-Latn-BA"/>
        </w:rPr>
        <w:t>Unapređenje procesa pristupanja – vjerodostojna perspektiva EU za Zapadni Balkan</w:t>
      </w:r>
      <w:r w:rsidR="009D5D6F" w:rsidRPr="00C16C97">
        <w:rPr>
          <w:rStyle w:val="FootnoteReference"/>
          <w:rFonts w:ascii="Times New Roman" w:eastAsia="Times New Roman" w:hAnsi="Times New Roman" w:cs="Times New Roman"/>
          <w:bCs/>
          <w:i/>
          <w:lang w:val="bs-Latn-BA"/>
        </w:rPr>
        <w:footnoteReference w:id="1"/>
      </w:r>
      <w:r w:rsidR="009D5D6F" w:rsidRPr="00C16C97">
        <w:rPr>
          <w:rFonts w:ascii="Times New Roman" w:eastAsia="Times New Roman" w:hAnsi="Times New Roman" w:cs="Times New Roman"/>
          <w:bCs/>
          <w:i/>
          <w:lang w:val="bs-Latn-BA"/>
        </w:rPr>
        <w:t>)</w:t>
      </w:r>
      <w:r w:rsidRPr="00C16C97">
        <w:rPr>
          <w:rFonts w:ascii="Cambria" w:hAnsi="Cambria" w:cs="Times New Roman"/>
          <w:sz w:val="24"/>
          <w:szCs w:val="24"/>
          <w:lang w:val="bs-Latn-BA"/>
        </w:rPr>
        <w:t xml:space="preserve">, ponovo </w:t>
      </w:r>
      <w:proofErr w:type="spellStart"/>
      <w:r w:rsidRPr="00C16C97">
        <w:rPr>
          <w:rFonts w:ascii="Cambria" w:hAnsi="Cambria" w:cs="Times New Roman"/>
          <w:sz w:val="24"/>
          <w:szCs w:val="24"/>
          <w:lang w:val="bs-Latn-BA"/>
        </w:rPr>
        <w:t>aktuelizovala</w:t>
      </w:r>
      <w:proofErr w:type="spellEnd"/>
      <w:r w:rsidRPr="00C16C97">
        <w:rPr>
          <w:rFonts w:ascii="Cambria" w:hAnsi="Cambria" w:cs="Times New Roman"/>
          <w:sz w:val="24"/>
          <w:szCs w:val="24"/>
          <w:lang w:val="bs-Latn-BA"/>
        </w:rPr>
        <w:t xml:space="preserve"> ovo pitanje, s namjerom da proces pristupnih pregovora učini </w:t>
      </w:r>
      <w:proofErr w:type="spellStart"/>
      <w:r w:rsidR="00F43943" w:rsidRPr="00C16C97">
        <w:rPr>
          <w:rFonts w:ascii="Cambria" w:hAnsi="Cambria" w:cs="Times New Roman"/>
          <w:sz w:val="24"/>
          <w:szCs w:val="24"/>
          <w:lang w:val="bs-Latn-BA"/>
        </w:rPr>
        <w:t>dinamičnijim</w:t>
      </w:r>
      <w:proofErr w:type="spellEnd"/>
      <w:r w:rsidR="00F43943" w:rsidRPr="00C16C97">
        <w:rPr>
          <w:rFonts w:ascii="Cambria" w:hAnsi="Cambria" w:cs="Times New Roman"/>
          <w:sz w:val="24"/>
          <w:szCs w:val="24"/>
          <w:lang w:val="bs-Latn-BA"/>
        </w:rPr>
        <w:t xml:space="preserve"> i </w:t>
      </w:r>
      <w:proofErr w:type="spellStart"/>
      <w:r w:rsidRPr="00C16C97">
        <w:rPr>
          <w:rFonts w:ascii="Cambria" w:hAnsi="Cambria" w:cs="Times New Roman"/>
          <w:sz w:val="24"/>
          <w:szCs w:val="24"/>
          <w:lang w:val="bs-Latn-BA"/>
        </w:rPr>
        <w:t>k</w:t>
      </w:r>
      <w:r w:rsidR="00F43943" w:rsidRPr="00C16C97">
        <w:rPr>
          <w:rFonts w:ascii="Cambria" w:hAnsi="Cambria" w:cs="Times New Roman"/>
          <w:sz w:val="24"/>
          <w:szCs w:val="24"/>
          <w:lang w:val="bs-Latn-BA"/>
        </w:rPr>
        <w:t>redibilnijim</w:t>
      </w:r>
      <w:proofErr w:type="spellEnd"/>
      <w:r w:rsidR="00F43943" w:rsidRPr="00C16C97">
        <w:rPr>
          <w:rFonts w:ascii="Cambria" w:hAnsi="Cambria" w:cs="Times New Roman"/>
          <w:sz w:val="24"/>
          <w:szCs w:val="24"/>
          <w:lang w:val="bs-Latn-BA"/>
        </w:rPr>
        <w:t>.</w:t>
      </w:r>
      <w:r w:rsidR="009D5D6F" w:rsidRPr="00C16C97">
        <w:rPr>
          <w:rFonts w:ascii="Cambria" w:hAnsi="Cambria" w:cs="Times New Roman"/>
          <w:sz w:val="24"/>
          <w:szCs w:val="24"/>
          <w:lang w:val="bs-Latn-BA"/>
        </w:rPr>
        <w:t xml:space="preserve"> </w:t>
      </w:r>
    </w:p>
    <w:p w14:paraId="3062972F" w14:textId="77777777" w:rsidR="00E8621C" w:rsidRPr="00C16C97" w:rsidRDefault="00E8621C" w:rsidP="005C4579">
      <w:pPr>
        <w:spacing w:before="100" w:beforeAutospacing="1" w:after="100" w:afterAutospacing="1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U dokumentu se ističe da uprkos uspješnim reformama, poput novog pristupa vladavini prava i pomacima koje je uvela Strategija </w:t>
      </w:r>
      <w:r w:rsidR="00F43943" w:rsidRPr="00C16C97">
        <w:rPr>
          <w:rFonts w:ascii="Cambria" w:eastAsia="Calibri" w:hAnsi="Cambria" w:cs="Times New Roman"/>
          <w:sz w:val="24"/>
          <w:szCs w:val="24"/>
          <w:lang w:val="bs-Latn-BA"/>
        </w:rPr>
        <w:t>proširenja iz 2018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, 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proces pristupanja EU mora biti </w:t>
      </w:r>
      <w:r w:rsidR="009D5D6F"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>dodatno unaprijeđen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kako bi se pozabavio strukturnim slabostima u zemljama, naročito u dijelu ključnih reformskih procesa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.</w:t>
      </w:r>
    </w:p>
    <w:p w14:paraId="514EA191" w14:textId="77777777" w:rsidR="00E8621C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sz w:val="24"/>
          <w:szCs w:val="24"/>
          <w:u w:val="single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Jedna od ključnih novina se odnosi na 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formiranje tzv. tematskih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klastera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koji objedinjavaju više pregovaračkih poglavlja, kako bi </w:t>
      </w: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politički fokus zemalja kandidata bio usmjeren na ključne </w:t>
      </w:r>
      <w:proofErr w:type="spellStart"/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sektore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, 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ali i sankcije u slučaju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nesprovođenja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potrebnih reformi i ispunjavanja uslova</w:t>
      </w:r>
      <w:r w:rsidR="00F43943"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. 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Pregovori o svakom od ukupno šest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klastera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će biti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otvarani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kao cjelina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, nakon ispunjavanja mjerila.</w:t>
      </w:r>
      <w:r w:rsidR="0079504D"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</w:t>
      </w:r>
      <w:r w:rsidR="0079504D"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Iako se u dokumentu ne navodi, Kancelariji za evropske integracije je potvrđeno od strane EK da se </w:t>
      </w:r>
      <w:proofErr w:type="spellStart"/>
      <w:r w:rsidR="0079504D"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>klasterski</w:t>
      </w:r>
      <w:proofErr w:type="spellEnd"/>
      <w:r w:rsidR="0079504D"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 pristup neće primjenjivati prilikom zatvaranja poglavlja, već će se kao i do sada prilikom privremenog zatvaranja koristiti pristup po pojedinačnim poglavljima</w:t>
      </w:r>
      <w:r w:rsidR="008243FD"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 </w:t>
      </w:r>
      <w:r w:rsidR="008243FD"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(tj. u Komunikaciji Komisije se navodi da „svako poglavlje ima sopstvena mjerila za zatvaranje poglavlja“, što upućuje na logičan zaključak da će dinamika zatvaranja za svako poglavlje zavisiti od ispunjenja konkretnih mjerila)</w:t>
      </w:r>
      <w:r w:rsidR="0079504D"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.</w:t>
      </w:r>
    </w:p>
    <w:p w14:paraId="50991A0E" w14:textId="77777777" w:rsidR="00E8621C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lastRenderedPageBreak/>
        <w:t xml:space="preserve">U dokumentu se navodi da će 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pregovori o ključnim reformama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biti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otvarani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prvi</w:t>
      </w:r>
      <w:r w:rsidR="00F43943" w:rsidRPr="00C16C97">
        <w:rPr>
          <w:rFonts w:ascii="Cambria" w:eastAsia="Calibri" w:hAnsi="Cambria" w:cs="Times New Roman"/>
          <w:sz w:val="24"/>
          <w:szCs w:val="24"/>
          <w:lang w:val="bs-Latn-BA"/>
        </w:rPr>
        <w:t>, a zatvarani poslednji</w:t>
      </w:r>
      <w:r w:rsidR="00C16C97" w:rsidRPr="00C16C97">
        <w:rPr>
          <w:rFonts w:ascii="Cambria" w:eastAsia="Calibri" w:hAnsi="Cambria" w:cs="Times New Roman"/>
          <w:sz w:val="24"/>
          <w:szCs w:val="24"/>
          <w:lang w:val="bs-Latn-BA"/>
        </w:rPr>
        <w:t>,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te da će napredak u ovim oblastima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determinisati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ukupan tok pregovora, što u suštini nije ništa novo, jer CG već pregovara po takvom modelu, koji poglavlja 23 i 24 stavlja u srž pregovaračkog procesa. </w:t>
      </w:r>
    </w:p>
    <w:p w14:paraId="1C8977E2" w14:textId="1EAD4568" w:rsidR="003B1686" w:rsidRPr="00C16C97" w:rsidRDefault="003B1686" w:rsidP="003B1686">
      <w:pPr>
        <w:spacing w:before="120" w:after="160"/>
        <w:jc w:val="center"/>
        <w:rPr>
          <w:rFonts w:ascii="Cambria" w:eastAsia="Calibri" w:hAnsi="Cambria" w:cs="Times New Roman"/>
          <w:b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Tabela 1. Pregled </w:t>
      </w:r>
      <w:proofErr w:type="spellStart"/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klastera</w:t>
      </w:r>
      <w:proofErr w:type="spellEnd"/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 i ocjena pojedinih poglavlja</w:t>
      </w:r>
      <w:r w:rsidR="00EF2FE9"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 na statusu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1587"/>
        <w:gridCol w:w="1482"/>
        <w:gridCol w:w="1577"/>
        <w:gridCol w:w="1605"/>
        <w:gridCol w:w="1747"/>
      </w:tblGrid>
      <w:tr w:rsidR="003B1686" w:rsidRPr="00C16C97" w14:paraId="31587D65" w14:textId="77777777" w:rsidTr="005C4579">
        <w:trPr>
          <w:jc w:val="center"/>
        </w:trPr>
        <w:tc>
          <w:tcPr>
            <w:tcW w:w="1578" w:type="dxa"/>
            <w:shd w:val="clear" w:color="auto" w:fill="DBE5F1" w:themeFill="accent1" w:themeFillTint="33"/>
            <w:vAlign w:val="center"/>
          </w:tcPr>
          <w:p w14:paraId="60C8E90C" w14:textId="77777777" w:rsidR="003B1686" w:rsidRPr="00C16C97" w:rsidRDefault="003B1686" w:rsidP="003B1686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C16C9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2. Unutrašnje tržište</w:t>
            </w: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14:paraId="16A16A4C" w14:textId="77777777" w:rsidR="003B1686" w:rsidRPr="00C16C97" w:rsidRDefault="003B1686" w:rsidP="003B1686">
            <w:pPr>
              <w:pStyle w:val="NormalWeb"/>
              <w:ind w:right="-116" w:hanging="173"/>
              <w:jc w:val="center"/>
              <w:rPr>
                <w:rFonts w:asciiTheme="majorHAnsi" w:hAnsiTheme="majorHAnsi"/>
                <w:b/>
                <w:sz w:val="18"/>
                <w:szCs w:val="18"/>
                <w:lang w:val="bs-Latn-BA"/>
              </w:rPr>
            </w:pPr>
            <w:r w:rsidRPr="00C16C9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 xml:space="preserve"> 3. Konkurentnost i </w:t>
            </w:r>
            <w:proofErr w:type="spellStart"/>
            <w:r w:rsidRPr="00C16C9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inkluzivni</w:t>
            </w:r>
            <w:proofErr w:type="spellEnd"/>
            <w:r w:rsidRPr="00C16C9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 xml:space="preserve"> rast</w:t>
            </w:r>
          </w:p>
        </w:tc>
        <w:tc>
          <w:tcPr>
            <w:tcW w:w="1482" w:type="dxa"/>
            <w:shd w:val="clear" w:color="auto" w:fill="DBE5F1" w:themeFill="accent1" w:themeFillTint="33"/>
            <w:vAlign w:val="center"/>
          </w:tcPr>
          <w:p w14:paraId="49779F87" w14:textId="77777777" w:rsidR="003B1686" w:rsidRPr="00C16C97" w:rsidRDefault="003B1686" w:rsidP="003B1686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C16C9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 xml:space="preserve">4. Zelena </w:t>
            </w:r>
            <w:proofErr w:type="spellStart"/>
            <w:r w:rsidRPr="00C16C9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agenda</w:t>
            </w:r>
            <w:proofErr w:type="spellEnd"/>
            <w:r w:rsidRPr="00C16C9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 xml:space="preserve"> i održiva povezanost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0D2FE78C" w14:textId="77777777" w:rsidR="003B1686" w:rsidRPr="00C16C97" w:rsidRDefault="003B1686" w:rsidP="003B1686">
            <w:pPr>
              <w:pStyle w:val="NormalWeb"/>
              <w:jc w:val="center"/>
              <w:rPr>
                <w:rFonts w:asciiTheme="majorHAnsi" w:hAnsiTheme="majorHAnsi"/>
                <w:b/>
                <w:sz w:val="18"/>
                <w:szCs w:val="18"/>
                <w:lang w:val="bs-Latn-BA"/>
              </w:rPr>
            </w:pPr>
            <w:r w:rsidRPr="00C16C9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5. Resursi, poljoprivreda i kohezija</w:t>
            </w:r>
          </w:p>
        </w:tc>
        <w:tc>
          <w:tcPr>
            <w:tcW w:w="1605" w:type="dxa"/>
            <w:shd w:val="clear" w:color="auto" w:fill="DBE5F1" w:themeFill="accent1" w:themeFillTint="33"/>
            <w:vAlign w:val="center"/>
          </w:tcPr>
          <w:p w14:paraId="01D28FC0" w14:textId="77777777" w:rsidR="003B1686" w:rsidRPr="00C16C97" w:rsidRDefault="003B1686" w:rsidP="003B1686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C16C9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6. Vanjski odnosi</w:t>
            </w:r>
          </w:p>
        </w:tc>
        <w:tc>
          <w:tcPr>
            <w:tcW w:w="1747" w:type="dxa"/>
            <w:shd w:val="clear" w:color="auto" w:fill="DBE5F1" w:themeFill="accent1" w:themeFillTint="33"/>
            <w:vAlign w:val="center"/>
          </w:tcPr>
          <w:p w14:paraId="05E15A79" w14:textId="77777777" w:rsidR="003B1686" w:rsidRPr="00C16C97" w:rsidRDefault="003B1686" w:rsidP="003B1686">
            <w:pPr>
              <w:jc w:val="center"/>
              <w:rPr>
                <w:rFonts w:asciiTheme="majorHAnsi" w:hAnsiTheme="majorHAnsi"/>
                <w:lang w:val="bs-Latn-BA"/>
              </w:rPr>
            </w:pPr>
            <w:r w:rsidRPr="00C16C97">
              <w:rPr>
                <w:rFonts w:asciiTheme="majorHAnsi" w:hAnsiTheme="majorHAnsi" w:cs="Times New Roman"/>
                <w:b/>
                <w:sz w:val="18"/>
                <w:szCs w:val="18"/>
                <w:lang w:val="bs-Latn-BA"/>
              </w:rPr>
              <w:t>1. Temeljna poglavlja –</w:t>
            </w:r>
          </w:p>
        </w:tc>
      </w:tr>
      <w:tr w:rsidR="003B1686" w:rsidRPr="00C16C97" w14:paraId="217CCEAE" w14:textId="77777777" w:rsidTr="005C4579">
        <w:trPr>
          <w:jc w:val="center"/>
        </w:trPr>
        <w:tc>
          <w:tcPr>
            <w:tcW w:w="1578" w:type="dxa"/>
            <w:vAlign w:val="center"/>
          </w:tcPr>
          <w:p w14:paraId="2ACF6752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1 – Sloboda kretanja robe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71BB84FF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10 – </w:t>
            </w:r>
            <w:proofErr w:type="spellStart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Informatičko</w:t>
            </w:r>
            <w:proofErr w:type="spellEnd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 društvo i mediji *</w:t>
            </w:r>
          </w:p>
        </w:tc>
        <w:tc>
          <w:tcPr>
            <w:tcW w:w="1482" w:type="dxa"/>
            <w:vAlign w:val="center"/>
          </w:tcPr>
          <w:p w14:paraId="41EA28C7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14 – Saobraćajna politika</w:t>
            </w:r>
          </w:p>
        </w:tc>
        <w:tc>
          <w:tcPr>
            <w:tcW w:w="1577" w:type="dxa"/>
            <w:vAlign w:val="center"/>
          </w:tcPr>
          <w:p w14:paraId="4F2B3F5F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11 – Poljoprivreda i ruralni razvoj</w:t>
            </w:r>
          </w:p>
        </w:tc>
        <w:tc>
          <w:tcPr>
            <w:tcW w:w="1605" w:type="dxa"/>
            <w:shd w:val="clear" w:color="auto" w:fill="C2D69B" w:themeFill="accent3" w:themeFillTint="99"/>
            <w:vAlign w:val="center"/>
          </w:tcPr>
          <w:p w14:paraId="492AFAA0" w14:textId="77777777" w:rsidR="003B1686" w:rsidRPr="00C16C97" w:rsidRDefault="003B1686" w:rsidP="00687A75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>30 – Vanjski odnosi</w:t>
            </w:r>
            <w:r w:rsidR="00EF2FE9"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>**</w:t>
            </w:r>
          </w:p>
        </w:tc>
        <w:tc>
          <w:tcPr>
            <w:tcW w:w="1747" w:type="dxa"/>
            <w:vAlign w:val="center"/>
          </w:tcPr>
          <w:p w14:paraId="10DDA12C" w14:textId="77777777" w:rsidR="003B1686" w:rsidRPr="00C16C97" w:rsidRDefault="003B1686" w:rsidP="00687A75">
            <w:pPr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</w:pPr>
            <w:r w:rsidRPr="00C16C97"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  <w:t>23 – Pravosuđe i temeljna prava</w:t>
            </w:r>
          </w:p>
        </w:tc>
      </w:tr>
      <w:tr w:rsidR="003B1686" w:rsidRPr="00C16C97" w14:paraId="121E19B5" w14:textId="77777777" w:rsidTr="005C4579">
        <w:trPr>
          <w:jc w:val="center"/>
        </w:trPr>
        <w:tc>
          <w:tcPr>
            <w:tcW w:w="1578" w:type="dxa"/>
            <w:vAlign w:val="center"/>
          </w:tcPr>
          <w:p w14:paraId="4C11BDCE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2 – Sloboda kretanja radnika</w:t>
            </w:r>
          </w:p>
        </w:tc>
        <w:tc>
          <w:tcPr>
            <w:tcW w:w="1587" w:type="dxa"/>
            <w:vAlign w:val="center"/>
          </w:tcPr>
          <w:p w14:paraId="5FAB6472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16 – Porezi</w:t>
            </w:r>
          </w:p>
        </w:tc>
        <w:tc>
          <w:tcPr>
            <w:tcW w:w="1482" w:type="dxa"/>
            <w:vAlign w:val="center"/>
          </w:tcPr>
          <w:p w14:paraId="4D3956BC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15 – Energetika</w:t>
            </w:r>
          </w:p>
        </w:tc>
        <w:tc>
          <w:tcPr>
            <w:tcW w:w="1577" w:type="dxa"/>
            <w:vAlign w:val="center"/>
          </w:tcPr>
          <w:p w14:paraId="2BC144A9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12 – Bezbjednost hrane, veterinarstvo i </w:t>
            </w:r>
            <w:proofErr w:type="spellStart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fitosanitarna</w:t>
            </w:r>
            <w:proofErr w:type="spellEnd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 politika</w:t>
            </w:r>
          </w:p>
        </w:tc>
        <w:tc>
          <w:tcPr>
            <w:tcW w:w="1605" w:type="dxa"/>
            <w:vAlign w:val="center"/>
          </w:tcPr>
          <w:p w14:paraId="3073E37C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31 – Vanjska, </w:t>
            </w:r>
            <w:proofErr w:type="spellStart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bezbjednosna</w:t>
            </w:r>
            <w:proofErr w:type="spellEnd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 i odbrambena politika*</w:t>
            </w:r>
          </w:p>
        </w:tc>
        <w:tc>
          <w:tcPr>
            <w:tcW w:w="1747" w:type="dxa"/>
            <w:vAlign w:val="center"/>
          </w:tcPr>
          <w:p w14:paraId="68EAC896" w14:textId="77777777" w:rsidR="003B1686" w:rsidRPr="00C16C97" w:rsidRDefault="003B1686" w:rsidP="00687A75">
            <w:pPr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</w:pPr>
            <w:r w:rsidRPr="00C16C97"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  <w:t>24 – Pravda, sloboda i bezbjednost</w:t>
            </w:r>
          </w:p>
        </w:tc>
      </w:tr>
      <w:tr w:rsidR="003B1686" w:rsidRPr="00C16C97" w14:paraId="4EC4E53C" w14:textId="77777777" w:rsidTr="005C4579">
        <w:trPr>
          <w:jc w:val="center"/>
        </w:trPr>
        <w:tc>
          <w:tcPr>
            <w:tcW w:w="1578" w:type="dxa"/>
            <w:vAlign w:val="center"/>
          </w:tcPr>
          <w:p w14:paraId="27CCE7DB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3 – Pravo osnivanja preduzeća i sloboda pružanja usluga</w:t>
            </w:r>
          </w:p>
        </w:tc>
        <w:tc>
          <w:tcPr>
            <w:tcW w:w="1587" w:type="dxa"/>
            <w:vAlign w:val="center"/>
          </w:tcPr>
          <w:p w14:paraId="7AE791C0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17 – Ekonomska i monetarna politika 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20CF60BF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21 – </w:t>
            </w:r>
            <w:proofErr w:type="spellStart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Trans-evropske</w:t>
            </w:r>
            <w:proofErr w:type="spellEnd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 mreže*</w:t>
            </w:r>
          </w:p>
        </w:tc>
        <w:tc>
          <w:tcPr>
            <w:tcW w:w="1577" w:type="dxa"/>
            <w:vAlign w:val="center"/>
          </w:tcPr>
          <w:p w14:paraId="4EBF4BBD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13 – Ribarstvo</w:t>
            </w:r>
          </w:p>
        </w:tc>
        <w:tc>
          <w:tcPr>
            <w:tcW w:w="1605" w:type="dxa"/>
          </w:tcPr>
          <w:p w14:paraId="1BC96F06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19B4F919" w14:textId="77777777" w:rsidR="003B1686" w:rsidRPr="00C16C97" w:rsidRDefault="003B1686" w:rsidP="00687A75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bs-Latn-BA"/>
              </w:rPr>
            </w:pPr>
            <w:r w:rsidRPr="00C16C97">
              <w:rPr>
                <w:rFonts w:ascii="Cambria" w:hAnsi="Cambria" w:cs="Calibri"/>
                <w:b/>
                <w:color w:val="000000"/>
                <w:sz w:val="18"/>
                <w:szCs w:val="18"/>
                <w:lang w:val="bs-Latn-BA"/>
              </w:rPr>
              <w:t xml:space="preserve">Ekonomski </w:t>
            </w:r>
            <w:proofErr w:type="spellStart"/>
            <w:r w:rsidRPr="00C16C97">
              <w:rPr>
                <w:rFonts w:ascii="Cambria" w:hAnsi="Cambria" w:cs="Calibri"/>
                <w:b/>
                <w:color w:val="000000"/>
                <w:sz w:val="18"/>
                <w:szCs w:val="18"/>
                <w:lang w:val="bs-Latn-BA"/>
              </w:rPr>
              <w:t>kriterijumi</w:t>
            </w:r>
            <w:proofErr w:type="spellEnd"/>
          </w:p>
        </w:tc>
      </w:tr>
      <w:tr w:rsidR="003B1686" w:rsidRPr="00C16C97" w14:paraId="386AEB21" w14:textId="77777777" w:rsidTr="005C4579">
        <w:trPr>
          <w:jc w:val="center"/>
        </w:trPr>
        <w:tc>
          <w:tcPr>
            <w:tcW w:w="1578" w:type="dxa"/>
            <w:vAlign w:val="center"/>
          </w:tcPr>
          <w:p w14:paraId="729B0EA1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4 – Sloboda kretanja kapitala</w:t>
            </w:r>
          </w:p>
        </w:tc>
        <w:tc>
          <w:tcPr>
            <w:tcW w:w="1587" w:type="dxa"/>
            <w:vAlign w:val="center"/>
          </w:tcPr>
          <w:p w14:paraId="418D1C8A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19 – Socijalna politika i zapošljavanje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5D8CC341" w14:textId="77777777" w:rsidR="003B1686" w:rsidRPr="00C16C97" w:rsidRDefault="003B1686" w:rsidP="00687A75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 xml:space="preserve">27 – Životna sredina i klimatske promjene </w:t>
            </w:r>
          </w:p>
        </w:tc>
        <w:tc>
          <w:tcPr>
            <w:tcW w:w="1577" w:type="dxa"/>
            <w:vAlign w:val="center"/>
          </w:tcPr>
          <w:p w14:paraId="7C2B8EBE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22 – Regionalna politika i koordinacija strukturnih instrumenata</w:t>
            </w:r>
          </w:p>
        </w:tc>
        <w:tc>
          <w:tcPr>
            <w:tcW w:w="1605" w:type="dxa"/>
          </w:tcPr>
          <w:p w14:paraId="2E101213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399230E7" w14:textId="77777777" w:rsidR="003B1686" w:rsidRPr="00C16C97" w:rsidRDefault="003B1686" w:rsidP="00687A75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bs-Latn-BA"/>
              </w:rPr>
            </w:pPr>
            <w:r w:rsidRPr="00C16C97">
              <w:rPr>
                <w:rFonts w:ascii="Cambria" w:hAnsi="Cambria" w:cs="Calibri"/>
                <w:b/>
                <w:color w:val="000000"/>
                <w:sz w:val="18"/>
                <w:szCs w:val="18"/>
                <w:lang w:val="bs-Latn-BA"/>
              </w:rPr>
              <w:t>Funkcionisanje demokratskih institucija</w:t>
            </w:r>
          </w:p>
        </w:tc>
      </w:tr>
      <w:tr w:rsidR="003B1686" w:rsidRPr="00C16C97" w14:paraId="2A3D2299" w14:textId="77777777" w:rsidTr="005C4579">
        <w:trPr>
          <w:jc w:val="center"/>
        </w:trPr>
        <w:tc>
          <w:tcPr>
            <w:tcW w:w="1578" w:type="dxa"/>
            <w:shd w:val="clear" w:color="auto" w:fill="FFFFFF" w:themeFill="background1"/>
            <w:vAlign w:val="center"/>
          </w:tcPr>
          <w:p w14:paraId="78CB2953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6 – Privredno pravo*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4FD5B47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20 – </w:t>
            </w:r>
            <w:proofErr w:type="spellStart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Preduzetništvo</w:t>
            </w:r>
            <w:proofErr w:type="spellEnd"/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 i industrijska politika*</w:t>
            </w:r>
          </w:p>
        </w:tc>
        <w:tc>
          <w:tcPr>
            <w:tcW w:w="1482" w:type="dxa"/>
          </w:tcPr>
          <w:p w14:paraId="26A36BAA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577" w:type="dxa"/>
            <w:vAlign w:val="center"/>
          </w:tcPr>
          <w:p w14:paraId="66662D6D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33 – Finansijske i budžetske odredbe </w:t>
            </w:r>
          </w:p>
        </w:tc>
        <w:tc>
          <w:tcPr>
            <w:tcW w:w="1605" w:type="dxa"/>
          </w:tcPr>
          <w:p w14:paraId="78E9922D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3399B18C" w14:textId="77777777" w:rsidR="003B1686" w:rsidRPr="00C16C97" w:rsidRDefault="003B1686" w:rsidP="00687A75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bs-Latn-BA"/>
              </w:rPr>
            </w:pPr>
            <w:r w:rsidRPr="00C16C97">
              <w:rPr>
                <w:rFonts w:ascii="Cambria" w:hAnsi="Cambria" w:cs="Calibri"/>
                <w:b/>
                <w:color w:val="000000"/>
                <w:sz w:val="18"/>
                <w:szCs w:val="18"/>
                <w:lang w:val="bs-Latn-BA"/>
              </w:rPr>
              <w:t xml:space="preserve">Reforma javne uprave </w:t>
            </w:r>
          </w:p>
        </w:tc>
      </w:tr>
      <w:tr w:rsidR="003B1686" w:rsidRPr="00C16C97" w14:paraId="3796492B" w14:textId="77777777" w:rsidTr="005C4579">
        <w:trPr>
          <w:jc w:val="center"/>
        </w:trPr>
        <w:tc>
          <w:tcPr>
            <w:tcW w:w="1578" w:type="dxa"/>
            <w:shd w:val="clear" w:color="auto" w:fill="FFFFFF" w:themeFill="background1"/>
            <w:vAlign w:val="center"/>
          </w:tcPr>
          <w:p w14:paraId="06652027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7 – Pravo intelektualne svojine*</w:t>
            </w:r>
          </w:p>
        </w:tc>
        <w:tc>
          <w:tcPr>
            <w:tcW w:w="1587" w:type="dxa"/>
            <w:shd w:val="clear" w:color="auto" w:fill="C2D69B" w:themeFill="accent3" w:themeFillTint="99"/>
            <w:vAlign w:val="center"/>
          </w:tcPr>
          <w:p w14:paraId="708F201A" w14:textId="77777777" w:rsidR="003B1686" w:rsidRPr="00C16C97" w:rsidRDefault="003B1686" w:rsidP="00687A75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>25 – Nauka i istraživanje</w:t>
            </w:r>
            <w:r w:rsidR="00EF2FE9"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>**</w:t>
            </w:r>
            <w:r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 xml:space="preserve"> </w:t>
            </w:r>
          </w:p>
        </w:tc>
        <w:tc>
          <w:tcPr>
            <w:tcW w:w="1482" w:type="dxa"/>
          </w:tcPr>
          <w:p w14:paraId="3DCF7E88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577" w:type="dxa"/>
          </w:tcPr>
          <w:p w14:paraId="5C35EF43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605" w:type="dxa"/>
          </w:tcPr>
          <w:p w14:paraId="1C28BE99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747" w:type="dxa"/>
            <w:vAlign w:val="center"/>
          </w:tcPr>
          <w:p w14:paraId="6224C494" w14:textId="77777777" w:rsidR="003B1686" w:rsidRPr="00C16C97" w:rsidRDefault="003B1686" w:rsidP="00687A75">
            <w:pPr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</w:pPr>
            <w:r w:rsidRPr="00C16C97"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  <w:t xml:space="preserve">5 – Javne nabavke </w:t>
            </w:r>
          </w:p>
        </w:tc>
      </w:tr>
      <w:tr w:rsidR="003B1686" w:rsidRPr="00C16C97" w14:paraId="4BA8EC34" w14:textId="77777777" w:rsidTr="005C4579">
        <w:trPr>
          <w:jc w:val="center"/>
        </w:trPr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1B81C393" w14:textId="77777777" w:rsidR="003B1686" w:rsidRPr="00C16C97" w:rsidRDefault="003B1686" w:rsidP="00687A75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>8 – Politika konkurencije</w:t>
            </w:r>
          </w:p>
          <w:p w14:paraId="5C38A6C8" w14:textId="77777777" w:rsidR="003B1686" w:rsidRPr="00C16C97" w:rsidRDefault="003B1686" w:rsidP="00687A75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>(nije otvoreno)</w:t>
            </w:r>
          </w:p>
        </w:tc>
        <w:tc>
          <w:tcPr>
            <w:tcW w:w="1587" w:type="dxa"/>
            <w:shd w:val="clear" w:color="auto" w:fill="C2D69B" w:themeFill="accent3" w:themeFillTint="99"/>
            <w:vAlign w:val="center"/>
          </w:tcPr>
          <w:p w14:paraId="04633255" w14:textId="77777777" w:rsidR="003B1686" w:rsidRPr="00C16C97" w:rsidRDefault="003B1686" w:rsidP="00687A75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>26 – Obrazovanje i kultura</w:t>
            </w:r>
            <w:r w:rsidR="00EF2FE9"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>**</w:t>
            </w:r>
            <w:r w:rsidRPr="00C16C97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bs-Latn-BA" w:eastAsia="en-GB"/>
              </w:rPr>
              <w:t xml:space="preserve"> </w:t>
            </w:r>
          </w:p>
        </w:tc>
        <w:tc>
          <w:tcPr>
            <w:tcW w:w="1482" w:type="dxa"/>
          </w:tcPr>
          <w:p w14:paraId="6C8E9B07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577" w:type="dxa"/>
          </w:tcPr>
          <w:p w14:paraId="35DE4591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605" w:type="dxa"/>
          </w:tcPr>
          <w:p w14:paraId="2B1FA66A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747" w:type="dxa"/>
            <w:vAlign w:val="center"/>
          </w:tcPr>
          <w:p w14:paraId="78400912" w14:textId="77777777" w:rsidR="003B1686" w:rsidRPr="00C16C97" w:rsidRDefault="003B1686" w:rsidP="00687A75">
            <w:pPr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</w:pPr>
            <w:r w:rsidRPr="00C16C97"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  <w:t>18 – Statistika</w:t>
            </w:r>
          </w:p>
        </w:tc>
      </w:tr>
      <w:tr w:rsidR="003B1686" w:rsidRPr="00C16C97" w14:paraId="53E6DBFD" w14:textId="77777777" w:rsidTr="005C4579">
        <w:trPr>
          <w:jc w:val="center"/>
        </w:trPr>
        <w:tc>
          <w:tcPr>
            <w:tcW w:w="1578" w:type="dxa"/>
            <w:vAlign w:val="center"/>
          </w:tcPr>
          <w:p w14:paraId="2A7A59B0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9 – Finansijske usluge</w:t>
            </w:r>
          </w:p>
        </w:tc>
        <w:tc>
          <w:tcPr>
            <w:tcW w:w="1587" w:type="dxa"/>
            <w:vAlign w:val="center"/>
          </w:tcPr>
          <w:p w14:paraId="32CF83C3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 xml:space="preserve">29 – Carinska unija </w:t>
            </w:r>
          </w:p>
        </w:tc>
        <w:tc>
          <w:tcPr>
            <w:tcW w:w="1482" w:type="dxa"/>
          </w:tcPr>
          <w:p w14:paraId="5DFEACF9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577" w:type="dxa"/>
          </w:tcPr>
          <w:p w14:paraId="0E3EC432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605" w:type="dxa"/>
          </w:tcPr>
          <w:p w14:paraId="18F96FAF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747" w:type="dxa"/>
            <w:vAlign w:val="center"/>
          </w:tcPr>
          <w:p w14:paraId="343E44EC" w14:textId="77777777" w:rsidR="003B1686" w:rsidRPr="00C16C97" w:rsidRDefault="003B1686" w:rsidP="00687A75">
            <w:pPr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</w:pPr>
            <w:r w:rsidRPr="00C16C97"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  <w:t xml:space="preserve">32 – Finansijski nadzor </w:t>
            </w:r>
          </w:p>
        </w:tc>
      </w:tr>
      <w:tr w:rsidR="003B1686" w:rsidRPr="00C16C97" w14:paraId="56575D75" w14:textId="77777777" w:rsidTr="005C4579">
        <w:trPr>
          <w:jc w:val="center"/>
        </w:trPr>
        <w:tc>
          <w:tcPr>
            <w:tcW w:w="1578" w:type="dxa"/>
            <w:shd w:val="clear" w:color="auto" w:fill="FFFFFF" w:themeFill="background1"/>
            <w:vAlign w:val="center"/>
          </w:tcPr>
          <w:p w14:paraId="5A9252F9" w14:textId="77777777" w:rsidR="003B1686" w:rsidRPr="00C16C97" w:rsidRDefault="003B1686" w:rsidP="00687A75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="Cambria" w:eastAsia="Times New Roman" w:hAnsi="Cambria" w:cs="Calibri"/>
                <w:color w:val="000000"/>
                <w:sz w:val="18"/>
                <w:szCs w:val="18"/>
                <w:lang w:val="bs-Latn-BA" w:eastAsia="en-GB"/>
              </w:rPr>
              <w:t>28 – Zaštita potrošača i zdravlja*</w:t>
            </w:r>
          </w:p>
        </w:tc>
        <w:tc>
          <w:tcPr>
            <w:tcW w:w="1587" w:type="dxa"/>
          </w:tcPr>
          <w:p w14:paraId="3A860109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482" w:type="dxa"/>
          </w:tcPr>
          <w:p w14:paraId="41E2834C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577" w:type="dxa"/>
          </w:tcPr>
          <w:p w14:paraId="29D3C9F6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605" w:type="dxa"/>
          </w:tcPr>
          <w:p w14:paraId="3CF7A38E" w14:textId="77777777" w:rsidR="003B1686" w:rsidRPr="00C16C97" w:rsidRDefault="003B1686" w:rsidP="00687A75">
            <w:pPr>
              <w:rPr>
                <w:rFonts w:asciiTheme="majorHAnsi" w:hAnsiTheme="majorHAnsi"/>
                <w:lang w:val="bs-Latn-BA"/>
              </w:rPr>
            </w:pPr>
          </w:p>
        </w:tc>
        <w:tc>
          <w:tcPr>
            <w:tcW w:w="1747" w:type="dxa"/>
            <w:vAlign w:val="center"/>
          </w:tcPr>
          <w:p w14:paraId="034A597A" w14:textId="77777777" w:rsidR="003B1686" w:rsidRPr="00C16C97" w:rsidRDefault="003B1686" w:rsidP="00687A75">
            <w:pPr>
              <w:rPr>
                <w:rFonts w:ascii="Cambria" w:hAnsi="Cambria" w:cs="Calibri"/>
                <w:color w:val="000000"/>
                <w:sz w:val="18"/>
                <w:szCs w:val="18"/>
                <w:lang w:val="bs-Latn-BA"/>
              </w:rPr>
            </w:pPr>
          </w:p>
        </w:tc>
      </w:tr>
    </w:tbl>
    <w:p w14:paraId="70A93DED" w14:textId="77777777" w:rsidR="003B1686" w:rsidRPr="00C16C97" w:rsidRDefault="003B1686" w:rsidP="00E8621C">
      <w:pPr>
        <w:spacing w:before="120" w:after="160"/>
        <w:jc w:val="both"/>
        <w:rPr>
          <w:rFonts w:ascii="Cambria" w:eastAsia="Calibri" w:hAnsi="Cambria" w:cs="Times New Roman"/>
          <w:sz w:val="20"/>
          <w:szCs w:val="20"/>
          <w:lang w:val="bs-Latn-BA"/>
        </w:rPr>
      </w:pPr>
      <w:r w:rsidRPr="00C16C97">
        <w:rPr>
          <w:rFonts w:ascii="Cambria" w:eastAsia="Calibri" w:hAnsi="Cambria" w:cs="Times New Roman"/>
          <w:sz w:val="20"/>
          <w:szCs w:val="20"/>
          <w:lang w:val="bs-Latn-BA"/>
        </w:rPr>
        <w:t>Napomena: * - procjena interne spremnosti za zatvaranje</w:t>
      </w:r>
      <w:r w:rsidR="00C16C97">
        <w:rPr>
          <w:rFonts w:ascii="Cambria" w:eastAsia="Calibri" w:hAnsi="Cambria" w:cs="Times New Roman"/>
          <w:sz w:val="20"/>
          <w:szCs w:val="20"/>
          <w:lang w:val="bs-Latn-BA"/>
        </w:rPr>
        <w:t xml:space="preserve"> do kraja 2020</w:t>
      </w:r>
      <w:r w:rsidR="00EF2FE9" w:rsidRPr="00C16C97">
        <w:rPr>
          <w:rFonts w:ascii="Cambria" w:eastAsia="Calibri" w:hAnsi="Cambria" w:cs="Times New Roman"/>
          <w:sz w:val="20"/>
          <w:szCs w:val="20"/>
          <w:lang w:val="bs-Latn-BA"/>
        </w:rPr>
        <w:t>; ** - privrem</w:t>
      </w:r>
      <w:r w:rsidR="00C16C97" w:rsidRPr="00C16C97">
        <w:rPr>
          <w:rFonts w:ascii="Cambria" w:eastAsia="Calibri" w:hAnsi="Cambria" w:cs="Times New Roman"/>
          <w:sz w:val="20"/>
          <w:szCs w:val="20"/>
          <w:lang w:val="bs-Latn-BA"/>
        </w:rPr>
        <w:t>e</w:t>
      </w:r>
      <w:r w:rsidR="00EF2FE9" w:rsidRPr="00C16C97">
        <w:rPr>
          <w:rFonts w:ascii="Cambria" w:eastAsia="Calibri" w:hAnsi="Cambria" w:cs="Times New Roman"/>
          <w:sz w:val="20"/>
          <w:szCs w:val="20"/>
          <w:lang w:val="bs-Latn-BA"/>
        </w:rPr>
        <w:t>no zatvoreno poglavlje;</w:t>
      </w:r>
    </w:p>
    <w:p w14:paraId="27B99793" w14:textId="0C73A130" w:rsidR="00E8621C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</w:pPr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Nova metodologija poziva na </w:t>
      </w:r>
      <w:r w:rsidRPr="00C16C97"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 xml:space="preserve">veće </w:t>
      </w:r>
      <w:proofErr w:type="spellStart"/>
      <w:r w:rsidRPr="00C16C97"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>liderstvo</w:t>
      </w:r>
      <w:proofErr w:type="spellEnd"/>
      <w:r w:rsidRPr="00C16C97"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 xml:space="preserve"> obje strane i naglašava se </w:t>
      </w:r>
      <w:r w:rsidRPr="00C16C97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val="bs-Latn-BA"/>
        </w:rPr>
        <w:t>da je vrijeme da se politička priroda procesa podvuče i stavi u prvi plan</w:t>
      </w:r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, što uključuje nove moguć</w:t>
      </w:r>
      <w:r w:rsidR="00D77F52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n</w:t>
      </w:r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osti za dijalog kroz redovne </w:t>
      </w:r>
      <w:proofErr w:type="spellStart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samite</w:t>
      </w:r>
      <w:proofErr w:type="spellEnd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EU - Zapadni Balkan i intenzivnije ministarske kontakte. </w:t>
      </w:r>
      <w:proofErr w:type="spellStart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Fokusiraniji</w:t>
      </w:r>
      <w:proofErr w:type="spellEnd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pristup ključnim političkim pitanjima i reformama </w:t>
      </w:r>
      <w:proofErr w:type="spellStart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očekivaće</w:t>
      </w:r>
      <w:proofErr w:type="spellEnd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se i od tijela </w:t>
      </w:r>
      <w:proofErr w:type="spellStart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SSP-a</w:t>
      </w:r>
      <w:proofErr w:type="spellEnd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, dok će države članice biti pozvane da </w:t>
      </w:r>
      <w:proofErr w:type="spellStart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sistematičnije</w:t>
      </w:r>
      <w:proofErr w:type="spellEnd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doprinose </w:t>
      </w:r>
      <w:proofErr w:type="spellStart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pregovaračkom</w:t>
      </w:r>
      <w:proofErr w:type="spellEnd"/>
      <w:r w:rsidRPr="00C16C97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procesu, a </w:t>
      </w:r>
      <w:r w:rsidRPr="00C16C97"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>EK će nastaviti da</w:t>
      </w:r>
      <w:r w:rsidRPr="00C16C97">
        <w:rPr>
          <w:rFonts w:ascii="Arial" w:eastAsia="Calibri" w:hAnsi="Arial" w:cs="Arial"/>
          <w:color w:val="000000"/>
          <w:sz w:val="24"/>
          <w:szCs w:val="24"/>
          <w:u w:val="single"/>
          <w:shd w:val="clear" w:color="auto" w:fill="FFFFFF"/>
          <w:lang w:val="bs-Latn-BA"/>
        </w:rPr>
        <w:t xml:space="preserve"> </w:t>
      </w:r>
      <w:r w:rsidRPr="00C16C97">
        <w:rPr>
          <w:rFonts w:ascii="Cambria" w:eastAsia="Calibri" w:hAnsi="Cambria" w:cs="Arial"/>
          <w:color w:val="000000"/>
          <w:sz w:val="24"/>
          <w:szCs w:val="24"/>
          <w:u w:val="single"/>
          <w:shd w:val="clear" w:color="auto" w:fill="FFFFFF"/>
          <w:lang w:val="bs-Latn-BA"/>
        </w:rPr>
        <w:t xml:space="preserve">u formi godišnjeg paketa proširenja predlaže plan za sljedeću godinu s detaljnijim reformama, za odobrenje od strane država članica, uključujući i prijedloge korektivnih mjera. </w:t>
      </w:r>
      <w:r w:rsidRPr="00C16C97"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 xml:space="preserve"> </w:t>
      </w:r>
    </w:p>
    <w:p w14:paraId="15F89A3A" w14:textId="77777777" w:rsidR="00E8621C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lastRenderedPageBreak/>
        <w:t xml:space="preserve">Još jedna od promjena koju predlaže Evropska komisija jeste 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povezivanje napretka u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sprovođenju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dogovorenih reformi sa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tješnjom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integracijom zemalja kandidata u Evropsku uniju, njeno tržište i programe, kao i povećanju fondova i investicija.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</w:t>
      </w:r>
    </w:p>
    <w:p w14:paraId="7D4162E8" w14:textId="77777777" w:rsidR="00E8621C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Kako se navodi u dokumentu: „</w:t>
      </w:r>
      <w:r w:rsidRPr="00C16C97">
        <w:rPr>
          <w:rFonts w:ascii="Cambria" w:eastAsia="Calibri" w:hAnsi="Cambria" w:cs="Times New Roman"/>
          <w:i/>
          <w:sz w:val="24"/>
          <w:szCs w:val="24"/>
          <w:u w:val="single"/>
          <w:lang w:val="bs-Latn-BA"/>
        </w:rPr>
        <w:t xml:space="preserve">dok napredak u reformama treba da bude </w:t>
      </w:r>
      <w:proofErr w:type="spellStart"/>
      <w:r w:rsidRPr="00C16C97">
        <w:rPr>
          <w:rFonts w:ascii="Cambria" w:eastAsia="Calibri" w:hAnsi="Cambria" w:cs="Times New Roman"/>
          <w:i/>
          <w:sz w:val="24"/>
          <w:szCs w:val="24"/>
          <w:u w:val="single"/>
          <w:lang w:val="bs-Latn-BA"/>
        </w:rPr>
        <w:t>nagrađivan</w:t>
      </w:r>
      <w:proofErr w:type="spellEnd"/>
      <w:r w:rsidRPr="00C16C97">
        <w:rPr>
          <w:rFonts w:ascii="Cambria" w:eastAsia="Calibri" w:hAnsi="Cambria" w:cs="Times New Roman"/>
          <w:i/>
          <w:sz w:val="24"/>
          <w:szCs w:val="24"/>
          <w:u w:val="single"/>
          <w:lang w:val="bs-Latn-BA"/>
        </w:rPr>
        <w:t xml:space="preserve">, postoji i potreba za odlučnije mjere </w:t>
      </w:r>
      <w:proofErr w:type="spellStart"/>
      <w:r w:rsidRPr="00C16C97">
        <w:rPr>
          <w:rFonts w:ascii="Cambria" w:eastAsia="Calibri" w:hAnsi="Cambria" w:cs="Times New Roman"/>
          <w:i/>
          <w:sz w:val="24"/>
          <w:szCs w:val="24"/>
          <w:u w:val="single"/>
          <w:lang w:val="bs-Latn-BA"/>
        </w:rPr>
        <w:t>sankcionisanja</w:t>
      </w:r>
      <w:proofErr w:type="spellEnd"/>
      <w:r w:rsidRPr="00C16C97">
        <w:rPr>
          <w:rFonts w:ascii="Cambria" w:eastAsia="Calibri" w:hAnsi="Cambria" w:cs="Times New Roman"/>
          <w:i/>
          <w:sz w:val="24"/>
          <w:szCs w:val="24"/>
          <w:u w:val="single"/>
          <w:lang w:val="bs-Latn-BA"/>
        </w:rPr>
        <w:t xml:space="preserve"> u slučaju ozbiljne stagnacije ili </w:t>
      </w:r>
      <w:proofErr w:type="spellStart"/>
      <w:r w:rsidRPr="00C16C97">
        <w:rPr>
          <w:rFonts w:ascii="Cambria" w:eastAsia="Calibri" w:hAnsi="Cambria" w:cs="Times New Roman"/>
          <w:i/>
          <w:sz w:val="24"/>
          <w:szCs w:val="24"/>
          <w:u w:val="single"/>
          <w:lang w:val="bs-Latn-BA"/>
        </w:rPr>
        <w:t>nazadovanja</w:t>
      </w:r>
      <w:proofErr w:type="spellEnd"/>
      <w:r w:rsidRPr="00C16C97">
        <w:rPr>
          <w:rFonts w:ascii="Cambria" w:eastAsia="Calibri" w:hAnsi="Cambria" w:cs="Times New Roman"/>
          <w:i/>
          <w:sz w:val="24"/>
          <w:szCs w:val="24"/>
          <w:u w:val="single"/>
          <w:lang w:val="bs-Latn-BA"/>
        </w:rPr>
        <w:t xml:space="preserve"> u implementaciji reformi. Odluka o zaustavljanju ili čak preokretanju procesa treba da budu saopštene kroz godišnji izvještaj Evropske komisije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“, što do sada nikada nije bio slučaj.</w:t>
      </w:r>
    </w:p>
    <w:p w14:paraId="507C5531" w14:textId="77777777" w:rsidR="00E8621C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U ozbiljnim slučajevima, Komisija može dati takav pr</w:t>
      </w:r>
      <w:r w:rsidR="00A83A75" w:rsidRPr="00C16C97">
        <w:rPr>
          <w:rFonts w:ascii="Cambria" w:eastAsia="Calibri" w:hAnsi="Cambria" w:cs="Times New Roman"/>
          <w:sz w:val="24"/>
          <w:szCs w:val="24"/>
          <w:lang w:val="bs-Latn-BA"/>
        </w:rPr>
        <w:t>ij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edlog u svako doba, na svoj zahtjev ili zahtjev države članice, u obezbjeđivanju brzog odgovora na situaciju kroz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pojednostavljene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procedure.</w:t>
      </w:r>
      <w:r w:rsidR="00A83A75"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Te mjere predviđaju mogućnost suspenzije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pristupnog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procesa, kao i ponovnog otva</w:t>
      </w:r>
      <w:r w:rsidR="00A83A75" w:rsidRPr="00C16C97">
        <w:rPr>
          <w:rFonts w:ascii="Cambria" w:eastAsia="Calibri" w:hAnsi="Cambria" w:cs="Times New Roman"/>
          <w:sz w:val="24"/>
          <w:szCs w:val="24"/>
          <w:lang w:val="bs-Latn-BA"/>
        </w:rPr>
        <w:t>ranja zatvorenih poglavlja ili ,,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resetovanje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" pitanja koja moraju da budu ponovo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preispitivana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. </w:t>
      </w:r>
    </w:p>
    <w:p w14:paraId="4CDD1CD4" w14:textId="77777777" w:rsidR="00E8621C" w:rsidRPr="00120DB8" w:rsidRDefault="00E8621C" w:rsidP="00E8621C">
      <w:pPr>
        <w:spacing w:before="120" w:after="160"/>
        <w:jc w:val="both"/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</w:pPr>
      <w:proofErr w:type="spellStart"/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Novitet</w:t>
      </w:r>
      <w:proofErr w:type="spellEnd"/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 u odnosu na postojeći model je da se </w:t>
      </w:r>
      <w:r w:rsidRPr="00120DB8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prvi put </w:t>
      </w:r>
      <w:r w:rsidR="00A83A75" w:rsidRPr="00120DB8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>navodi</w:t>
      </w:r>
      <w:r w:rsidRPr="00120DB8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 mogućnost umanjivanja sredstava iz fondova EU, uz izuzetak podrške civilnom društvu, u slučaju stag</w:t>
      </w:r>
      <w:r w:rsidR="00A83A75" w:rsidRPr="00120DB8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niranja u </w:t>
      </w:r>
      <w:proofErr w:type="spellStart"/>
      <w:r w:rsidR="00A83A75" w:rsidRPr="00120DB8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>pregovaračkom</w:t>
      </w:r>
      <w:proofErr w:type="spellEnd"/>
      <w:r w:rsidR="00A83A75" w:rsidRPr="00120DB8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 procesu</w:t>
      </w:r>
      <w:r w:rsidRPr="00120DB8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 ili neispunjavanja reformskih aktivnosti.</w:t>
      </w:r>
    </w:p>
    <w:p w14:paraId="59A7DDA9" w14:textId="30263045" w:rsidR="00E8621C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Evropska komisija svojim pr</w:t>
      </w:r>
      <w:r w:rsidR="00A83A75" w:rsidRPr="00C16C97">
        <w:rPr>
          <w:rFonts w:ascii="Cambria" w:eastAsia="Calibri" w:hAnsi="Cambria" w:cs="Times New Roman"/>
          <w:sz w:val="24"/>
          <w:szCs w:val="24"/>
          <w:lang w:val="bs-Latn-BA"/>
        </w:rPr>
        <w:t>ij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edlogom naglašava da u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pristupnom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procesu uslovi moraju biti jasni od samog početka i najavljuje njihovo definisanje kroz godišnje </w:t>
      </w:r>
      <w:r w:rsidR="00871597">
        <w:rPr>
          <w:rFonts w:ascii="Cambria" w:eastAsia="Calibri" w:hAnsi="Cambria" w:cs="Times New Roman"/>
          <w:sz w:val="24"/>
          <w:szCs w:val="24"/>
          <w:lang w:val="bs-Latn-BA"/>
        </w:rPr>
        <w:t>izvještaje za zemlje kandidate.</w:t>
      </w:r>
    </w:p>
    <w:p w14:paraId="17EF84C6" w14:textId="77777777" w:rsidR="00E8621C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b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U načelu, u fokusu ostaje napor da se održi dinamika i kvalitet pregovaračkog procesa i smatramo da je Nova metodologija pokrenula neka od ključnih pitanja, kao što su: </w:t>
      </w:r>
      <w:r w:rsidR="00972BBE"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kontinuitet političkog dijaloga i </w:t>
      </w: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zajednička strateška komunikacija o evropskim vrijednostima</w:t>
      </w:r>
      <w:r w:rsidR="00972BBE"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.</w:t>
      </w:r>
    </w:p>
    <w:p w14:paraId="5AC55461" w14:textId="77777777" w:rsidR="00E8621C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Na kraju, za Crnu Goru metodologija </w:t>
      </w:r>
      <w:r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>u tehničkom smislu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ne donosi puno noviteta u odnosu na aktuelni model pregovaranja. Najveći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novitet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je mogućnost povećanja ili smanjenja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pretpristupnih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fondova EU u zavisnosti od napredovanja ili stagniranja države kandidata, </w:t>
      </w:r>
      <w:r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što treba čitati kao </w:t>
      </w:r>
      <w:proofErr w:type="spellStart"/>
      <w:r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>uvertiru</w:t>
      </w:r>
      <w:proofErr w:type="spellEnd"/>
      <w:r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 za predstojeću IPA 3.</w:t>
      </w:r>
    </w:p>
    <w:p w14:paraId="5F42ECC5" w14:textId="77777777" w:rsidR="0002632E" w:rsidRPr="00C16C97" w:rsidRDefault="00E8621C" w:rsidP="00E8621C">
      <w:pPr>
        <w:spacing w:before="120" w:after="16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U </w:t>
      </w:r>
      <w:r w:rsidRPr="00C16C97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>političkom smislu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, ohrabruje najava veće političke uključenosti država članica i intenzivnije saradnje s državama ZB kroz održavanje redovnih samita EU-ZB, minis</w:t>
      </w:r>
      <w:r w:rsidR="00A83A75"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tarskih sastanaka i međuvladinih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</w:t>
      </w:r>
      <w:r w:rsidR="00A83A75"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konferencija</w:t>
      </w:r>
      <w:r w:rsidRPr="00C16C97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 xml:space="preserve"> prilikom predstavljanja godišnjih izvještaja.</w:t>
      </w:r>
    </w:p>
    <w:p w14:paraId="2582321C" w14:textId="07BF376F" w:rsidR="000C3560" w:rsidRDefault="00F92F15" w:rsidP="00E8621C">
      <w:pPr>
        <w:spacing w:before="120" w:after="16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U nastavku dat je tabelarni pregled </w:t>
      </w: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analize nove metodologije pregovora i postojećeg pregovaračkog okvira za pregovore Crne Gore sa EU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, koji je definisan na Prvoj</w:t>
      </w:r>
      <w:r w:rsidR="00FB5661">
        <w:rPr>
          <w:rFonts w:ascii="Cambria" w:eastAsia="Calibri" w:hAnsi="Cambria" w:cs="Times New Roman"/>
          <w:sz w:val="24"/>
          <w:szCs w:val="24"/>
          <w:lang w:val="bs-Latn-BA"/>
        </w:rPr>
        <w:t xml:space="preserve"> 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Međuvladinoj konferenciji o pristupnim pregovorima Crne Gore sa EU, 29. juna 2012. godine u Briselu</w:t>
      </w:r>
      <w:r w:rsidRPr="00C16C97">
        <w:rPr>
          <w:rStyle w:val="FootnoteReference"/>
          <w:rFonts w:ascii="Cambria" w:eastAsia="Calibri" w:hAnsi="Cambria" w:cs="Times New Roman"/>
          <w:sz w:val="24"/>
          <w:szCs w:val="24"/>
          <w:lang w:val="bs-Latn-BA"/>
        </w:rPr>
        <w:footnoteReference w:id="2"/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.</w:t>
      </w:r>
    </w:p>
    <w:p w14:paraId="0EC92F45" w14:textId="02E3393B" w:rsidR="00A83A75" w:rsidRPr="00C16C97" w:rsidRDefault="00EF2FE9" w:rsidP="00D83BFA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lastRenderedPageBreak/>
        <w:t xml:space="preserve">Tabela </w:t>
      </w:r>
      <w:r w:rsidR="00120DB8">
        <w:rPr>
          <w:rFonts w:ascii="Cambria" w:eastAsia="Calibri" w:hAnsi="Cambria" w:cs="Times New Roman"/>
          <w:b/>
          <w:sz w:val="24"/>
          <w:szCs w:val="24"/>
          <w:lang w:val="bs-Latn-BA"/>
        </w:rPr>
        <w:t>2. Uporedni prikaz predloga iz n</w:t>
      </w: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ove metodologije EK i </w:t>
      </w:r>
    </w:p>
    <w:p w14:paraId="57272E66" w14:textId="4494C3F9" w:rsidR="00E8621C" w:rsidRPr="00C16C97" w:rsidRDefault="00EF2FE9" w:rsidP="00D83BFA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aktuelnog pregovaračko</w:t>
      </w:r>
      <w:r w:rsidR="00D74E29">
        <w:rPr>
          <w:rFonts w:ascii="Cambria" w:eastAsia="Calibri" w:hAnsi="Cambria" w:cs="Times New Roman"/>
          <w:b/>
          <w:sz w:val="24"/>
          <w:szCs w:val="24"/>
          <w:lang w:val="bs-Latn-BA"/>
        </w:rPr>
        <w:t>g</w:t>
      </w: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 </w:t>
      </w:r>
      <w:r w:rsidR="00D74E29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okvira </w:t>
      </w: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Crne Gore </w:t>
      </w:r>
      <w:r w:rsidR="00D74E29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i </w:t>
      </w: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>EU</w:t>
      </w:r>
    </w:p>
    <w:p w14:paraId="152BF213" w14:textId="77777777" w:rsidR="00F92F15" w:rsidRPr="00C16C97" w:rsidRDefault="00F92F15" w:rsidP="00D83BFA">
      <w:pPr>
        <w:spacing w:after="0"/>
        <w:jc w:val="center"/>
        <w:rPr>
          <w:rFonts w:ascii="Cambria" w:eastAsia="Calibri" w:hAnsi="Cambria" w:cs="Times New Roman"/>
          <w:b/>
          <w:sz w:val="6"/>
          <w:szCs w:val="6"/>
          <w:lang w:val="bs-Latn-BA"/>
        </w:rPr>
      </w:pPr>
    </w:p>
    <w:tbl>
      <w:tblPr>
        <w:tblW w:w="519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4723"/>
        <w:gridCol w:w="1413"/>
        <w:gridCol w:w="3262"/>
      </w:tblGrid>
      <w:tr w:rsidR="00F307F0" w:rsidRPr="00C16C97" w14:paraId="4119BD93" w14:textId="77777777" w:rsidTr="00A5310C">
        <w:trPr>
          <w:trHeight w:val="1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F26F69" w14:textId="037010E2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CA8E4F0" w14:textId="77777777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bs-Latn-BA" w:eastAsia="en-GB"/>
              </w:rPr>
              <w:t>Elementi nove metodologije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663A434" w14:textId="30A28354" w:rsidR="00F307F0" w:rsidRPr="00C16C97" w:rsidRDefault="00F307F0" w:rsidP="0023147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 xml:space="preserve">Obuhvaćeno </w:t>
            </w:r>
            <w:r w:rsidR="0023147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 xml:space="preserve">Opštom pozicijom </w:t>
            </w: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EU za pregovore sa CG (2012)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79F30A3" w14:textId="65950435" w:rsidR="00F307F0" w:rsidRPr="00C16C97" w:rsidRDefault="00F307F0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lang w:val="bs-Latn-BA" w:eastAsia="en-GB"/>
              </w:rPr>
              <w:t xml:space="preserve">Komentar/mogućnost primjene </w:t>
            </w:r>
          </w:p>
        </w:tc>
      </w:tr>
      <w:tr w:rsidR="00F307F0" w:rsidRPr="00C16C97" w14:paraId="0127616A" w14:textId="77777777" w:rsidTr="00A5310C">
        <w:trPr>
          <w:trHeight w:val="5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960E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DD47DD" w14:textId="523A29A5" w:rsidR="00F307F0" w:rsidRPr="00C16C97" w:rsidRDefault="000C36A1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Krit</w:t>
            </w:r>
            <w:r w:rsidR="00F307F0"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erijumi</w:t>
            </w:r>
            <w:proofErr w:type="spellEnd"/>
            <w:r w:rsidR="00F307F0"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 pristupanja i proces vođen zaslugama svake zemlje pojedinačno 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(ostalo nepromijenjeno, ali uz pojačanu </w:t>
            </w:r>
            <w:proofErr w:type="spellStart"/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uslovljenost</w:t>
            </w:r>
            <w:proofErr w:type="spellEnd"/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za AL i </w:t>
            </w:r>
            <w:r w:rsidR="00120D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SM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, kojima je </w:t>
            </w:r>
            <w:r w:rsidR="00697FC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Evropski savjet dao zeleno svjetlo za 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otvaranje pregovora </w:t>
            </w:r>
            <w:r w:rsidR="00D74E2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27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.</w:t>
            </w:r>
            <w:r w:rsidR="00D74E2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III 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2020.)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CCA5" w14:textId="1C5C7E1A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9AE0" w14:textId="7A5A6824" w:rsidR="00F307F0" w:rsidRPr="00C16C97" w:rsidRDefault="00D657DD" w:rsidP="00D74E2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rimjenljivo, tačka 24 </w:t>
            </w:r>
            <w:r w:rsidR="00D74E2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Opšte pozicije EU</w:t>
            </w:r>
          </w:p>
        </w:tc>
      </w:tr>
      <w:tr w:rsidR="00F307F0" w:rsidRPr="00C16C97" w14:paraId="3ACBF6DD" w14:textId="77777777" w:rsidTr="00A5310C">
        <w:trPr>
          <w:trHeight w:val="5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CA4A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3FD5711" w14:textId="795A15E6" w:rsidR="00F307F0" w:rsidRPr="00C16C97" w:rsidRDefault="00D74E29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Podjela</w:t>
            </w: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r w:rsidR="00F307F0"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poglavlja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po 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klasterima</w:t>
            </w:r>
            <w:proofErr w:type="spellEnd"/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r w:rsidR="00F307F0"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za efikasniji analitički pregled zakonodavstva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(</w:t>
            </w:r>
            <w:proofErr w:type="spellStart"/>
            <w:r w:rsidR="00F307F0" w:rsidRPr="00C16C97">
              <w:rPr>
                <w:rFonts w:asciiTheme="majorHAnsi" w:eastAsia="Times New Roman" w:hAnsiTheme="majorHAnsi" w:cs="Calibri"/>
                <w:i/>
                <w:color w:val="000000"/>
                <w:sz w:val="20"/>
                <w:szCs w:val="20"/>
                <w:lang w:val="bs-Latn-BA" w:eastAsia="en-GB"/>
              </w:rPr>
              <w:t>skrining</w:t>
            </w:r>
            <w:proofErr w:type="spellEnd"/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0D75" w14:textId="10071D42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2A9" w14:textId="43EFE881" w:rsidR="00F307F0" w:rsidRPr="00C16C97" w:rsidRDefault="00D657DD" w:rsidP="00D74E2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eprimjenljivo</w:t>
            </w:r>
            <w:proofErr w:type="spellEnd"/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, završena faza</w:t>
            </w:r>
            <w:r w:rsidR="006757B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otvaranje</w:t>
            </w:r>
            <w:r w:rsidR="00120D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m</w:t>
            </w:r>
            <w:r w:rsidR="006757B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poglavlja 8</w:t>
            </w:r>
          </w:p>
        </w:tc>
      </w:tr>
      <w:tr w:rsidR="00F307F0" w:rsidRPr="00C16C97" w14:paraId="3D6093CB" w14:textId="77777777" w:rsidTr="00A5310C">
        <w:trPr>
          <w:trHeight w:val="11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CA61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3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65CA8C" w14:textId="5B1DB224" w:rsidR="00F307F0" w:rsidRPr="00C16C97" w:rsidRDefault="00F307F0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Brže otvaranje </w:t>
            </w:r>
            <w:r w:rsidRPr="00A5310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poglavlja po </w:t>
            </w:r>
            <w:proofErr w:type="spellStart"/>
            <w:r w:rsidRPr="00A5310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klasterima</w:t>
            </w:r>
            <w:proofErr w:type="spellEnd"/>
            <w:r w:rsidRPr="00A5310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, po grupama tematsk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ih oblasti kroz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klastere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, na jednoj MVK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387F" w14:textId="1D47FFC6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F98" w14:textId="6E2C0999" w:rsidR="00F307F0" w:rsidRPr="00C16C97" w:rsidRDefault="00D657DD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eprimjenljivo</w:t>
            </w:r>
            <w:proofErr w:type="spellEnd"/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, završena faza </w:t>
            </w:r>
            <w:r w:rsidR="006757B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otvaranjem poglavlja 8</w:t>
            </w:r>
          </w:p>
        </w:tc>
      </w:tr>
      <w:tr w:rsidR="00F307F0" w:rsidRPr="00C16C97" w14:paraId="709AB547" w14:textId="77777777" w:rsidTr="00A5310C">
        <w:trPr>
          <w:trHeight w:val="18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BE26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4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CF77D7D" w14:textId="77777777" w:rsidR="00F307F0" w:rsidRPr="00C16C97" w:rsidRDefault="00F307F0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Struktura tematskih poglavlja po </w:t>
            </w: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planiranoj dinamici otvaranja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(Temeljna poglavlja, Unutrašnje tržište, Konkurentnost i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inkulzivni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rast, Zelena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agenda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 održiva povezanost, Resursi, poljoprivreda i kohezija, Spoljni odnosi); Bolje horizontalno povezivanje pregovaračkih pozicija; Pripreme za strukturne fondove u finišu pristupnih pregovora;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FB67" w14:textId="2A79150A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73D5" w14:textId="77465AD6" w:rsidR="00F307F0" w:rsidRPr="00C16C97" w:rsidRDefault="00D657DD" w:rsidP="00675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eprimjenljivo</w:t>
            </w:r>
            <w:proofErr w:type="spellEnd"/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, </w:t>
            </w:r>
            <w:r w:rsidR="006757B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završena faza otvaranjem poglavlja 8</w:t>
            </w:r>
          </w:p>
        </w:tc>
      </w:tr>
      <w:tr w:rsidR="00F307F0" w:rsidRPr="00C16C97" w14:paraId="0C189E5F" w14:textId="77777777" w:rsidTr="00A5310C">
        <w:trPr>
          <w:trHeight w:val="2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B895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019CE13" w14:textId="77777777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Zatvaranje poglavlja: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6D3E" w14:textId="77777777" w:rsidR="00F307F0" w:rsidRPr="00C16C97" w:rsidRDefault="00F307F0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CDA9" w14:textId="77777777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 </w:t>
            </w:r>
          </w:p>
        </w:tc>
      </w:tr>
      <w:tr w:rsidR="00F307F0" w:rsidRPr="00C16C97" w14:paraId="311B593F" w14:textId="77777777" w:rsidTr="00A5310C">
        <w:trPr>
          <w:trHeight w:val="5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4B0D" w14:textId="7D4462EC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EF76" w14:textId="77777777" w:rsidR="00F307F0" w:rsidRPr="00C16C97" w:rsidRDefault="00282F98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ema obaveze grupnog zatvaranja, svako poglavlje se posebno cijeni da li su ispunjeni uslovi za zatvaranje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757B" w14:textId="6117B4CF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D403" w14:textId="77777777" w:rsidR="00F307F0" w:rsidRPr="00C16C97" w:rsidRDefault="006757B3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</w:t>
            </w:r>
          </w:p>
        </w:tc>
      </w:tr>
      <w:tr w:rsidR="00F307F0" w:rsidRPr="00C16C97" w14:paraId="493A8F36" w14:textId="77777777" w:rsidTr="00A5310C">
        <w:trPr>
          <w:trHeight w:val="99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9DC8" w14:textId="4393FA1C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86C1" w14:textId="65805DB6" w:rsidR="00F307F0" w:rsidRPr="00C16C97" w:rsidRDefault="00F307F0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Svako poglavlje mora biti otvoreno najmanje godinu dana, svako poglavlje ima mjerila</w:t>
            </w:r>
          </w:p>
          <w:p w14:paraId="38E7783F" w14:textId="58590E9A" w:rsidR="00EF2FE9" w:rsidRPr="00C16C97" w:rsidRDefault="00F307F0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(tu je najveća promjena za poglavlja 26. Obrazovanje i kultura, 25. Nauka i istraživanje, koji moraju biti otvoreni bar godinu dana)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C9DA" w14:textId="0897FA45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762D" w14:textId="262359CF" w:rsidR="00F307F0" w:rsidRPr="00C16C97" w:rsidRDefault="00D657DD" w:rsidP="0001798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eprimjenljivo</w:t>
            </w:r>
            <w:proofErr w:type="spellEnd"/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 </w:t>
            </w:r>
          </w:p>
        </w:tc>
      </w:tr>
      <w:tr w:rsidR="00F307F0" w:rsidRPr="00C16C97" w14:paraId="6B1F1A73" w14:textId="77777777" w:rsidTr="00A5310C">
        <w:trPr>
          <w:trHeight w:val="60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F5EA" w14:textId="1EEEE01C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F00A" w14:textId="784C64D2" w:rsidR="00F307F0" w:rsidRPr="00C16C97" w:rsidRDefault="00F307F0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A</w:t>
            </w: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ž</w:t>
            </w:r>
            <w:r w:rsidR="00D657D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u</w:t>
            </w: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riranje mjerila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- ako pregovori duže traju ili ako se poglavlje revidira u cilju inkorporiranja novih elemenata kao što su novi propisi pravne tekovine</w:t>
            </w:r>
          </w:p>
          <w:p w14:paraId="67C7AE42" w14:textId="77777777" w:rsidR="00EF2FE9" w:rsidRPr="00C16C97" w:rsidRDefault="00EF2FE9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10"/>
                <w:szCs w:val="10"/>
                <w:lang w:val="bs-Latn-BA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1947" w14:textId="77777777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9F0" w14:textId="0670775B" w:rsidR="00F307F0" w:rsidRPr="00C16C97" w:rsidRDefault="00D657DD" w:rsidP="0001798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T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ačka 44 </w:t>
            </w:r>
            <w:r w:rsidR="0001798B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Opšte pozicije 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EU</w:t>
            </w:r>
          </w:p>
        </w:tc>
      </w:tr>
      <w:tr w:rsidR="00F307F0" w:rsidRPr="00C16C97" w14:paraId="68489065" w14:textId="77777777" w:rsidTr="00A5310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ABCF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39EBC1" w14:textId="77777777" w:rsidR="00F307F0" w:rsidRPr="00C16C97" w:rsidRDefault="00F307F0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Veća uključenost Država članica EU (DČ) u proces: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6DC" w14:textId="77777777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7767" w14:textId="77777777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 </w:t>
            </w:r>
          </w:p>
        </w:tc>
      </w:tr>
      <w:tr w:rsidR="00F307F0" w:rsidRPr="00C16C97" w14:paraId="79F112E1" w14:textId="77777777" w:rsidTr="007F6CAC">
        <w:trPr>
          <w:trHeight w:val="7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4B3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1BD" w14:textId="2F0B0880" w:rsidR="00EF2FE9" w:rsidRPr="00C16C97" w:rsidRDefault="00F307F0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Učešće država član</w:t>
            </w:r>
            <w:r w:rsidR="00994DF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i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ca EU </w:t>
            </w:r>
            <w:r w:rsidR="001F406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na m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eđuvladin</w:t>
            </w:r>
            <w:r w:rsidR="00D657D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im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konferencij</w:t>
            </w:r>
            <w:r w:rsidR="00D657D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ama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 jače političko nadgledanje cijelog pregovaračkog procesa, uvođenje principa "podijeljene odgovornosti"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05B" w14:textId="4CCF261E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357" w14:textId="47688995" w:rsidR="00F307F0" w:rsidRPr="00C16C97" w:rsidRDefault="00D657DD" w:rsidP="001F406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U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najvećoj mjeri sadržano u tačk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i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18 </w:t>
            </w:r>
            <w:r w:rsidR="00994DF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Opšte 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pozicije EU</w:t>
            </w:r>
          </w:p>
        </w:tc>
      </w:tr>
      <w:tr w:rsidR="00F307F0" w:rsidRPr="00C16C97" w14:paraId="7B8DBA8F" w14:textId="77777777" w:rsidTr="007F6CA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D5F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C481" w14:textId="1072E2DD" w:rsidR="00EF2FE9" w:rsidRPr="00C16C97" w:rsidRDefault="00F307F0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Redovni Samiti EU-ZB i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intenzivni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ministarski kontakti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4B9" w14:textId="2275E193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A59" w14:textId="77777777" w:rsidR="00F307F0" w:rsidRPr="00C16C97" w:rsidRDefault="00994DF0" w:rsidP="001F406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rimjenljivo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 korisno u cilju osiguranja kontinuiteta političkog dijaloga</w:t>
            </w:r>
          </w:p>
        </w:tc>
      </w:tr>
      <w:tr w:rsidR="00F307F0" w:rsidRPr="00C16C97" w14:paraId="46CC2C9F" w14:textId="77777777" w:rsidTr="007F6CAC">
        <w:trPr>
          <w:trHeight w:val="8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52D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CE9" w14:textId="1F5B7B1A" w:rsidR="00F307F0" w:rsidRPr="00C16C97" w:rsidRDefault="00F307F0" w:rsidP="007F6CA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Ekspertske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misije DČ na terenu, direktni doprinosi DČ za Godišnji izvještaj EK, priprema ekspertiza, mogućnost "češće"/redovne provjere progresa u pregovorima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85E1" w14:textId="138E5EDA" w:rsidR="00F307F0" w:rsidRPr="00C16C97" w:rsidRDefault="00D657DD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C25C" w14:textId="50E2D3B7" w:rsidR="00994DF0" w:rsidRPr="00C16C97" w:rsidRDefault="00F05120" w:rsidP="001F406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V</w:t>
            </w:r>
            <w:r w:rsidR="00994DF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eć je prisutno kroz brojne </w:t>
            </w:r>
            <w:proofErr w:type="spellStart"/>
            <w:r w:rsidR="00994DF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ekspertske</w:t>
            </w:r>
            <w:proofErr w:type="spellEnd"/>
            <w:r w:rsidR="00994DF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misije za čije potrebe EK </w:t>
            </w:r>
            <w:proofErr w:type="spellStart"/>
            <w:r w:rsidR="00994DF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angažuje</w:t>
            </w:r>
            <w:proofErr w:type="spellEnd"/>
            <w:r w:rsidR="00994DF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proofErr w:type="spellStart"/>
            <w:r w:rsidR="00994DF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eksperte</w:t>
            </w:r>
            <w:proofErr w:type="spellEnd"/>
            <w:r w:rsidR="00994DF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DČ </w:t>
            </w:r>
          </w:p>
        </w:tc>
      </w:tr>
      <w:tr w:rsidR="00F307F0" w:rsidRPr="00C16C97" w14:paraId="2E3DD3DB" w14:textId="77777777" w:rsidTr="00A5310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AA81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lastRenderedPageBreak/>
              <w:t>7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11C912" w14:textId="77777777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lang w:val="bs-Latn-BA" w:eastAsia="en-GB"/>
              </w:rPr>
              <w:t xml:space="preserve">Još veća 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lang w:val="bs-Latn-BA" w:eastAsia="en-GB"/>
              </w:rPr>
              <w:t>fokusiranost</w:t>
            </w:r>
            <w:proofErr w:type="spellEnd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lang w:val="bs-Latn-BA" w:eastAsia="en-GB"/>
              </w:rPr>
              <w:t xml:space="preserve"> na temeljna poglavlja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5F7B" w14:textId="77777777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9E0A" w14:textId="77777777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 </w:t>
            </w:r>
          </w:p>
        </w:tc>
      </w:tr>
      <w:tr w:rsidR="00F307F0" w:rsidRPr="00C16C97" w14:paraId="63CDD1DE" w14:textId="77777777" w:rsidTr="00FB5661">
        <w:trPr>
          <w:trHeight w:val="166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388" w14:textId="77777777" w:rsidR="00F307F0" w:rsidRPr="00C16C97" w:rsidRDefault="00F307F0" w:rsidP="007F6CA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40D" w14:textId="227E3805" w:rsidR="00F307F0" w:rsidRPr="001F4068" w:rsidRDefault="00F307F0" w:rsidP="001F406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 xml:space="preserve">Pojačana i jasna Klauzula o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balansu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 xml:space="preserve"> - vezivanje zatvaranja bilo kog poglavlja za ispunjenje privremenih mjerila u oblasti vladavine prava,</w:t>
            </w:r>
            <w:r w:rsidR="001F4068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 xml:space="preserve"> </w:t>
            </w: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bs-Latn-BA" w:eastAsia="en-GB"/>
              </w:rPr>
              <w:t xml:space="preserve">nema privremenog zatvaranja bilo kog poglavlja, prije nego se ispune </w:t>
            </w:r>
            <w:r w:rsidR="00994DF0"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bs-Latn-BA" w:eastAsia="en-GB"/>
              </w:rPr>
              <w:t xml:space="preserve">privremena </w:t>
            </w:r>
            <w:r w:rsidR="00282F98" w:rsidRPr="00C16C97"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bs-Latn-BA" w:eastAsia="en-GB"/>
              </w:rPr>
              <w:t xml:space="preserve">mjerila za poglavlja 23 i </w:t>
            </w: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bs-Latn-BA" w:eastAsia="en-GB"/>
              </w:rPr>
              <w:t xml:space="preserve">24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1F2" w14:textId="7B4BCDFA" w:rsidR="00F307F0" w:rsidRPr="00C16C97" w:rsidRDefault="00F05120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1D75" w14:textId="77777777" w:rsidR="002F35D7" w:rsidRPr="00C16C97" w:rsidRDefault="002F35D7" w:rsidP="002F35D7">
            <w:pPr>
              <w:spacing w:after="12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Formalno ne može važiti za poglavlja koja su već privremeno zatvorena (25,</w:t>
            </w:r>
            <w:r w:rsidR="00F0512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26 i 30), međutim, CG već sada funkcioniše po ovom pravilu, koje se novom metodologijom samo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formalizuje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.</w:t>
            </w:r>
          </w:p>
        </w:tc>
      </w:tr>
      <w:tr w:rsidR="00F307F0" w:rsidRPr="00C16C97" w14:paraId="082392B6" w14:textId="77777777" w:rsidTr="007F6CAC">
        <w:trPr>
          <w:trHeight w:val="13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C9D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C126" w14:textId="1C60DDB5" w:rsidR="00F307F0" w:rsidRDefault="00F307F0" w:rsidP="001F4068">
            <w:pPr>
              <w:spacing w:after="12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Klaster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temeljnih prava proširen sa </w:t>
            </w:r>
            <w:r w:rsidR="002F35D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PP 23 i 24</w:t>
            </w:r>
            <w:r w:rsidR="00282F98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, još s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a </w:t>
            </w:r>
            <w:r w:rsidR="002F35D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PP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5</w:t>
            </w:r>
            <w:r w:rsidR="007B150B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, PP 18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 </w:t>
            </w:r>
            <w:r w:rsidR="002F35D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PP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32    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br/>
              <w:t xml:space="preserve">- </w:t>
            </w:r>
            <w:r w:rsidRPr="00C16C9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prvo otvaranje/posl</w:t>
            </w:r>
            <w:r w:rsidR="002F35D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j</w:t>
            </w:r>
            <w:r w:rsidRPr="00C16C9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ednje zatvaranje</w:t>
            </w:r>
            <w:r w:rsidR="007B150B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: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</w:p>
          <w:p w14:paraId="3CF4CC84" w14:textId="77777777" w:rsidR="007B150B" w:rsidRDefault="007B150B" w:rsidP="002F35D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PP 23 -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Pravosu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đ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 i temeljna prava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;</w:t>
            </w:r>
          </w:p>
          <w:p w14:paraId="1656C789" w14:textId="77777777" w:rsidR="007B150B" w:rsidRDefault="007B150B" w:rsidP="002F35D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PP 24 -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Pravda sloboda i bezbjednost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;</w:t>
            </w:r>
          </w:p>
          <w:p w14:paraId="1A31959C" w14:textId="77777777" w:rsidR="007B150B" w:rsidRDefault="007B150B" w:rsidP="002F35D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PP 5 -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Javne nabavke </w:t>
            </w:r>
          </w:p>
          <w:p w14:paraId="7B45360B" w14:textId="77777777" w:rsidR="007B150B" w:rsidRDefault="007B150B" w:rsidP="002F35D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PP 18 - Statistika </w:t>
            </w:r>
          </w:p>
          <w:p w14:paraId="293742ED" w14:textId="77777777" w:rsidR="007B150B" w:rsidRPr="00C16C97" w:rsidRDefault="007B150B" w:rsidP="002F35D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PP 32 </w:t>
            </w:r>
            <w:r w:rsidR="00480E65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-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Finansijska kontrola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4C8C" w14:textId="4B263209" w:rsidR="00F307F0" w:rsidRPr="00C16C97" w:rsidRDefault="00F05120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D479" w14:textId="77777777" w:rsidR="008F62A5" w:rsidRDefault="00480E65" w:rsidP="008B5F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CG je i ranije</w:t>
            </w:r>
            <w:r w:rsidR="008B5F3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proofErr w:type="spellStart"/>
            <w:r w:rsidR="008B5F3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neformalno</w:t>
            </w:r>
            <w:proofErr w:type="spellEnd"/>
            <w:r w:rsidR="008B5F3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proofErr w:type="spellStart"/>
            <w:r w:rsidR="008B5F3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skrenuta</w:t>
            </w:r>
            <w:proofErr w:type="spellEnd"/>
            <w:r w:rsidR="008B5F3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pažnja da će se poglavlje 5 tretirati zajedno s PP23 i 24 zbog praćenja prisustva korupcije u javnim nabavkama. </w:t>
            </w:r>
          </w:p>
          <w:p w14:paraId="108CE46B" w14:textId="44080512" w:rsidR="008B5F3D" w:rsidRPr="00C16C97" w:rsidRDefault="00BA274F" w:rsidP="008B5F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Dodatno, EU je u okviru temeljnih prava dodala i poglavlja 18 i 32.</w:t>
            </w:r>
          </w:p>
        </w:tc>
      </w:tr>
      <w:tr w:rsidR="00F307F0" w:rsidRPr="00C16C97" w14:paraId="598623A3" w14:textId="77777777" w:rsidTr="00A5310C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03EE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8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C639F4E" w14:textId="77777777" w:rsidR="00F307F0" w:rsidRPr="00C16C97" w:rsidRDefault="00F307F0" w:rsidP="001F406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Proširenje "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klastera</w:t>
            </w:r>
            <w:proofErr w:type="spellEnd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" temeljnih prava sa ključnim 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kriterijumima</w:t>
            </w:r>
            <w:proofErr w:type="spellEnd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 pristupanja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73C4" w14:textId="77777777" w:rsidR="00F307F0" w:rsidRPr="00C16C97" w:rsidRDefault="00F307F0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E690" w14:textId="77777777" w:rsidR="00F307F0" w:rsidRPr="00C16C97" w:rsidRDefault="00F307F0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 </w:t>
            </w:r>
          </w:p>
        </w:tc>
      </w:tr>
      <w:tr w:rsidR="00F307F0" w:rsidRPr="00C16C97" w14:paraId="76598E79" w14:textId="77777777" w:rsidTr="00F804DA">
        <w:trPr>
          <w:trHeight w:val="106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11D7" w14:textId="77777777" w:rsidR="00F307F0" w:rsidRPr="00C16C97" w:rsidRDefault="00F307F0" w:rsidP="00F804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B097" w14:textId="3C9B64A3" w:rsidR="00EF2FE9" w:rsidRPr="00C16C97" w:rsidRDefault="00F307F0" w:rsidP="00F804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Mapa puta za oblast vladavine prava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, kao </w:t>
            </w:r>
            <w:r w:rsidR="00E64AD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početno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mjerilo za pregovore u </w:t>
            </w:r>
            <w:r w:rsidR="00D4284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poglavljima 23 i 24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19F" w14:textId="64C1C9C1" w:rsidR="00F307F0" w:rsidRPr="00C16C97" w:rsidRDefault="00F05120" w:rsidP="00F804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F20" w14:textId="44B4DFFE" w:rsidR="00305E6B" w:rsidRPr="00C16C97" w:rsidRDefault="007B185A" w:rsidP="00F804DA">
            <w:pPr>
              <w:spacing w:after="12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Tačke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41, 42 i 43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Opšte pozicije 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EU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</w:p>
          <w:p w14:paraId="24F8C2E5" w14:textId="5F1DCA56" w:rsidR="00D42843" w:rsidRPr="00C16C97" w:rsidRDefault="00F804DA" w:rsidP="00F804D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Pripremi</w:t>
            </w:r>
            <w:r w:rsidR="005741C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narednog</w:t>
            </w:r>
            <w:r w:rsidR="00D4284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AP za 23 i 24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CG će pristupiti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dobijanjem</w:t>
            </w:r>
            <w:proofErr w:type="spellEnd"/>
            <w:r w:rsidR="005741C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završnih mjerila.</w:t>
            </w:r>
          </w:p>
        </w:tc>
      </w:tr>
      <w:tr w:rsidR="00F307F0" w:rsidRPr="00C16C97" w14:paraId="5A0B42C6" w14:textId="77777777" w:rsidTr="001F4068">
        <w:trPr>
          <w:trHeight w:val="6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BC81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725" w14:textId="14E82288" w:rsidR="00F307F0" w:rsidRPr="00C16C97" w:rsidRDefault="00F307F0" w:rsidP="00CE340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Ekonomsk</w:t>
            </w:r>
            <w:r w:rsidR="00F0512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i</w:t>
            </w:r>
            <w:r w:rsidRPr="00C16C9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kriterijum</w:t>
            </w:r>
            <w:r w:rsidR="00F05120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i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798" w14:textId="6570392D" w:rsidR="00F307F0" w:rsidRPr="00C16C97" w:rsidRDefault="005741C6" w:rsidP="00CE3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r w:rsidR="00F05120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="00CE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720D" w14:textId="1D4E65D7" w:rsidR="00F307F0" w:rsidRPr="00C16C97" w:rsidRDefault="005741C6" w:rsidP="00F804D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U tački 24</w:t>
            </w:r>
            <w:r w:rsidR="00CE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Opšte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r w:rsidR="00CE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pozicije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se napominje potreba uspostavljanja funkcionalne tržišne ekonomije</w:t>
            </w:r>
            <w:r w:rsidR="00CE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, kao i sposobnost </w:t>
            </w:r>
            <w:r w:rsidR="00CE340F" w:rsidRPr="00CE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suočavanja s konkurentskim pritiskom u okviru Unije</w:t>
            </w:r>
            <w:r w:rsidR="00CE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.</w:t>
            </w:r>
          </w:p>
        </w:tc>
      </w:tr>
      <w:tr w:rsidR="00F307F0" w:rsidRPr="00C16C97" w14:paraId="0A46B590" w14:textId="77777777" w:rsidTr="001F4068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EE7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201E" w14:textId="77777777" w:rsidR="00F307F0" w:rsidRPr="00C16C97" w:rsidRDefault="00F307F0" w:rsidP="00CE340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Funkcionisanje demokratskih institucija</w:t>
            </w:r>
            <w:r w:rsidR="00305E6B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(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sačiniti Mapu puta za funkcion</w:t>
            </w:r>
            <w:r w:rsidR="00305E6B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isanje demokratskih institucija)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D77" w14:textId="63A5B18F" w:rsidR="00F307F0" w:rsidRPr="00C16C97" w:rsidRDefault="00F05120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F307F0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211" w14:textId="2881745A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Korisno primjeniti</w:t>
            </w:r>
          </w:p>
        </w:tc>
      </w:tr>
      <w:tr w:rsidR="00F307F0" w:rsidRPr="00C16C97" w14:paraId="285345D7" w14:textId="77777777" w:rsidTr="001F4068">
        <w:trPr>
          <w:trHeight w:val="10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118E" w14:textId="7777777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FEC" w14:textId="6699AD96" w:rsidR="00F307F0" w:rsidRPr="00C16C97" w:rsidRDefault="00F307F0" w:rsidP="00CE340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Reforma javne uprave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FAAE" w14:textId="51046B49" w:rsidR="00F307F0" w:rsidRPr="00C16C97" w:rsidRDefault="00F05120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="00DB580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jelimično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DF45" w14:textId="3194A6AA" w:rsidR="00CE340F" w:rsidRDefault="00F307F0" w:rsidP="00F804DA">
            <w:pPr>
              <w:spacing w:after="12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Veza tačka 37 PP EU o administrativnim kapacitetima</w:t>
            </w:r>
            <w:r w:rsidR="00CE340F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;</w:t>
            </w:r>
          </w:p>
          <w:p w14:paraId="51D3E3F0" w14:textId="283E5355" w:rsidR="00F307F0" w:rsidRDefault="00F307F0" w:rsidP="00F804DA">
            <w:pPr>
              <w:spacing w:after="12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Svakako se to radi kroz </w:t>
            </w:r>
            <w:r w:rsidR="00DB580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donošenje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nove </w:t>
            </w:r>
            <w:r w:rsidR="00DB580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Strategije r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eforme javne uprave i pripremu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akcionog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plana</w:t>
            </w:r>
            <w:r w:rsidR="00F804D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;</w:t>
            </w:r>
          </w:p>
          <w:p w14:paraId="067A992F" w14:textId="09597C56" w:rsidR="00EF2FE9" w:rsidRPr="00C16C97" w:rsidRDefault="00DB5807" w:rsidP="00F804DA">
            <w:pPr>
              <w:spacing w:after="12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Takođe, od 2014. EK je reformu javne uprave predstavlja kao jedan od tri stuba politike proširenja.</w:t>
            </w:r>
          </w:p>
        </w:tc>
      </w:tr>
    </w:tbl>
    <w:p w14:paraId="485E73A6" w14:textId="77777777" w:rsidR="00E535DC" w:rsidRDefault="00E535DC" w:rsidP="00A5310C">
      <w:pPr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lang w:val="bs-Latn-BA" w:eastAsia="en-GB"/>
        </w:rPr>
        <w:sectPr w:rsidR="00E535DC" w:rsidSect="00776C3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19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4723"/>
        <w:gridCol w:w="1413"/>
        <w:gridCol w:w="3262"/>
      </w:tblGrid>
      <w:tr w:rsidR="00E535DC" w:rsidRPr="00C16C97" w14:paraId="6FF4C57B" w14:textId="77777777" w:rsidTr="00E535DC">
        <w:trPr>
          <w:trHeight w:val="41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1190" w14:textId="6B8AD6C7" w:rsidR="00F307F0" w:rsidRPr="00C16C97" w:rsidRDefault="00F307F0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lastRenderedPageBreak/>
              <w:t>9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6CD8D97" w14:textId="77777777" w:rsidR="00F307F0" w:rsidRPr="00C16C97" w:rsidRDefault="00F307F0" w:rsidP="00687A7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Jače nadgledanje kroz privremena tijela 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SSP-a</w:t>
            </w:r>
            <w:proofErr w:type="spellEnd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, 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usaglašenost</w:t>
            </w:r>
            <w:proofErr w:type="spellEnd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 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klastera</w:t>
            </w:r>
            <w:proofErr w:type="spellEnd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 sa radom odbora za SP: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B03F" w14:textId="0F01EEBC" w:rsidR="00F307F0" w:rsidRPr="00C16C97" w:rsidRDefault="00F307F0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F68F" w14:textId="2D4A1B31" w:rsidR="00EF2FE9" w:rsidRPr="00C16C97" w:rsidRDefault="00EF2FE9" w:rsidP="00DB5807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bs-Latn-BA" w:eastAsia="en-GB"/>
              </w:rPr>
            </w:pPr>
          </w:p>
        </w:tc>
      </w:tr>
      <w:tr w:rsidR="00E535DC" w:rsidRPr="00C16C97" w14:paraId="6147B1AD" w14:textId="77777777" w:rsidTr="00FB5661">
        <w:trPr>
          <w:trHeight w:val="176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15A" w14:textId="77777777" w:rsidR="00E535DC" w:rsidRPr="00C16C97" w:rsidRDefault="00E535DC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D24D" w14:textId="77777777" w:rsidR="00E535DC" w:rsidRPr="00C16C97" w:rsidRDefault="00E535DC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  <w:p w14:paraId="3813AE30" w14:textId="77777777" w:rsidR="00E535DC" w:rsidRPr="00C16C97" w:rsidRDefault="00E535DC" w:rsidP="00E535D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Da se sva SSP tijela više fokusiraju na politička pitanja i reforme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596" w14:textId="36AE8632" w:rsidR="00E535DC" w:rsidRPr="00C16C97" w:rsidRDefault="00E535DC" w:rsidP="00E535D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Djelimično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6A4" w14:textId="33F4100A" w:rsidR="00E535DC" w:rsidRPr="00871597" w:rsidRDefault="00E535DC" w:rsidP="00871597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Savjet za stabilizaciju i pridruživanje, Parlamentarni odbor za SP, Odbor za SP, Pododbori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su predviđeni Opštom pozicijom EU, s tim što nova metodologija namjerava da naglasi njihovu političku dimenziju.</w:t>
            </w:r>
          </w:p>
        </w:tc>
      </w:tr>
      <w:tr w:rsidR="00E535DC" w:rsidRPr="00C16C97" w14:paraId="366A87ED" w14:textId="77777777" w:rsidTr="006D501A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1A5C" w14:textId="77777777" w:rsidR="00E535DC" w:rsidRPr="00C16C97" w:rsidRDefault="00E535DC" w:rsidP="00E03088">
            <w:pPr>
              <w:spacing w:after="0" w:line="240" w:lineRule="auto"/>
              <w:ind w:left="-94" w:right="-107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10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97ED1A" w14:textId="77777777" w:rsidR="00E535DC" w:rsidRPr="00C16C97" w:rsidRDefault="00E535DC" w:rsidP="00687A7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Detaljniji, jasniji i precizniji godišnji izvještaji EK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55" w14:textId="6CFD134F" w:rsidR="00E535DC" w:rsidRPr="00C16C97" w:rsidRDefault="00E535DC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F0016" w14:textId="6BE785E3" w:rsidR="00E535DC" w:rsidRPr="00C16C97" w:rsidRDefault="00E535DC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  <w:p w14:paraId="00A78A1F" w14:textId="77777777" w:rsidR="00E535DC" w:rsidRPr="00C16C97" w:rsidRDefault="00E535DC" w:rsidP="006D501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</w:tr>
      <w:tr w:rsidR="006D501A" w:rsidRPr="00C16C97" w14:paraId="18725089" w14:textId="77777777" w:rsidTr="007713B2">
        <w:trPr>
          <w:trHeight w:val="5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F93" w14:textId="77777777" w:rsidR="006D501A" w:rsidRPr="00C16C97" w:rsidRDefault="006D501A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4C7D" w14:textId="06CA32A5" w:rsidR="006D501A" w:rsidRPr="006D501A" w:rsidRDefault="006D501A" w:rsidP="006D501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V</w:t>
            </w:r>
            <w:r w:rsidRPr="006D50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eći broj indikatora i ocjena progresa </w:t>
            </w:r>
            <w:proofErr w:type="spellStart"/>
            <w:r w:rsidRPr="006D50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mjerena</w:t>
            </w:r>
            <w:proofErr w:type="spellEnd"/>
            <w:r w:rsidRPr="006D50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učinkom na bazi indikatora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3931" w14:textId="569B4D9F" w:rsidR="006D501A" w:rsidRPr="00C16C97" w:rsidRDefault="006D501A" w:rsidP="006D501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Ne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37FE" w14:textId="1D08F5D3" w:rsidR="006D501A" w:rsidRPr="00C16C97" w:rsidRDefault="006D501A" w:rsidP="006D501A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6"/>
                <w:szCs w:val="6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Ne zavisi od nas, ali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predstavlja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dobar metod rada za sve uključene strane; 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br/>
            </w:r>
          </w:p>
          <w:p w14:paraId="3E44CEDC" w14:textId="77777777" w:rsidR="006D501A" w:rsidRDefault="006D501A" w:rsidP="006D501A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Sadržaj Godišnjeg izvještaja nije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striktan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(prvi bio u aprilu 2002. godine) i on se povremeno unapređuje i mijenja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.</w:t>
            </w:r>
          </w:p>
          <w:p w14:paraId="496DE837" w14:textId="7BCB585F" w:rsidR="006D501A" w:rsidRPr="00C16C97" w:rsidRDefault="006D501A" w:rsidP="006D501A">
            <w:pPr>
              <w:spacing w:before="120" w:after="12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Od ispunjavanja jasnih indikatora u izvještaju EK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zavisiće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dalje napredovanje u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pregovaračkom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procesu kao i, najvjerovatnije,  stepen korištenja sredstava iz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Ipa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3.</w:t>
            </w:r>
          </w:p>
        </w:tc>
      </w:tr>
      <w:tr w:rsidR="006D501A" w:rsidRPr="00C16C97" w14:paraId="2D21FB66" w14:textId="77777777" w:rsidTr="007713B2">
        <w:trPr>
          <w:trHeight w:val="5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6757" w14:textId="77777777" w:rsidR="006D501A" w:rsidRPr="00C16C97" w:rsidRDefault="006D501A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7110" w14:textId="6D3BB050" w:rsidR="006D501A" w:rsidRPr="006D501A" w:rsidRDefault="006D501A" w:rsidP="006D501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T</w:t>
            </w:r>
            <w:r w:rsidRPr="006D50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ek poslije izvještaja EK izvjestan godišnji plan zakazivanja MVK i moguće otvaranje/zatvaranje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169" w14:textId="77777777" w:rsidR="006D501A" w:rsidRPr="00C16C97" w:rsidRDefault="006D501A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7BD" w14:textId="77777777" w:rsidR="006D501A" w:rsidRPr="00C16C97" w:rsidRDefault="006D501A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</w:tr>
      <w:tr w:rsidR="006D501A" w:rsidRPr="00C16C97" w14:paraId="0555ADB8" w14:textId="77777777" w:rsidTr="007713B2">
        <w:trPr>
          <w:trHeight w:val="5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473" w14:textId="77777777" w:rsidR="006D501A" w:rsidRPr="00C16C97" w:rsidRDefault="006D501A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2B0" w14:textId="163479D7" w:rsidR="006D501A" w:rsidRPr="006D501A" w:rsidRDefault="006D501A" w:rsidP="006D501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M</w:t>
            </w:r>
            <w:r w:rsidRPr="006D50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oguće uključivanje predloga korektivnih mjera u izvještaj, a sa tim treba da se slože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Pr="006D50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ržave članice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BA4" w14:textId="77777777" w:rsidR="006D501A" w:rsidRPr="00C16C97" w:rsidRDefault="006D501A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D63" w14:textId="77777777" w:rsidR="006D501A" w:rsidRPr="00C16C97" w:rsidRDefault="006D501A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</w:tr>
      <w:tr w:rsidR="00E535DC" w:rsidRPr="00C16C97" w14:paraId="2C393973" w14:textId="77777777" w:rsidTr="00A5310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1BA6" w14:textId="77777777" w:rsidR="00E535DC" w:rsidRPr="00C16C97" w:rsidRDefault="00E535DC" w:rsidP="00E03088">
            <w:pPr>
              <w:spacing w:after="0" w:line="240" w:lineRule="auto"/>
              <w:ind w:left="-94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11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8F84CB" w14:textId="30D7F310" w:rsidR="00E535DC" w:rsidRPr="00C16C97" w:rsidRDefault="001452ED" w:rsidP="001452E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Pozitivna 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uslovljenost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699C" w14:textId="5315330E" w:rsidR="00E535DC" w:rsidRPr="00C16C97" w:rsidRDefault="00E535DC" w:rsidP="005206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3D73" w14:textId="7E0D9F5F" w:rsidR="00E535DC" w:rsidRPr="00C16C97" w:rsidRDefault="00E535DC" w:rsidP="003921C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bs-Latn-BA"/>
              </w:rPr>
            </w:pPr>
          </w:p>
        </w:tc>
      </w:tr>
      <w:tr w:rsidR="001452ED" w:rsidRPr="00C16C97" w14:paraId="022AECBD" w14:textId="77777777" w:rsidTr="001452ED">
        <w:trPr>
          <w:trHeight w:val="148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DFF" w14:textId="77777777" w:rsidR="001452ED" w:rsidRPr="00C16C97" w:rsidRDefault="001452ED" w:rsidP="00A5310C">
            <w:pPr>
              <w:spacing w:after="0" w:line="240" w:lineRule="auto"/>
              <w:ind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D279" w14:textId="394746CC" w:rsidR="001452ED" w:rsidRPr="001452ED" w:rsidRDefault="001452ED" w:rsidP="001452E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1452E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Bliže integracije zemlje s EU</w:t>
            </w:r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, uz rad na </w:t>
            </w:r>
            <w:proofErr w:type="spellStart"/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ubrzanoj</w:t>
            </w:r>
            <w:proofErr w:type="spellEnd"/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integraciji i postepenom uvođenju individualnih politika EU, tržišta EU i programa EU, uz </w:t>
            </w:r>
            <w:proofErr w:type="spellStart"/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obezbjeđivanje</w:t>
            </w:r>
            <w:proofErr w:type="spellEnd"/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jednakih uslova za sve. 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6B3" w14:textId="6F547C65" w:rsidR="001452ED" w:rsidRPr="00C16C97" w:rsidRDefault="001452ED" w:rsidP="001452E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F6B8" w14:textId="6B542598" w:rsidR="001452ED" w:rsidRDefault="001452ED" w:rsidP="001452ED">
            <w:pPr>
              <w:spacing w:after="12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bs-Latn-BA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Primjenljivo/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saglasiti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se sa primjenom svih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podsticaja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za zemlje koje ostvaruju progres u integracijama;</w:t>
            </w:r>
            <w:r w:rsidRPr="00C16C97">
              <w:rPr>
                <w:rFonts w:ascii="Cambria" w:eastAsia="Calibri" w:hAnsi="Cambria" w:cs="Times New Roman"/>
                <w:sz w:val="20"/>
                <w:szCs w:val="20"/>
                <w:lang w:val="bs-Latn-BA"/>
              </w:rPr>
              <w:t xml:space="preserve"> </w:t>
            </w:r>
          </w:p>
          <w:p w14:paraId="6CA7F33A" w14:textId="1010ABA0" w:rsidR="001452ED" w:rsidRPr="00C16C97" w:rsidRDefault="001452ED" w:rsidP="001452ED">
            <w:pPr>
              <w:spacing w:after="12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="Cambria" w:eastAsia="Calibri" w:hAnsi="Cambria" w:cs="Times New Roman"/>
                <w:sz w:val="20"/>
                <w:szCs w:val="20"/>
                <w:lang w:val="bs-Latn-BA"/>
              </w:rPr>
              <w:t xml:space="preserve">Finansijska podrška procesu pristupanja kroz </w:t>
            </w:r>
            <w:proofErr w:type="spellStart"/>
            <w:r w:rsidRPr="00C16C97">
              <w:rPr>
                <w:rFonts w:ascii="Cambria" w:eastAsia="Calibri" w:hAnsi="Cambria" w:cs="Times New Roman"/>
                <w:sz w:val="20"/>
                <w:szCs w:val="20"/>
                <w:lang w:val="bs-Latn-BA"/>
              </w:rPr>
              <w:t>Ipu</w:t>
            </w:r>
            <w:proofErr w:type="spellEnd"/>
            <w:r w:rsidRPr="00C16C97">
              <w:rPr>
                <w:rFonts w:ascii="Cambria" w:eastAsia="Calibri" w:hAnsi="Cambria" w:cs="Times New Roman"/>
                <w:sz w:val="20"/>
                <w:szCs w:val="20"/>
                <w:lang w:val="bs-Latn-BA"/>
              </w:rPr>
              <w:t xml:space="preserve"> III (predlog - bez fiksnih iznosa podrške po državi), uz usmjerenost na rezultate i </w:t>
            </w:r>
            <w:proofErr w:type="spellStart"/>
            <w:r w:rsidRPr="00C16C97">
              <w:rPr>
                <w:rFonts w:ascii="Cambria" w:eastAsia="Calibri" w:hAnsi="Cambria" w:cs="Times New Roman"/>
                <w:sz w:val="20"/>
                <w:szCs w:val="20"/>
                <w:lang w:val="bs-Latn-BA"/>
              </w:rPr>
              <w:t>orijentisanost</w:t>
            </w:r>
            <w:proofErr w:type="spellEnd"/>
            <w:r w:rsidRPr="00C16C97">
              <w:rPr>
                <w:rFonts w:ascii="Cambria" w:eastAsia="Calibri" w:hAnsi="Cambria" w:cs="Times New Roman"/>
                <w:sz w:val="20"/>
                <w:szCs w:val="20"/>
                <w:lang w:val="bs-Latn-BA"/>
              </w:rPr>
              <w:t xml:space="preserve"> na reforme. Nastavak podrške programima EU i razvoju infrastrukture.</w:t>
            </w:r>
          </w:p>
        </w:tc>
      </w:tr>
      <w:tr w:rsidR="001452ED" w:rsidRPr="00C16C97" w14:paraId="5C775616" w14:textId="77777777" w:rsidTr="001452ED">
        <w:trPr>
          <w:trHeight w:val="169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8E91" w14:textId="77777777" w:rsidR="001452ED" w:rsidRPr="00C16C97" w:rsidRDefault="001452ED" w:rsidP="00A5310C">
            <w:pPr>
              <w:spacing w:after="0" w:line="240" w:lineRule="auto"/>
              <w:ind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40B2" w14:textId="175BD6AC" w:rsidR="001452ED" w:rsidRPr="001452ED" w:rsidRDefault="001452ED" w:rsidP="001452E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</w:pPr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Povećano finansiranje i investicije – uključujući posredstvom Instrumenta za </w:t>
            </w:r>
            <w:proofErr w:type="spellStart"/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pretpristupnu</w:t>
            </w:r>
            <w:proofErr w:type="spellEnd"/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podršku zasnovanog na rezultatima i </w:t>
            </w:r>
            <w:proofErr w:type="spellStart"/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orjentisanog</w:t>
            </w:r>
            <w:proofErr w:type="spellEnd"/>
            <w:r w:rsidRPr="001452E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na reforme, te bližu saradnju s međunarodnim finansijskim institucijama kako bi se ta podrška iskoristila.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56B" w14:textId="77777777" w:rsidR="001452ED" w:rsidRDefault="001452ED" w:rsidP="001452E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B206" w14:textId="77777777" w:rsidR="001452ED" w:rsidRDefault="001452ED" w:rsidP="001452E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</w:tr>
    </w:tbl>
    <w:p w14:paraId="20AA4BB3" w14:textId="77777777" w:rsidR="00E03088" w:rsidRDefault="00E03088" w:rsidP="00E03088">
      <w:pPr>
        <w:spacing w:after="0" w:line="240" w:lineRule="auto"/>
        <w:ind w:right="-107"/>
        <w:rPr>
          <w:rFonts w:asciiTheme="majorHAnsi" w:eastAsia="Times New Roman" w:hAnsiTheme="majorHAnsi" w:cs="Calibri"/>
          <w:color w:val="000000"/>
          <w:sz w:val="20"/>
          <w:szCs w:val="20"/>
          <w:lang w:val="bs-Latn-BA" w:eastAsia="en-GB"/>
        </w:rPr>
        <w:sectPr w:rsidR="00E03088" w:rsidSect="008E3BA9">
          <w:pgSz w:w="12240" w:h="15840"/>
          <w:pgMar w:top="1440" w:right="1440" w:bottom="1440" w:left="1440" w:header="720" w:footer="630" w:gutter="0"/>
          <w:cols w:space="720"/>
          <w:docGrid w:linePitch="360"/>
        </w:sectPr>
      </w:pPr>
    </w:p>
    <w:tbl>
      <w:tblPr>
        <w:tblW w:w="519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4723"/>
        <w:gridCol w:w="1413"/>
        <w:gridCol w:w="3262"/>
      </w:tblGrid>
      <w:tr w:rsidR="00E535DC" w:rsidRPr="00C16C97" w14:paraId="10423279" w14:textId="77777777" w:rsidTr="00E03088">
        <w:trPr>
          <w:trHeight w:val="8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073" w14:textId="6C8AB763" w:rsidR="00E535DC" w:rsidRPr="00C16C97" w:rsidRDefault="00E535DC" w:rsidP="00E03088">
            <w:pPr>
              <w:tabs>
                <w:tab w:val="left" w:pos="44"/>
              </w:tabs>
              <w:spacing w:after="0" w:line="240" w:lineRule="auto"/>
              <w:ind w:left="-94" w:right="-107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lastRenderedPageBreak/>
              <w:t>12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9D256D" w14:textId="41FFCE7F" w:rsidR="00E535DC" w:rsidRPr="00C16C97" w:rsidRDefault="00E535DC" w:rsidP="00090BE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NEGATIVNA USLOVLJENOST - 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sankcionisanje</w:t>
            </w:r>
            <w:proofErr w:type="spellEnd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 slučaja "ozbiljne ili produžene stagnacije, ili 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nazadovanja</w:t>
            </w:r>
            <w:proofErr w:type="spellEnd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", što treba biti utemeljeno na znatno </w:t>
            </w:r>
            <w:proofErr w:type="spellStart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>detaljnijem</w:t>
            </w:r>
            <w:proofErr w:type="spellEnd"/>
            <w:r w:rsidRPr="00C16C9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bs-Latn-BA" w:eastAsia="en-GB"/>
              </w:rPr>
              <w:t xml:space="preserve"> Izvještaju EK: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A4C8" w14:textId="77777777" w:rsidR="00E535DC" w:rsidRPr="00C16C97" w:rsidRDefault="00E535DC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72DB" w14:textId="77777777" w:rsidR="00E535DC" w:rsidRPr="00C16C97" w:rsidRDefault="00E535DC" w:rsidP="00687A7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lang w:val="bs-Latn-BA" w:eastAsia="en-GB"/>
              </w:rPr>
              <w:t> </w:t>
            </w:r>
          </w:p>
        </w:tc>
      </w:tr>
      <w:tr w:rsidR="00E535DC" w:rsidRPr="00C16C97" w14:paraId="1E921423" w14:textId="77777777" w:rsidTr="00E03088">
        <w:trPr>
          <w:trHeight w:val="10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098C" w14:textId="77777777" w:rsidR="00E535DC" w:rsidRPr="00C16C97" w:rsidRDefault="00E535DC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2589" w14:textId="77777777" w:rsidR="00E535DC" w:rsidRPr="00E03088" w:rsidRDefault="00E535DC" w:rsidP="00E0308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E0308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Države članice mogu odlučiti da se pregovori u određenim oblastima mogu pauzirati, ili u </w:t>
            </w:r>
            <w:proofErr w:type="spellStart"/>
            <w:r w:rsidRPr="00E0308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najozbiljnijim</w:t>
            </w:r>
            <w:proofErr w:type="spellEnd"/>
            <w:r w:rsidRPr="00E0308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slučajevima, u cjelosti suspendovati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E544" w14:textId="5B59B06B" w:rsidR="00E535DC" w:rsidRPr="00C16C97" w:rsidRDefault="00E535DC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3C23" w14:textId="77777777" w:rsidR="00E535DC" w:rsidRPr="00C16C97" w:rsidRDefault="00E535DC" w:rsidP="00120DB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Tačka 23 Pregovaračke pozicije EU - slučaj suspenzije pregovora i predlaganje uslova za njihov mogući nastavak</w:t>
            </w:r>
          </w:p>
        </w:tc>
      </w:tr>
      <w:tr w:rsidR="00E535DC" w:rsidRPr="00C16C97" w14:paraId="6C8EAD45" w14:textId="77777777" w:rsidTr="00E03088">
        <w:trPr>
          <w:trHeight w:val="76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B49" w14:textId="77777777" w:rsidR="00E535DC" w:rsidRPr="00C16C97" w:rsidRDefault="00E535DC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3EAD" w14:textId="77777777" w:rsidR="00E535DC" w:rsidRPr="00E03088" w:rsidRDefault="00E535DC" w:rsidP="00E0308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E0308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Prethodno zatvorena poglavlja mogla bi se </w:t>
            </w:r>
            <w:r w:rsidRPr="00E0308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 xml:space="preserve">ponovo otvoriti ili </w:t>
            </w:r>
            <w:r w:rsidRPr="00E0308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u w:val="single"/>
                <w:lang w:val="bs-Latn-BA" w:eastAsia="en-GB"/>
              </w:rPr>
              <w:t>vratiti na početak</w:t>
            </w:r>
            <w:r w:rsidRPr="00E0308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ako je pitanja potrebno iznova razmotriti.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66E8" w14:textId="77777777" w:rsidR="00E535DC" w:rsidRPr="00C16C97" w:rsidRDefault="00E535DC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Djelimično</w:t>
            </w:r>
          </w:p>
          <w:p w14:paraId="68B3E058" w14:textId="77777777" w:rsidR="00E535DC" w:rsidRPr="00C16C97" w:rsidRDefault="00E535DC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  <w:p w14:paraId="57B278CB" w14:textId="77777777" w:rsidR="00E535DC" w:rsidRPr="00C16C97" w:rsidRDefault="00E535DC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(ne sadrži mogućnost “vraćanja na početak”)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E201" w14:textId="1AD1DACE" w:rsidR="00E535DC" w:rsidRPr="00C16C97" w:rsidRDefault="00E535DC" w:rsidP="00120DB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u w:val="single"/>
                <w:lang w:val="bs-Latn-BA" w:eastAsia="en-GB"/>
              </w:rPr>
              <w:t>Tačka 44,   Klauzula o ažuriranju mjerila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, “U slučaju kada se pregovori odvijaju u dužem vremenskom periodu, ili kada se poglavlje revidira u cilju inkorporiranja novih elemenata kao što su novi propisi pravne tekovine, postojeća mjerila će se ažurirati.”</w:t>
            </w:r>
          </w:p>
          <w:p w14:paraId="0C7B2D8A" w14:textId="77777777" w:rsidR="00E535DC" w:rsidRPr="00C16C97" w:rsidRDefault="00E535DC" w:rsidP="00120DB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u w:val="single"/>
                <w:lang w:val="bs-Latn-BA" w:eastAsia="en-GB"/>
              </w:rPr>
              <w:t>Tačka 46 – mogućnost ponovnog otvaranja poglavlja</w:t>
            </w: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(“U slučaju privremeno zatvorenih poglavlja, Komisija može preporučiti ponovno otvaranje pregovora, naročito ukoliko Crna Gora ne ispuni važna mjerila ili ne ispuni svoje obaveze“).</w:t>
            </w:r>
          </w:p>
        </w:tc>
      </w:tr>
      <w:tr w:rsidR="00E535DC" w:rsidRPr="00C16C97" w14:paraId="3581A5F8" w14:textId="77777777" w:rsidTr="00E03088">
        <w:trPr>
          <w:trHeight w:val="24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B5D" w14:textId="77777777" w:rsidR="00E535DC" w:rsidRPr="00C16C97" w:rsidRDefault="00E535DC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FC8E" w14:textId="77777777" w:rsidR="00E535DC" w:rsidRPr="00C16C97" w:rsidRDefault="00E535DC" w:rsidP="009F7CE9">
            <w:pPr>
              <w:pStyle w:val="ListParagraph"/>
              <w:spacing w:after="0" w:line="240" w:lineRule="auto"/>
              <w:ind w:left="360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  <w:p w14:paraId="5399AC60" w14:textId="77777777" w:rsidR="00E535DC" w:rsidRPr="00E03088" w:rsidRDefault="00E535DC" w:rsidP="00E0308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E0308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Djelokrug i intenzitet finansiranja od strane EU mogli bi se </w:t>
            </w:r>
            <w:r w:rsidRPr="00E0308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prilagođavati smanjivanjem</w:t>
            </w:r>
            <w:r w:rsidRPr="00E0308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, uz izuzetak podrške civilnom društvu.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C214" w14:textId="77777777" w:rsidR="00E535DC" w:rsidRPr="00C16C97" w:rsidRDefault="00E535DC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Djelimično</w:t>
            </w:r>
          </w:p>
          <w:p w14:paraId="6C0065FC" w14:textId="77777777" w:rsidR="00E535DC" w:rsidRPr="00C16C97" w:rsidRDefault="00E535DC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  <w:p w14:paraId="665563E3" w14:textId="77777777" w:rsidR="00E535DC" w:rsidRPr="00C16C97" w:rsidRDefault="00E535DC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(nije izuzeto civilno društvo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F8AB" w14:textId="4CD9BAA6" w:rsidR="00E535DC" w:rsidRPr="00C16C97" w:rsidRDefault="00E535DC" w:rsidP="00E0308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Dijelom sadržano u tački 43, a u vezi sa oblašću vladavine prava (ali nije posebno navedeno moguće izuzeće fondova za podršku civilnom društvu); Pitanja suspenzije ili djelimične obustave ili odlaganja korišćenja sredstava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pretpristupne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podrške uređuju se IPA aktima za svaku Finansijsku perspektivu (Sedmogodišnji EU budžet);</w:t>
            </w:r>
          </w:p>
        </w:tc>
      </w:tr>
      <w:tr w:rsidR="00E535DC" w:rsidRPr="00C16C97" w14:paraId="489E3481" w14:textId="77777777" w:rsidTr="00E03088">
        <w:trPr>
          <w:trHeight w:val="25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9A9" w14:textId="77777777" w:rsidR="00E535DC" w:rsidRPr="00C16C97" w:rsidRDefault="00E535DC" w:rsidP="00A5310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592" w14:textId="77777777" w:rsidR="00E535DC" w:rsidRPr="00E03088" w:rsidRDefault="00E535DC" w:rsidP="00E0308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proofErr w:type="spellStart"/>
            <w:r w:rsidRPr="00E0308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Benefiti</w:t>
            </w:r>
            <w:proofErr w:type="spellEnd"/>
            <w:r w:rsidRPr="00E0308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 xml:space="preserve"> od bliže integracije</w:t>
            </w:r>
            <w:r w:rsidRPr="00E0308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, npr. pristupanja programima EU, jednostrane koncesije za pristup tržištu, mogli bi se </w:t>
            </w:r>
            <w:r w:rsidRPr="00E0308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bs-Latn-BA" w:eastAsia="en-GB"/>
              </w:rPr>
              <w:t>pauzirati ili povući</w:t>
            </w:r>
            <w:r w:rsidRPr="00E0308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BF53" w14:textId="603553DE" w:rsidR="00E535DC" w:rsidRPr="00C16C97" w:rsidRDefault="00E03088" w:rsidP="00687A7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N</w:t>
            </w:r>
            <w:r w:rsidR="00E535DC"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e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5A17" w14:textId="77777777" w:rsidR="00E03088" w:rsidRDefault="00E535DC" w:rsidP="00E03088">
            <w:pPr>
              <w:spacing w:after="12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Pristupanje programima EU definiše se posebnim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Memorandumima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 te klauzule su tim dokumentima uključene;</w:t>
            </w:r>
          </w:p>
          <w:p w14:paraId="2AEFB276" w14:textId="52562506" w:rsidR="00E535DC" w:rsidRPr="00C16C97" w:rsidRDefault="00E535DC" w:rsidP="00E0308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Jednostrane koncesije za pristup tržištu definisane su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SSP-om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 tamo bi se morale prethodno uključiti, ako se povećavaju; A ako se koncesije za pristup tržištu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pauziraju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ili povlače, to jeste sadržano u </w:t>
            </w:r>
            <w:proofErr w:type="spellStart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>SSP-u</w:t>
            </w:r>
            <w:proofErr w:type="spellEnd"/>
            <w:r w:rsidRPr="00C16C9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bs-Latn-BA" w:eastAsia="en-GB"/>
              </w:rPr>
              <w:t xml:space="preserve"> i može se shodno primjeniti; </w:t>
            </w:r>
          </w:p>
        </w:tc>
      </w:tr>
    </w:tbl>
    <w:p w14:paraId="6196ABCA" w14:textId="77777777" w:rsidR="00EF2FE9" w:rsidRPr="00C16C97" w:rsidRDefault="00EF2FE9" w:rsidP="00D83BFA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bs-Latn-BA"/>
        </w:rPr>
      </w:pPr>
    </w:p>
    <w:p w14:paraId="586F787E" w14:textId="77777777" w:rsidR="00E03088" w:rsidRDefault="00E03088" w:rsidP="005C4579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bs-Latn-BA"/>
        </w:rPr>
      </w:pPr>
    </w:p>
    <w:p w14:paraId="6C496196" w14:textId="0DA1AF70" w:rsidR="005C4579" w:rsidRPr="00C16C97" w:rsidRDefault="005C4579" w:rsidP="005C4579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bs-Latn-BA"/>
        </w:rPr>
      </w:pPr>
      <w:r w:rsidRPr="003A687C">
        <w:rPr>
          <w:rFonts w:ascii="Cambria" w:hAnsi="Cambria" w:cs="Times New Roman"/>
          <w:sz w:val="24"/>
          <w:szCs w:val="24"/>
          <w:lang w:val="bs-Latn-BA"/>
        </w:rPr>
        <w:lastRenderedPageBreak/>
        <w:t xml:space="preserve">Komunikacija Komisije dobila je podršku Evropskog parlamenta, kao i Savjeta za opšte poslove, na video konferenciji 24. marta 2020. </w:t>
      </w:r>
      <w:proofErr w:type="spellStart"/>
      <w:r w:rsidRPr="003A687C">
        <w:rPr>
          <w:rFonts w:ascii="Cambria" w:hAnsi="Cambria" w:cs="Times New Roman"/>
          <w:sz w:val="24"/>
          <w:szCs w:val="24"/>
          <w:lang w:val="bs-Latn-BA"/>
        </w:rPr>
        <w:t>Sprovođenjem</w:t>
      </w:r>
      <w:proofErr w:type="spellEnd"/>
      <w:r w:rsidRPr="003A687C">
        <w:rPr>
          <w:rFonts w:ascii="Cambria" w:hAnsi="Cambria" w:cs="Times New Roman"/>
          <w:sz w:val="24"/>
          <w:szCs w:val="24"/>
          <w:lang w:val="bs-Latn-BA"/>
        </w:rPr>
        <w:t xml:space="preserve"> procedure usvajanja zaključaka pisanim putem, Savjet za opšte poslove u tački 3 navodi da se elementi nove metodologije mogu „smjestiti“ (odnosno </w:t>
      </w:r>
      <w:r w:rsidRPr="003A687C">
        <w:rPr>
          <w:rFonts w:ascii="Cambria" w:hAnsi="Cambria" w:cs="Times New Roman"/>
          <w:b/>
          <w:sz w:val="24"/>
          <w:szCs w:val="24"/>
          <w:lang w:val="bs-Latn-BA"/>
        </w:rPr>
        <w:t>prepoznati</w:t>
      </w:r>
      <w:r w:rsidRPr="003A687C">
        <w:rPr>
          <w:rFonts w:ascii="Cambria" w:hAnsi="Cambria" w:cs="Times New Roman"/>
          <w:sz w:val="24"/>
          <w:szCs w:val="24"/>
          <w:lang w:val="bs-Latn-BA"/>
        </w:rPr>
        <w:t xml:space="preserve">) </w:t>
      </w:r>
      <w:r w:rsidRPr="003A687C">
        <w:rPr>
          <w:rFonts w:ascii="Cambria" w:hAnsi="Cambria" w:cs="Times New Roman"/>
          <w:sz w:val="24"/>
          <w:szCs w:val="24"/>
          <w:u w:val="single"/>
          <w:lang w:val="bs-Latn-BA"/>
        </w:rPr>
        <w:t xml:space="preserve">unutar postojećeg pregovaračkog okvira za Crnu Goru i Srbiju, </w:t>
      </w:r>
      <w:r w:rsidRPr="003A687C">
        <w:rPr>
          <w:rFonts w:ascii="Cambria" w:hAnsi="Cambria" w:cs="Times New Roman"/>
          <w:b/>
          <w:sz w:val="24"/>
          <w:szCs w:val="24"/>
          <w:u w:val="single"/>
          <w:lang w:val="bs-Latn-BA"/>
        </w:rPr>
        <w:t>uz saglasnost</w:t>
      </w:r>
      <w:r w:rsidRPr="003A687C">
        <w:rPr>
          <w:rFonts w:ascii="Cambria" w:hAnsi="Cambria" w:cs="Times New Roman"/>
          <w:sz w:val="24"/>
          <w:szCs w:val="24"/>
          <w:u w:val="single"/>
          <w:lang w:val="bs-Latn-BA"/>
        </w:rPr>
        <w:t xml:space="preserve"> tih zemalja kandidata</w:t>
      </w:r>
      <w:r w:rsidR="003A687C">
        <w:rPr>
          <w:rFonts w:ascii="Cambria" w:hAnsi="Cambria" w:cs="Times New Roman"/>
          <w:sz w:val="24"/>
          <w:szCs w:val="24"/>
          <w:lang w:val="bs-Latn-BA"/>
        </w:rPr>
        <w:t>.</w:t>
      </w:r>
      <w:r w:rsidR="00686922" w:rsidRPr="003A687C">
        <w:rPr>
          <w:rFonts w:ascii="Cambria" w:hAnsi="Cambria" w:cs="Times New Roman"/>
          <w:sz w:val="24"/>
          <w:szCs w:val="24"/>
          <w:lang w:val="bs-Latn-BA"/>
        </w:rPr>
        <w:t xml:space="preserve"> Nadalje, u</w:t>
      </w:r>
      <w:r w:rsidRPr="003A687C">
        <w:rPr>
          <w:rFonts w:ascii="Cambria" w:hAnsi="Cambria" w:cs="Times New Roman"/>
          <w:sz w:val="24"/>
          <w:szCs w:val="24"/>
          <w:lang w:val="bs-Latn-BA"/>
        </w:rPr>
        <w:t xml:space="preserve"> tačkama 6. i 10. </w:t>
      </w:r>
      <w:r w:rsidR="003A687C" w:rsidRPr="003A687C">
        <w:rPr>
          <w:rFonts w:ascii="Cambria" w:hAnsi="Cambria" w:cs="Times New Roman"/>
          <w:sz w:val="24"/>
          <w:szCs w:val="24"/>
          <w:lang w:val="bs-Latn-BA"/>
        </w:rPr>
        <w:t>z</w:t>
      </w:r>
      <w:r w:rsidR="00686922" w:rsidRPr="003A687C">
        <w:rPr>
          <w:rFonts w:ascii="Cambria" w:hAnsi="Cambria" w:cs="Times New Roman"/>
          <w:sz w:val="24"/>
          <w:szCs w:val="24"/>
          <w:lang w:val="bs-Latn-BA"/>
        </w:rPr>
        <w:t xml:space="preserve">aključaka, </w:t>
      </w:r>
      <w:r w:rsidRPr="003A687C">
        <w:rPr>
          <w:rFonts w:ascii="Cambria" w:hAnsi="Cambria" w:cs="Times New Roman"/>
          <w:sz w:val="24"/>
          <w:szCs w:val="24"/>
          <w:lang w:val="bs-Latn-BA"/>
        </w:rPr>
        <w:t>Savjet donosi odluku o otvaraju pristupnih pregovora sa Sjevernom Makedonijom i Albanijom i daje nalog Komisiji da pripremi pregovarački okvir za ove zemlje, u koji će uključiti novu metodologiju pregovora o pristupanju</w:t>
      </w:r>
      <w:r w:rsidRPr="003A687C">
        <w:rPr>
          <w:rStyle w:val="FootnoteReference"/>
          <w:rFonts w:ascii="Cambria" w:hAnsi="Cambria" w:cs="Times New Roman"/>
          <w:sz w:val="24"/>
          <w:szCs w:val="24"/>
          <w:lang w:val="bs-Latn-BA"/>
        </w:rPr>
        <w:footnoteReference w:id="3"/>
      </w:r>
      <w:r w:rsidRPr="003A687C">
        <w:rPr>
          <w:rFonts w:ascii="Cambria" w:hAnsi="Cambria" w:cs="Times New Roman"/>
          <w:sz w:val="24"/>
          <w:szCs w:val="24"/>
          <w:lang w:val="bs-Latn-BA"/>
        </w:rPr>
        <w:t>.</w:t>
      </w:r>
    </w:p>
    <w:p w14:paraId="5631A556" w14:textId="77777777" w:rsidR="00DF5C77" w:rsidRPr="00C16C97" w:rsidRDefault="00DF5C77" w:rsidP="0082663E">
      <w:pPr>
        <w:spacing w:after="0"/>
        <w:jc w:val="both"/>
        <w:rPr>
          <w:rFonts w:ascii="Cambria" w:hAnsi="Cambria" w:cs="Times New Roman"/>
          <w:sz w:val="24"/>
          <w:szCs w:val="24"/>
          <w:lang w:val="bs-Latn-BA"/>
        </w:rPr>
      </w:pPr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Zagrebački samit EU – Zapadni Balkan održan je 6 maja 2020 u formatu video konferencije. Samit je okupio šefove država ili vlada država članica EU i lidere šest partnera Zapadnog Balkana: Albanije, Bosne i Hercegovine, Kosova, Crne Gore, Sjeverne Makedonije i Srbije. Predsjednik Evropskog savjeta,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Šarl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 Mišel predsjedavao je sastankom i zastupao Uniju, zajedno sa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predsjednicom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 EK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Ursulom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 fon der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Lajen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.  Andrej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Plenković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, predsjednik Vlade RH, koja predsjedava Savjetom EU,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Žozef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Borel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, visoki predstavnik za vanjske poslove i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bezbjednosnu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 politiku, David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Sasoli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>, predsjednik Evropskog parlamenta, predstavnici EBRD, Svjetske banke, EIB i Savjeta za regionalnu saradnju, takođe su učestvovali na sastanku. Razmijenj</w:t>
      </w:r>
      <w:r w:rsidR="007C33F6" w:rsidRPr="00673D39">
        <w:rPr>
          <w:rFonts w:ascii="Cambria" w:hAnsi="Cambria" w:cs="Times New Roman"/>
          <w:sz w:val="24"/>
          <w:szCs w:val="24"/>
          <w:lang w:val="bs-Latn-BA"/>
        </w:rPr>
        <w:t>e</w:t>
      </w:r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na su mišljenja o novoj fazi bliske saradnje za rješavanje značajnih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socio-ekonomskih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 efekata krize COVID-19, važnosti regionalne saradnje, kao i o tome kako je najbolje upravljati sigurnosnim izazovima. U </w:t>
      </w:r>
      <w:proofErr w:type="spellStart"/>
      <w:r w:rsidRPr="00673D39">
        <w:rPr>
          <w:rFonts w:ascii="Cambria" w:hAnsi="Cambria" w:cs="Times New Roman"/>
          <w:sz w:val="24"/>
          <w:szCs w:val="24"/>
          <w:lang w:val="bs-Latn-BA"/>
        </w:rPr>
        <w:t>usvojenoj</w:t>
      </w:r>
      <w:proofErr w:type="spellEnd"/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 Političkoj deklaraciji</w:t>
      </w:r>
      <w:r w:rsidR="0082663E" w:rsidRPr="00673D39">
        <w:rPr>
          <w:rFonts w:ascii="Cambria" w:hAnsi="Cambria" w:cs="Times New Roman"/>
          <w:sz w:val="24"/>
          <w:szCs w:val="24"/>
          <w:lang w:val="bs-Latn-BA"/>
        </w:rPr>
        <w:t xml:space="preserve">, u 20 tačaka, 20 godina poslije prvog Zagrebačkog samita, usvojen je čitav niz važnih političkih stavova koji </w:t>
      </w:r>
      <w:proofErr w:type="spellStart"/>
      <w:r w:rsidR="0082663E" w:rsidRPr="00673D39">
        <w:rPr>
          <w:rFonts w:ascii="Cambria" w:hAnsi="Cambria" w:cs="Times New Roman"/>
          <w:sz w:val="24"/>
          <w:szCs w:val="24"/>
          <w:lang w:val="bs-Latn-BA"/>
        </w:rPr>
        <w:t>afirmišu</w:t>
      </w:r>
      <w:proofErr w:type="spellEnd"/>
      <w:r w:rsidR="0082663E" w:rsidRPr="00673D39">
        <w:rPr>
          <w:rFonts w:ascii="Cambria" w:hAnsi="Cambria" w:cs="Times New Roman"/>
          <w:sz w:val="24"/>
          <w:szCs w:val="24"/>
          <w:lang w:val="bs-Latn-BA"/>
        </w:rPr>
        <w:t xml:space="preserve"> evropske vrijednosti, solidarnost i saradnju kroz strateško i privilegovano partnerstvo EU i regiona. Politika proširenja, kao i nova metodologija, </w:t>
      </w:r>
      <w:r w:rsidRPr="00673D39">
        <w:rPr>
          <w:rFonts w:ascii="Cambria" w:hAnsi="Cambria" w:cs="Times New Roman"/>
          <w:sz w:val="24"/>
          <w:szCs w:val="24"/>
          <w:lang w:val="bs-Latn-BA"/>
        </w:rPr>
        <w:t xml:space="preserve"> </w:t>
      </w:r>
      <w:r w:rsidR="0082663E" w:rsidRPr="00673D39">
        <w:rPr>
          <w:rFonts w:ascii="Cambria" w:hAnsi="Cambria" w:cs="Times New Roman"/>
          <w:sz w:val="24"/>
          <w:szCs w:val="24"/>
          <w:lang w:val="bs-Latn-BA"/>
        </w:rPr>
        <w:t>biće tema Savjeta i Evropskog savjeta u junu 2020. godine, poslije objavljivanja Izvještaja EK o zemljama proširenja.</w:t>
      </w:r>
    </w:p>
    <w:p w14:paraId="49A0B92C" w14:textId="77777777" w:rsidR="00DF5C77" w:rsidRPr="00C16C97" w:rsidRDefault="00DF5C77" w:rsidP="0010068E">
      <w:pPr>
        <w:spacing w:after="0" w:line="240" w:lineRule="auto"/>
        <w:ind w:left="357"/>
        <w:jc w:val="center"/>
        <w:rPr>
          <w:rFonts w:ascii="Cambria" w:hAnsi="Cambria" w:cs="Times New Roman"/>
          <w:sz w:val="24"/>
          <w:szCs w:val="24"/>
          <w:lang w:val="bs-Latn-BA"/>
        </w:rPr>
      </w:pPr>
      <w:r w:rsidRPr="00C16C97">
        <w:rPr>
          <w:rFonts w:ascii="Cambria" w:hAnsi="Cambria" w:cs="Times New Roman"/>
          <w:sz w:val="24"/>
          <w:szCs w:val="24"/>
          <w:lang w:val="bs-Latn-BA"/>
        </w:rPr>
        <w:t>*    *   *</w:t>
      </w:r>
    </w:p>
    <w:p w14:paraId="35EC9A29" w14:textId="77777777" w:rsidR="0010068E" w:rsidRPr="00C16C97" w:rsidRDefault="0010068E" w:rsidP="005206B6">
      <w:pPr>
        <w:spacing w:before="120" w:after="16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Od Vlade Crne Gore se očekuje da politički podrži primjenu nove metodologije pristupnih pregovora i time još jednom potvrdi svoju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posvećenost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procesu demokratskih i ekonomskih reformi u zemlji, koje vode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punopravnom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člans</w:t>
      </w:r>
      <w:r w:rsidR="00673D39">
        <w:rPr>
          <w:rFonts w:ascii="Cambria" w:eastAsia="Calibri" w:hAnsi="Cambria" w:cs="Times New Roman"/>
          <w:sz w:val="24"/>
          <w:szCs w:val="24"/>
          <w:lang w:val="bs-Latn-BA"/>
        </w:rPr>
        <w:t>t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vu u Uniji.</w:t>
      </w:r>
    </w:p>
    <w:p w14:paraId="50E2F42E" w14:textId="77777777" w:rsidR="005206B6" w:rsidRPr="00C16C97" w:rsidRDefault="005206B6" w:rsidP="005206B6">
      <w:pPr>
        <w:spacing w:before="120" w:after="160"/>
        <w:jc w:val="both"/>
        <w:rPr>
          <w:rFonts w:ascii="Cambria" w:eastAsia="Calibri" w:hAnsi="Cambria" w:cs="Times New Roman"/>
          <w:b/>
          <w:bCs/>
          <w:sz w:val="24"/>
          <w:szCs w:val="24"/>
          <w:lang w:val="bs-Latn-BA"/>
        </w:rPr>
      </w:pP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Upravo zbog činjenice da je jedna od novina koju predviđa prijedlog nove metodologije </w:t>
      </w:r>
      <w:r w:rsidRPr="00C16C97">
        <w:rPr>
          <w:rFonts w:ascii="Cambria" w:eastAsia="Calibri" w:hAnsi="Cambria" w:cs="Times New Roman"/>
          <w:bCs/>
          <w:sz w:val="24"/>
          <w:szCs w:val="24"/>
          <w:lang w:val="bs-Latn-BA"/>
        </w:rPr>
        <w:t xml:space="preserve">da se politička priroda procesa postavi na centralno mjesto, te da se obezbijedi </w:t>
      </w:r>
      <w:r w:rsidRPr="00C16C97">
        <w:rPr>
          <w:rFonts w:ascii="Cambria" w:eastAsia="Calibri" w:hAnsi="Cambria" w:cs="Times New Roman"/>
          <w:b/>
          <w:bCs/>
          <w:sz w:val="24"/>
          <w:szCs w:val="24"/>
          <w:u w:val="single"/>
          <w:lang w:val="bs-Latn-BA"/>
        </w:rPr>
        <w:t>snažnije političko upravljanje</w:t>
      </w:r>
      <w:r w:rsidRPr="00C16C97">
        <w:rPr>
          <w:rFonts w:ascii="Cambria" w:eastAsia="Calibri" w:hAnsi="Cambria" w:cs="Times New Roman"/>
          <w:bCs/>
          <w:sz w:val="24"/>
          <w:szCs w:val="24"/>
          <w:u w:val="single"/>
          <w:lang w:val="bs-Latn-BA"/>
        </w:rPr>
        <w:t xml:space="preserve"> i angažovanje na visokom nivou od strane država članica</w:t>
      </w:r>
      <w:r w:rsidRPr="00C16C97">
        <w:rPr>
          <w:rFonts w:ascii="Cambria" w:eastAsia="Calibri" w:hAnsi="Cambria" w:cs="Times New Roman"/>
          <w:bCs/>
          <w:sz w:val="24"/>
          <w:szCs w:val="24"/>
          <w:lang w:val="bs-Latn-BA"/>
        </w:rPr>
        <w:t xml:space="preserve">, potrebno je da </w:t>
      </w:r>
      <w:r w:rsidRPr="00C16C97">
        <w:rPr>
          <w:rFonts w:ascii="Cambria" w:eastAsia="Calibri" w:hAnsi="Cambria" w:cs="Times New Roman"/>
          <w:b/>
          <w:bCs/>
          <w:sz w:val="24"/>
          <w:szCs w:val="24"/>
          <w:lang w:val="bs-Latn-BA"/>
        </w:rPr>
        <w:t xml:space="preserve">Crna Gora razmotri adekvatan pregovarački model koji će u punom političkom kapacitetu biti u prilici da odgovori novoj metodologiji. </w:t>
      </w:r>
      <w:r w:rsidRPr="00C16C97">
        <w:rPr>
          <w:rFonts w:ascii="Cambria" w:eastAsia="Calibri" w:hAnsi="Cambria" w:cs="Times New Roman"/>
          <w:b/>
          <w:bCs/>
          <w:sz w:val="24"/>
          <w:szCs w:val="24"/>
          <w:u w:val="single"/>
          <w:lang w:val="bs-Latn-BA"/>
        </w:rPr>
        <w:t xml:space="preserve">Konkretno, odgovornost u </w:t>
      </w:r>
      <w:proofErr w:type="spellStart"/>
      <w:r w:rsidRPr="00C16C97">
        <w:rPr>
          <w:rFonts w:ascii="Cambria" w:eastAsia="Calibri" w:hAnsi="Cambria" w:cs="Times New Roman"/>
          <w:b/>
          <w:bCs/>
          <w:sz w:val="24"/>
          <w:szCs w:val="24"/>
          <w:u w:val="single"/>
          <w:lang w:val="bs-Latn-BA"/>
        </w:rPr>
        <w:t>pregovaračkom</w:t>
      </w:r>
      <w:proofErr w:type="spellEnd"/>
      <w:r w:rsidRPr="00C16C97">
        <w:rPr>
          <w:rFonts w:ascii="Cambria" w:eastAsia="Calibri" w:hAnsi="Cambria" w:cs="Times New Roman"/>
          <w:b/>
          <w:bCs/>
          <w:sz w:val="24"/>
          <w:szCs w:val="24"/>
          <w:u w:val="single"/>
          <w:lang w:val="bs-Latn-BA"/>
        </w:rPr>
        <w:t xml:space="preserve"> procesu bi trebalo da se izdigne na najveći politički nivo, tj. imenovanjem direktno ministara za članove pregovaračke grupe za poglavlja u okviru njihove nadležnosti.</w:t>
      </w:r>
      <w:r w:rsidR="000C36A1" w:rsidRPr="00C16C97">
        <w:rPr>
          <w:rFonts w:ascii="Cambria" w:eastAsia="Calibri" w:hAnsi="Cambria" w:cs="Times New Roman"/>
          <w:b/>
          <w:bCs/>
          <w:sz w:val="24"/>
          <w:szCs w:val="24"/>
          <w:u w:val="single"/>
          <w:lang w:val="bs-Latn-BA"/>
        </w:rPr>
        <w:t xml:space="preserve"> 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Na ovaj način bi se unaprijedio okvir za političko angažovanje </w:t>
      </w:r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lastRenderedPageBreak/>
        <w:t>na višem nivou i stvorile pretpostavke za</w:t>
      </w:r>
      <w:r w:rsidRPr="00C16C97">
        <w:rPr>
          <w:rFonts w:ascii="Cambria" w:eastAsia="Calibri" w:hAnsi="Cambria" w:cs="Times New Roman"/>
          <w:b/>
          <w:sz w:val="24"/>
          <w:szCs w:val="24"/>
          <w:lang w:val="bs-Latn-BA"/>
        </w:rPr>
        <w:t xml:space="preserve"> </w:t>
      </w:r>
      <w:proofErr w:type="spellStart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>ekspertski</w:t>
      </w:r>
      <w:proofErr w:type="spellEnd"/>
      <w:r w:rsidRPr="00C16C97">
        <w:rPr>
          <w:rFonts w:ascii="Cambria" w:eastAsia="Calibri" w:hAnsi="Cambria" w:cs="Times New Roman"/>
          <w:sz w:val="24"/>
          <w:szCs w:val="24"/>
          <w:lang w:val="bs-Latn-BA"/>
        </w:rPr>
        <w:t xml:space="preserve"> i politički dijalog na liniji između Crne Gore i država članica/Evropske unije. </w:t>
      </w:r>
    </w:p>
    <w:p w14:paraId="2DBE6805" w14:textId="77777777" w:rsidR="0010068E" w:rsidRPr="00C16C97" w:rsidRDefault="0010068E" w:rsidP="0010068E">
      <w:pPr>
        <w:spacing w:after="0" w:line="240" w:lineRule="auto"/>
        <w:ind w:left="357"/>
        <w:jc w:val="center"/>
        <w:rPr>
          <w:rFonts w:ascii="Cambria" w:hAnsi="Cambria" w:cs="Times New Roman"/>
          <w:sz w:val="24"/>
          <w:szCs w:val="24"/>
          <w:lang w:val="bs-Latn-BA"/>
        </w:rPr>
      </w:pPr>
      <w:r w:rsidRPr="00C16C97">
        <w:rPr>
          <w:rFonts w:ascii="Cambria" w:hAnsi="Cambria" w:cs="Times New Roman"/>
          <w:sz w:val="24"/>
          <w:szCs w:val="24"/>
          <w:lang w:val="bs-Latn-BA"/>
        </w:rPr>
        <w:t>*    *   *</w:t>
      </w:r>
    </w:p>
    <w:p w14:paraId="7CA96373" w14:textId="77777777" w:rsidR="005C0486" w:rsidRDefault="005C0486" w:rsidP="0039416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</w:p>
    <w:p w14:paraId="0959389A" w14:textId="77777777" w:rsidR="005C0486" w:rsidRPr="00120DB8" w:rsidRDefault="005C0486" w:rsidP="0039416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</w:pPr>
      <w:r w:rsidRPr="00120DB8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>Predlog zaključaka:</w:t>
      </w:r>
    </w:p>
    <w:p w14:paraId="3EDD2F4E" w14:textId="77777777" w:rsidR="005C0486" w:rsidRDefault="005C0486" w:rsidP="0039416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</w:p>
    <w:p w14:paraId="466CA87D" w14:textId="017B115E" w:rsidR="005C0486" w:rsidRDefault="00394166" w:rsidP="00D7161D">
      <w:pPr>
        <w:pStyle w:val="ListParagraph"/>
        <w:numPr>
          <w:ilvl w:val="0"/>
          <w:numId w:val="15"/>
        </w:numPr>
        <w:spacing w:after="120"/>
        <w:contextualSpacing w:val="0"/>
        <w:jc w:val="both"/>
        <w:rPr>
          <w:rFonts w:ascii="Cambria" w:hAnsi="Cambria" w:cs="Times New Roman"/>
          <w:sz w:val="24"/>
          <w:szCs w:val="24"/>
          <w:lang w:val="bs-Latn-BA"/>
        </w:rPr>
      </w:pPr>
      <w:r w:rsidRPr="005C0486">
        <w:rPr>
          <w:rFonts w:ascii="Cambria" w:eastAsia="Calibri" w:hAnsi="Cambria" w:cs="Times New Roman"/>
          <w:sz w:val="24"/>
          <w:szCs w:val="24"/>
          <w:lang w:val="bs-Latn-BA"/>
        </w:rPr>
        <w:t>Vlada Crne Gore</w:t>
      </w:r>
      <w:r w:rsidR="005C0486">
        <w:rPr>
          <w:rFonts w:ascii="Cambria" w:eastAsia="Calibri" w:hAnsi="Cambria" w:cs="Times New Roman"/>
          <w:sz w:val="24"/>
          <w:szCs w:val="24"/>
          <w:lang w:val="bs-Latn-BA"/>
        </w:rPr>
        <w:t xml:space="preserve"> je</w:t>
      </w:r>
      <w:r w:rsidRPr="005C0486">
        <w:rPr>
          <w:rFonts w:ascii="Cambria" w:eastAsia="Calibri" w:hAnsi="Cambria" w:cs="Times New Roman"/>
          <w:sz w:val="24"/>
          <w:szCs w:val="24"/>
          <w:lang w:val="bs-Latn-BA"/>
        </w:rPr>
        <w:t xml:space="preserve"> na sjednici od _____________</w:t>
      </w:r>
      <w:r w:rsidR="005C0486">
        <w:rPr>
          <w:rFonts w:ascii="Cambria" w:eastAsia="Calibri" w:hAnsi="Cambria" w:cs="Times New Roman"/>
          <w:sz w:val="24"/>
          <w:szCs w:val="24"/>
          <w:lang w:val="bs-Latn-BA"/>
        </w:rPr>
        <w:t>maja</w:t>
      </w:r>
      <w:bookmarkStart w:id="0" w:name="_GoBack"/>
      <w:bookmarkEnd w:id="0"/>
      <w:r w:rsidR="005C0486">
        <w:rPr>
          <w:rFonts w:ascii="Cambria" w:eastAsia="Calibri" w:hAnsi="Cambria" w:cs="Times New Roman"/>
          <w:sz w:val="24"/>
          <w:szCs w:val="24"/>
          <w:lang w:val="bs-Latn-BA"/>
        </w:rPr>
        <w:t xml:space="preserve"> 2020.</w:t>
      </w:r>
      <w:r w:rsidR="00D7161D">
        <w:rPr>
          <w:rFonts w:ascii="Cambria" w:eastAsia="Calibri" w:hAnsi="Cambria" w:cs="Times New Roman"/>
          <w:sz w:val="24"/>
          <w:szCs w:val="24"/>
          <w:lang w:val="bs-Latn-BA"/>
        </w:rPr>
        <w:t xml:space="preserve"> godine</w:t>
      </w:r>
      <w:r w:rsidR="005C0486">
        <w:rPr>
          <w:rFonts w:ascii="Cambria" w:eastAsia="Calibri" w:hAnsi="Cambria" w:cs="Times New Roman"/>
          <w:sz w:val="24"/>
          <w:szCs w:val="24"/>
          <w:lang w:val="bs-Latn-BA"/>
        </w:rPr>
        <w:t xml:space="preserve"> </w:t>
      </w:r>
      <w:r w:rsidRPr="005C0486">
        <w:rPr>
          <w:rFonts w:ascii="Cambria" w:eastAsia="Calibri" w:hAnsi="Cambria" w:cs="Times New Roman"/>
          <w:sz w:val="24"/>
          <w:szCs w:val="24"/>
          <w:lang w:val="bs-Latn-BA"/>
        </w:rPr>
        <w:t xml:space="preserve">razmotrila </w:t>
      </w:r>
      <w:r w:rsidR="005C0486">
        <w:rPr>
          <w:rFonts w:ascii="Cambria" w:eastAsia="Calibri" w:hAnsi="Cambria" w:cs="Times New Roman"/>
          <w:sz w:val="24"/>
          <w:szCs w:val="24"/>
          <w:lang w:val="bs-Latn-BA"/>
        </w:rPr>
        <w:t xml:space="preserve">i usvojila </w:t>
      </w:r>
      <w:r w:rsidRPr="005C0486">
        <w:rPr>
          <w:rFonts w:ascii="Cambria" w:eastAsia="Calibri" w:hAnsi="Cambria" w:cs="Times New Roman"/>
          <w:sz w:val="24"/>
          <w:szCs w:val="24"/>
          <w:lang w:val="bs-Latn-BA"/>
        </w:rPr>
        <w:t xml:space="preserve"> </w:t>
      </w:r>
      <w:r w:rsidRPr="005C0486">
        <w:rPr>
          <w:rFonts w:ascii="Cambria" w:hAnsi="Cambria" w:cs="Times New Roman"/>
          <w:sz w:val="24"/>
          <w:szCs w:val="24"/>
          <w:lang w:val="bs-Latn-BA"/>
        </w:rPr>
        <w:t>Informacij</w:t>
      </w:r>
      <w:r w:rsidR="00673D39" w:rsidRPr="005C0486">
        <w:rPr>
          <w:rFonts w:ascii="Cambria" w:hAnsi="Cambria" w:cs="Times New Roman"/>
          <w:sz w:val="24"/>
          <w:szCs w:val="24"/>
          <w:lang w:val="bs-Latn-BA"/>
        </w:rPr>
        <w:t>u</w:t>
      </w:r>
      <w:r w:rsidRPr="005C0486">
        <w:rPr>
          <w:rFonts w:ascii="Cambria" w:hAnsi="Cambria" w:cs="Times New Roman"/>
          <w:sz w:val="24"/>
          <w:szCs w:val="24"/>
          <w:lang w:val="bs-Latn-BA"/>
        </w:rPr>
        <w:t xml:space="preserve"> o novoj metodologiji pristupanja Evropskoj uniji</w:t>
      </w:r>
      <w:r w:rsidR="005962B7">
        <w:rPr>
          <w:rFonts w:ascii="Cambria" w:hAnsi="Cambria" w:cs="Times New Roman"/>
          <w:sz w:val="24"/>
          <w:szCs w:val="24"/>
          <w:lang w:val="bs-Latn-BA"/>
        </w:rPr>
        <w:t>;</w:t>
      </w:r>
      <w:r w:rsidRPr="005C0486">
        <w:rPr>
          <w:rFonts w:ascii="Cambria" w:hAnsi="Cambria" w:cs="Times New Roman"/>
          <w:sz w:val="24"/>
          <w:szCs w:val="24"/>
          <w:lang w:val="bs-Latn-BA"/>
        </w:rPr>
        <w:t xml:space="preserve"> </w:t>
      </w:r>
    </w:p>
    <w:p w14:paraId="5188A57E" w14:textId="061A83AC" w:rsidR="0010068E" w:rsidRPr="005C0486" w:rsidRDefault="005C0486" w:rsidP="00D7161D">
      <w:pPr>
        <w:pStyle w:val="ListParagraph"/>
        <w:numPr>
          <w:ilvl w:val="0"/>
          <w:numId w:val="15"/>
        </w:numPr>
        <w:spacing w:after="120"/>
        <w:contextualSpacing w:val="0"/>
        <w:jc w:val="both"/>
        <w:rPr>
          <w:rFonts w:ascii="Cambria" w:hAnsi="Cambria" w:cs="Times New Roman"/>
          <w:sz w:val="24"/>
          <w:szCs w:val="24"/>
          <w:lang w:val="bs-Latn-BA"/>
        </w:rPr>
      </w:pPr>
      <w:r>
        <w:rPr>
          <w:rFonts w:ascii="Cambria" w:eastAsia="Calibri" w:hAnsi="Cambria" w:cs="Times New Roman"/>
          <w:sz w:val="24"/>
          <w:szCs w:val="24"/>
          <w:lang w:val="bs-Latn-BA"/>
        </w:rPr>
        <w:t xml:space="preserve">Vlada je prihvatila novu metodologiju pristupih pregovora EU sa </w:t>
      </w:r>
      <w:r w:rsidR="00394166" w:rsidRPr="005C0486">
        <w:rPr>
          <w:rFonts w:ascii="Cambria" w:hAnsi="Cambria" w:cs="Times New Roman"/>
          <w:sz w:val="24"/>
          <w:szCs w:val="24"/>
          <w:lang w:val="bs-Latn-BA"/>
        </w:rPr>
        <w:t xml:space="preserve">zemljama Zapadnog Balkana od 5. februara 2020. godine, u okvirima usvojene </w:t>
      </w:r>
      <w:r w:rsidR="00394166" w:rsidRPr="005C0486">
        <w:rPr>
          <w:rFonts w:asciiTheme="majorHAnsi" w:hAnsiTheme="majorHAnsi"/>
          <w:sz w:val="24"/>
          <w:szCs w:val="24"/>
          <w:lang w:val="bs-Latn-BA"/>
        </w:rPr>
        <w:t>Opšte pozicije  EU za pregovore sa Cr</w:t>
      </w:r>
      <w:r w:rsidR="005962B7">
        <w:rPr>
          <w:rFonts w:asciiTheme="majorHAnsi" w:hAnsiTheme="majorHAnsi"/>
          <w:sz w:val="24"/>
          <w:szCs w:val="24"/>
          <w:lang w:val="bs-Latn-BA"/>
        </w:rPr>
        <w:t>nom</w:t>
      </w:r>
      <w:r w:rsidR="00871597">
        <w:rPr>
          <w:rFonts w:asciiTheme="majorHAnsi" w:hAnsiTheme="majorHAnsi"/>
          <w:sz w:val="24"/>
          <w:szCs w:val="24"/>
          <w:lang w:val="bs-Latn-BA"/>
        </w:rPr>
        <w:t xml:space="preserve"> Gorom od 29. juna 2012. godine</w:t>
      </w:r>
      <w:r w:rsidR="005962B7">
        <w:rPr>
          <w:rFonts w:asciiTheme="majorHAnsi" w:hAnsiTheme="majorHAnsi"/>
          <w:sz w:val="24"/>
          <w:szCs w:val="24"/>
          <w:lang w:val="bs-Latn-BA"/>
        </w:rPr>
        <w:t>;</w:t>
      </w:r>
    </w:p>
    <w:p w14:paraId="2B31C419" w14:textId="1A5EBCA0" w:rsidR="00E8621C" w:rsidRPr="00FB5661" w:rsidRDefault="005962B7" w:rsidP="00FB5661">
      <w:pPr>
        <w:pStyle w:val="ListParagraph"/>
        <w:numPr>
          <w:ilvl w:val="0"/>
          <w:numId w:val="15"/>
        </w:numPr>
        <w:spacing w:after="120"/>
        <w:contextualSpacing w:val="0"/>
        <w:jc w:val="both"/>
        <w:rPr>
          <w:rFonts w:asciiTheme="majorHAnsi" w:hAnsiTheme="majorHAnsi"/>
          <w:sz w:val="24"/>
          <w:szCs w:val="24"/>
          <w:lang w:val="bs-Latn-BA"/>
        </w:rPr>
      </w:pPr>
      <w:r>
        <w:rPr>
          <w:rFonts w:asciiTheme="majorHAnsi" w:hAnsiTheme="majorHAnsi"/>
          <w:sz w:val="24"/>
          <w:szCs w:val="24"/>
          <w:lang w:val="bs-Latn-BA"/>
        </w:rPr>
        <w:t xml:space="preserve">Zadužuje se Kancelarija za evropske integracije da u što skorijem roku </w:t>
      </w:r>
      <w:proofErr w:type="spellStart"/>
      <w:r>
        <w:rPr>
          <w:rFonts w:asciiTheme="majorHAnsi" w:hAnsiTheme="majorHAnsi"/>
          <w:sz w:val="24"/>
          <w:szCs w:val="24"/>
          <w:lang w:val="bs-Latn-BA"/>
        </w:rPr>
        <w:t>informiše</w:t>
      </w:r>
      <w:proofErr w:type="spellEnd"/>
      <w:r>
        <w:rPr>
          <w:rFonts w:asciiTheme="majorHAnsi" w:hAnsiTheme="majorHAnsi"/>
          <w:sz w:val="24"/>
          <w:szCs w:val="24"/>
          <w:lang w:val="bs-Latn-BA"/>
        </w:rPr>
        <w:t xml:space="preserve"> Evropsku komisiju o </w:t>
      </w:r>
      <w:proofErr w:type="spellStart"/>
      <w:r>
        <w:rPr>
          <w:rFonts w:asciiTheme="majorHAnsi" w:hAnsiTheme="majorHAnsi"/>
          <w:sz w:val="24"/>
          <w:szCs w:val="24"/>
          <w:lang w:val="bs-Latn-BA"/>
        </w:rPr>
        <w:t>donijetoj</w:t>
      </w:r>
      <w:proofErr w:type="spellEnd"/>
      <w:r>
        <w:rPr>
          <w:rFonts w:asciiTheme="majorHAnsi" w:hAnsiTheme="majorHAnsi"/>
          <w:sz w:val="24"/>
          <w:szCs w:val="24"/>
          <w:lang w:val="bs-Latn-BA"/>
        </w:rPr>
        <w:t xml:space="preserve"> odluci</w:t>
      </w:r>
      <w:r w:rsidR="006670D2">
        <w:rPr>
          <w:rFonts w:asciiTheme="majorHAnsi" w:hAnsiTheme="majorHAnsi"/>
          <w:sz w:val="24"/>
          <w:szCs w:val="24"/>
          <w:lang w:val="bs-Latn-BA"/>
        </w:rPr>
        <w:t xml:space="preserve"> Vlade</w:t>
      </w:r>
      <w:r w:rsidR="00871597">
        <w:rPr>
          <w:rFonts w:asciiTheme="majorHAnsi" w:hAnsiTheme="majorHAnsi"/>
          <w:sz w:val="24"/>
          <w:szCs w:val="24"/>
          <w:lang w:val="bs-Latn-BA"/>
        </w:rPr>
        <w:t>.</w:t>
      </w:r>
    </w:p>
    <w:sectPr w:rsidR="00E8621C" w:rsidRPr="00FB5661" w:rsidSect="0077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FC02A" w14:textId="77777777" w:rsidR="00223B21" w:rsidRDefault="00223B21" w:rsidP="009779CD">
      <w:pPr>
        <w:spacing w:after="0" w:line="240" w:lineRule="auto"/>
      </w:pPr>
      <w:r>
        <w:separator/>
      </w:r>
    </w:p>
  </w:endnote>
  <w:endnote w:type="continuationSeparator" w:id="0">
    <w:p w14:paraId="69EA70D4" w14:textId="77777777" w:rsidR="00223B21" w:rsidRDefault="00223B21" w:rsidP="0097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964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85A82" w14:textId="3E3CC269" w:rsidR="00687A75" w:rsidRDefault="00687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6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FE4F815" w14:textId="77777777" w:rsidR="00687A75" w:rsidRDefault="00687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1B5E5" w14:textId="77777777" w:rsidR="00223B21" w:rsidRDefault="00223B21" w:rsidP="009779CD">
      <w:pPr>
        <w:spacing w:after="0" w:line="240" w:lineRule="auto"/>
      </w:pPr>
      <w:r>
        <w:separator/>
      </w:r>
    </w:p>
  </w:footnote>
  <w:footnote w:type="continuationSeparator" w:id="0">
    <w:p w14:paraId="05E0F873" w14:textId="77777777" w:rsidR="00223B21" w:rsidRDefault="00223B21" w:rsidP="009779CD">
      <w:pPr>
        <w:spacing w:after="0" w:line="240" w:lineRule="auto"/>
      </w:pPr>
      <w:r>
        <w:continuationSeparator/>
      </w:r>
    </w:p>
  </w:footnote>
  <w:footnote w:id="1">
    <w:p w14:paraId="3E8FFE74" w14:textId="77777777" w:rsidR="00687A75" w:rsidRPr="000967BE" w:rsidRDefault="00687A75">
      <w:pPr>
        <w:pStyle w:val="FootnoteText"/>
        <w:rPr>
          <w:rFonts w:asciiTheme="majorHAnsi" w:hAnsiTheme="majorHAnsi"/>
          <w:sz w:val="16"/>
          <w:lang w:val="sr-Latn-ME"/>
        </w:rPr>
      </w:pPr>
      <w:r w:rsidRPr="000967BE">
        <w:rPr>
          <w:rStyle w:val="FootnoteReference"/>
          <w:rFonts w:asciiTheme="majorHAnsi" w:hAnsiTheme="majorHAnsi"/>
          <w:sz w:val="16"/>
        </w:rPr>
        <w:footnoteRef/>
      </w:r>
      <w:r w:rsidRPr="000967BE">
        <w:rPr>
          <w:rFonts w:asciiTheme="majorHAnsi" w:hAnsiTheme="majorHAnsi"/>
          <w:sz w:val="16"/>
        </w:rPr>
        <w:t xml:space="preserve"> 5.2.2020  COM(2020) 57 final</w:t>
      </w:r>
    </w:p>
  </w:footnote>
  <w:footnote w:id="2">
    <w:p w14:paraId="352188B9" w14:textId="77777777" w:rsidR="00687A75" w:rsidRPr="000967BE" w:rsidRDefault="00687A75" w:rsidP="00F92F15">
      <w:pPr>
        <w:spacing w:line="240" w:lineRule="auto"/>
        <w:jc w:val="both"/>
        <w:rPr>
          <w:rFonts w:asciiTheme="majorHAnsi" w:hAnsiTheme="majorHAnsi"/>
          <w:sz w:val="16"/>
          <w:szCs w:val="20"/>
          <w:lang w:val="sr-Latn-ME"/>
        </w:rPr>
      </w:pPr>
      <w:r w:rsidRPr="000967BE">
        <w:rPr>
          <w:rStyle w:val="FootnoteReference"/>
          <w:rFonts w:asciiTheme="majorHAnsi" w:hAnsiTheme="majorHAnsi"/>
          <w:sz w:val="16"/>
          <w:szCs w:val="20"/>
        </w:rPr>
        <w:footnoteRef/>
      </w:r>
      <w:r w:rsidRPr="000967BE">
        <w:rPr>
          <w:rFonts w:asciiTheme="majorHAnsi" w:hAnsiTheme="majorHAnsi"/>
          <w:sz w:val="16"/>
          <w:szCs w:val="20"/>
        </w:rPr>
        <w:t xml:space="preserve"> </w:t>
      </w:r>
      <w:proofErr w:type="spellStart"/>
      <w:r w:rsidRPr="000967BE">
        <w:rPr>
          <w:rFonts w:asciiTheme="majorHAnsi" w:hAnsiTheme="majorHAnsi"/>
          <w:b/>
          <w:sz w:val="16"/>
          <w:szCs w:val="20"/>
        </w:rPr>
        <w:t>Opšta</w:t>
      </w:r>
      <w:proofErr w:type="spellEnd"/>
      <w:r w:rsidRPr="000967BE">
        <w:rPr>
          <w:rFonts w:asciiTheme="majorHAnsi" w:hAnsiTheme="majorHAnsi"/>
          <w:b/>
          <w:sz w:val="16"/>
          <w:szCs w:val="20"/>
        </w:rPr>
        <w:t xml:space="preserve"> </w:t>
      </w:r>
      <w:proofErr w:type="spellStart"/>
      <w:r w:rsidRPr="000967BE">
        <w:rPr>
          <w:rFonts w:asciiTheme="majorHAnsi" w:hAnsiTheme="majorHAnsi"/>
          <w:b/>
          <w:sz w:val="16"/>
          <w:szCs w:val="20"/>
        </w:rPr>
        <w:t>pozicija</w:t>
      </w:r>
      <w:proofErr w:type="spellEnd"/>
      <w:r w:rsidRPr="000967BE">
        <w:rPr>
          <w:rFonts w:asciiTheme="majorHAnsi" w:hAnsiTheme="majorHAnsi"/>
          <w:b/>
          <w:sz w:val="16"/>
          <w:szCs w:val="20"/>
        </w:rPr>
        <w:t xml:space="preserve"> EU za </w:t>
      </w:r>
      <w:proofErr w:type="spellStart"/>
      <w:r w:rsidRPr="000967BE">
        <w:rPr>
          <w:rFonts w:asciiTheme="majorHAnsi" w:hAnsiTheme="majorHAnsi"/>
          <w:b/>
          <w:sz w:val="16"/>
          <w:szCs w:val="20"/>
        </w:rPr>
        <w:t>pregovore</w:t>
      </w:r>
      <w:proofErr w:type="spellEnd"/>
      <w:r w:rsidRPr="000967BE">
        <w:rPr>
          <w:rFonts w:asciiTheme="majorHAnsi" w:hAnsiTheme="majorHAnsi"/>
          <w:b/>
          <w:sz w:val="16"/>
          <w:szCs w:val="20"/>
        </w:rPr>
        <w:t xml:space="preserve"> </w:t>
      </w:r>
      <w:proofErr w:type="spellStart"/>
      <w:r w:rsidRPr="000967BE">
        <w:rPr>
          <w:rFonts w:asciiTheme="majorHAnsi" w:hAnsiTheme="majorHAnsi"/>
          <w:b/>
          <w:sz w:val="16"/>
          <w:szCs w:val="20"/>
        </w:rPr>
        <w:t>sa</w:t>
      </w:r>
      <w:proofErr w:type="spellEnd"/>
      <w:r w:rsidRPr="000967BE">
        <w:rPr>
          <w:rFonts w:asciiTheme="majorHAnsi" w:hAnsiTheme="majorHAnsi"/>
          <w:b/>
          <w:sz w:val="16"/>
          <w:szCs w:val="20"/>
        </w:rPr>
        <w:t xml:space="preserve"> </w:t>
      </w:r>
      <w:proofErr w:type="spellStart"/>
      <w:r w:rsidRPr="000967BE">
        <w:rPr>
          <w:rFonts w:asciiTheme="majorHAnsi" w:hAnsiTheme="majorHAnsi"/>
          <w:b/>
          <w:sz w:val="16"/>
          <w:szCs w:val="20"/>
        </w:rPr>
        <w:t>Crnom</w:t>
      </w:r>
      <w:proofErr w:type="spellEnd"/>
      <w:r w:rsidRPr="000967BE">
        <w:rPr>
          <w:rFonts w:asciiTheme="majorHAnsi" w:hAnsiTheme="majorHAnsi"/>
          <w:b/>
          <w:sz w:val="16"/>
          <w:szCs w:val="20"/>
        </w:rPr>
        <w:t xml:space="preserve"> </w:t>
      </w:r>
      <w:proofErr w:type="spellStart"/>
      <w:r w:rsidRPr="000967BE">
        <w:rPr>
          <w:rFonts w:asciiTheme="majorHAnsi" w:hAnsiTheme="majorHAnsi"/>
          <w:b/>
          <w:sz w:val="16"/>
          <w:szCs w:val="20"/>
        </w:rPr>
        <w:t>Gorom</w:t>
      </w:r>
      <w:proofErr w:type="spellEnd"/>
      <w:r w:rsidRPr="000967BE">
        <w:rPr>
          <w:rFonts w:asciiTheme="majorHAnsi" w:hAnsiTheme="majorHAnsi"/>
          <w:sz w:val="16"/>
          <w:szCs w:val="20"/>
        </w:rPr>
        <w:t xml:space="preserve"> - The Council of the EU, EUROPEAN GENERAL EU POSITION, Ministerial meeting opening the Intergovernmental Conference on the Accession of Montenegro to the European Union (Brussels, 29 June 2012), AD 23/12, CONF-ME 2. </w:t>
      </w:r>
      <w:hyperlink r:id="rId1" w:history="1">
        <w:r w:rsidRPr="000967BE">
          <w:rPr>
            <w:rStyle w:val="Hyperlink"/>
            <w:rFonts w:asciiTheme="majorHAnsi" w:hAnsiTheme="majorHAnsi"/>
            <w:sz w:val="16"/>
            <w:szCs w:val="20"/>
          </w:rPr>
          <w:t>http://data.consilium.europa.eu/doc/document/AD-23-2012-INIT/en/pdf</w:t>
        </w:r>
      </w:hyperlink>
      <w:r w:rsidRPr="000967BE">
        <w:rPr>
          <w:rFonts w:asciiTheme="majorHAnsi" w:hAnsiTheme="majorHAnsi"/>
          <w:sz w:val="16"/>
          <w:szCs w:val="20"/>
        </w:rPr>
        <w:t xml:space="preserve"> </w:t>
      </w:r>
    </w:p>
  </w:footnote>
  <w:footnote w:id="3">
    <w:p w14:paraId="62870037" w14:textId="77777777" w:rsidR="00687A75" w:rsidRPr="000967BE" w:rsidRDefault="00687A75" w:rsidP="005C4579">
      <w:pPr>
        <w:pStyle w:val="FootnoteText"/>
        <w:rPr>
          <w:rFonts w:ascii="Cambria" w:hAnsi="Cambria"/>
          <w:sz w:val="16"/>
          <w:lang w:val="sr-Latn-ME"/>
        </w:rPr>
      </w:pPr>
      <w:r w:rsidRPr="000967BE">
        <w:rPr>
          <w:rStyle w:val="FootnoteReference"/>
          <w:rFonts w:ascii="Cambria" w:hAnsi="Cambria"/>
          <w:sz w:val="16"/>
        </w:rPr>
        <w:footnoteRef/>
      </w:r>
      <w:r w:rsidRPr="000967BE">
        <w:rPr>
          <w:rFonts w:ascii="Cambria" w:hAnsi="Cambria"/>
          <w:sz w:val="16"/>
          <w:lang w:val="sr-Latn-ME"/>
        </w:rPr>
        <w:t xml:space="preserve"> </w:t>
      </w:r>
      <w:r w:rsidRPr="000967BE">
        <w:rPr>
          <w:rFonts w:ascii="Cambria" w:hAnsi="Cambria"/>
          <w:sz w:val="16"/>
          <w:lang w:val="sr-Latn-ME"/>
        </w:rPr>
        <w:t>General Affairs Council, Council conclusions, 25 March 2020;</w:t>
      </w:r>
      <w:r w:rsidRPr="000967BE">
        <w:rPr>
          <w:sz w:val="16"/>
          <w:lang w:val="sr-Latn-ME"/>
        </w:rPr>
        <w:t xml:space="preserve"> </w:t>
      </w:r>
      <w:hyperlink r:id="rId2" w:history="1">
        <w:r w:rsidRPr="000967BE">
          <w:rPr>
            <w:rStyle w:val="Hyperlink"/>
            <w:rFonts w:ascii="Cambria" w:hAnsi="Cambria"/>
            <w:sz w:val="16"/>
          </w:rPr>
          <w:t>https</w:t>
        </w:r>
        <w:r w:rsidRPr="000967BE">
          <w:rPr>
            <w:rStyle w:val="Hyperlink"/>
            <w:rFonts w:ascii="Cambria" w:hAnsi="Cambria"/>
            <w:sz w:val="16"/>
            <w:lang w:val="sr-Latn-ME"/>
          </w:rPr>
          <w:t>://</w:t>
        </w:r>
        <w:r w:rsidRPr="000967BE">
          <w:rPr>
            <w:rStyle w:val="Hyperlink"/>
            <w:rFonts w:ascii="Cambria" w:hAnsi="Cambria"/>
            <w:sz w:val="16"/>
          </w:rPr>
          <w:t>data</w:t>
        </w:r>
        <w:r w:rsidRPr="000967BE">
          <w:rPr>
            <w:rStyle w:val="Hyperlink"/>
            <w:rFonts w:ascii="Cambria" w:hAnsi="Cambria"/>
            <w:sz w:val="16"/>
            <w:lang w:val="sr-Latn-ME"/>
          </w:rPr>
          <w:t>.</w:t>
        </w:r>
        <w:proofErr w:type="spellStart"/>
        <w:r w:rsidRPr="000967BE">
          <w:rPr>
            <w:rStyle w:val="Hyperlink"/>
            <w:rFonts w:ascii="Cambria" w:hAnsi="Cambria"/>
            <w:sz w:val="16"/>
          </w:rPr>
          <w:t>consilium</w:t>
        </w:r>
        <w:proofErr w:type="spellEnd"/>
        <w:r w:rsidRPr="000967BE">
          <w:rPr>
            <w:rStyle w:val="Hyperlink"/>
            <w:rFonts w:ascii="Cambria" w:hAnsi="Cambria"/>
            <w:sz w:val="16"/>
            <w:lang w:val="sr-Latn-ME"/>
          </w:rPr>
          <w:t>.</w:t>
        </w:r>
        <w:proofErr w:type="spellStart"/>
        <w:r w:rsidRPr="000967BE">
          <w:rPr>
            <w:rStyle w:val="Hyperlink"/>
            <w:rFonts w:ascii="Cambria" w:hAnsi="Cambria"/>
            <w:sz w:val="16"/>
          </w:rPr>
          <w:t>europa</w:t>
        </w:r>
        <w:proofErr w:type="spellEnd"/>
        <w:r w:rsidRPr="000967BE">
          <w:rPr>
            <w:rStyle w:val="Hyperlink"/>
            <w:rFonts w:ascii="Cambria" w:hAnsi="Cambria"/>
            <w:sz w:val="16"/>
            <w:lang w:val="sr-Latn-ME"/>
          </w:rPr>
          <w:t>.</w:t>
        </w:r>
        <w:proofErr w:type="spellStart"/>
        <w:r w:rsidRPr="000967BE">
          <w:rPr>
            <w:rStyle w:val="Hyperlink"/>
            <w:rFonts w:ascii="Cambria" w:hAnsi="Cambria"/>
            <w:sz w:val="16"/>
          </w:rPr>
          <w:t>eu</w:t>
        </w:r>
        <w:proofErr w:type="spellEnd"/>
        <w:r w:rsidRPr="000967BE">
          <w:rPr>
            <w:rStyle w:val="Hyperlink"/>
            <w:rFonts w:ascii="Cambria" w:hAnsi="Cambria"/>
            <w:sz w:val="16"/>
            <w:lang w:val="sr-Latn-ME"/>
          </w:rPr>
          <w:t>/</w:t>
        </w:r>
        <w:r w:rsidRPr="000967BE">
          <w:rPr>
            <w:rStyle w:val="Hyperlink"/>
            <w:rFonts w:ascii="Cambria" w:hAnsi="Cambria"/>
            <w:sz w:val="16"/>
          </w:rPr>
          <w:t>doc</w:t>
        </w:r>
        <w:r w:rsidRPr="000967BE">
          <w:rPr>
            <w:rStyle w:val="Hyperlink"/>
            <w:rFonts w:ascii="Cambria" w:hAnsi="Cambria"/>
            <w:sz w:val="16"/>
            <w:lang w:val="sr-Latn-ME"/>
          </w:rPr>
          <w:t>/</w:t>
        </w:r>
        <w:r w:rsidRPr="000967BE">
          <w:rPr>
            <w:rStyle w:val="Hyperlink"/>
            <w:rFonts w:ascii="Cambria" w:hAnsi="Cambria"/>
            <w:sz w:val="16"/>
          </w:rPr>
          <w:t>document</w:t>
        </w:r>
        <w:r w:rsidRPr="000967BE">
          <w:rPr>
            <w:rStyle w:val="Hyperlink"/>
            <w:rFonts w:ascii="Cambria" w:hAnsi="Cambria"/>
            <w:sz w:val="16"/>
            <w:lang w:val="sr-Latn-ME"/>
          </w:rPr>
          <w:t>/</w:t>
        </w:r>
        <w:r w:rsidRPr="000967BE">
          <w:rPr>
            <w:rStyle w:val="Hyperlink"/>
            <w:rFonts w:ascii="Cambria" w:hAnsi="Cambria"/>
            <w:sz w:val="16"/>
          </w:rPr>
          <w:t>ST</w:t>
        </w:r>
        <w:r w:rsidRPr="000967BE">
          <w:rPr>
            <w:rStyle w:val="Hyperlink"/>
            <w:rFonts w:ascii="Cambria" w:hAnsi="Cambria"/>
            <w:sz w:val="16"/>
            <w:lang w:val="sr-Latn-ME"/>
          </w:rPr>
          <w:t>-7002-2020-</w:t>
        </w:r>
        <w:r w:rsidRPr="000967BE">
          <w:rPr>
            <w:rStyle w:val="Hyperlink"/>
            <w:rFonts w:ascii="Cambria" w:hAnsi="Cambria"/>
            <w:sz w:val="16"/>
          </w:rPr>
          <w:t>INIT</w:t>
        </w:r>
        <w:r w:rsidRPr="000967BE">
          <w:rPr>
            <w:rStyle w:val="Hyperlink"/>
            <w:rFonts w:ascii="Cambria" w:hAnsi="Cambria"/>
            <w:sz w:val="16"/>
            <w:lang w:val="sr-Latn-ME"/>
          </w:rPr>
          <w:t>/</w:t>
        </w:r>
        <w:proofErr w:type="spellStart"/>
        <w:r w:rsidRPr="000967BE">
          <w:rPr>
            <w:rStyle w:val="Hyperlink"/>
            <w:rFonts w:ascii="Cambria" w:hAnsi="Cambria"/>
            <w:sz w:val="16"/>
          </w:rPr>
          <w:t>en</w:t>
        </w:r>
        <w:proofErr w:type="spellEnd"/>
        <w:r w:rsidRPr="000967BE">
          <w:rPr>
            <w:rStyle w:val="Hyperlink"/>
            <w:rFonts w:ascii="Cambria" w:hAnsi="Cambria"/>
            <w:sz w:val="16"/>
            <w:lang w:val="sr-Latn-ME"/>
          </w:rPr>
          <w:t>/</w:t>
        </w:r>
        <w:r w:rsidRPr="000967BE">
          <w:rPr>
            <w:rStyle w:val="Hyperlink"/>
            <w:rFonts w:ascii="Cambria" w:hAnsi="Cambria"/>
            <w:sz w:val="16"/>
          </w:rPr>
          <w:t>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C646" w14:textId="77777777" w:rsidR="004E3FC6" w:rsidRDefault="0061066A" w:rsidP="0061066A">
    <w:pPr>
      <w:pStyle w:val="Header"/>
      <w:jc w:val="center"/>
    </w:pPr>
    <w:r w:rsidRPr="004E3FC6">
      <w:rPr>
        <w:rFonts w:asciiTheme="majorHAnsi" w:hAnsiTheme="majorHAnsi"/>
        <w:b/>
        <w:strike/>
        <w:sz w:val="28"/>
        <w:lang w:val="bs-Latn-BA"/>
      </w:rPr>
      <w:t>INTERNO</w:t>
    </w:r>
    <w:r w:rsidR="004E3FC6" w:rsidRPr="004E3FC6">
      <w:t xml:space="preserve"> </w:t>
    </w:r>
  </w:p>
  <w:p w14:paraId="41FB4E94" w14:textId="02165B14" w:rsidR="0061066A" w:rsidRPr="004E3FC6" w:rsidRDefault="004E3FC6" w:rsidP="0061066A">
    <w:pPr>
      <w:pStyle w:val="Header"/>
      <w:jc w:val="center"/>
      <w:rPr>
        <w:rFonts w:asciiTheme="majorHAnsi" w:hAnsiTheme="majorHAnsi"/>
        <w:b/>
        <w:strike/>
        <w:sz w:val="28"/>
        <w:lang w:val="bs-Latn-BA"/>
      </w:rPr>
    </w:pPr>
    <w:r>
      <w:rPr>
        <w:rFonts w:asciiTheme="majorHAnsi" w:hAnsiTheme="majorHAnsi"/>
        <w:b/>
        <w:sz w:val="28"/>
        <w:lang w:val="bs-Latn-BA"/>
      </w:rPr>
      <w:t>PRESTANAK TAJNOSTI (19. V</w:t>
    </w:r>
    <w:r w:rsidRPr="004E3FC6">
      <w:rPr>
        <w:rFonts w:asciiTheme="majorHAnsi" w:hAnsiTheme="majorHAnsi"/>
        <w:b/>
        <w:sz w:val="28"/>
        <w:lang w:val="bs-Latn-BA"/>
      </w:rPr>
      <w:t>I 2020.)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DB2"/>
    <w:multiLevelType w:val="hybridMultilevel"/>
    <w:tmpl w:val="B4EA23AE"/>
    <w:lvl w:ilvl="0" w:tplc="17A222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301"/>
    <w:multiLevelType w:val="hybridMultilevel"/>
    <w:tmpl w:val="357075E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9220F"/>
    <w:multiLevelType w:val="hybridMultilevel"/>
    <w:tmpl w:val="3892C9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4AF"/>
    <w:multiLevelType w:val="hybridMultilevel"/>
    <w:tmpl w:val="F670E4F0"/>
    <w:lvl w:ilvl="0" w:tplc="0F769D9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E0CC8"/>
    <w:multiLevelType w:val="hybridMultilevel"/>
    <w:tmpl w:val="0032DA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51A8C"/>
    <w:multiLevelType w:val="hybridMultilevel"/>
    <w:tmpl w:val="380EBEDE"/>
    <w:lvl w:ilvl="0" w:tplc="870A30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6BB9"/>
    <w:multiLevelType w:val="hybridMultilevel"/>
    <w:tmpl w:val="1944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56D5A"/>
    <w:multiLevelType w:val="hybridMultilevel"/>
    <w:tmpl w:val="0EF4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6632A"/>
    <w:multiLevelType w:val="hybridMultilevel"/>
    <w:tmpl w:val="AC04AF70"/>
    <w:lvl w:ilvl="0" w:tplc="0F769D9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A3727"/>
    <w:multiLevelType w:val="hybridMultilevel"/>
    <w:tmpl w:val="73BA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4186"/>
    <w:multiLevelType w:val="hybridMultilevel"/>
    <w:tmpl w:val="4CC6D27A"/>
    <w:lvl w:ilvl="0" w:tplc="B11AC18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F3BEB"/>
    <w:multiLevelType w:val="hybridMultilevel"/>
    <w:tmpl w:val="D55C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D11DD"/>
    <w:multiLevelType w:val="hybridMultilevel"/>
    <w:tmpl w:val="5DD89E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A0430"/>
    <w:multiLevelType w:val="hybridMultilevel"/>
    <w:tmpl w:val="516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6EC2"/>
    <w:multiLevelType w:val="hybridMultilevel"/>
    <w:tmpl w:val="5FFA5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83B42"/>
    <w:multiLevelType w:val="hybridMultilevel"/>
    <w:tmpl w:val="8DBABBEC"/>
    <w:lvl w:ilvl="0" w:tplc="021063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107B05"/>
    <w:multiLevelType w:val="hybridMultilevel"/>
    <w:tmpl w:val="E8AE1D44"/>
    <w:lvl w:ilvl="0" w:tplc="773475FC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015EDF"/>
    <w:multiLevelType w:val="hybridMultilevel"/>
    <w:tmpl w:val="A1A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11EAE"/>
    <w:multiLevelType w:val="hybridMultilevel"/>
    <w:tmpl w:val="A8AC50AA"/>
    <w:lvl w:ilvl="0" w:tplc="47CCAE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C3DDB"/>
    <w:multiLevelType w:val="hybridMultilevel"/>
    <w:tmpl w:val="3D88DBE2"/>
    <w:lvl w:ilvl="0" w:tplc="8DA46DF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12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2"/>
  </w:num>
  <w:num w:numId="18">
    <w:abstractNumId w:val="1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9D"/>
    <w:rsid w:val="00014AF7"/>
    <w:rsid w:val="0001798B"/>
    <w:rsid w:val="0002632E"/>
    <w:rsid w:val="00050831"/>
    <w:rsid w:val="000514E3"/>
    <w:rsid w:val="00071854"/>
    <w:rsid w:val="00090BE3"/>
    <w:rsid w:val="000967BE"/>
    <w:rsid w:val="00097CAD"/>
    <w:rsid w:val="000A18F9"/>
    <w:rsid w:val="000B1A59"/>
    <w:rsid w:val="000C3560"/>
    <w:rsid w:val="000C36A1"/>
    <w:rsid w:val="000C7197"/>
    <w:rsid w:val="000C7AFB"/>
    <w:rsid w:val="000D6C69"/>
    <w:rsid w:val="0010068E"/>
    <w:rsid w:val="001035DB"/>
    <w:rsid w:val="001115FB"/>
    <w:rsid w:val="00120DB8"/>
    <w:rsid w:val="0012356A"/>
    <w:rsid w:val="001452ED"/>
    <w:rsid w:val="001502B3"/>
    <w:rsid w:val="001622FF"/>
    <w:rsid w:val="001744EB"/>
    <w:rsid w:val="001D60AF"/>
    <w:rsid w:val="001E2949"/>
    <w:rsid w:val="001F1106"/>
    <w:rsid w:val="001F4068"/>
    <w:rsid w:val="001F64D0"/>
    <w:rsid w:val="00206572"/>
    <w:rsid w:val="00223B21"/>
    <w:rsid w:val="00226514"/>
    <w:rsid w:val="00227452"/>
    <w:rsid w:val="00231473"/>
    <w:rsid w:val="0024283B"/>
    <w:rsid w:val="00253065"/>
    <w:rsid w:val="00280937"/>
    <w:rsid w:val="00282F98"/>
    <w:rsid w:val="00292584"/>
    <w:rsid w:val="002C54B7"/>
    <w:rsid w:val="002E3C6C"/>
    <w:rsid w:val="002E72BB"/>
    <w:rsid w:val="002F35D7"/>
    <w:rsid w:val="002F5C0C"/>
    <w:rsid w:val="00305030"/>
    <w:rsid w:val="00305E6B"/>
    <w:rsid w:val="0030657C"/>
    <w:rsid w:val="00322B0C"/>
    <w:rsid w:val="003230C6"/>
    <w:rsid w:val="00323291"/>
    <w:rsid w:val="00335E61"/>
    <w:rsid w:val="00364F96"/>
    <w:rsid w:val="00373DAD"/>
    <w:rsid w:val="003865C1"/>
    <w:rsid w:val="003921CA"/>
    <w:rsid w:val="00392F87"/>
    <w:rsid w:val="00394166"/>
    <w:rsid w:val="003A687C"/>
    <w:rsid w:val="003A7CB9"/>
    <w:rsid w:val="003B1686"/>
    <w:rsid w:val="003B30B1"/>
    <w:rsid w:val="003B70CE"/>
    <w:rsid w:val="003C594C"/>
    <w:rsid w:val="003C7B9D"/>
    <w:rsid w:val="003D029D"/>
    <w:rsid w:val="003D5447"/>
    <w:rsid w:val="003D5822"/>
    <w:rsid w:val="003E3ED4"/>
    <w:rsid w:val="00403947"/>
    <w:rsid w:val="00404A24"/>
    <w:rsid w:val="00423589"/>
    <w:rsid w:val="00425704"/>
    <w:rsid w:val="00426CAB"/>
    <w:rsid w:val="00435CCE"/>
    <w:rsid w:val="00435E33"/>
    <w:rsid w:val="0045580E"/>
    <w:rsid w:val="004567B4"/>
    <w:rsid w:val="004605E9"/>
    <w:rsid w:val="00466E23"/>
    <w:rsid w:val="00470547"/>
    <w:rsid w:val="00480E65"/>
    <w:rsid w:val="004A2E27"/>
    <w:rsid w:val="004C1452"/>
    <w:rsid w:val="004C73E7"/>
    <w:rsid w:val="004D1369"/>
    <w:rsid w:val="004E1B78"/>
    <w:rsid w:val="004E3FC6"/>
    <w:rsid w:val="004F58D9"/>
    <w:rsid w:val="00506F20"/>
    <w:rsid w:val="00507FCF"/>
    <w:rsid w:val="0051260E"/>
    <w:rsid w:val="005139A6"/>
    <w:rsid w:val="005206B6"/>
    <w:rsid w:val="0053129C"/>
    <w:rsid w:val="00532C02"/>
    <w:rsid w:val="00555A8F"/>
    <w:rsid w:val="0056108C"/>
    <w:rsid w:val="005741C6"/>
    <w:rsid w:val="00576554"/>
    <w:rsid w:val="00583B78"/>
    <w:rsid w:val="00585EBD"/>
    <w:rsid w:val="005962B7"/>
    <w:rsid w:val="00597B96"/>
    <w:rsid w:val="005A2413"/>
    <w:rsid w:val="005A34C7"/>
    <w:rsid w:val="005A5C75"/>
    <w:rsid w:val="005C0486"/>
    <w:rsid w:val="005C16DE"/>
    <w:rsid w:val="005C317B"/>
    <w:rsid w:val="005C4579"/>
    <w:rsid w:val="005F3682"/>
    <w:rsid w:val="0061066A"/>
    <w:rsid w:val="00613D4E"/>
    <w:rsid w:val="0062403C"/>
    <w:rsid w:val="0062452D"/>
    <w:rsid w:val="00644D59"/>
    <w:rsid w:val="00665471"/>
    <w:rsid w:val="006670D2"/>
    <w:rsid w:val="006726DC"/>
    <w:rsid w:val="00673D39"/>
    <w:rsid w:val="006757B3"/>
    <w:rsid w:val="00686916"/>
    <w:rsid w:val="00686922"/>
    <w:rsid w:val="00687A75"/>
    <w:rsid w:val="00697FCA"/>
    <w:rsid w:val="006A4F99"/>
    <w:rsid w:val="006A7339"/>
    <w:rsid w:val="006A7F1D"/>
    <w:rsid w:val="006D501A"/>
    <w:rsid w:val="006E684C"/>
    <w:rsid w:val="00712F10"/>
    <w:rsid w:val="00721FF6"/>
    <w:rsid w:val="00740C5D"/>
    <w:rsid w:val="00755698"/>
    <w:rsid w:val="007613F2"/>
    <w:rsid w:val="00765CA2"/>
    <w:rsid w:val="00776C34"/>
    <w:rsid w:val="007774F5"/>
    <w:rsid w:val="0079504D"/>
    <w:rsid w:val="00797D1C"/>
    <w:rsid w:val="007A3535"/>
    <w:rsid w:val="007B150B"/>
    <w:rsid w:val="007B185A"/>
    <w:rsid w:val="007B56C7"/>
    <w:rsid w:val="007C33F6"/>
    <w:rsid w:val="007F6CAC"/>
    <w:rsid w:val="00802CEE"/>
    <w:rsid w:val="00802F41"/>
    <w:rsid w:val="0082066C"/>
    <w:rsid w:val="008243FD"/>
    <w:rsid w:val="0082663E"/>
    <w:rsid w:val="0083760F"/>
    <w:rsid w:val="00842413"/>
    <w:rsid w:val="00871597"/>
    <w:rsid w:val="008740DA"/>
    <w:rsid w:val="00891388"/>
    <w:rsid w:val="008937A7"/>
    <w:rsid w:val="008978F6"/>
    <w:rsid w:val="008B4A4E"/>
    <w:rsid w:val="008B5F3D"/>
    <w:rsid w:val="008E3A3E"/>
    <w:rsid w:val="008E3BA9"/>
    <w:rsid w:val="008F099A"/>
    <w:rsid w:val="008F62A5"/>
    <w:rsid w:val="00963CE5"/>
    <w:rsid w:val="00966C73"/>
    <w:rsid w:val="00972BBE"/>
    <w:rsid w:val="00974737"/>
    <w:rsid w:val="0097681C"/>
    <w:rsid w:val="009779CD"/>
    <w:rsid w:val="009844FF"/>
    <w:rsid w:val="00986364"/>
    <w:rsid w:val="00994DF0"/>
    <w:rsid w:val="009A3CD2"/>
    <w:rsid w:val="009C064C"/>
    <w:rsid w:val="009D5D6F"/>
    <w:rsid w:val="009E109E"/>
    <w:rsid w:val="009F1C34"/>
    <w:rsid w:val="009F7CE9"/>
    <w:rsid w:val="00A0257F"/>
    <w:rsid w:val="00A14C10"/>
    <w:rsid w:val="00A22ED9"/>
    <w:rsid w:val="00A370B9"/>
    <w:rsid w:val="00A37805"/>
    <w:rsid w:val="00A407C5"/>
    <w:rsid w:val="00A5051F"/>
    <w:rsid w:val="00A5310C"/>
    <w:rsid w:val="00A54287"/>
    <w:rsid w:val="00A761CA"/>
    <w:rsid w:val="00A77804"/>
    <w:rsid w:val="00A77C64"/>
    <w:rsid w:val="00A81D67"/>
    <w:rsid w:val="00A83A75"/>
    <w:rsid w:val="00AB75DC"/>
    <w:rsid w:val="00AE357B"/>
    <w:rsid w:val="00AE46F3"/>
    <w:rsid w:val="00AE5ABA"/>
    <w:rsid w:val="00AF16C7"/>
    <w:rsid w:val="00B166B7"/>
    <w:rsid w:val="00B25225"/>
    <w:rsid w:val="00B41A93"/>
    <w:rsid w:val="00B435D2"/>
    <w:rsid w:val="00B809D3"/>
    <w:rsid w:val="00BA1BDF"/>
    <w:rsid w:val="00BA274F"/>
    <w:rsid w:val="00BB3801"/>
    <w:rsid w:val="00BC019D"/>
    <w:rsid w:val="00BE1C20"/>
    <w:rsid w:val="00BF7D6A"/>
    <w:rsid w:val="00C12681"/>
    <w:rsid w:val="00C16C97"/>
    <w:rsid w:val="00C20B7E"/>
    <w:rsid w:val="00C22D9D"/>
    <w:rsid w:val="00C315E9"/>
    <w:rsid w:val="00C31B17"/>
    <w:rsid w:val="00C361F6"/>
    <w:rsid w:val="00C36704"/>
    <w:rsid w:val="00C47BC4"/>
    <w:rsid w:val="00C90224"/>
    <w:rsid w:val="00CA42A2"/>
    <w:rsid w:val="00CA64B1"/>
    <w:rsid w:val="00CB1912"/>
    <w:rsid w:val="00CB36D1"/>
    <w:rsid w:val="00CC64D7"/>
    <w:rsid w:val="00CE31AD"/>
    <w:rsid w:val="00CE340F"/>
    <w:rsid w:val="00CF5CE6"/>
    <w:rsid w:val="00D07E69"/>
    <w:rsid w:val="00D20EE3"/>
    <w:rsid w:val="00D42843"/>
    <w:rsid w:val="00D648C5"/>
    <w:rsid w:val="00D64A4F"/>
    <w:rsid w:val="00D657DD"/>
    <w:rsid w:val="00D7161D"/>
    <w:rsid w:val="00D71641"/>
    <w:rsid w:val="00D74E29"/>
    <w:rsid w:val="00D77F52"/>
    <w:rsid w:val="00D8028A"/>
    <w:rsid w:val="00D83BFA"/>
    <w:rsid w:val="00D95B60"/>
    <w:rsid w:val="00DA0902"/>
    <w:rsid w:val="00DB5807"/>
    <w:rsid w:val="00DD41ED"/>
    <w:rsid w:val="00DF5C77"/>
    <w:rsid w:val="00E03088"/>
    <w:rsid w:val="00E1448B"/>
    <w:rsid w:val="00E16993"/>
    <w:rsid w:val="00E24CD4"/>
    <w:rsid w:val="00E535DC"/>
    <w:rsid w:val="00E56BD0"/>
    <w:rsid w:val="00E64AD7"/>
    <w:rsid w:val="00E678E7"/>
    <w:rsid w:val="00E7156A"/>
    <w:rsid w:val="00E84354"/>
    <w:rsid w:val="00E8621C"/>
    <w:rsid w:val="00ED4943"/>
    <w:rsid w:val="00EE7F82"/>
    <w:rsid w:val="00EF1007"/>
    <w:rsid w:val="00EF2C97"/>
    <w:rsid w:val="00EF2FE9"/>
    <w:rsid w:val="00F02CD8"/>
    <w:rsid w:val="00F05120"/>
    <w:rsid w:val="00F06F3B"/>
    <w:rsid w:val="00F201D8"/>
    <w:rsid w:val="00F307F0"/>
    <w:rsid w:val="00F32A3D"/>
    <w:rsid w:val="00F40610"/>
    <w:rsid w:val="00F41C2B"/>
    <w:rsid w:val="00F43943"/>
    <w:rsid w:val="00F64EAB"/>
    <w:rsid w:val="00F804DA"/>
    <w:rsid w:val="00F81E7A"/>
    <w:rsid w:val="00F83F18"/>
    <w:rsid w:val="00F92F15"/>
    <w:rsid w:val="00F97658"/>
    <w:rsid w:val="00FB1CA2"/>
    <w:rsid w:val="00FB5661"/>
    <w:rsid w:val="00FD6AA5"/>
    <w:rsid w:val="00FE006B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F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D9"/>
    <w:pPr>
      <w:ind w:left="720"/>
      <w:contextualSpacing/>
    </w:pPr>
  </w:style>
  <w:style w:type="paragraph" w:styleId="NoSpacing">
    <w:name w:val="No Spacing"/>
    <w:uiPriority w:val="1"/>
    <w:qFormat/>
    <w:rsid w:val="00CC64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69"/>
  </w:style>
  <w:style w:type="paragraph" w:styleId="Footer">
    <w:name w:val="footer"/>
    <w:basedOn w:val="Normal"/>
    <w:link w:val="FooterChar"/>
    <w:uiPriority w:val="99"/>
    <w:unhideWhenUsed/>
    <w:rsid w:val="000D6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69"/>
  </w:style>
  <w:style w:type="table" w:customStyle="1" w:styleId="TableGrid1">
    <w:name w:val="Table Grid1"/>
    <w:basedOn w:val="TableNormal"/>
    <w:next w:val="TableGrid"/>
    <w:uiPriority w:val="39"/>
    <w:rsid w:val="00E8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5D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D6F"/>
    <w:rPr>
      <w:vertAlign w:val="superscript"/>
    </w:rPr>
  </w:style>
  <w:style w:type="paragraph" w:customStyle="1" w:styleId="EntLogo">
    <w:name w:val="EntLogo"/>
    <w:basedOn w:val="Normal"/>
    <w:next w:val="Normal"/>
    <w:rsid w:val="00F92F15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val="en-GB" w:eastAsia="fr-BE"/>
    </w:rPr>
  </w:style>
  <w:style w:type="paragraph" w:customStyle="1" w:styleId="Char">
    <w:name w:val="Char"/>
    <w:basedOn w:val="Normal"/>
    <w:rsid w:val="00F92F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F92F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0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6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D9"/>
    <w:pPr>
      <w:ind w:left="720"/>
      <w:contextualSpacing/>
    </w:pPr>
  </w:style>
  <w:style w:type="paragraph" w:styleId="NoSpacing">
    <w:name w:val="No Spacing"/>
    <w:uiPriority w:val="1"/>
    <w:qFormat/>
    <w:rsid w:val="00CC64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69"/>
  </w:style>
  <w:style w:type="paragraph" w:styleId="Footer">
    <w:name w:val="footer"/>
    <w:basedOn w:val="Normal"/>
    <w:link w:val="FooterChar"/>
    <w:uiPriority w:val="99"/>
    <w:unhideWhenUsed/>
    <w:rsid w:val="000D6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69"/>
  </w:style>
  <w:style w:type="table" w:customStyle="1" w:styleId="TableGrid1">
    <w:name w:val="Table Grid1"/>
    <w:basedOn w:val="TableNormal"/>
    <w:next w:val="TableGrid"/>
    <w:uiPriority w:val="39"/>
    <w:rsid w:val="00E8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5D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D6F"/>
    <w:rPr>
      <w:vertAlign w:val="superscript"/>
    </w:rPr>
  </w:style>
  <w:style w:type="paragraph" w:customStyle="1" w:styleId="EntLogo">
    <w:name w:val="EntLogo"/>
    <w:basedOn w:val="Normal"/>
    <w:next w:val="Normal"/>
    <w:rsid w:val="00F92F15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val="en-GB" w:eastAsia="fr-BE"/>
    </w:rPr>
  </w:style>
  <w:style w:type="paragraph" w:customStyle="1" w:styleId="Char">
    <w:name w:val="Char"/>
    <w:basedOn w:val="Normal"/>
    <w:rsid w:val="00F92F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F92F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0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6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.consilium.europa.eu/doc/document/ST-7002-2020-INIT/en/pdf" TargetMode="External"/><Relationship Id="rId1" Type="http://schemas.openxmlformats.org/officeDocument/2006/relationships/hyperlink" Target="http://data.consilium.europa.eu/doc/document/AD-23-2012-INIT/e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41A0-EBA1-428C-B770-7EA1BC46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Aleksandar Nikcevic</cp:lastModifiedBy>
  <cp:revision>2</cp:revision>
  <cp:lastPrinted>2020-05-13T11:21:00Z</cp:lastPrinted>
  <dcterms:created xsi:type="dcterms:W3CDTF">2020-06-19T07:37:00Z</dcterms:created>
  <dcterms:modified xsi:type="dcterms:W3CDTF">2020-06-19T07:37:00Z</dcterms:modified>
</cp:coreProperties>
</file>