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30B41" w14:textId="07C5A3A1" w:rsidR="00FB3ABE" w:rsidRPr="00BD790E" w:rsidRDefault="00FB3ABE" w:rsidP="00BD790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proofErr w:type="spellStart"/>
      <w:r w:rsidRPr="00BD790E">
        <w:rPr>
          <w:rStyle w:val="NoSpacingChar"/>
          <w:rFonts w:ascii="Arial" w:hAnsi="Arial" w:cs="Arial"/>
          <w:b/>
          <w:sz w:val="22"/>
        </w:rPr>
        <w:t>Primjena</w:t>
      </w:r>
      <w:proofErr w:type="spellEnd"/>
      <w:r w:rsidRPr="00BD790E">
        <w:rPr>
          <w:rStyle w:val="NoSpacingChar"/>
          <w:rFonts w:ascii="Arial" w:hAnsi="Arial" w:cs="Arial"/>
          <w:b/>
          <w:sz w:val="22"/>
        </w:rPr>
        <w:t xml:space="preserve"> </w:t>
      </w:r>
      <w:proofErr w:type="spellStart"/>
      <w:r w:rsidRPr="00BD790E">
        <w:rPr>
          <w:rStyle w:val="NoSpacingChar"/>
          <w:rFonts w:ascii="Arial" w:hAnsi="Arial" w:cs="Arial"/>
          <w:b/>
          <w:sz w:val="22"/>
        </w:rPr>
        <w:t>Odluke</w:t>
      </w:r>
      <w:proofErr w:type="spellEnd"/>
      <w:r w:rsidRPr="00BD790E">
        <w:rPr>
          <w:rStyle w:val="NoSpacingChar"/>
          <w:rFonts w:ascii="Arial" w:hAnsi="Arial" w:cs="Arial"/>
          <w:b/>
          <w:sz w:val="22"/>
        </w:rPr>
        <w:t xml:space="preserve"> </w:t>
      </w:r>
      <w:r w:rsidR="00802651" w:rsidRPr="00BD790E">
        <w:rPr>
          <w:rFonts w:ascii="Arial" w:hAnsi="Arial" w:cs="Arial"/>
          <w:b/>
          <w:sz w:val="22"/>
        </w:rPr>
        <w:t>o uvođenju međunarodnih restriktivnih mjera utvrđenih odlukama Savjeta Evropske unije i regulativama Evropske unije s obzirom na aktivnosti koje podrivaju stabilnost i političku tranziciju Republike Sudan</w:t>
      </w:r>
    </w:p>
    <w:p w14:paraId="6D0FC47D" w14:textId="77777777" w:rsidR="00802651" w:rsidRPr="00BE3F26" w:rsidRDefault="00802651" w:rsidP="00802651">
      <w:pPr>
        <w:spacing w:before="0" w:after="0" w:line="276" w:lineRule="auto"/>
        <w:rPr>
          <w:rFonts w:ascii="Arial" w:eastAsia="Calibri" w:hAnsi="Arial" w:cs="Arial"/>
          <w:sz w:val="22"/>
          <w:lang w:val="sr-Latn-CS"/>
        </w:rPr>
      </w:pPr>
    </w:p>
    <w:p w14:paraId="2A2AC86A" w14:textId="77777777" w:rsidR="00802651" w:rsidRPr="00BE3F26" w:rsidRDefault="00FB3ABE" w:rsidP="00802651">
      <w:pPr>
        <w:pStyle w:val="T30X"/>
        <w:ind w:firstLine="0"/>
        <w:rPr>
          <w:rFonts w:ascii="Arial" w:hAnsi="Arial" w:cs="Arial"/>
        </w:rPr>
      </w:pPr>
      <w:r w:rsidRPr="00BE3F26">
        <w:rPr>
          <w:rFonts w:ascii="Arial" w:hAnsi="Arial" w:cs="Arial"/>
        </w:rPr>
        <w:t xml:space="preserve">     U „Službenom listu Crne Gore“ bro</w:t>
      </w:r>
      <w:r w:rsidR="00043A92" w:rsidRPr="00BE3F26">
        <w:rPr>
          <w:rFonts w:ascii="Arial" w:hAnsi="Arial" w:cs="Arial"/>
        </w:rPr>
        <w:t>j</w:t>
      </w:r>
      <w:r w:rsidRPr="00BE3F26">
        <w:rPr>
          <w:rFonts w:ascii="Arial" w:hAnsi="Arial" w:cs="Arial"/>
        </w:rPr>
        <w:t xml:space="preserve"> </w:t>
      </w:r>
      <w:r w:rsidR="00802651" w:rsidRPr="00BE3F26">
        <w:rPr>
          <w:rFonts w:ascii="Arial" w:hAnsi="Arial" w:cs="Arial"/>
        </w:rPr>
        <w:t xml:space="preserve">087/26 od 24.06.2026. godine </w:t>
      </w:r>
      <w:r w:rsidRPr="00BE3F26">
        <w:rPr>
          <w:rFonts w:ascii="Arial" w:hAnsi="Arial" w:cs="Arial"/>
        </w:rPr>
        <w:t xml:space="preserve">objavljena je </w:t>
      </w:r>
      <w:r w:rsidR="00802651" w:rsidRPr="00BE3F26">
        <w:rPr>
          <w:rFonts w:ascii="Arial" w:hAnsi="Arial" w:cs="Arial"/>
          <w:b/>
        </w:rPr>
        <w:t>Odluka o uvođenju međunarodnih restriktivnih mjera utvrđenih odlukama Savjeta Evropske unije i regulativama Evropske unije s obzirom na aktivnosti koje podrivaju stabilnost i političku tranziciju Republike Sudan.</w:t>
      </w:r>
    </w:p>
    <w:p w14:paraId="4537B75F" w14:textId="77777777" w:rsidR="00802651" w:rsidRPr="00BE3F26" w:rsidRDefault="00802651" w:rsidP="00802651">
      <w:pPr>
        <w:pStyle w:val="T30X"/>
        <w:rPr>
          <w:rFonts w:ascii="Arial" w:hAnsi="Arial" w:cs="Arial"/>
        </w:rPr>
      </w:pPr>
      <w:r w:rsidRPr="00BE3F26">
        <w:rPr>
          <w:rFonts w:ascii="Arial" w:hAnsi="Arial" w:cs="Arial"/>
        </w:rPr>
        <w:t>Ovom odlukom uvode se međunarodne restriktivne mjere s obzirom na aktivnosti koje podrivaju stabilnost i političku tranziciju Republike Sudan, koje su utvrđene:</w:t>
      </w:r>
    </w:p>
    <w:p w14:paraId="05829B65" w14:textId="77777777" w:rsidR="00802651" w:rsidRPr="00BE3F26" w:rsidRDefault="00802651" w:rsidP="00BE3F26">
      <w:pPr>
        <w:pStyle w:val="T30X"/>
        <w:ind w:firstLine="0"/>
        <w:rPr>
          <w:rFonts w:ascii="Arial" w:hAnsi="Arial" w:cs="Arial"/>
        </w:rPr>
      </w:pPr>
      <w:r w:rsidRPr="00BE3F26">
        <w:rPr>
          <w:rFonts w:ascii="Arial" w:hAnsi="Arial" w:cs="Arial"/>
        </w:rPr>
        <w:t xml:space="preserve">   1) odlukama Savjeta Evropske unije 2023/2135/ZVBP od 9. oktobra 2023. godine, 2024/383/ZVBP od 22. januara 2024. godine, 2024/1784/ZVBP od 24. juna 2024. godine, 2024/2655/ZVBP od 8. oktobra 2024. godine, 2024/3154/ZVBP od 16. decembra 2024. godine, 2025/377/ZVBP od 24. februara 2025. godine, 2025/1481/ZVBP od 18. jula 2025. godine, 2025/1932/ZVBP od 22. septembra 2025. godine, 2025/2369/ZVBP od 20. novembra 2025. godine, 2026/254/ZVBP od 29. januara 2026. godine i 2026/886/ZVBP od 21. aprila 2026. godine, kojima se Crna Gora pridružila, u skladu sa vanjskopolitičkim prioritetom usaglašavanja sa Evropskom unijom, u oblasti zajedničke vanjske i bezbjednosne politike; i</w:t>
      </w:r>
    </w:p>
    <w:p w14:paraId="7E902A09" w14:textId="77777777" w:rsidR="00802651" w:rsidRPr="00BE3F26" w:rsidRDefault="00802651" w:rsidP="00BE3F26">
      <w:pPr>
        <w:pStyle w:val="T30X"/>
        <w:ind w:firstLine="0"/>
        <w:rPr>
          <w:rFonts w:ascii="Arial" w:hAnsi="Arial" w:cs="Arial"/>
        </w:rPr>
      </w:pPr>
      <w:r w:rsidRPr="00BE3F26">
        <w:rPr>
          <w:rFonts w:ascii="Arial" w:hAnsi="Arial" w:cs="Arial"/>
        </w:rPr>
        <w:t xml:space="preserve">   2) regulativama Evropske unije 2023/2147 od 9. oktobra 2023. godine, 2024/384 od 22. januara 2024. godine, 2024/1783 od 24. jula 2024. godine, 2024/2465 od 10. septembra 2024. godine, 2024/3156 od 16. decembra 2024. godine, 2025/376 od 25. februara 2025. godine, 2025/1480 od 18. jula 2025. godine, 2025/2368 od 20. novembra 2025. godine, 2026/251 od 29. januara 2026. godine i 2026/887 od 21. aprila 2026. godine, kojima se Crna Gora pridružila, u skladu sa vanjskopolitičkim prioritetom usaglašavanja sa Evropskom unijom, u oblasti zajedničke vanjske i bezbjednosne politike.</w:t>
      </w:r>
    </w:p>
    <w:p w14:paraId="667E82BB" w14:textId="081C728C" w:rsidR="00FB3ABE" w:rsidRPr="009B5151" w:rsidRDefault="00FB3ABE" w:rsidP="00FB3ABE">
      <w:pPr>
        <w:pStyle w:val="T30X"/>
        <w:rPr>
          <w:rFonts w:ascii="Arial" w:hAnsi="Arial" w:cs="Arial"/>
          <w:b/>
          <w:color w:val="auto"/>
        </w:rPr>
      </w:pPr>
      <w:r w:rsidRPr="009B5151">
        <w:rPr>
          <w:rFonts w:ascii="Arial" w:hAnsi="Arial" w:cs="Arial"/>
          <w:b/>
        </w:rPr>
        <w:t>Stalni aktivni link</w:t>
      </w:r>
      <w:r w:rsidR="009B5151">
        <w:rPr>
          <w:rFonts w:ascii="Arial" w:hAnsi="Arial" w:cs="Arial"/>
          <w:b/>
        </w:rPr>
        <w:t>o</w:t>
      </w:r>
      <w:r w:rsidRPr="009B5151">
        <w:rPr>
          <w:rFonts w:ascii="Arial" w:hAnsi="Arial" w:cs="Arial"/>
          <w:b/>
        </w:rPr>
        <w:t xml:space="preserve">vi za pristup prečišćenom  tekstu odluka objavljenih u Službenom listu Evropske </w:t>
      </w:r>
      <w:r w:rsidRPr="009B5151">
        <w:rPr>
          <w:rFonts w:ascii="Arial" w:hAnsi="Arial" w:cs="Arial"/>
          <w:b/>
          <w:color w:val="auto"/>
        </w:rPr>
        <w:t xml:space="preserve">unije su: </w:t>
      </w:r>
    </w:p>
    <w:p w14:paraId="3A12C863" w14:textId="494AE6DD" w:rsidR="00802651" w:rsidRPr="00BE3F26" w:rsidRDefault="00802651" w:rsidP="00BE3F26">
      <w:pPr>
        <w:pStyle w:val="T30X"/>
        <w:ind w:firstLine="0"/>
        <w:rPr>
          <w:rFonts w:ascii="Arial" w:hAnsi="Arial" w:cs="Arial"/>
        </w:rPr>
      </w:pPr>
      <w:r w:rsidRPr="00BE3F26">
        <w:rPr>
          <w:rFonts w:ascii="Arial" w:hAnsi="Arial" w:cs="Arial"/>
        </w:rPr>
        <w:t>https://eurlex.europa.eu/legalcontent/EN/TXT/uri=CELEX%3A02023D213520260422&amp;qid=1778219464627 od 22. aprila 2026. godine.</w:t>
      </w:r>
    </w:p>
    <w:p w14:paraId="7D9E5AA6" w14:textId="60FA4050" w:rsidR="00802651" w:rsidRPr="00BE3F26" w:rsidRDefault="00802651" w:rsidP="00BE3F26">
      <w:pPr>
        <w:pStyle w:val="T30X"/>
        <w:ind w:firstLine="0"/>
        <w:rPr>
          <w:rFonts w:ascii="Arial" w:hAnsi="Arial" w:cs="Arial"/>
        </w:rPr>
      </w:pPr>
      <w:r w:rsidRPr="00BE3F26">
        <w:rPr>
          <w:rFonts w:ascii="Arial" w:hAnsi="Arial" w:cs="Arial"/>
        </w:rPr>
        <w:t>https://eurlex.europa.eu/legalcontent/EN/TXT/uri=CELEX%3A02023R214720260422&amp;qid=1778219464627 od 22. aprila 2026. godine.</w:t>
      </w:r>
    </w:p>
    <w:p w14:paraId="15420283" w14:textId="45204B76" w:rsidR="00FB3ABE" w:rsidRPr="00BE3F26" w:rsidRDefault="00FB3ABE" w:rsidP="00FB3ABE">
      <w:pPr>
        <w:pStyle w:val="T30X"/>
        <w:rPr>
          <w:rFonts w:ascii="Arial" w:hAnsi="Arial" w:cs="Arial"/>
          <w:b/>
        </w:rPr>
      </w:pPr>
      <w:r w:rsidRPr="00BE3F26">
        <w:rPr>
          <w:rFonts w:ascii="Arial" w:hAnsi="Arial" w:cs="Arial"/>
        </w:rPr>
        <w:t xml:space="preserve">Zabrane, ograničenja i izuzeci od zabrana i ograničenja i druge restriktivne mjere predviđene odlukama i regulativama ove odluke koje se odnose na države članice Evropske unije </w:t>
      </w:r>
      <w:r w:rsidRPr="00BE3F26">
        <w:rPr>
          <w:rFonts w:ascii="Arial" w:hAnsi="Arial" w:cs="Arial"/>
          <w:b/>
        </w:rPr>
        <w:t>primjenjuju se u Crnoj Gori danom donošenja ove odluke.</w:t>
      </w:r>
    </w:p>
    <w:p w14:paraId="02FBCA55" w14:textId="108DD7E7" w:rsidR="00802651" w:rsidRPr="00BE3F26" w:rsidRDefault="00802651" w:rsidP="00FB3ABE">
      <w:pPr>
        <w:pStyle w:val="T30X"/>
        <w:rPr>
          <w:rFonts w:ascii="Arial" w:hAnsi="Arial" w:cs="Arial"/>
          <w:b/>
        </w:rPr>
      </w:pPr>
    </w:p>
    <w:p w14:paraId="22BB983D" w14:textId="77777777" w:rsidR="00802651" w:rsidRPr="00BE3F26" w:rsidRDefault="00802651" w:rsidP="00802651">
      <w:pPr>
        <w:pStyle w:val="T30X"/>
        <w:rPr>
          <w:rFonts w:ascii="Arial" w:hAnsi="Arial" w:cs="Arial"/>
        </w:rPr>
      </w:pPr>
      <w:r w:rsidRPr="00BE3F26">
        <w:rPr>
          <w:rFonts w:ascii="Arial" w:hAnsi="Arial" w:cs="Arial"/>
        </w:rPr>
        <w:t>Zabrane, ograničenja i izuzeci od zabrana i ograničenja i druge restriktivne mjere predviđene odlukama Savjeta Evropske unije 2025/2369/ZVBP od 20. novembra 2025. godine, 2026/254/ZVBP od 29. januara 2026. godine i 2026/886/ZVBP od 21. aprila 2026. godine i regulativama Evropske unije 2025/2368 od 20. novembra 2025. godine, 2026/251 od 29. januara 2026. godine i 2026/887 od 21. aprila 2026. godine koje se odnose na države članice Evropske unije primjenjuju se u Crnoj Gori danom donošenja ove odluke.</w:t>
      </w:r>
    </w:p>
    <w:p w14:paraId="708CD725" w14:textId="77777777" w:rsidR="00FB3ABE" w:rsidRPr="00BE3F26" w:rsidRDefault="00FB3ABE" w:rsidP="00FB3ABE">
      <w:pPr>
        <w:pStyle w:val="T30X"/>
        <w:rPr>
          <w:rFonts w:ascii="Arial" w:hAnsi="Arial" w:cs="Arial"/>
        </w:rPr>
      </w:pPr>
      <w:r w:rsidRPr="00BE3F26">
        <w:rPr>
          <w:rFonts w:ascii="Arial" w:hAnsi="Arial" w:cs="Arial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10379236" w14:textId="36F21A67" w:rsidR="00FB3ABE" w:rsidRPr="00BE3F26" w:rsidRDefault="00FB3ABE" w:rsidP="00FB3ABE">
      <w:pPr>
        <w:pStyle w:val="T30X"/>
        <w:rPr>
          <w:rFonts w:ascii="Arial" w:hAnsi="Arial" w:cs="Arial"/>
        </w:rPr>
      </w:pPr>
      <w:r w:rsidRPr="00BE3F26">
        <w:rPr>
          <w:rFonts w:ascii="Arial" w:hAnsi="Arial" w:cs="Arial"/>
          <w:b/>
        </w:rPr>
        <w:t xml:space="preserve">Ova odluka će se primjenjivati do </w:t>
      </w:r>
      <w:r w:rsidR="00BE3F26" w:rsidRPr="00BE3F26">
        <w:rPr>
          <w:rFonts w:ascii="Arial" w:hAnsi="Arial" w:cs="Arial"/>
          <w:b/>
        </w:rPr>
        <w:t>10. oktobra 2026. godine</w:t>
      </w:r>
      <w:r w:rsidRPr="00BE3F26">
        <w:rPr>
          <w:rFonts w:ascii="Arial" w:hAnsi="Arial" w:cs="Arial"/>
        </w:rPr>
        <w:t>. Ako Savjet Evropske unije, prije isteka vremena donese odluku o produženju primjene međunarodnih restriktivnih mjera, ova odluka će se primjenjivati do novog roka utvrđenog tom odlukom Savjeta Evropske unije.</w:t>
      </w:r>
    </w:p>
    <w:p w14:paraId="1B44E848" w14:textId="77777777" w:rsidR="00FB3ABE" w:rsidRPr="00BE3F26" w:rsidRDefault="00FB3ABE" w:rsidP="00FB3ABE">
      <w:pPr>
        <w:pStyle w:val="NoSpacing"/>
        <w:jc w:val="both"/>
        <w:rPr>
          <w:rFonts w:ascii="Arial" w:hAnsi="Arial" w:cs="Arial"/>
        </w:rPr>
      </w:pPr>
    </w:p>
    <w:p w14:paraId="385649E3" w14:textId="76E09986" w:rsidR="00FB3ABE" w:rsidRPr="00BE3F26" w:rsidRDefault="00FB3ABE" w:rsidP="00FB3ABE">
      <w:pPr>
        <w:pStyle w:val="NoSpacing"/>
        <w:jc w:val="both"/>
        <w:rPr>
          <w:rFonts w:ascii="Arial" w:hAnsi="Arial" w:cs="Arial"/>
        </w:rPr>
      </w:pPr>
    </w:p>
    <w:p w14:paraId="68EA5AFF" w14:textId="7288D66E" w:rsidR="00BD790E" w:rsidRDefault="00BD790E" w:rsidP="00BD790E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Akt Uprave carina broj D-</w:t>
      </w:r>
      <w:r>
        <w:rPr>
          <w:rFonts w:ascii="Arial" w:hAnsi="Arial" w:cs="Arial"/>
          <w:b/>
          <w:sz w:val="22"/>
        </w:rPr>
        <w:t>7134</w:t>
      </w:r>
      <w:r>
        <w:rPr>
          <w:rFonts w:ascii="Arial" w:hAnsi="Arial" w:cs="Arial"/>
          <w:b/>
          <w:sz w:val="22"/>
        </w:rPr>
        <w:t xml:space="preserve">/1-26 od </w:t>
      </w:r>
      <w:r>
        <w:rPr>
          <w:rFonts w:ascii="Arial" w:hAnsi="Arial" w:cs="Arial"/>
          <w:b/>
          <w:sz w:val="22"/>
        </w:rPr>
        <w:t>29</w:t>
      </w:r>
      <w:bookmarkStart w:id="0" w:name="_GoBack"/>
      <w:bookmarkEnd w:id="0"/>
      <w:r>
        <w:rPr>
          <w:rFonts w:ascii="Arial" w:hAnsi="Arial" w:cs="Arial"/>
          <w:b/>
          <w:sz w:val="22"/>
        </w:rPr>
        <w:t>.06.2026.godine</w:t>
      </w:r>
    </w:p>
    <w:p w14:paraId="216EAC95" w14:textId="77777777" w:rsidR="00FA6CA3" w:rsidRPr="00BE3F26" w:rsidRDefault="00FA6CA3" w:rsidP="00FB3ABE">
      <w:pPr>
        <w:pStyle w:val="NoSpacing"/>
        <w:jc w:val="both"/>
        <w:rPr>
          <w:rFonts w:ascii="Arial" w:hAnsi="Arial" w:cs="Arial"/>
        </w:rPr>
      </w:pPr>
    </w:p>
    <w:sectPr w:rsidR="00FA6CA3" w:rsidRPr="00BE3F26" w:rsidSect="00686F80">
      <w:pgSz w:w="11906" w:h="16838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B7"/>
    <w:rsid w:val="00043A92"/>
    <w:rsid w:val="003560E7"/>
    <w:rsid w:val="004C38B7"/>
    <w:rsid w:val="005F0998"/>
    <w:rsid w:val="00613AA0"/>
    <w:rsid w:val="00686F80"/>
    <w:rsid w:val="00802651"/>
    <w:rsid w:val="009B5151"/>
    <w:rsid w:val="00BD790E"/>
    <w:rsid w:val="00BE3F26"/>
    <w:rsid w:val="00FA6CA3"/>
    <w:rsid w:val="00FB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245F"/>
  <w15:chartTrackingRefBased/>
  <w15:docId w15:val="{3A6854C5-877F-4E0D-B592-2CF9E776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ABE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B3ABE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3ABE"/>
  </w:style>
  <w:style w:type="character" w:customStyle="1" w:styleId="NoSpacingChar">
    <w:name w:val="No Spacing Char"/>
    <w:link w:val="NoSpacing"/>
    <w:uiPriority w:val="1"/>
    <w:locked/>
    <w:rsid w:val="00FB3ABE"/>
    <w:rPr>
      <w:lang w:val="en-US"/>
    </w:rPr>
  </w:style>
  <w:style w:type="paragraph" w:styleId="NoSpacing">
    <w:name w:val="No Spacing"/>
    <w:link w:val="NoSpacingChar"/>
    <w:uiPriority w:val="1"/>
    <w:qFormat/>
    <w:rsid w:val="00FB3ABE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FB3ABE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FB3AB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FB3AB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5Y">
    <w:name w:val="N05Y"/>
    <w:basedOn w:val="Normal"/>
    <w:uiPriority w:val="99"/>
    <w:rsid w:val="00FB3AB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FB3A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11</cp:revision>
  <cp:lastPrinted>2026-06-29T06:20:00Z</cp:lastPrinted>
  <dcterms:created xsi:type="dcterms:W3CDTF">2026-06-11T07:45:00Z</dcterms:created>
  <dcterms:modified xsi:type="dcterms:W3CDTF">2026-06-30T09:55:00Z</dcterms:modified>
</cp:coreProperties>
</file>