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E16B3" w14:textId="77777777" w:rsidR="00323A9B" w:rsidRPr="00323A9B" w:rsidRDefault="00323A9B" w:rsidP="00323A9B">
      <w:pPr>
        <w:pStyle w:val="NoSpacing"/>
        <w:jc w:val="center"/>
        <w:rPr>
          <w:rFonts w:ascii="Arial" w:hAnsi="Arial" w:cs="Arial"/>
          <w:b/>
          <w:sz w:val="20"/>
          <w:szCs w:val="20"/>
          <w:lang w:val="sr-Latn-CS"/>
        </w:rPr>
      </w:pPr>
      <w:r w:rsidRPr="00323A9B">
        <w:rPr>
          <w:rFonts w:ascii="Arial" w:hAnsi="Arial" w:cs="Arial"/>
          <w:b/>
          <w:sz w:val="20"/>
          <w:szCs w:val="20"/>
          <w:lang w:val="sr-Latn-CS"/>
        </w:rPr>
        <w:t>PODRUČNIM JEDINICAMA CARINARNICAMA</w:t>
      </w:r>
    </w:p>
    <w:p w14:paraId="66B07A02" w14:textId="2A29B7E8" w:rsidR="00F563CA" w:rsidRPr="00323A9B" w:rsidRDefault="00F563CA" w:rsidP="00F563CA">
      <w:pPr>
        <w:pStyle w:val="NoSpacing"/>
        <w:spacing w:line="276" w:lineRule="auto"/>
        <w:jc w:val="both"/>
        <w:rPr>
          <w:rFonts w:ascii="Arial" w:hAnsi="Arial" w:cs="Arial"/>
          <w:sz w:val="20"/>
          <w:szCs w:val="20"/>
          <w:lang w:val="sr-Latn-CS"/>
        </w:rPr>
      </w:pPr>
    </w:p>
    <w:p w14:paraId="1D8101D2" w14:textId="77777777" w:rsidR="00323A9B" w:rsidRPr="00323A9B" w:rsidRDefault="00323A9B" w:rsidP="00F563CA">
      <w:pPr>
        <w:pStyle w:val="NoSpacing"/>
        <w:spacing w:line="276" w:lineRule="auto"/>
        <w:jc w:val="both"/>
        <w:rPr>
          <w:rFonts w:ascii="Arial" w:hAnsi="Arial" w:cs="Arial"/>
          <w:sz w:val="20"/>
          <w:szCs w:val="20"/>
          <w:lang w:val="sr-Latn-CS"/>
        </w:rPr>
      </w:pPr>
    </w:p>
    <w:p w14:paraId="1B459DF5" w14:textId="77777777" w:rsidR="00F563CA" w:rsidRPr="00323A9B" w:rsidRDefault="00F563CA" w:rsidP="00F563CA">
      <w:pPr>
        <w:pStyle w:val="NoSpacing"/>
        <w:spacing w:line="276" w:lineRule="auto"/>
        <w:jc w:val="both"/>
        <w:rPr>
          <w:rFonts w:ascii="Arial" w:hAnsi="Arial" w:cs="Arial"/>
          <w:sz w:val="20"/>
          <w:szCs w:val="20"/>
          <w:lang w:val="sr-Latn-CS"/>
        </w:rPr>
      </w:pPr>
    </w:p>
    <w:p w14:paraId="58C983D0" w14:textId="77777777" w:rsidR="00F563CA" w:rsidRPr="00323A9B" w:rsidRDefault="00F563CA" w:rsidP="00F563CA">
      <w:pPr>
        <w:pStyle w:val="N03Y"/>
        <w:spacing w:before="0" w:after="0"/>
        <w:jc w:val="both"/>
        <w:rPr>
          <w:rFonts w:ascii="Arial" w:hAnsi="Arial" w:cs="Arial"/>
          <w:b w:val="0"/>
          <w:sz w:val="20"/>
          <w:szCs w:val="20"/>
        </w:rPr>
      </w:pPr>
      <w:r w:rsidRPr="00323A9B">
        <w:rPr>
          <w:rFonts w:ascii="Arial" w:hAnsi="Arial" w:cs="Arial"/>
          <w:sz w:val="20"/>
          <w:szCs w:val="20"/>
          <w:lang w:val="sr-Latn-CS"/>
        </w:rPr>
        <w:t>PREDMET:</w:t>
      </w:r>
      <w:r w:rsidRPr="00323A9B">
        <w:rPr>
          <w:rFonts w:ascii="Arial" w:hAnsi="Arial" w:cs="Arial"/>
          <w:b w:val="0"/>
          <w:sz w:val="20"/>
          <w:szCs w:val="20"/>
          <w:lang w:val="sr-Latn-CS"/>
        </w:rPr>
        <w:t xml:space="preserve"> Primjena </w:t>
      </w:r>
      <w:r w:rsidRPr="00323A9B">
        <w:rPr>
          <w:rFonts w:ascii="Arial" w:hAnsi="Arial" w:cs="Arial"/>
          <w:b w:val="0"/>
          <w:sz w:val="20"/>
          <w:szCs w:val="20"/>
        </w:rPr>
        <w:t>Pravilnika o fitosanitarnim mjerama za sprečavanje unošenja i širenja štetnih organizama bilja, biljnih proizvoda i objekata pod nadzorom</w:t>
      </w:r>
    </w:p>
    <w:p w14:paraId="45D2AB2A" w14:textId="77777777" w:rsidR="00F563CA" w:rsidRPr="00323A9B" w:rsidRDefault="00F563CA" w:rsidP="00F563CA">
      <w:pPr>
        <w:autoSpaceDE w:val="0"/>
        <w:autoSpaceDN w:val="0"/>
        <w:adjustRightInd w:val="0"/>
        <w:spacing w:after="0"/>
        <w:jc w:val="both"/>
        <w:rPr>
          <w:rFonts w:ascii="Arial" w:hAnsi="Arial" w:cs="Arial"/>
          <w:sz w:val="20"/>
          <w:szCs w:val="20"/>
          <w:lang w:val="sr-Latn-CS"/>
        </w:rPr>
      </w:pPr>
    </w:p>
    <w:p w14:paraId="3DFD339D" w14:textId="77777777" w:rsidR="00F563CA" w:rsidRPr="00323A9B" w:rsidRDefault="00F563CA" w:rsidP="00F563CA">
      <w:pPr>
        <w:autoSpaceDE w:val="0"/>
        <w:autoSpaceDN w:val="0"/>
        <w:adjustRightInd w:val="0"/>
        <w:spacing w:after="0"/>
        <w:jc w:val="both"/>
        <w:rPr>
          <w:rFonts w:ascii="Arial" w:hAnsi="Arial" w:cs="Arial"/>
          <w:sz w:val="20"/>
          <w:szCs w:val="20"/>
        </w:rPr>
      </w:pPr>
      <w:r w:rsidRPr="00323A9B">
        <w:rPr>
          <w:rFonts w:ascii="Arial" w:hAnsi="Arial" w:cs="Arial"/>
          <w:sz w:val="20"/>
          <w:szCs w:val="20"/>
          <w:lang w:val="en-US"/>
        </w:rPr>
        <w:t xml:space="preserve">          U “</w:t>
      </w:r>
      <w:proofErr w:type="spellStart"/>
      <w:r w:rsidRPr="00323A9B">
        <w:rPr>
          <w:rFonts w:ascii="Arial" w:hAnsi="Arial" w:cs="Arial"/>
          <w:sz w:val="20"/>
          <w:szCs w:val="20"/>
          <w:lang w:val="en-US"/>
        </w:rPr>
        <w:t>Službenom</w:t>
      </w:r>
      <w:proofErr w:type="spellEnd"/>
      <w:r w:rsidRPr="00323A9B">
        <w:rPr>
          <w:rFonts w:ascii="Arial" w:hAnsi="Arial" w:cs="Arial"/>
          <w:sz w:val="20"/>
          <w:szCs w:val="20"/>
          <w:lang w:val="en-US"/>
        </w:rPr>
        <w:t xml:space="preserve"> </w:t>
      </w:r>
      <w:proofErr w:type="spellStart"/>
      <w:r w:rsidRPr="00323A9B">
        <w:rPr>
          <w:rFonts w:ascii="Arial" w:hAnsi="Arial" w:cs="Arial"/>
          <w:sz w:val="20"/>
          <w:szCs w:val="20"/>
          <w:lang w:val="en-US"/>
        </w:rPr>
        <w:t>listu</w:t>
      </w:r>
      <w:proofErr w:type="spellEnd"/>
      <w:r w:rsidRPr="00323A9B">
        <w:rPr>
          <w:rFonts w:ascii="Arial" w:hAnsi="Arial" w:cs="Arial"/>
          <w:sz w:val="20"/>
          <w:szCs w:val="20"/>
          <w:lang w:val="en-US"/>
        </w:rPr>
        <w:t xml:space="preserve"> </w:t>
      </w:r>
      <w:proofErr w:type="spellStart"/>
      <w:r w:rsidRPr="00323A9B">
        <w:rPr>
          <w:rFonts w:ascii="Arial" w:hAnsi="Arial" w:cs="Arial"/>
          <w:sz w:val="20"/>
          <w:szCs w:val="20"/>
          <w:lang w:val="en-US"/>
        </w:rPr>
        <w:t>Crne</w:t>
      </w:r>
      <w:proofErr w:type="spellEnd"/>
      <w:r w:rsidRPr="00323A9B">
        <w:rPr>
          <w:rFonts w:ascii="Arial" w:hAnsi="Arial" w:cs="Arial"/>
          <w:sz w:val="20"/>
          <w:szCs w:val="20"/>
          <w:lang w:val="en-US"/>
        </w:rPr>
        <w:t xml:space="preserve"> Gore” br. 16/24 </w:t>
      </w:r>
      <w:proofErr w:type="spellStart"/>
      <w:r w:rsidRPr="00323A9B">
        <w:rPr>
          <w:rFonts w:ascii="Arial" w:hAnsi="Arial" w:cs="Arial"/>
          <w:sz w:val="20"/>
          <w:szCs w:val="20"/>
          <w:lang w:val="en-US"/>
        </w:rPr>
        <w:t>objavljen</w:t>
      </w:r>
      <w:proofErr w:type="spellEnd"/>
      <w:r w:rsidRPr="00323A9B">
        <w:rPr>
          <w:rFonts w:ascii="Arial" w:hAnsi="Arial" w:cs="Arial"/>
          <w:sz w:val="20"/>
          <w:szCs w:val="20"/>
          <w:lang w:val="en-US"/>
        </w:rPr>
        <w:t xml:space="preserve"> je </w:t>
      </w:r>
      <w:r w:rsidRPr="00323A9B">
        <w:rPr>
          <w:rFonts w:ascii="Arial" w:hAnsi="Arial" w:cs="Arial"/>
          <w:sz w:val="20"/>
          <w:szCs w:val="20"/>
        </w:rPr>
        <w:t xml:space="preserve">Pravilnik o izmjenama pravilnika </w:t>
      </w:r>
      <w:proofErr w:type="gramStart"/>
      <w:r w:rsidRPr="00323A9B">
        <w:rPr>
          <w:rFonts w:ascii="Arial" w:hAnsi="Arial" w:cs="Arial"/>
          <w:sz w:val="20"/>
          <w:szCs w:val="20"/>
        </w:rPr>
        <w:t>o  fitosanitarnim</w:t>
      </w:r>
      <w:proofErr w:type="gramEnd"/>
      <w:r w:rsidRPr="00323A9B">
        <w:rPr>
          <w:rFonts w:ascii="Arial" w:hAnsi="Arial" w:cs="Arial"/>
          <w:sz w:val="20"/>
          <w:szCs w:val="20"/>
        </w:rPr>
        <w:t xml:space="preserve"> mjerama za sprečavanje unošenja i širenja štetnih organizama bilja, biljnih proizvoda i objekata pod nadzorom koji je stupio na snagu 02.03.2024. godine. </w:t>
      </w:r>
    </w:p>
    <w:p w14:paraId="35B1E135" w14:textId="77777777" w:rsidR="00F563CA" w:rsidRPr="00323A9B" w:rsidRDefault="00F563CA" w:rsidP="00F563CA">
      <w:pPr>
        <w:autoSpaceDE w:val="0"/>
        <w:autoSpaceDN w:val="0"/>
        <w:adjustRightInd w:val="0"/>
        <w:spacing w:after="0"/>
        <w:jc w:val="both"/>
        <w:rPr>
          <w:rFonts w:ascii="Arial" w:hAnsi="Arial" w:cs="Arial"/>
          <w:b/>
          <w:sz w:val="20"/>
          <w:szCs w:val="20"/>
        </w:rPr>
      </w:pPr>
      <w:r w:rsidRPr="00323A9B">
        <w:rPr>
          <w:rFonts w:ascii="Arial" w:hAnsi="Arial" w:cs="Arial"/>
          <w:sz w:val="20"/>
          <w:szCs w:val="20"/>
        </w:rPr>
        <w:t xml:space="preserve">         Predmetnim izmjenama </w:t>
      </w:r>
      <w:r w:rsidRPr="00323A9B">
        <w:rPr>
          <w:rFonts w:ascii="Arial" w:hAnsi="Arial" w:cs="Arial"/>
          <w:b/>
          <w:sz w:val="20"/>
          <w:szCs w:val="20"/>
        </w:rPr>
        <w:t>briše se član 6</w:t>
      </w:r>
      <w:r w:rsidRPr="00323A9B">
        <w:rPr>
          <w:rFonts w:ascii="Arial" w:hAnsi="Arial" w:cs="Arial"/>
          <w:sz w:val="20"/>
          <w:szCs w:val="20"/>
        </w:rPr>
        <w:t xml:space="preserve"> </w:t>
      </w:r>
      <w:r w:rsidRPr="00323A9B">
        <w:rPr>
          <w:rFonts w:ascii="Arial" w:hAnsi="Arial" w:cs="Arial"/>
          <w:b/>
          <w:sz w:val="20"/>
          <w:szCs w:val="20"/>
        </w:rPr>
        <w:t xml:space="preserve">koji je propisivao da se male količine bilja i biljnih proizvoda porijeklom iz evropskih zemalja i iz drugih zemalja koje nijesu evropske zemlje, a koje unose fizička lica za neindustrijske i nekomercijalne svrhe, ne podliježu fitosanitarnom pregledu i unose se bez fitosertifikata, pod uslovom da nema rizika od širenja štetnih organizama ( i to: svježe voće i povrće (osim krompira), ukupne težine do 5 kg; rezano cvijeće i djelovi bilja povezani u buket ili vijenac (jedan buket ili vijenac); sjeme cvijeća i povrća u originalnom pakovanju, ukupne težine do 100 g; lukovice i krtole ukrasnog bilja, ukupne težine do 3 kg; sobno i saksijsko bilje (osim bonsai), najviše tri biljke;  balkonsko bilje i nezdrvenjelo ukrasno grmlje, najviše 10 biljaka). </w:t>
      </w:r>
    </w:p>
    <w:p w14:paraId="04197990" w14:textId="77777777" w:rsidR="00F563CA" w:rsidRPr="00323A9B" w:rsidRDefault="00F563CA" w:rsidP="00F563CA">
      <w:pPr>
        <w:autoSpaceDE w:val="0"/>
        <w:autoSpaceDN w:val="0"/>
        <w:adjustRightInd w:val="0"/>
        <w:spacing w:after="0"/>
        <w:jc w:val="both"/>
        <w:rPr>
          <w:rFonts w:ascii="Arial" w:hAnsi="Arial" w:cs="Arial"/>
          <w:b/>
          <w:sz w:val="20"/>
          <w:szCs w:val="20"/>
        </w:rPr>
      </w:pPr>
      <w:r w:rsidRPr="00323A9B">
        <w:rPr>
          <w:rFonts w:ascii="Arial" w:hAnsi="Arial" w:cs="Arial"/>
          <w:b/>
          <w:sz w:val="20"/>
          <w:szCs w:val="20"/>
        </w:rPr>
        <w:t xml:space="preserve">          Dakle, ta odredba više nije u primjeni te je samim tim potreban fitosertifikat i u ovim slučajevima.</w:t>
      </w:r>
    </w:p>
    <w:p w14:paraId="60592B7A" w14:textId="77777777" w:rsidR="00F563CA" w:rsidRPr="00323A9B" w:rsidRDefault="00F563CA" w:rsidP="00F563CA">
      <w:pPr>
        <w:autoSpaceDE w:val="0"/>
        <w:autoSpaceDN w:val="0"/>
        <w:adjustRightInd w:val="0"/>
        <w:spacing w:after="0"/>
        <w:jc w:val="both"/>
        <w:rPr>
          <w:rFonts w:ascii="Arial" w:hAnsi="Arial" w:cs="Arial"/>
          <w:sz w:val="20"/>
          <w:szCs w:val="20"/>
        </w:rPr>
      </w:pPr>
      <w:r w:rsidRPr="00323A9B">
        <w:rPr>
          <w:rFonts w:ascii="Arial" w:hAnsi="Arial" w:cs="Arial"/>
          <w:sz w:val="20"/>
          <w:szCs w:val="20"/>
        </w:rPr>
        <w:t xml:space="preserve">        Podsjećamo da se se ovim pravilnikom propisuju fitosanitarne mjere za sprečavanje unošenja i širenja štetnih organizama, male količine za pojedine vrste bilja i biljnih proizvoda za koje se vrši fitosanitarni pregled,obrazac i sadržaj fitosertifikata i fitosertifikata za reeksport, uslovi pod kojima se može prihvatiti ovjerena kopija fitosertifikata i fitosertifikata izdata u državi izvoznici, obrazac prijave za fitosanitarni pregled pošiljke bilja i dr.</w:t>
      </w:r>
    </w:p>
    <w:p w14:paraId="57E5E0EE" w14:textId="77777777" w:rsidR="00F563CA" w:rsidRPr="00323A9B" w:rsidRDefault="00F563CA" w:rsidP="00F563CA">
      <w:pPr>
        <w:autoSpaceDE w:val="0"/>
        <w:autoSpaceDN w:val="0"/>
        <w:adjustRightInd w:val="0"/>
        <w:spacing w:after="0"/>
        <w:jc w:val="both"/>
        <w:rPr>
          <w:rFonts w:ascii="Arial" w:hAnsi="Arial" w:cs="Arial"/>
          <w:sz w:val="20"/>
          <w:szCs w:val="20"/>
        </w:rPr>
      </w:pPr>
      <w:r w:rsidRPr="00323A9B">
        <w:rPr>
          <w:rFonts w:ascii="Arial" w:hAnsi="Arial" w:cs="Arial"/>
          <w:sz w:val="20"/>
          <w:szCs w:val="20"/>
        </w:rPr>
        <w:t xml:space="preserve">        U smislu ovog Pravilnika pod </w:t>
      </w:r>
      <w:r w:rsidRPr="00323A9B">
        <w:rPr>
          <w:rFonts w:ascii="Arial" w:hAnsi="Arial" w:cs="Arial"/>
          <w:b/>
          <w:sz w:val="20"/>
          <w:szCs w:val="20"/>
        </w:rPr>
        <w:t xml:space="preserve">biljnim proizvodima </w:t>
      </w:r>
      <w:r w:rsidRPr="00323A9B">
        <w:rPr>
          <w:rFonts w:ascii="Arial" w:hAnsi="Arial" w:cs="Arial"/>
          <w:sz w:val="20"/>
          <w:szCs w:val="20"/>
        </w:rPr>
        <w:t xml:space="preserve">se podarzumijevaju proizvodi biljnog porijekla, neprerađeni ili jednostavno prerađeni, koji ne spadaju u bilje i koji mogu da sadrže ili prenose štetne organizme, zbog kojih treba sprovesti fitosanitarne mjere. </w:t>
      </w:r>
      <w:r w:rsidRPr="00323A9B">
        <w:rPr>
          <w:rFonts w:ascii="Arial" w:hAnsi="Arial" w:cs="Arial"/>
          <w:b/>
          <w:sz w:val="20"/>
          <w:szCs w:val="20"/>
        </w:rPr>
        <w:t>Fitosanitarni sertifikat</w:t>
      </w:r>
      <w:r w:rsidRPr="00323A9B">
        <w:rPr>
          <w:rFonts w:ascii="Arial" w:hAnsi="Arial" w:cs="Arial"/>
          <w:sz w:val="20"/>
          <w:szCs w:val="20"/>
        </w:rPr>
        <w:t xml:space="preserve"> je uvjerenje o zdravstvenom stanju pošiljke bilja kojeg izdaje nadležni organ zemlje porijekla i prati pošiljku pri uvozu, izvozu ili tranzitu. </w:t>
      </w:r>
    </w:p>
    <w:p w14:paraId="5FA3349F" w14:textId="2F27614F" w:rsidR="00F563CA" w:rsidRPr="00DC5F57" w:rsidRDefault="00F563CA" w:rsidP="00DC5F57">
      <w:pPr>
        <w:autoSpaceDE w:val="0"/>
        <w:autoSpaceDN w:val="0"/>
        <w:adjustRightInd w:val="0"/>
        <w:spacing w:after="0"/>
        <w:jc w:val="both"/>
        <w:rPr>
          <w:rFonts w:ascii="Arial" w:hAnsi="Arial" w:cs="Arial"/>
          <w:sz w:val="20"/>
          <w:szCs w:val="20"/>
        </w:rPr>
      </w:pPr>
      <w:r w:rsidRPr="00323A9B">
        <w:rPr>
          <w:rFonts w:ascii="Arial" w:hAnsi="Arial" w:cs="Arial"/>
          <w:sz w:val="20"/>
          <w:szCs w:val="20"/>
        </w:rPr>
        <w:t xml:space="preserve">       Takođe, shodno Pravilniku - </w:t>
      </w:r>
      <w:r w:rsidRPr="00323A9B">
        <w:rPr>
          <w:rFonts w:ascii="Arial" w:hAnsi="Arial" w:cs="Arial"/>
          <w:b/>
          <w:sz w:val="20"/>
          <w:szCs w:val="20"/>
        </w:rPr>
        <w:t>Fitosertifikat za reeksport</w:t>
      </w:r>
      <w:r w:rsidRPr="00323A9B">
        <w:rPr>
          <w:rFonts w:ascii="Arial" w:hAnsi="Arial" w:cs="Arial"/>
          <w:sz w:val="20"/>
          <w:szCs w:val="20"/>
        </w:rPr>
        <w:t xml:space="preserve"> je uvjerenje o zdravstvenom stanju pošiljke bilja koje prati pošiljku bilja pri reeksportu izdatog od nadležnog organa zemlje izvoznice. Treće zemlje su države iz kojih se pošiljka bilja uvozi ili u koje se izvozi. </w:t>
      </w:r>
      <w:r w:rsidRPr="00323A9B">
        <w:rPr>
          <w:rFonts w:ascii="Arial" w:hAnsi="Arial" w:cs="Arial"/>
          <w:b/>
          <w:sz w:val="20"/>
          <w:szCs w:val="20"/>
        </w:rPr>
        <w:t>Mjesto unošenja pošiljke bilja</w:t>
      </w:r>
      <w:r w:rsidRPr="00323A9B">
        <w:rPr>
          <w:rFonts w:ascii="Arial" w:hAnsi="Arial" w:cs="Arial"/>
          <w:sz w:val="20"/>
          <w:szCs w:val="20"/>
        </w:rPr>
        <w:t xml:space="preserve">, biljnih proizvoda i objekata pod nadzorom je granični prelaz na kojem je uspostavljen carinski nadzor (customs office of point of entry) i fitosanitarni inspekcijski nadzor (official body of point of entry) i to: aerodrom, luka, željeznički i drumski granični prelaz i pošta. Pod </w:t>
      </w:r>
      <w:r w:rsidRPr="00323A9B">
        <w:rPr>
          <w:rFonts w:ascii="Arial" w:hAnsi="Arial" w:cs="Arial"/>
          <w:b/>
          <w:sz w:val="20"/>
          <w:szCs w:val="20"/>
        </w:rPr>
        <w:t>pošiljkom</w:t>
      </w:r>
      <w:r w:rsidRPr="00323A9B">
        <w:rPr>
          <w:rFonts w:ascii="Arial" w:hAnsi="Arial" w:cs="Arial"/>
          <w:sz w:val="20"/>
          <w:szCs w:val="20"/>
        </w:rPr>
        <w:t xml:space="preserve"> se podrazumijeva određena količina bilja, biljnih proizvoda i objekata pod nadzorom, koja se transportuje i koju prati fitosertifikat, druga isprava ili oznaka i može se sastojati od jedne ili više partija (lotova).</w:t>
      </w:r>
    </w:p>
    <w:p w14:paraId="1326B44C" w14:textId="77777777" w:rsidR="00F563CA" w:rsidRPr="00323A9B" w:rsidRDefault="00F563CA" w:rsidP="00F563CA">
      <w:pPr>
        <w:pStyle w:val="T30X"/>
        <w:spacing w:before="0" w:after="0" w:line="276" w:lineRule="auto"/>
        <w:rPr>
          <w:rFonts w:ascii="Arial" w:hAnsi="Arial" w:cs="Arial"/>
          <w:b/>
          <w:sz w:val="20"/>
          <w:szCs w:val="20"/>
        </w:rPr>
      </w:pPr>
      <w:r w:rsidRPr="00323A9B">
        <w:rPr>
          <w:rFonts w:ascii="Arial" w:hAnsi="Arial" w:cs="Arial"/>
          <w:b/>
          <w:sz w:val="20"/>
          <w:szCs w:val="20"/>
        </w:rPr>
        <w:t xml:space="preserve">  Članom 4 Pravilnika propisano je da pregled pošiljke bilja za koju je propisan fitosanitarni pregled prilikom uvoza može se vršiti samo uz prisustvo fitosanitarnog inspektora. Pošiljka bilja iz stava 1 ovog člana koja podliježe fitosanitarnom pregledu, ostaje pod carinskim nadzorom sve dok se potvrdi da je fitosanitarni pregled obavljen.</w:t>
      </w:r>
    </w:p>
    <w:p w14:paraId="4EDF76BD" w14:textId="77777777" w:rsidR="00F563CA" w:rsidRPr="00323A9B" w:rsidRDefault="00F563CA" w:rsidP="00F563CA">
      <w:pPr>
        <w:pStyle w:val="T30X"/>
        <w:spacing w:before="0" w:after="0" w:line="276" w:lineRule="auto"/>
        <w:rPr>
          <w:rFonts w:ascii="Arial" w:hAnsi="Arial" w:cs="Arial"/>
          <w:sz w:val="20"/>
          <w:szCs w:val="20"/>
        </w:rPr>
      </w:pPr>
      <w:r w:rsidRPr="00323A9B">
        <w:rPr>
          <w:rFonts w:ascii="Arial" w:hAnsi="Arial" w:cs="Arial"/>
          <w:sz w:val="20"/>
          <w:szCs w:val="20"/>
        </w:rPr>
        <w:t>Pošiljka bilja iz stava 1 ovog člana, može se otvarati i pregledati samo uz prisustvo fitosanitarnog inspektora, ako organ uprave nadležan za poslove zdravstvene zaštite bilja  procijeni da postoji rizik po zdravlje bilja.</w:t>
      </w:r>
    </w:p>
    <w:p w14:paraId="6DDB142A" w14:textId="77777777" w:rsidR="00F563CA" w:rsidRPr="00323A9B" w:rsidRDefault="00F563CA" w:rsidP="00F563CA">
      <w:pPr>
        <w:pStyle w:val="T30X"/>
        <w:spacing w:before="0" w:after="0" w:line="276" w:lineRule="auto"/>
        <w:rPr>
          <w:rFonts w:ascii="Arial" w:hAnsi="Arial" w:cs="Arial"/>
          <w:sz w:val="20"/>
          <w:szCs w:val="20"/>
        </w:rPr>
      </w:pPr>
      <w:r w:rsidRPr="00323A9B">
        <w:rPr>
          <w:rFonts w:ascii="Arial" w:hAnsi="Arial" w:cs="Arial"/>
          <w:sz w:val="20"/>
          <w:szCs w:val="20"/>
        </w:rPr>
        <w:t>Fitosanitarni pregled pošiljke obuhvata:</w:t>
      </w:r>
    </w:p>
    <w:p w14:paraId="08A1717E" w14:textId="77777777" w:rsidR="00F563CA" w:rsidRPr="00323A9B" w:rsidRDefault="00F563CA" w:rsidP="00F563CA">
      <w:pPr>
        <w:pStyle w:val="T30X"/>
        <w:numPr>
          <w:ilvl w:val="0"/>
          <w:numId w:val="1"/>
        </w:numPr>
        <w:spacing w:before="0" w:after="0" w:line="276" w:lineRule="auto"/>
        <w:rPr>
          <w:rFonts w:ascii="Arial" w:hAnsi="Arial" w:cs="Arial"/>
          <w:sz w:val="20"/>
          <w:szCs w:val="20"/>
        </w:rPr>
      </w:pPr>
      <w:r w:rsidRPr="00323A9B">
        <w:rPr>
          <w:rFonts w:ascii="Arial" w:hAnsi="Arial" w:cs="Arial"/>
          <w:sz w:val="20"/>
          <w:szCs w:val="20"/>
        </w:rPr>
        <w:t>pregled dokumentacije koja prati pošiljku;</w:t>
      </w:r>
    </w:p>
    <w:p w14:paraId="348BA758" w14:textId="77777777" w:rsidR="00F563CA" w:rsidRPr="00323A9B" w:rsidRDefault="00F563CA" w:rsidP="00F563CA">
      <w:pPr>
        <w:pStyle w:val="T30X"/>
        <w:numPr>
          <w:ilvl w:val="0"/>
          <w:numId w:val="1"/>
        </w:numPr>
        <w:spacing w:before="0" w:after="0" w:line="276" w:lineRule="auto"/>
        <w:rPr>
          <w:rFonts w:ascii="Arial" w:hAnsi="Arial" w:cs="Arial"/>
          <w:sz w:val="20"/>
          <w:szCs w:val="20"/>
        </w:rPr>
      </w:pPr>
      <w:r w:rsidRPr="00323A9B">
        <w:rPr>
          <w:rFonts w:ascii="Arial" w:hAnsi="Arial" w:cs="Arial"/>
          <w:sz w:val="20"/>
          <w:szCs w:val="20"/>
        </w:rPr>
        <w:t>identifikaciju pošiljke;</w:t>
      </w:r>
    </w:p>
    <w:p w14:paraId="6C9FBA20" w14:textId="77777777" w:rsidR="00F563CA" w:rsidRPr="00323A9B" w:rsidRDefault="00F563CA" w:rsidP="00F563CA">
      <w:pPr>
        <w:pStyle w:val="T30X"/>
        <w:numPr>
          <w:ilvl w:val="0"/>
          <w:numId w:val="1"/>
        </w:numPr>
        <w:spacing w:before="0" w:after="0" w:line="276" w:lineRule="auto"/>
        <w:rPr>
          <w:rFonts w:ascii="Arial" w:hAnsi="Arial" w:cs="Arial"/>
          <w:sz w:val="20"/>
          <w:szCs w:val="20"/>
        </w:rPr>
      </w:pPr>
      <w:r w:rsidRPr="00323A9B">
        <w:rPr>
          <w:rFonts w:ascii="Arial" w:hAnsi="Arial" w:cs="Arial"/>
          <w:sz w:val="20"/>
          <w:szCs w:val="20"/>
        </w:rPr>
        <w:t>zdravstveni pregled pošiljke;</w:t>
      </w:r>
    </w:p>
    <w:p w14:paraId="46B451B0" w14:textId="77777777" w:rsidR="00F563CA" w:rsidRPr="00323A9B" w:rsidRDefault="00F563CA" w:rsidP="00F563CA">
      <w:pPr>
        <w:pStyle w:val="T30X"/>
        <w:numPr>
          <w:ilvl w:val="0"/>
          <w:numId w:val="1"/>
        </w:numPr>
        <w:spacing w:before="0" w:after="0" w:line="276" w:lineRule="auto"/>
        <w:rPr>
          <w:rFonts w:ascii="Arial" w:hAnsi="Arial" w:cs="Arial"/>
          <w:sz w:val="20"/>
          <w:szCs w:val="20"/>
        </w:rPr>
      </w:pPr>
      <w:r w:rsidRPr="00323A9B">
        <w:rPr>
          <w:rFonts w:ascii="Arial" w:hAnsi="Arial" w:cs="Arial"/>
          <w:sz w:val="20"/>
          <w:szCs w:val="20"/>
        </w:rPr>
        <w:t>pregled prevoznog sredstva (osim avionskih, poštanskih i denčanih) i ambalaže.</w:t>
      </w:r>
    </w:p>
    <w:p w14:paraId="0EAEB4B7" w14:textId="77777777" w:rsidR="00F563CA" w:rsidRPr="00323A9B" w:rsidRDefault="00F563CA" w:rsidP="00F563CA">
      <w:pPr>
        <w:pStyle w:val="T30X"/>
        <w:spacing w:before="0" w:after="0" w:line="276" w:lineRule="auto"/>
        <w:rPr>
          <w:rFonts w:ascii="Arial" w:hAnsi="Arial" w:cs="Arial"/>
          <w:b/>
          <w:sz w:val="20"/>
          <w:szCs w:val="20"/>
        </w:rPr>
      </w:pPr>
      <w:r w:rsidRPr="00323A9B">
        <w:rPr>
          <w:rFonts w:ascii="Arial" w:hAnsi="Arial" w:cs="Arial"/>
          <w:b/>
          <w:sz w:val="20"/>
          <w:szCs w:val="20"/>
        </w:rPr>
        <w:t xml:space="preserve">Fitosertifikat se izdaje na obrascu koji je u skladu sa propisanim modelom Međunarodne konvencije za zaštitu bilja - International Plant Protection Convention - IPPC. </w:t>
      </w:r>
      <w:r w:rsidRPr="00323A9B">
        <w:rPr>
          <w:rFonts w:ascii="Arial" w:hAnsi="Arial" w:cs="Arial"/>
          <w:sz w:val="20"/>
          <w:szCs w:val="20"/>
          <w:u w:val="single"/>
        </w:rPr>
        <w:t>Fitosertifikat za pošiljke</w:t>
      </w:r>
      <w:r w:rsidRPr="00323A9B">
        <w:rPr>
          <w:rFonts w:ascii="Arial" w:hAnsi="Arial" w:cs="Arial"/>
          <w:sz w:val="20"/>
          <w:szCs w:val="20"/>
        </w:rPr>
        <w:t xml:space="preserve"> bilja koje se izvoze je zelene boje, izdaje se na crnogorskom i engleskom jeziku, dat je na Obrascu 1, koji je se nalazi u prilogu Pravilnika.</w:t>
      </w:r>
      <w:r w:rsidRPr="00323A9B">
        <w:rPr>
          <w:rFonts w:ascii="Arial" w:hAnsi="Arial" w:cs="Arial"/>
          <w:b/>
          <w:sz w:val="20"/>
          <w:szCs w:val="20"/>
        </w:rPr>
        <w:t xml:space="preserve">  </w:t>
      </w:r>
    </w:p>
    <w:p w14:paraId="5F5799E9" w14:textId="77777777" w:rsidR="00F563CA" w:rsidRPr="00323A9B" w:rsidRDefault="00F563CA" w:rsidP="00F563CA">
      <w:pPr>
        <w:pStyle w:val="T30X"/>
        <w:spacing w:before="0" w:after="0" w:line="276" w:lineRule="auto"/>
        <w:rPr>
          <w:rFonts w:ascii="Arial" w:hAnsi="Arial" w:cs="Arial"/>
          <w:sz w:val="20"/>
          <w:szCs w:val="20"/>
        </w:rPr>
      </w:pPr>
      <w:r w:rsidRPr="00323A9B">
        <w:rPr>
          <w:rFonts w:ascii="Arial" w:hAnsi="Arial" w:cs="Arial"/>
          <w:sz w:val="20"/>
          <w:szCs w:val="20"/>
          <w:u w:val="single"/>
        </w:rPr>
        <w:t>Fitosertifikat za reeksport</w:t>
      </w:r>
      <w:r w:rsidRPr="00323A9B">
        <w:rPr>
          <w:rFonts w:ascii="Arial" w:hAnsi="Arial" w:cs="Arial"/>
          <w:sz w:val="20"/>
          <w:szCs w:val="20"/>
        </w:rPr>
        <w:t xml:space="preserve"> je smeđe boje, izdaje se na crnogorskom i engleskom jeziku, dat je na Obrascu 2 koji je se nalazi u prilogu Pravilnika. Tekst fitosertifikata štampa se na poleđini fitosertifikata na francuskom, njemačkom, španskom i ruskom jeziku. Obrasci fitosertifikaza se popunjavaju u dva primjerka, od kojih je jedan primjerak original, koji se izdaje izvozniku, a kopija orginala se predaje fitosanitarnom inspektoru.</w:t>
      </w:r>
    </w:p>
    <w:p w14:paraId="3EB859C9" w14:textId="77777777" w:rsidR="00F563CA" w:rsidRPr="00323A9B" w:rsidRDefault="00F563CA" w:rsidP="00F563CA">
      <w:pPr>
        <w:pStyle w:val="T30X"/>
        <w:spacing w:before="0" w:after="0" w:line="276" w:lineRule="auto"/>
        <w:rPr>
          <w:rFonts w:ascii="Arial" w:hAnsi="Arial" w:cs="Arial"/>
          <w:b/>
          <w:sz w:val="20"/>
          <w:szCs w:val="20"/>
        </w:rPr>
      </w:pPr>
      <w:r w:rsidRPr="00323A9B">
        <w:rPr>
          <w:rFonts w:ascii="Arial" w:hAnsi="Arial" w:cs="Arial"/>
          <w:b/>
          <w:sz w:val="20"/>
          <w:szCs w:val="20"/>
        </w:rPr>
        <w:lastRenderedPageBreak/>
        <w:t xml:space="preserve"> Fitosertifikat koji prati pošiljku prilikom unošenja u Crnu Goru:</w:t>
      </w:r>
    </w:p>
    <w:p w14:paraId="41593B34" w14:textId="77777777" w:rsidR="00F563CA" w:rsidRPr="00323A9B" w:rsidRDefault="00F563CA" w:rsidP="00F563CA">
      <w:pPr>
        <w:pStyle w:val="T30X"/>
        <w:spacing w:before="0" w:after="0" w:line="276" w:lineRule="auto"/>
        <w:ind w:left="849" w:hanging="283"/>
        <w:rPr>
          <w:rFonts w:ascii="Arial" w:hAnsi="Arial" w:cs="Arial"/>
          <w:sz w:val="20"/>
          <w:szCs w:val="20"/>
        </w:rPr>
      </w:pPr>
      <w:r w:rsidRPr="00323A9B">
        <w:rPr>
          <w:rFonts w:ascii="Arial" w:hAnsi="Arial" w:cs="Arial"/>
          <w:sz w:val="20"/>
          <w:szCs w:val="20"/>
        </w:rPr>
        <w:t xml:space="preserve">   1) prestaje da važi ako pošiljka bilja nije napustila zemlju u kojoj je izdat u roku od 14 dana od dana izdavanja fitosertifikata;</w:t>
      </w:r>
    </w:p>
    <w:p w14:paraId="174102CC" w14:textId="77777777" w:rsidR="00F563CA" w:rsidRPr="00323A9B" w:rsidRDefault="00F563CA" w:rsidP="00F563CA">
      <w:pPr>
        <w:pStyle w:val="T30X"/>
        <w:spacing w:before="0" w:after="0" w:line="276" w:lineRule="auto"/>
        <w:ind w:left="849" w:hanging="283"/>
        <w:rPr>
          <w:rFonts w:ascii="Arial" w:hAnsi="Arial" w:cs="Arial"/>
          <w:sz w:val="20"/>
          <w:szCs w:val="20"/>
        </w:rPr>
      </w:pPr>
      <w:r w:rsidRPr="00323A9B">
        <w:rPr>
          <w:rFonts w:ascii="Arial" w:hAnsi="Arial" w:cs="Arial"/>
          <w:sz w:val="20"/>
          <w:szCs w:val="20"/>
        </w:rPr>
        <w:t xml:space="preserve">   2) sadrži dopunsku izjavu, ako je propisano i koja se upisuje u rubriku "dopunska izjava" ili u prilogu fitosertifikata.</w:t>
      </w:r>
    </w:p>
    <w:p w14:paraId="34151BD6" w14:textId="77777777" w:rsidR="00F563CA" w:rsidRPr="00323A9B" w:rsidRDefault="00F563CA" w:rsidP="00F563CA">
      <w:pPr>
        <w:pStyle w:val="T30X"/>
        <w:spacing w:before="0" w:after="0" w:line="276" w:lineRule="auto"/>
        <w:rPr>
          <w:rFonts w:ascii="Arial" w:hAnsi="Arial" w:cs="Arial"/>
          <w:sz w:val="20"/>
          <w:szCs w:val="20"/>
        </w:rPr>
      </w:pPr>
      <w:r w:rsidRPr="00323A9B">
        <w:rPr>
          <w:rFonts w:ascii="Arial" w:hAnsi="Arial" w:cs="Arial"/>
          <w:sz w:val="20"/>
          <w:szCs w:val="20"/>
        </w:rPr>
        <w:t>Fitosertifikat koji je izdat u državi koja nije potpisnica Međunarodne konvencije za zaštitu bilja, može se prihvatiti ako sadrži podatke propisane tom konvencijom.</w:t>
      </w:r>
    </w:p>
    <w:p w14:paraId="28D99E69" w14:textId="77777777" w:rsidR="00F563CA" w:rsidRPr="00323A9B" w:rsidRDefault="00F563CA" w:rsidP="00F563CA">
      <w:pPr>
        <w:pStyle w:val="T30X"/>
        <w:spacing w:before="0" w:after="0" w:line="276" w:lineRule="auto"/>
        <w:rPr>
          <w:rFonts w:ascii="Arial" w:hAnsi="Arial" w:cs="Arial"/>
          <w:sz w:val="20"/>
          <w:szCs w:val="20"/>
        </w:rPr>
      </w:pPr>
      <w:r w:rsidRPr="00323A9B">
        <w:rPr>
          <w:rFonts w:ascii="Arial" w:hAnsi="Arial" w:cs="Arial"/>
          <w:sz w:val="20"/>
          <w:szCs w:val="20"/>
        </w:rPr>
        <w:t xml:space="preserve">Elektronska forma fitosertifikata može se prihvatiti ako su ispunjeni uslovi određeni za taj oblik sertifikata međunarodnim standardima za fitosanitarne mjere broj 12. Ovjerena kopija fitosertifikata može se prihvatiti kada je original fitosertifikata izgubljen ili uništen. Ako se sa jednog mjesta proizvodnje, uvozi više pošiljki bilja u jednom danu i ako uprava analizom rizika utvrdi da ne postoji opasnost od unošenja štetnih organizama, takve pošiljke može pratiti jedan fitosertifikat. </w:t>
      </w:r>
      <w:r w:rsidRPr="00323A9B">
        <w:rPr>
          <w:rFonts w:ascii="Arial" w:hAnsi="Arial" w:cs="Arial"/>
          <w:b/>
          <w:sz w:val="20"/>
          <w:szCs w:val="20"/>
        </w:rPr>
        <w:t>Bez fitosertifikata se može uvoziti pošiljka koja je porijeklom iz Crne Gore i vraća se u Crnu Goru, pod uslovom da nema rizika od unošenja i širenja štetnih organizama.</w:t>
      </w:r>
    </w:p>
    <w:p w14:paraId="28EB7C46" w14:textId="31538538" w:rsidR="00F563CA" w:rsidRPr="00323A9B" w:rsidRDefault="00F563CA" w:rsidP="00323A9B">
      <w:pPr>
        <w:pStyle w:val="T30X"/>
        <w:spacing w:line="276" w:lineRule="auto"/>
        <w:rPr>
          <w:rFonts w:ascii="Arial" w:hAnsi="Arial" w:cs="Arial"/>
          <w:sz w:val="20"/>
          <w:szCs w:val="20"/>
        </w:rPr>
      </w:pPr>
      <w:r w:rsidRPr="00323A9B">
        <w:rPr>
          <w:rFonts w:ascii="Arial" w:hAnsi="Arial" w:cs="Arial"/>
          <w:sz w:val="20"/>
          <w:szCs w:val="20"/>
        </w:rPr>
        <w:t>Članom 11 Pravilnika je propisano da kada se fitosanitarnim pregledom u skladu sa članom 4 ovog pravilnika, utvrdi da se uvoz bilja može dozvoliti, fitosanitarni inspektor, carinsku deklaraciju ili zahtjev iz člana 9 ovog pravilnika ovjerava pečatom i potpisom. Ovjerom dokumenata iz stava 1 ovog člana, fitosanitarni inspektor potvrđuje da je fitosanitarni pregled obavljen radi nastavka carinskog postupka, a ovjerenu kopiju dokumenta odlaže u dosije fitosanitarne inspekcije. Kada se fitosanitarnim pregledom u skladu sa članom 4 ovog pravilnika, utvrdi da se uvoz bilja ne može dozvoliti, fitosanitarni inspektor, fitosertifikat ili fitosertifikat za reeksport poništava se odgovarajućim pečatom i potpisom. U slučaju iz stava 3 ovog člana, fitosanitarni inspektor će naložiti fitosanitarne mjere propisane ovim Pravilnikom. Ako nijesu ispunjeni uslovi u pogledu dokumentacije i u slučaju kada naloži fitosanitarne mjere iz stava 4 ovog člana, fitosanitarni inspektor će zadržati pošiljku do dobijanja kompletne dokumentacije.  Ako fitosanitarni inspektor fitosanitarnim pregledom pošiljke utvrdi, da samo dio pošiljke sadrži štetne organizme, može dozvoliti uvoz preostalog dijela pošiljke, pod uslovom da nema rizika od unošenja i širenja štetnih organizama.</w:t>
      </w:r>
    </w:p>
    <w:p w14:paraId="6D0B4299" w14:textId="77777777" w:rsidR="00F563CA" w:rsidRPr="00323A9B" w:rsidRDefault="00F563CA" w:rsidP="00F563CA">
      <w:pPr>
        <w:pStyle w:val="T30X"/>
        <w:spacing w:line="276" w:lineRule="auto"/>
        <w:rPr>
          <w:rFonts w:ascii="Arial" w:hAnsi="Arial" w:cs="Arial"/>
          <w:sz w:val="20"/>
          <w:szCs w:val="20"/>
        </w:rPr>
      </w:pPr>
      <w:r w:rsidRPr="00323A9B">
        <w:rPr>
          <w:rFonts w:ascii="Arial" w:hAnsi="Arial" w:cs="Arial"/>
          <w:sz w:val="20"/>
          <w:szCs w:val="20"/>
        </w:rPr>
        <w:t>Što se postupka izvoza tiče, članom 13 Pravilnika je propisano da fitosanitarni inspektor izdaje fitosertifikat ili fitosertifikat za reeksport, kada se fitosanitarnim pregledom pošiljke utvrdi da su ispunjeni zahtjevi države uvoznice ili države preko koje se pošiljka prevozi. Uz zahtjev za izdavanje fitosertifikata za reeksport, prilaže se i original fitosertifikata koji je pratio pošiljku pri uvozu ili njegova ovjerena kopija. Fitosanitarni pregled pošiljke obavlja fitosanitarni inspektor na mjestu utovara. Izuzetno od toga fitosanitarni pregled pošiljke iz opravdanih razloga, obavlja se i na mjestu izlaska iz Crne Gore, pod uslovom da se ne radi o pošiljci bilja koja je namijenjena sjetvi ili sadnji.</w:t>
      </w:r>
    </w:p>
    <w:p w14:paraId="6406D81F" w14:textId="77777777" w:rsidR="00F563CA" w:rsidRPr="00323A9B" w:rsidRDefault="00F563CA" w:rsidP="00F563CA">
      <w:pPr>
        <w:pStyle w:val="T30X"/>
        <w:spacing w:line="276" w:lineRule="auto"/>
        <w:rPr>
          <w:rFonts w:ascii="Arial" w:hAnsi="Arial" w:cs="Arial"/>
          <w:sz w:val="20"/>
          <w:szCs w:val="20"/>
        </w:rPr>
      </w:pPr>
      <w:r w:rsidRPr="00323A9B">
        <w:rPr>
          <w:rFonts w:ascii="Arial" w:hAnsi="Arial" w:cs="Arial"/>
          <w:sz w:val="20"/>
          <w:szCs w:val="20"/>
        </w:rPr>
        <w:t>Takođe, obaveznom fitosanitarnom pregledu pošiljke u tranzitu podliježe:</w:t>
      </w:r>
    </w:p>
    <w:p w14:paraId="759E16DE" w14:textId="77777777" w:rsidR="00F563CA" w:rsidRPr="00323A9B" w:rsidRDefault="00F563CA" w:rsidP="00F563CA">
      <w:pPr>
        <w:pStyle w:val="T30X"/>
        <w:numPr>
          <w:ilvl w:val="0"/>
          <w:numId w:val="2"/>
        </w:numPr>
        <w:spacing w:line="276" w:lineRule="auto"/>
        <w:rPr>
          <w:rFonts w:ascii="Arial" w:hAnsi="Arial" w:cs="Arial"/>
          <w:sz w:val="20"/>
          <w:szCs w:val="20"/>
        </w:rPr>
      </w:pPr>
      <w:r w:rsidRPr="00323A9B">
        <w:rPr>
          <w:rFonts w:ascii="Arial" w:hAnsi="Arial" w:cs="Arial"/>
          <w:sz w:val="20"/>
          <w:szCs w:val="20"/>
        </w:rPr>
        <w:t>pošiljka drveta koja se prevozi u otvorenim prevoznim sredstvima;</w:t>
      </w:r>
    </w:p>
    <w:p w14:paraId="4CE03B48" w14:textId="77777777" w:rsidR="00F563CA" w:rsidRPr="00323A9B" w:rsidRDefault="00F563CA" w:rsidP="00F563CA">
      <w:pPr>
        <w:pStyle w:val="T30X"/>
        <w:numPr>
          <w:ilvl w:val="0"/>
          <w:numId w:val="2"/>
        </w:numPr>
        <w:spacing w:line="276" w:lineRule="auto"/>
        <w:rPr>
          <w:rFonts w:ascii="Arial" w:hAnsi="Arial" w:cs="Arial"/>
          <w:sz w:val="20"/>
          <w:szCs w:val="20"/>
        </w:rPr>
      </w:pPr>
      <w:r w:rsidRPr="00323A9B">
        <w:rPr>
          <w:rFonts w:ascii="Arial" w:hAnsi="Arial" w:cs="Arial"/>
          <w:sz w:val="20"/>
          <w:szCs w:val="20"/>
        </w:rPr>
        <w:t>pošiljka koja se skladišti, dijeli, sjedinjuje sa drugim pošiljkama, prepakuje ili je pakovana tako da nije isključen rizik od unošenja i širenja štetnih organizama;</w:t>
      </w:r>
    </w:p>
    <w:p w14:paraId="514F2414" w14:textId="77777777" w:rsidR="00F563CA" w:rsidRPr="00323A9B" w:rsidRDefault="00F563CA" w:rsidP="00F563CA">
      <w:pPr>
        <w:pStyle w:val="T30X"/>
        <w:numPr>
          <w:ilvl w:val="0"/>
          <w:numId w:val="2"/>
        </w:numPr>
        <w:spacing w:line="276" w:lineRule="auto"/>
        <w:rPr>
          <w:rFonts w:ascii="Arial" w:hAnsi="Arial" w:cs="Arial"/>
          <w:sz w:val="20"/>
          <w:szCs w:val="20"/>
        </w:rPr>
      </w:pPr>
      <w:r w:rsidRPr="00323A9B">
        <w:rPr>
          <w:rFonts w:ascii="Arial" w:hAnsi="Arial" w:cs="Arial"/>
          <w:sz w:val="20"/>
          <w:szCs w:val="20"/>
        </w:rPr>
        <w:t>svaka pošiljka za koju je potrebno izvršiti pretovar, zbog nezgode koja se dogodila u carinskom području Crne Gore.</w:t>
      </w:r>
    </w:p>
    <w:p w14:paraId="6427F4D2"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Danom primjene ovog pravilnika prestaju da važe: </w:t>
      </w:r>
    </w:p>
    <w:p w14:paraId="6BE80928"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1) Pravilnik o fitosanitarnim mjerama za sprječavanje unošenja, širenja i suzbijanje štetnih organizama i listama štetnih organizama bilja, biljnih proizvoda i objekata pod nadzorom</w:t>
      </w:r>
      <w:r w:rsidRPr="00323A9B">
        <w:rPr>
          <w:rFonts w:ascii="Cambria Math" w:hAnsi="Cambria Math" w:cs="Cambria Math"/>
          <w:sz w:val="20"/>
          <w:szCs w:val="20"/>
        </w:rPr>
        <w:t>∗</w:t>
      </w:r>
      <w:r w:rsidRPr="00323A9B">
        <w:rPr>
          <w:rFonts w:ascii="Arial" w:hAnsi="Arial" w:cs="Arial"/>
          <w:sz w:val="20"/>
          <w:szCs w:val="20"/>
        </w:rPr>
        <w:t xml:space="preserve"> ("Službeni list CG", br. 39/11, 80/16, 91/17, 38/18, 136/21 i 70/22);</w:t>
      </w:r>
    </w:p>
    <w:p w14:paraId="3FB440D0"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2) Pravilnik o fitosanitarnim mjerama za sprečavanje unošenja i širenja bakterije Pseudomonas syringae pv. actinidiae Takikawa, Serizawa, Ichikawa, Tsuyumu &amp; Goto</w:t>
      </w:r>
      <w:r w:rsidRPr="00323A9B">
        <w:rPr>
          <w:rFonts w:ascii="Cambria Math" w:hAnsi="Cambria Math" w:cs="Cambria Math"/>
          <w:sz w:val="20"/>
          <w:szCs w:val="20"/>
        </w:rPr>
        <w:t>∗</w:t>
      </w:r>
      <w:r w:rsidRPr="00323A9B">
        <w:rPr>
          <w:rFonts w:ascii="Arial" w:hAnsi="Arial" w:cs="Arial"/>
          <w:sz w:val="20"/>
          <w:szCs w:val="20"/>
        </w:rPr>
        <w:t xml:space="preserve"> ("Službeni list CG", br. 75/18 i 101/21);</w:t>
      </w:r>
    </w:p>
    <w:p w14:paraId="01273A04"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3) Odredbe čl. 3 do 9 Pravilnika o fitosanitarnim mjerama za sprečavanje unošenja, širenja i suzbijanja Phytophthora ramorum Werres, De Cock &amp; Man in □t Veld. sp. nov.</w:t>
      </w:r>
      <w:r w:rsidRPr="00323A9B">
        <w:rPr>
          <w:rFonts w:ascii="Cambria Math" w:hAnsi="Cambria Math" w:cs="Cambria Math"/>
          <w:sz w:val="20"/>
          <w:szCs w:val="20"/>
        </w:rPr>
        <w:t>∗</w:t>
      </w:r>
      <w:r w:rsidRPr="00323A9B">
        <w:rPr>
          <w:rFonts w:ascii="Arial" w:hAnsi="Arial" w:cs="Arial"/>
          <w:sz w:val="20"/>
          <w:szCs w:val="20"/>
        </w:rPr>
        <w:t xml:space="preserve"> ("Službeni list CG", broj 11/12);</w:t>
      </w:r>
    </w:p>
    <w:p w14:paraId="58E965BF"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4) Pravilnik o fitosanitarnim mjerama za sprječavanje unošenja, širenja i suzbijanje Thrips palmi Karny iz Tajlanda</w:t>
      </w:r>
      <w:r w:rsidRPr="00323A9B">
        <w:rPr>
          <w:rFonts w:ascii="Cambria Math" w:hAnsi="Cambria Math" w:cs="Cambria Math"/>
          <w:sz w:val="20"/>
          <w:szCs w:val="20"/>
        </w:rPr>
        <w:t>∗</w:t>
      </w:r>
      <w:r w:rsidRPr="00323A9B">
        <w:rPr>
          <w:rFonts w:ascii="Arial" w:hAnsi="Arial" w:cs="Arial"/>
          <w:sz w:val="20"/>
          <w:szCs w:val="20"/>
        </w:rPr>
        <w:t xml:space="preserve"> ("Službeni list CG", broj 56/11);</w:t>
      </w:r>
    </w:p>
    <w:p w14:paraId="0CF1365E"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5) Pravilnik o fitosanitarnim mjerama za suzbijanje i uništavanje korovske biljke ambrozija - Ambrosia artemisifolia L. (spp.) ("Službeni list CG", broj 55/13);</w:t>
      </w:r>
    </w:p>
    <w:p w14:paraId="1CBF7B42" w14:textId="77777777" w:rsidR="00F563CA" w:rsidRPr="00323A9B" w:rsidRDefault="00F563CA" w:rsidP="00F563CA">
      <w:pPr>
        <w:pStyle w:val="T30X"/>
        <w:ind w:left="567" w:hanging="283"/>
        <w:rPr>
          <w:rFonts w:ascii="Arial" w:hAnsi="Arial" w:cs="Arial"/>
          <w:sz w:val="20"/>
          <w:szCs w:val="20"/>
        </w:rPr>
      </w:pPr>
      <w:r w:rsidRPr="00323A9B">
        <w:rPr>
          <w:rFonts w:ascii="Arial" w:hAnsi="Arial" w:cs="Arial"/>
          <w:sz w:val="20"/>
          <w:szCs w:val="20"/>
        </w:rPr>
        <w:t xml:space="preserve">   6) Pravilnik o fitosanitarnim mjerama za sprječavanje unošenja, širenja i suzbijanje virusa mozaika pepina (Pepino mosaic virus)</w:t>
      </w:r>
      <w:r w:rsidRPr="00323A9B">
        <w:rPr>
          <w:rFonts w:ascii="Cambria Math" w:hAnsi="Cambria Math" w:cs="Cambria Math"/>
          <w:sz w:val="20"/>
          <w:szCs w:val="20"/>
        </w:rPr>
        <w:t>∗</w:t>
      </w:r>
      <w:r w:rsidRPr="00323A9B">
        <w:rPr>
          <w:rFonts w:ascii="Arial" w:hAnsi="Arial" w:cs="Arial"/>
          <w:sz w:val="20"/>
          <w:szCs w:val="20"/>
        </w:rPr>
        <w:t xml:space="preserve"> ("Službeni list CG", broj 54/11).</w:t>
      </w:r>
    </w:p>
    <w:p w14:paraId="37D956ED" w14:textId="77777777" w:rsidR="00F563CA" w:rsidRPr="00323A9B" w:rsidRDefault="00F563CA" w:rsidP="00F563CA">
      <w:pPr>
        <w:pStyle w:val="Default"/>
        <w:spacing w:line="276" w:lineRule="auto"/>
        <w:jc w:val="both"/>
        <w:rPr>
          <w:rFonts w:ascii="Arial" w:hAnsi="Arial" w:cs="Arial"/>
          <w:sz w:val="20"/>
          <w:szCs w:val="20"/>
        </w:rPr>
      </w:pPr>
    </w:p>
    <w:p w14:paraId="55BB4C66" w14:textId="7EACEF53" w:rsidR="00F563CA" w:rsidRPr="00323A9B" w:rsidRDefault="00CF02EB" w:rsidP="00DC5F57">
      <w:pPr>
        <w:spacing w:after="0"/>
        <w:jc w:val="center"/>
        <w:rPr>
          <w:rFonts w:ascii="Arial" w:hAnsi="Arial" w:cs="Arial"/>
          <w:b/>
          <w:sz w:val="20"/>
          <w:szCs w:val="20"/>
        </w:rPr>
      </w:pPr>
      <w:r w:rsidRPr="00323A9B">
        <w:rPr>
          <w:rFonts w:ascii="Arial" w:hAnsi="Arial" w:cs="Arial"/>
          <w:b/>
          <w:sz w:val="20"/>
          <w:szCs w:val="20"/>
        </w:rPr>
        <w:t>Akt Uprave carina 2709/1-24 od 05.03.2024.godine</w:t>
      </w:r>
      <w:bookmarkStart w:id="0" w:name="_GoBack"/>
      <w:bookmarkEnd w:id="0"/>
    </w:p>
    <w:sectPr w:rsidR="00F563CA" w:rsidRPr="00323A9B" w:rsidSect="00DC5F57">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26C0E"/>
    <w:multiLevelType w:val="hybridMultilevel"/>
    <w:tmpl w:val="52166AA0"/>
    <w:lvl w:ilvl="0" w:tplc="0424000F">
      <w:start w:val="1"/>
      <w:numFmt w:val="decimal"/>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 w15:restartNumberingAfterBreak="0">
    <w:nsid w:val="7EC35A10"/>
    <w:multiLevelType w:val="hybridMultilevel"/>
    <w:tmpl w:val="E05CB23A"/>
    <w:lvl w:ilvl="0" w:tplc="0424000F">
      <w:start w:val="1"/>
      <w:numFmt w:val="decimal"/>
      <w:lvlText w:val="%1."/>
      <w:lvlJc w:val="left"/>
      <w:pPr>
        <w:ind w:left="1003" w:hanging="360"/>
      </w:p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02"/>
    <w:rsid w:val="00153A02"/>
    <w:rsid w:val="00323A9B"/>
    <w:rsid w:val="00385E9E"/>
    <w:rsid w:val="00CF02EB"/>
    <w:rsid w:val="00DC5F57"/>
    <w:rsid w:val="00F563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B190"/>
  <w15:chartTrackingRefBased/>
  <w15:docId w15:val="{97C520D0-F6A9-49E5-8709-A914B7FF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3C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563CA"/>
    <w:pPr>
      <w:spacing w:after="0" w:line="240" w:lineRule="auto"/>
      <w:ind w:left="1134"/>
      <w:jc w:val="both"/>
      <w:outlineLvl w:val="0"/>
    </w:pPr>
    <w:rPr>
      <w:rFonts w:ascii="Arial" w:eastAsiaTheme="minorHAnsi" w:hAnsi="Arial" w:cs="Arial"/>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CA"/>
    <w:rPr>
      <w:rFonts w:ascii="Arial" w:hAnsi="Arial" w:cs="Arial"/>
      <w:bCs/>
      <w:sz w:val="24"/>
      <w:lang w:val="hr-HR"/>
    </w:rPr>
  </w:style>
  <w:style w:type="paragraph" w:customStyle="1" w:styleId="Default">
    <w:name w:val="Default"/>
    <w:rsid w:val="00F563C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semiHidden/>
    <w:unhideWhenUsed/>
    <w:rsid w:val="00F563CA"/>
    <w:rPr>
      <w:color w:val="0000FF"/>
      <w:u w:val="single"/>
    </w:rPr>
  </w:style>
  <w:style w:type="paragraph" w:styleId="Title">
    <w:name w:val="Title"/>
    <w:basedOn w:val="Normal"/>
    <w:next w:val="Normal"/>
    <w:link w:val="TitleChar"/>
    <w:uiPriority w:val="10"/>
    <w:qFormat/>
    <w:rsid w:val="00F563CA"/>
    <w:pPr>
      <w:spacing w:before="120" w:after="80" w:line="192" w:lineRule="auto"/>
      <w:ind w:left="1134"/>
    </w:pPr>
    <w:rPr>
      <w:rFonts w:eastAsia="Times New Roman"/>
      <w:noProof/>
      <w:spacing w:val="-10"/>
      <w:kern w:val="28"/>
      <w:sz w:val="28"/>
      <w:szCs w:val="40"/>
      <w:lang w:val="en-US"/>
    </w:rPr>
  </w:style>
  <w:style w:type="character" w:customStyle="1" w:styleId="TitleChar">
    <w:name w:val="Title Char"/>
    <w:basedOn w:val="DefaultParagraphFont"/>
    <w:link w:val="Title"/>
    <w:uiPriority w:val="10"/>
    <w:rsid w:val="00F563CA"/>
    <w:rPr>
      <w:rFonts w:ascii="Calibri" w:eastAsia="Times New Roman" w:hAnsi="Calibri" w:cs="Times New Roman"/>
      <w:noProof/>
      <w:spacing w:val="-10"/>
      <w:kern w:val="28"/>
      <w:sz w:val="28"/>
      <w:szCs w:val="40"/>
      <w:lang w:val="en-US"/>
    </w:rPr>
  </w:style>
  <w:style w:type="character" w:customStyle="1" w:styleId="NoSpacingChar">
    <w:name w:val="No Spacing Char"/>
    <w:link w:val="NoSpacing"/>
    <w:uiPriority w:val="1"/>
    <w:locked/>
    <w:rsid w:val="00F563CA"/>
    <w:rPr>
      <w:lang w:val="en-US"/>
    </w:rPr>
  </w:style>
  <w:style w:type="paragraph" w:styleId="NoSpacing">
    <w:name w:val="No Spacing"/>
    <w:link w:val="NoSpacingChar"/>
    <w:uiPriority w:val="1"/>
    <w:qFormat/>
    <w:rsid w:val="00F563CA"/>
    <w:pPr>
      <w:spacing w:after="0" w:line="240" w:lineRule="auto"/>
    </w:pPr>
    <w:rPr>
      <w:lang w:val="en-US"/>
    </w:rPr>
  </w:style>
  <w:style w:type="paragraph" w:customStyle="1" w:styleId="N03Y">
    <w:name w:val="N03Y"/>
    <w:basedOn w:val="Normal"/>
    <w:uiPriority w:val="99"/>
    <w:rsid w:val="00F563CA"/>
    <w:pPr>
      <w:autoSpaceDE w:val="0"/>
      <w:autoSpaceDN w:val="0"/>
      <w:adjustRightInd w:val="0"/>
      <w:spacing w:before="200" w:line="240" w:lineRule="auto"/>
      <w:jc w:val="center"/>
    </w:pPr>
    <w:rPr>
      <w:rFonts w:ascii="Times New Roman" w:eastAsiaTheme="minorEastAsia" w:hAnsi="Times New Roman"/>
      <w:b/>
      <w:bCs/>
      <w:color w:val="000000"/>
      <w:sz w:val="28"/>
      <w:szCs w:val="28"/>
      <w:lang w:eastAsia="sl-SI"/>
    </w:rPr>
  </w:style>
  <w:style w:type="paragraph" w:customStyle="1" w:styleId="T30X">
    <w:name w:val="T30X"/>
    <w:basedOn w:val="Normal"/>
    <w:uiPriority w:val="99"/>
    <w:rsid w:val="00F563CA"/>
    <w:pPr>
      <w:autoSpaceDE w:val="0"/>
      <w:autoSpaceDN w:val="0"/>
      <w:adjustRightInd w:val="0"/>
      <w:spacing w:before="60" w:after="60" w:line="240" w:lineRule="auto"/>
      <w:ind w:firstLine="283"/>
      <w:jc w:val="both"/>
    </w:pPr>
    <w:rPr>
      <w:rFonts w:ascii="Times New Roman" w:eastAsiaTheme="minorEastAsia" w:hAnsi="Times New Roman"/>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5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Ostojić</dc:creator>
  <cp:keywords/>
  <dc:description/>
  <cp:lastModifiedBy>Stefan Ostojić</cp:lastModifiedBy>
  <cp:revision>6</cp:revision>
  <dcterms:created xsi:type="dcterms:W3CDTF">2025-10-08T11:06:00Z</dcterms:created>
  <dcterms:modified xsi:type="dcterms:W3CDTF">2025-10-08T12:30:00Z</dcterms:modified>
</cp:coreProperties>
</file>