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B1" w:rsidRPr="00E161B1" w:rsidRDefault="00E161B1" w:rsidP="00E161B1">
      <w:pPr>
        <w:rPr>
          <w:rFonts w:ascii="Arial" w:eastAsia="Calibri" w:hAnsi="Arial" w:cs="Arial"/>
          <w:sz w:val="22"/>
          <w:lang w:val="hr-HR"/>
        </w:rPr>
      </w:pPr>
      <w:r w:rsidRPr="00E161B1">
        <w:rPr>
          <w:rFonts w:ascii="Arial" w:eastAsia="Calibri" w:hAnsi="Arial" w:cs="Arial"/>
          <w:sz w:val="22"/>
          <w:lang w:val="hr-HR"/>
        </w:rPr>
        <w:t>PJ Carinarnicama</w:t>
      </w:r>
    </w:p>
    <w:p w:rsidR="00E161B1" w:rsidRDefault="00E161B1" w:rsidP="00E161B1">
      <w:pPr>
        <w:rPr>
          <w:rFonts w:ascii="Arial" w:eastAsia="Calibri" w:hAnsi="Arial" w:cs="Arial"/>
          <w:b/>
          <w:sz w:val="22"/>
          <w:lang w:val="hr-HR"/>
        </w:rPr>
      </w:pPr>
    </w:p>
    <w:p w:rsidR="00E161B1" w:rsidRDefault="00E161B1" w:rsidP="00E161B1">
      <w:pPr>
        <w:rPr>
          <w:rFonts w:ascii="Arial" w:hAnsi="Arial" w:cs="Arial"/>
          <w:sz w:val="22"/>
        </w:rPr>
      </w:pPr>
      <w:r w:rsidRPr="00E161B1">
        <w:rPr>
          <w:rFonts w:ascii="Arial" w:eastAsia="Calibri" w:hAnsi="Arial" w:cs="Arial"/>
          <w:b/>
          <w:sz w:val="22"/>
          <w:lang w:val="hr-HR"/>
        </w:rPr>
        <w:t xml:space="preserve">Predmet: </w:t>
      </w:r>
      <w:r w:rsidRPr="00E161B1">
        <w:rPr>
          <w:rFonts w:ascii="Arial" w:eastAsia="Calibri" w:hAnsi="Arial" w:cs="Arial"/>
          <w:b/>
          <w:sz w:val="22"/>
          <w:lang w:val="hr-HR"/>
        </w:rPr>
        <w:t>Obavještenje</w:t>
      </w:r>
      <w:r>
        <w:rPr>
          <w:rFonts w:ascii="Arial" w:eastAsia="Calibri" w:hAnsi="Arial" w:cs="Arial"/>
          <w:sz w:val="22"/>
          <w:lang w:val="hr-HR"/>
        </w:rPr>
        <w:t xml:space="preserve"> –</w:t>
      </w:r>
      <w:r>
        <w:rPr>
          <w:rFonts w:ascii="Arial" w:eastAsia="Calibri" w:hAnsi="Arial" w:cs="Arial"/>
          <w:b/>
          <w:sz w:val="22"/>
          <w:lang w:val="hr-HR"/>
        </w:rPr>
        <w:t xml:space="preserve"> </w:t>
      </w:r>
      <w:r>
        <w:rPr>
          <w:rFonts w:ascii="Arial" w:hAnsi="Arial" w:cs="Arial"/>
          <w:sz w:val="22"/>
        </w:rPr>
        <w:t>Izmjene i dopune Sporazuma o slobodnoj trgovini između EFTA zemalja i Crne Gore i primjena novih „Tranziciona pravila o porijeklu“</w:t>
      </w:r>
    </w:p>
    <w:p w:rsidR="00E161B1" w:rsidRDefault="00E161B1" w:rsidP="00E161B1">
      <w:pPr>
        <w:rPr>
          <w:rFonts w:ascii="Arial" w:hAnsi="Arial" w:cs="Arial"/>
          <w:sz w:val="22"/>
        </w:rPr>
      </w:pPr>
    </w:p>
    <w:p w:rsidR="00E161B1" w:rsidRDefault="00E161B1" w:rsidP="00E161B1">
      <w:pPr>
        <w:rPr>
          <w:rFonts w:ascii="Arial" w:hAnsi="Arial" w:cs="Arial"/>
          <w:sz w:val="22"/>
        </w:rPr>
      </w:pPr>
      <w:r>
        <w:rPr>
          <w:rFonts w:ascii="Arial" w:hAnsi="Arial" w:cs="Arial"/>
          <w:sz w:val="22"/>
        </w:rPr>
        <w:tab/>
        <w:t>U vezi sa aktom Uprave prihoda i carina br.D-5222/3-22 od 04.03.2022.g., koji se odnosi na primjenu „Tranzicionih pravila o porijeklu“ u preferencijalnoj trgovini između Crne Gore i Evropske Unije, obavještavamo vas sledeće:</w:t>
      </w:r>
    </w:p>
    <w:p w:rsidR="00E161B1" w:rsidRDefault="00E161B1" w:rsidP="00E161B1">
      <w:pPr>
        <w:rPr>
          <w:rFonts w:ascii="Arial" w:hAnsi="Arial" w:cs="Arial"/>
          <w:sz w:val="22"/>
        </w:rPr>
      </w:pPr>
      <w:r>
        <w:rPr>
          <w:rFonts w:ascii="Arial" w:hAnsi="Arial" w:cs="Arial"/>
          <w:sz w:val="22"/>
        </w:rPr>
        <w:tab/>
        <w:t xml:space="preserve">Tranziciona pravila o porijeklu </w:t>
      </w:r>
      <w:r>
        <w:rPr>
          <w:rFonts w:ascii="Arial" w:hAnsi="Arial" w:cs="Arial"/>
          <w:color w:val="FF0000"/>
          <w:sz w:val="22"/>
        </w:rPr>
        <w:t xml:space="preserve"> </w:t>
      </w:r>
      <w:r>
        <w:rPr>
          <w:rFonts w:ascii="Arial" w:hAnsi="Arial" w:cs="Arial"/>
          <w:sz w:val="22"/>
        </w:rPr>
        <w:t xml:space="preserve">se, </w:t>
      </w:r>
      <w:r>
        <w:rPr>
          <w:rFonts w:ascii="Arial" w:hAnsi="Arial" w:cs="Arial"/>
          <w:sz w:val="22"/>
          <w:u w:val="single"/>
        </w:rPr>
        <w:t>počev od 1.aprila 2022.godine, takođe primjenjuju  i u preferencijalnoj trgovini između Crne Gore i EFTA zemalja</w:t>
      </w:r>
      <w:r>
        <w:rPr>
          <w:rFonts w:ascii="Arial" w:hAnsi="Arial" w:cs="Arial"/>
          <w:sz w:val="22"/>
        </w:rPr>
        <w:t>.</w:t>
      </w:r>
    </w:p>
    <w:p w:rsidR="00E161B1" w:rsidRDefault="00E161B1" w:rsidP="00E161B1">
      <w:pPr>
        <w:rPr>
          <w:rFonts w:ascii="Arial" w:hAnsi="Arial" w:cs="Arial"/>
          <w:sz w:val="22"/>
        </w:rPr>
      </w:pPr>
      <w:r>
        <w:rPr>
          <w:rFonts w:ascii="Arial" w:hAnsi="Arial" w:cs="Arial"/>
          <w:sz w:val="22"/>
        </w:rPr>
        <w:tab/>
        <w:t>Zakonski osnov za primjenu Tranzicionih pravila  o porijeklu sadržan je u Zakonu o potvrđivanju Protokola o izmjenama i dopunama Sporazuma o slobodnoj trgovini između EFTA zemalja i Crne Gore, Izmjena Sporazuma o poljoprivredi između Crne Gore i Švajcarske Konfederacije, Izmjena Sporazuma o poljoprivredi između Crne Gore i Kraljevine Norveške i Izmjena Sporazuma o poljoprivredi između Crne Gore i Islanda („Sl.list CG – Međunarodni ugovori, br.7/21“), gdje je Aneksom VIII Protokola o izmjenama i dopunama Sporazuma, pored sadašnjih PEM pravila porijekla, omogućena alternativna primjena Tranzicionih pravila (sadržana u Prilogu A). Podsjećamo da izvoznik bira koja pravila će koristiti.</w:t>
      </w:r>
    </w:p>
    <w:p w:rsidR="00E161B1" w:rsidRDefault="00E161B1" w:rsidP="00E161B1">
      <w:pPr>
        <w:rPr>
          <w:rFonts w:ascii="Arial" w:hAnsi="Arial" w:cs="Arial"/>
          <w:sz w:val="22"/>
        </w:rPr>
      </w:pPr>
      <w:r>
        <w:rPr>
          <w:rFonts w:ascii="Arial" w:hAnsi="Arial" w:cs="Arial"/>
          <w:sz w:val="22"/>
        </w:rPr>
        <w:tab/>
        <w:t>U odnosu na primjenu Tranzicionih pravila između Crne Gore i Evropske Unije, dogovoreno je da se, u preferencijalnoj trgovini između Crne Gore i EFTA zemalja, u skladu sa  članom 7 stav 5 Priloga A Aneksa VIII Protokola, kumulacija porijekla proširi i na tekstil i proizvode od tekstila iz Glava 50-63 Harmonizovanog sistema (HS).</w:t>
      </w:r>
    </w:p>
    <w:p w:rsidR="00E161B1" w:rsidRDefault="00E161B1" w:rsidP="00E161B1">
      <w:pPr>
        <w:ind w:firstLine="709"/>
        <w:rPr>
          <w:rFonts w:ascii="Arial" w:hAnsi="Arial" w:cs="Arial"/>
          <w:sz w:val="22"/>
        </w:rPr>
      </w:pPr>
      <w:r>
        <w:rPr>
          <w:rFonts w:ascii="Arial" w:hAnsi="Arial" w:cs="Arial"/>
          <w:sz w:val="22"/>
        </w:rPr>
        <w:t>Ujedno, Crna Gora i EFTA zemlje su saglasne da se odriču obaveze da u dokaz o porijeklu robe uključe izjavu na engleskom jeziku „CUMULATION APPLIED WITH“ iz člana 8 stav 3 Priloga A Aneksa VIII uz Sporazum, kada su proizvodi stekli status proizvoda sa porijeklom primjenom kumulacije  u skladu sa članom 7 Priloga A Aneksa VIII uz Sporazum.</w:t>
      </w:r>
    </w:p>
    <w:p w:rsidR="00E161B1" w:rsidRDefault="00E161B1" w:rsidP="00E161B1">
      <w:pPr>
        <w:ind w:firstLine="709"/>
        <w:rPr>
          <w:rFonts w:ascii="Arial" w:hAnsi="Arial" w:cs="Arial"/>
          <w:sz w:val="22"/>
        </w:rPr>
      </w:pPr>
      <w:r>
        <w:rPr>
          <w:rFonts w:ascii="Arial" w:hAnsi="Arial" w:cs="Arial"/>
          <w:sz w:val="22"/>
        </w:rPr>
        <w:t>Napominjemo da će se između Crne Gore i EFTA zemalja primjenjivati isključivo bilateralna kumulacija Tranzicionih pravila do dana objavljivanja matrice o primjeni dijagonalne kumulacije Tranzicionih pravila od strane Evropske komisije, o čemu ćete biti blagovremeno obaviješteni.</w:t>
      </w:r>
    </w:p>
    <w:p w:rsidR="00E161B1" w:rsidRDefault="00E161B1" w:rsidP="00E161B1">
      <w:pPr>
        <w:rPr>
          <w:rFonts w:ascii="Arial" w:hAnsi="Arial" w:cs="Arial"/>
          <w:sz w:val="22"/>
        </w:rPr>
      </w:pPr>
      <w:r>
        <w:rPr>
          <w:rFonts w:ascii="Arial" w:hAnsi="Arial" w:cs="Arial"/>
          <w:sz w:val="22"/>
        </w:rPr>
        <w:tab/>
        <w:t>Dodatno napominjemo da se, na osnovu člana 4 Aneksa VIII  Protokola o izmjenama i dopunama Sporazuma, zabrana iz Priloga I PEM konvencije ili iz Tranzicionih pravila, koja se odnosi na povraćaj ili oslobođenje od carinskih dažbina (draw back), neće primjenjivati u bilateralnoj trgovini između Crne Gore i EFTA zemalja. Shodno navedenom, na materijale bez porijekla koji su sadržani u proizvodima sa porijeklom, a stavljeni su u postupak kojim se predviđa povraćaj, oslobođenje ili neplaćanje, djelimično ili potpuno, carina ili dažbina sa jednakim dejstvom, ukida se obaveze plaćanja carine. Ovo pravilo se primjenjuje na sve materijale bez porijekla upotrijebljene u proizvodnji proizvoda sa porijeklom, uključujući i materijale iz Glava 50-63 HS.</w:t>
      </w:r>
    </w:p>
    <w:p w:rsidR="00E161B1" w:rsidRDefault="00E161B1" w:rsidP="00E161B1">
      <w:pPr>
        <w:ind w:firstLine="709"/>
        <w:rPr>
          <w:rFonts w:ascii="Arial" w:hAnsi="Arial" w:cs="Arial"/>
          <w:sz w:val="22"/>
        </w:rPr>
      </w:pPr>
      <w:r>
        <w:rPr>
          <w:rFonts w:ascii="Arial" w:hAnsi="Arial" w:cs="Arial"/>
          <w:sz w:val="22"/>
        </w:rPr>
        <w:t xml:space="preserve">Takođe, 1. aprila 2022.godine započela je primjena tri bilateralna sporazuma o poljoprivredi, i to: Izmjena Sporazuma o poljoprivredi između Crne Gore i Švajcarske </w:t>
      </w:r>
      <w:r>
        <w:rPr>
          <w:rFonts w:ascii="Arial" w:hAnsi="Arial" w:cs="Arial"/>
          <w:sz w:val="22"/>
        </w:rPr>
        <w:lastRenderedPageBreak/>
        <w:t>Konfederacije, Izmjena Sporazuma o poljoprivredi između Crne Gore i Kraljevine Norveške i Izmjena Sporazuma o poljoprivredi između Crne Gore i Islanda.</w:t>
      </w:r>
    </w:p>
    <w:p w:rsidR="00E161B1" w:rsidRDefault="00E161B1" w:rsidP="00E161B1">
      <w:pPr>
        <w:ind w:firstLine="709"/>
        <w:rPr>
          <w:rFonts w:ascii="Arial" w:hAnsi="Arial" w:cs="Arial"/>
          <w:sz w:val="22"/>
        </w:rPr>
      </w:pPr>
      <w:r>
        <w:rPr>
          <w:rFonts w:ascii="Arial" w:hAnsi="Arial" w:cs="Arial"/>
          <w:sz w:val="22"/>
        </w:rPr>
        <w:t xml:space="preserve">Navedenim izmjenama  propisano je da se u sva tri bilateralna sporazuma, u odnosu na pravila o porijeklu i metode administrativne saradnje, primjenjuje Aneks VIII Sporazuma, dok je prvobitnim sporazumima bila dozvoljena samo bilateralna kumulacija porijekla između Strana. </w:t>
      </w:r>
    </w:p>
    <w:p w:rsidR="00E161B1" w:rsidRDefault="00E161B1" w:rsidP="00E161B1">
      <w:pPr>
        <w:spacing w:before="0" w:after="0"/>
        <w:rPr>
          <w:rFonts w:ascii="Arial" w:hAnsi="Arial" w:cs="Arial"/>
          <w:b/>
          <w:sz w:val="22"/>
          <w:u w:val="single"/>
        </w:rPr>
      </w:pPr>
      <w:r>
        <w:rPr>
          <w:rFonts w:ascii="Arial" w:hAnsi="Arial" w:cs="Arial"/>
          <w:b/>
          <w:sz w:val="22"/>
          <w:u w:val="single"/>
        </w:rPr>
        <w:t>Retroaktivna primjena</w:t>
      </w:r>
    </w:p>
    <w:p w:rsidR="00E161B1" w:rsidRDefault="00E161B1" w:rsidP="00E161B1">
      <w:pPr>
        <w:spacing w:before="0" w:after="0"/>
        <w:rPr>
          <w:rFonts w:ascii="Arial" w:hAnsi="Arial" w:cs="Arial"/>
          <w:b/>
          <w:sz w:val="22"/>
          <w:u w:val="single"/>
        </w:rPr>
      </w:pPr>
    </w:p>
    <w:p w:rsidR="00E161B1" w:rsidRDefault="00E161B1" w:rsidP="00E161B1">
      <w:pPr>
        <w:spacing w:before="0" w:after="0"/>
        <w:ind w:firstLine="709"/>
        <w:rPr>
          <w:rFonts w:ascii="Arial" w:hAnsi="Arial" w:cs="Arial"/>
          <w:sz w:val="22"/>
        </w:rPr>
      </w:pPr>
      <w:r>
        <w:rPr>
          <w:rFonts w:ascii="Arial" w:hAnsi="Arial" w:cs="Arial"/>
          <w:sz w:val="22"/>
        </w:rPr>
        <w:t>Obzirom da su Protokol o izmjenama i dopunama Sporazuma o slobodnoj trgovini između EFTA zemalja i Crne Gore, Izmjena Sporazuma o poljoprivredi između Crne Gore i Švajcarske Konfederacije, Izmjena Sporazuma o poljoprivredi između Crne Gore i Kraljevine Norveške i Izmjena Sporazuma o poljoprivredi između Crne Gore i Islanda, počeli da se primjenjuju 1.aprila 2022.g., u slučaju  izvoza u EFTA zemlje koji su već realizovani od navedenog datuma moguće je, u slučaju ispunjenosti uslova za sticanje crnogorskog preferencijalnog porijekla, a shodno čl.21 Priloga A, naknadno izdavanje uvjerenja o kretanju robe EUR.1, na zahtjev izvoznika.</w:t>
      </w:r>
    </w:p>
    <w:p w:rsidR="00E161B1" w:rsidRDefault="00E161B1" w:rsidP="00E161B1">
      <w:pPr>
        <w:spacing w:before="0" w:after="0"/>
        <w:rPr>
          <w:rFonts w:ascii="Arial" w:hAnsi="Arial" w:cs="Arial"/>
          <w:sz w:val="22"/>
        </w:rPr>
      </w:pPr>
    </w:p>
    <w:p w:rsidR="00E161B1" w:rsidRDefault="00E161B1" w:rsidP="00E161B1">
      <w:pPr>
        <w:spacing w:before="0" w:after="0"/>
        <w:rPr>
          <w:rFonts w:ascii="Arial" w:hAnsi="Arial" w:cs="Arial"/>
          <w:sz w:val="22"/>
        </w:rPr>
      </w:pPr>
    </w:p>
    <w:p w:rsidR="00E161B1" w:rsidRDefault="00E161B1" w:rsidP="00E161B1">
      <w:pPr>
        <w:spacing w:before="0" w:after="0"/>
        <w:rPr>
          <w:rFonts w:ascii="Arial" w:hAnsi="Arial" w:cs="Arial"/>
          <w:sz w:val="22"/>
        </w:rPr>
      </w:pPr>
      <w:r>
        <w:rPr>
          <w:rFonts w:ascii="Arial" w:hAnsi="Arial" w:cs="Arial"/>
          <w:sz w:val="22"/>
        </w:rPr>
        <w:t>Prilog: Protokol o izmjenama i dopunama Sporazuma o slobodnoj trgovini između EFTA zemalja i Crne Gore i bilateralni sporazumi o poljoprivredi</w:t>
      </w:r>
    </w:p>
    <w:p w:rsidR="00E161B1" w:rsidRDefault="00E161B1" w:rsidP="00E161B1">
      <w:pPr>
        <w:spacing w:before="0" w:after="0"/>
        <w:rPr>
          <w:rFonts w:ascii="Arial" w:hAnsi="Arial" w:cs="Arial"/>
          <w:sz w:val="22"/>
        </w:rPr>
      </w:pPr>
    </w:p>
    <w:p w:rsidR="00E161B1" w:rsidRPr="00E161B1" w:rsidRDefault="00E161B1" w:rsidP="00E161B1">
      <w:pPr>
        <w:spacing w:before="0" w:after="0"/>
        <w:rPr>
          <w:rFonts w:ascii="Arial" w:hAnsi="Arial" w:cs="Arial"/>
          <w:b/>
          <w:sz w:val="22"/>
        </w:rPr>
      </w:pPr>
      <w:r w:rsidRPr="00E161B1">
        <w:rPr>
          <w:rFonts w:ascii="Arial" w:hAnsi="Arial" w:cs="Arial"/>
          <w:b/>
          <w:sz w:val="22"/>
        </w:rPr>
        <w:t>(Akt Uprave prihoda i carina broj D-9949/3-22 od 06.05.2022.)</w:t>
      </w:r>
    </w:p>
    <w:p w:rsidR="00FE59EA" w:rsidRDefault="00FE59EA">
      <w:bookmarkStart w:id="0" w:name="_GoBack"/>
      <w:bookmarkEnd w:id="0"/>
    </w:p>
    <w:sectPr w:rsidR="00FE59E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75"/>
    <w:rsid w:val="007D6375"/>
    <w:rsid w:val="00E161B1"/>
    <w:rsid w:val="00FE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9DD9"/>
  <w15:chartTrackingRefBased/>
  <w15:docId w15:val="{015C9A6E-21DE-43AF-9774-8BE13081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1B1"/>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7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Vulić</dc:creator>
  <cp:keywords/>
  <dc:description/>
  <cp:lastModifiedBy>Ana Vulić</cp:lastModifiedBy>
  <cp:revision>3</cp:revision>
  <dcterms:created xsi:type="dcterms:W3CDTF">2025-10-09T07:24:00Z</dcterms:created>
  <dcterms:modified xsi:type="dcterms:W3CDTF">2025-10-09T07:28:00Z</dcterms:modified>
</cp:coreProperties>
</file>