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AE6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E6B07" w:rsidRPr="00AE6B07">
        <w:rPr>
          <w:rFonts w:ascii="Arial" w:hAnsi="Arial" w:cs="Arial"/>
          <w:b/>
          <w:sz w:val="24"/>
          <w:szCs w:val="24"/>
        </w:rPr>
        <w:t xml:space="preserve">NACRTA ZAKONA O </w:t>
      </w:r>
      <w:r w:rsidR="00D56B6E">
        <w:rPr>
          <w:rFonts w:ascii="Arial" w:hAnsi="Arial" w:cs="Arial"/>
          <w:b/>
          <w:sz w:val="24"/>
          <w:szCs w:val="24"/>
        </w:rPr>
        <w:t>SUDSKIM VJEŠTACIMA</w:t>
      </w: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AE6B07" w:rsidRPr="00AE6B07">
        <w:rPr>
          <w:rFonts w:ascii="Arial" w:hAnsi="Arial" w:cs="Arial"/>
          <w:sz w:val="24"/>
          <w:szCs w:val="24"/>
        </w:rPr>
        <w:t xml:space="preserve">Nacrta zakona o </w:t>
      </w:r>
      <w:r w:rsidR="00D56B6E">
        <w:rPr>
          <w:rFonts w:ascii="Arial" w:hAnsi="Arial" w:cs="Arial"/>
          <w:sz w:val="24"/>
          <w:szCs w:val="24"/>
        </w:rPr>
        <w:t>sudskim vještacima</w:t>
      </w:r>
      <w:r w:rsidR="00FD6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5C0540">
        <w:rPr>
          <w:rFonts w:ascii="Arial" w:hAnsi="Arial" w:cs="Arial"/>
          <w:sz w:val="24"/>
          <w:szCs w:val="24"/>
        </w:rPr>
        <w:t>2</w:t>
      </w:r>
      <w:r w:rsidR="008E0CF8" w:rsidRPr="007A0F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5C0540" w:rsidRPr="00DB06CD">
          <w:rPr>
            <w:rStyle w:val="Hyperlink"/>
            <w:rFonts w:ascii="Arial" w:hAnsi="Arial" w:cs="Arial"/>
            <w:sz w:val="24"/>
            <w:szCs w:val="24"/>
          </w:rPr>
          <w:t>dzana.kajevic@mpa.gov.me</w:t>
        </w:r>
      </w:hyperlink>
      <w:r w:rsidR="00AE6B07">
        <w:t xml:space="preserve">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E6B07" w:rsidRDefault="00D44F3A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Džana Kajević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507</w:t>
      </w:r>
      <w:r w:rsidR="007A0F20">
        <w:rPr>
          <w:rFonts w:ascii="Arial" w:hAnsi="Arial" w:cs="Arial"/>
          <w:color w:val="221F1F"/>
          <w:w w:val="102"/>
          <w:sz w:val="24"/>
          <w:szCs w:val="24"/>
        </w:rPr>
        <w:t>,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5C0540" w:rsidRPr="00DB06CD">
          <w:rPr>
            <w:rStyle w:val="Hyperlink"/>
            <w:rFonts w:ascii="Arial" w:hAnsi="Arial" w:cs="Arial"/>
            <w:sz w:val="24"/>
            <w:szCs w:val="24"/>
          </w:rPr>
          <w:t>dzana.kajevic@mpa.gov.me</w:t>
        </w:r>
      </w:hyperlink>
      <w:r w:rsidR="00AE6B07">
        <w:t xml:space="preserve"> </w:t>
      </w:r>
    </w:p>
    <w:p w:rsidR="00AE6B07" w:rsidRDefault="00AE6B07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AE6B0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pravosuđe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5C0540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mr Momir Jauković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415C95"/>
    <w:rsid w:val="004A13D8"/>
    <w:rsid w:val="005C0540"/>
    <w:rsid w:val="007A0F20"/>
    <w:rsid w:val="008E0CF8"/>
    <w:rsid w:val="009B42A4"/>
    <w:rsid w:val="00AD6D6A"/>
    <w:rsid w:val="00AE6B07"/>
    <w:rsid w:val="00C07ECC"/>
    <w:rsid w:val="00D44F3A"/>
    <w:rsid w:val="00D56B6E"/>
    <w:rsid w:val="00E31C62"/>
    <w:rsid w:val="00E41831"/>
    <w:rsid w:val="00E60ECA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D27F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ana.kajevic@mpa.gov.me" TargetMode="External"/><Relationship Id="rId5" Type="http://schemas.openxmlformats.org/officeDocument/2006/relationships/hyperlink" Target="mailto:dzana.kaje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Dzana Kajevic</cp:lastModifiedBy>
  <cp:revision>2</cp:revision>
  <dcterms:created xsi:type="dcterms:W3CDTF">2025-11-10T07:45:00Z</dcterms:created>
  <dcterms:modified xsi:type="dcterms:W3CDTF">2025-11-10T07:45:00Z</dcterms:modified>
</cp:coreProperties>
</file>