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DC4AD1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DC4AD1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CRNA GORA</w:t>
      </w:r>
    </w:p>
    <w:p w:rsidR="0082570B" w:rsidRPr="00DC4AD1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MINISTARSTVO FINANSIJA</w:t>
      </w:r>
    </w:p>
    <w:p w:rsidR="0082570B" w:rsidRPr="00DC4AD1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DC4AD1">
        <w:rPr>
          <w:b/>
          <w:bCs/>
          <w:noProof/>
          <w:sz w:val="28"/>
          <w:szCs w:val="28"/>
        </w:rPr>
        <w:t>Direktorat</w:t>
      </w:r>
      <w:r w:rsidR="0082570B" w:rsidRPr="00DC4AD1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DC4AD1" w:rsidRDefault="0082570B" w:rsidP="00D61692">
      <w:pPr>
        <w:rPr>
          <w:rFonts w:cs="Calibri"/>
          <w:noProof/>
        </w:rPr>
      </w:pPr>
    </w:p>
    <w:p w:rsidR="0082570B" w:rsidRPr="00DC4AD1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DC4AD1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DC4AD1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DC4AD1" w:rsidRDefault="000C5764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Septembar</w:t>
      </w:r>
      <w:r w:rsidR="007D0106">
        <w:rPr>
          <w:rFonts w:cs="Calibri"/>
          <w:b/>
          <w:bCs/>
          <w:noProof/>
          <w:sz w:val="32"/>
          <w:szCs w:val="32"/>
        </w:rPr>
        <w:t xml:space="preserve"> </w:t>
      </w:r>
      <w:r w:rsidR="0082570B" w:rsidRPr="00DC4AD1">
        <w:rPr>
          <w:rFonts w:cs="Calibri"/>
          <w:b/>
          <w:bCs/>
          <w:noProof/>
          <w:sz w:val="32"/>
          <w:szCs w:val="32"/>
        </w:rPr>
        <w:t>2013.</w:t>
      </w:r>
    </w:p>
    <w:p w:rsidR="0082570B" w:rsidRPr="00DC4AD1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DC4AD1" w:rsidRDefault="00A423C3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40005</wp:posOffset>
            </wp:positionV>
            <wp:extent cx="5473700" cy="5022850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502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DC4AD1" w:rsidRDefault="002668AA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2668AA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8pt;margin-top:366pt;width:234.35pt;height:292.4pt;rotation:-360;z-index:-251657216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0D588E" w:rsidRDefault="000D588E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0D588E" w:rsidRDefault="000D588E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0D588E" w:rsidRPr="000F1AA9" w:rsidRDefault="000D588E" w:rsidP="000F1AA9">
                  <w:pPr>
                    <w:pStyle w:val="NoSpacing"/>
                    <w:numPr>
                      <w:ilvl w:val="0"/>
                      <w:numId w:val="12"/>
                    </w:numPr>
                    <w:jc w:val="both"/>
                    <w:rPr>
                      <w:sz w:val="28"/>
                      <w:szCs w:val="20"/>
                    </w:rPr>
                  </w:pPr>
                  <w:r w:rsidRPr="000F1AA9">
                    <w:rPr>
                      <w:sz w:val="28"/>
                      <w:szCs w:val="20"/>
                    </w:rPr>
                    <w:t>Od početka godine industrijska proizvodnja je veća za 9,5%, kao rez</w:t>
                  </w:r>
                  <w:r>
                    <w:rPr>
                      <w:sz w:val="28"/>
                      <w:szCs w:val="20"/>
                    </w:rPr>
                    <w:t xml:space="preserve">ultat visokog rasta proizvodnje </w:t>
                  </w:r>
                  <w:r w:rsidRPr="000F1AA9">
                    <w:rPr>
                      <w:sz w:val="28"/>
                      <w:szCs w:val="20"/>
                    </w:rPr>
                    <w:t xml:space="preserve">električne energije(63,8%). </w:t>
                  </w:r>
                </w:p>
                <w:p w:rsidR="000D588E" w:rsidRPr="000F1AA9" w:rsidRDefault="000D588E" w:rsidP="000F1AA9">
                  <w:pPr>
                    <w:pStyle w:val="NoSpacing"/>
                    <w:numPr>
                      <w:ilvl w:val="0"/>
                      <w:numId w:val="12"/>
                    </w:numPr>
                    <w:jc w:val="both"/>
                    <w:rPr>
                      <w:sz w:val="28"/>
                      <w:szCs w:val="20"/>
                    </w:rPr>
                  </w:pPr>
                  <w:r w:rsidRPr="000F1AA9">
                    <w:rPr>
                      <w:sz w:val="28"/>
                      <w:szCs w:val="20"/>
                    </w:rPr>
                    <w:t xml:space="preserve">U avgustu je  zabilježen rast dolazaka i noćenja turista </w:t>
                  </w:r>
                </w:p>
                <w:p w:rsidR="000D588E" w:rsidRPr="000F1AA9" w:rsidRDefault="000D588E" w:rsidP="000F1AA9">
                  <w:pPr>
                    <w:pStyle w:val="NoSpacing"/>
                    <w:numPr>
                      <w:ilvl w:val="0"/>
                      <w:numId w:val="12"/>
                    </w:numPr>
                    <w:jc w:val="both"/>
                    <w:rPr>
                      <w:sz w:val="28"/>
                      <w:szCs w:val="20"/>
                    </w:rPr>
                  </w:pPr>
                  <w:r w:rsidRPr="000F1AA9">
                    <w:rPr>
                      <w:sz w:val="28"/>
                      <w:szCs w:val="20"/>
                    </w:rPr>
                    <w:t>Izvorni prihodi budžeta Crne Gore u avgustu 2013. godine iznosili su 125,02 mil. €. Veći su u odnosu n</w:t>
                  </w:r>
                  <w:r>
                    <w:rPr>
                      <w:sz w:val="28"/>
                      <w:szCs w:val="20"/>
                    </w:rPr>
                    <w:t>a avgust 2012. godine za 15,21%</w:t>
                  </w:r>
                </w:p>
              </w:txbxContent>
            </v:textbox>
            <w10:wrap type="tight" anchorx="margin" anchory="margin"/>
          </v:shape>
        </w:pict>
      </w:r>
    </w:p>
    <w:p w:rsidR="0082570B" w:rsidRPr="00DC4AD1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DC4AD1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DC4AD1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  <w:sz w:val="32"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noProof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3324D9">
      <w:pPr>
        <w:pStyle w:val="NoSpacing"/>
        <w:rPr>
          <w:b/>
          <w:bCs/>
          <w:noProof/>
          <w:color w:val="000000"/>
          <w:sz w:val="16"/>
          <w:szCs w:val="16"/>
        </w:rPr>
      </w:pPr>
    </w:p>
    <w:p w:rsidR="0082570B" w:rsidRPr="00DC4AD1" w:rsidRDefault="0082570B" w:rsidP="00A423C3">
      <w:pPr>
        <w:pStyle w:val="NoSpacing"/>
        <w:outlineLvl w:val="0"/>
        <w:rPr>
          <w:noProof/>
        </w:rPr>
      </w:pPr>
      <w:r w:rsidRPr="00DC4AD1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>
        <w:rPr>
          <w:bCs/>
          <w:noProof/>
          <w:color w:val="000000"/>
          <w:sz w:val="16"/>
          <w:szCs w:val="16"/>
        </w:rPr>
        <w:t>Radovan Živković</w:t>
      </w:r>
      <w:r w:rsidR="002A2CED" w:rsidRPr="00DC4AD1">
        <w:rPr>
          <w:bCs/>
          <w:noProof/>
          <w:color w:val="000000"/>
          <w:sz w:val="16"/>
          <w:szCs w:val="16"/>
        </w:rPr>
        <w:t>, Radojka Martinović</w:t>
      </w:r>
      <w:r w:rsidR="00423EE9">
        <w:rPr>
          <w:bCs/>
          <w:noProof/>
          <w:color w:val="000000"/>
          <w:sz w:val="16"/>
          <w:szCs w:val="16"/>
        </w:rPr>
        <w:t xml:space="preserve">, Olja Tomanović, </w:t>
      </w:r>
      <w:r w:rsidR="00074D69">
        <w:rPr>
          <w:bCs/>
          <w:noProof/>
          <w:color w:val="000000"/>
          <w:sz w:val="16"/>
          <w:szCs w:val="16"/>
        </w:rPr>
        <w:t xml:space="preserve"> </w:t>
      </w:r>
      <w:r w:rsidR="00423EE9">
        <w:rPr>
          <w:bCs/>
          <w:noProof/>
          <w:color w:val="000000"/>
          <w:sz w:val="16"/>
          <w:szCs w:val="16"/>
        </w:rPr>
        <w:t>Stanko Jeknić</w:t>
      </w:r>
      <w:r w:rsidR="002A2CED" w:rsidRPr="00DC4AD1">
        <w:rPr>
          <w:bCs/>
          <w:noProof/>
          <w:color w:val="000000"/>
          <w:sz w:val="16"/>
          <w:szCs w:val="16"/>
        </w:rPr>
        <w:t>,</w:t>
      </w:r>
      <w:r w:rsidR="00423EE9">
        <w:rPr>
          <w:bCs/>
          <w:noProof/>
          <w:color w:val="000000"/>
          <w:sz w:val="16"/>
          <w:szCs w:val="16"/>
        </w:rPr>
        <w:t xml:space="preserve"> </w:t>
      </w:r>
      <w:r w:rsidR="00C646AC">
        <w:rPr>
          <w:bCs/>
          <w:noProof/>
          <w:color w:val="000000"/>
          <w:sz w:val="16"/>
          <w:szCs w:val="16"/>
        </w:rPr>
        <w:t xml:space="preserve"> Ivana Rašović</w:t>
      </w:r>
      <w:r w:rsidR="004B5F63">
        <w:rPr>
          <w:bCs/>
          <w:noProof/>
          <w:color w:val="000000"/>
          <w:sz w:val="16"/>
          <w:szCs w:val="16"/>
        </w:rPr>
        <w:t>, Marija Novosel</w:t>
      </w:r>
      <w:r w:rsidR="00A423C3">
        <w:rPr>
          <w:bCs/>
          <w:noProof/>
          <w:color w:val="000000"/>
          <w:sz w:val="16"/>
          <w:szCs w:val="16"/>
        </w:rPr>
        <w:t>,</w:t>
      </w:r>
      <w:r w:rsidR="002A2CED" w:rsidRPr="00DC4AD1">
        <w:rPr>
          <w:bCs/>
          <w:noProof/>
          <w:color w:val="000000"/>
          <w:sz w:val="16"/>
          <w:szCs w:val="16"/>
        </w:rPr>
        <w:t xml:space="preserve"> Zdenka</w:t>
      </w:r>
      <w:r w:rsidR="00F03604">
        <w:rPr>
          <w:bCs/>
          <w:noProof/>
          <w:color w:val="000000"/>
          <w:sz w:val="16"/>
          <w:szCs w:val="16"/>
        </w:rPr>
        <w:t xml:space="preserve"> </w:t>
      </w:r>
      <w:r w:rsidR="002A2CED" w:rsidRPr="00DC4AD1">
        <w:rPr>
          <w:bCs/>
          <w:noProof/>
          <w:color w:val="000000"/>
          <w:sz w:val="16"/>
          <w:szCs w:val="16"/>
        </w:rPr>
        <w:t>Dabović</w:t>
      </w:r>
      <w:r w:rsidR="00A423C3">
        <w:rPr>
          <w:bCs/>
          <w:noProof/>
          <w:color w:val="000000"/>
          <w:sz w:val="16"/>
          <w:szCs w:val="16"/>
        </w:rPr>
        <w:t xml:space="preserve"> </w:t>
      </w:r>
      <w:r w:rsidRPr="00DC4AD1">
        <w:rPr>
          <w:noProof/>
        </w:rPr>
        <w:br w:type="page"/>
      </w:r>
    </w:p>
    <w:tbl>
      <w:tblPr>
        <w:tblpPr w:leftFromText="180" w:rightFromText="180" w:vertAnchor="text" w:tblpY="1"/>
        <w:tblOverlap w:val="never"/>
        <w:tblW w:w="1074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7054"/>
        <w:gridCol w:w="3674"/>
        <w:gridCol w:w="12"/>
      </w:tblGrid>
      <w:tr w:rsidR="0082570B" w:rsidRPr="00DC4AD1" w:rsidTr="00547B34">
        <w:trPr>
          <w:gridAfter w:val="1"/>
          <w:wAfter w:w="12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DC4AD1">
              <w:rPr>
                <w:rFonts w:ascii="Cambria" w:hAnsi="Cambria" w:cs="Cambria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br w:type="page"/>
            </w:r>
            <w:bookmarkStart w:id="0" w:name="OLE_LINK3"/>
            <w:r w:rsidRPr="00DC4AD1">
              <w:rPr>
                <w:b/>
                <w:bCs/>
                <w:noProof/>
                <w:sz w:val="20"/>
                <w:szCs w:val="20"/>
              </w:rPr>
              <w:t>Međunarodno okruženje</w:t>
            </w:r>
            <w:bookmarkEnd w:id="0"/>
          </w:p>
        </w:tc>
        <w:tc>
          <w:tcPr>
            <w:tcW w:w="3674" w:type="dxa"/>
            <w:vMerge w:val="restart"/>
            <w:tcBorders>
              <w:bottom w:val="nil"/>
            </w:tcBorders>
          </w:tcPr>
          <w:p w:rsidR="0082570B" w:rsidRPr="00DC4AD1" w:rsidRDefault="00237CC5" w:rsidP="007B41C4">
            <w:pPr>
              <w:spacing w:after="0" w:line="240" w:lineRule="auto"/>
              <w:rPr>
                <w:noProof/>
                <w:sz w:val="14"/>
                <w:szCs w:val="14"/>
              </w:rPr>
            </w:pPr>
            <w:r w:rsidRPr="00237CC5">
              <w:rPr>
                <w:noProof/>
                <w:sz w:val="14"/>
                <w:szCs w:val="14"/>
              </w:rPr>
              <w:drawing>
                <wp:inline distT="0" distB="0" distL="0" distR="0">
                  <wp:extent cx="2247900" cy="21590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DC4AD1" w:rsidTr="00547B34">
        <w:trPr>
          <w:gridAfter w:val="1"/>
          <w:wAfter w:w="12" w:type="dxa"/>
          <w:trHeight w:val="2842"/>
        </w:trPr>
        <w:tc>
          <w:tcPr>
            <w:tcW w:w="7054" w:type="dxa"/>
            <w:tcBorders>
              <w:top w:val="single" w:sz="4" w:space="0" w:color="auto"/>
            </w:tcBorders>
          </w:tcPr>
          <w:p w:rsidR="0082570B" w:rsidRPr="00622F10" w:rsidRDefault="0090210D" w:rsidP="007B41C4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90210D">
              <w:rPr>
                <w:b/>
                <w:sz w:val="20"/>
              </w:rPr>
              <w:t>E</w:t>
            </w:r>
            <w:r w:rsidR="00237CC5" w:rsidRPr="0090210D">
              <w:rPr>
                <w:b/>
                <w:sz w:val="20"/>
              </w:rPr>
              <w:t>konomska situacija u EU</w:t>
            </w:r>
            <w:r w:rsidRPr="0090210D">
              <w:rPr>
                <w:b/>
                <w:sz w:val="20"/>
              </w:rPr>
              <w:t xml:space="preserve"> je</w:t>
            </w:r>
            <w:r w:rsidR="00237CC5" w:rsidRPr="0090210D">
              <w:rPr>
                <w:b/>
                <w:sz w:val="20"/>
              </w:rPr>
              <w:t xml:space="preserve"> daleko od stabilne</w:t>
            </w:r>
            <w:r w:rsidR="00237CC5" w:rsidRPr="007A543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što </w:t>
            </w:r>
            <w:r w:rsidR="00237CC5" w:rsidRPr="007A543D">
              <w:rPr>
                <w:sz w:val="20"/>
              </w:rPr>
              <w:t>pokazuje situacija s Portugalom.</w:t>
            </w:r>
            <w:r w:rsidR="00237CC5">
              <w:rPr>
                <w:sz w:val="20"/>
              </w:rPr>
              <w:t xml:space="preserve"> </w:t>
            </w:r>
            <w:r w:rsidR="00237CC5" w:rsidRPr="007A543D">
              <w:rPr>
                <w:sz w:val="20"/>
              </w:rPr>
              <w:t xml:space="preserve"> Međunarodni kreditori pomno prate dešavanja u zemlji dužniku i svaki indikat</w:t>
            </w:r>
            <w:r w:rsidR="00237CC5">
              <w:rPr>
                <w:sz w:val="20"/>
              </w:rPr>
              <w:t>or koji ukazuje na nestabilnost</w:t>
            </w:r>
            <w:r w:rsidR="00237CC5" w:rsidRPr="007A543D">
              <w:rPr>
                <w:sz w:val="20"/>
              </w:rPr>
              <w:t xml:space="preserve"> bilo da su one političke ili ekonomske prirode</w:t>
            </w:r>
            <w:r w:rsidR="00237CC5">
              <w:rPr>
                <w:sz w:val="20"/>
              </w:rPr>
              <w:t>,</w:t>
            </w:r>
            <w:r w:rsidR="00237CC5" w:rsidRPr="007A543D">
              <w:rPr>
                <w:sz w:val="20"/>
              </w:rPr>
              <w:t xml:space="preserve"> po pravilu povećava stope na suvereno zaduživanje koje se u slučaju Portugala kreću oko 7% </w:t>
            </w:r>
            <w:r w:rsidR="00237CC5">
              <w:rPr>
                <w:sz w:val="20"/>
              </w:rPr>
              <w:t>,</w:t>
            </w:r>
            <w:r w:rsidR="00237CC5" w:rsidRPr="007A543D">
              <w:rPr>
                <w:sz w:val="20"/>
              </w:rPr>
              <w:t xml:space="preserve"> što je nivo koji ukazuje na neodrživost javnih finansija u srednjem roku. Balansirajući faktor je najava ECB iz jula prošle godine da će intervenisati svim raspoloživim sredstvima da spriječi nestabilnosti ugroženih zemalja, a to je najava praktično neograničenih monetarnih intervencija. Iako je Portugal najavljivao da će stabilizovati javne finansije i vratiti se na tržište obveznica</w:t>
            </w:r>
            <w:r w:rsidR="00237CC5">
              <w:rPr>
                <w:sz w:val="20"/>
              </w:rPr>
              <w:t xml:space="preserve"> u 2014. godini</w:t>
            </w:r>
            <w:r w:rsidR="00237CC5" w:rsidRPr="007A543D">
              <w:rPr>
                <w:sz w:val="20"/>
              </w:rPr>
              <w:t>, smatra se da će nedovoljan rast ekonomije, a time i javnih prihoda kao i zastoj u sprovođenju strukturnih reformi odložiti taj događaj.</w:t>
            </w:r>
            <w:r w:rsidR="00237CC5">
              <w:rPr>
                <w:sz w:val="20"/>
              </w:rPr>
              <w:t xml:space="preserve"> To su indikatori koji ukazuju da će ova zemlja možda biti prisiljena da zatraži i drugi program pomoći koji bi značio dalje mjere štednje a time i pritisak na ionako slabu ekonomsku aktivnost.</w:t>
            </w:r>
          </w:p>
        </w:tc>
        <w:tc>
          <w:tcPr>
            <w:tcW w:w="3674" w:type="dxa"/>
            <w:vMerge/>
            <w:tcBorders>
              <w:top w:val="nil"/>
            </w:tcBorders>
            <w:vAlign w:val="center"/>
          </w:tcPr>
          <w:p w:rsidR="0082570B" w:rsidRPr="00DC4AD1" w:rsidRDefault="0082570B" w:rsidP="003A5C77">
            <w:pPr>
              <w:spacing w:after="0" w:line="240" w:lineRule="auto"/>
              <w:ind w:left="34" w:hanging="34"/>
              <w:rPr>
                <w:noProof/>
                <w:sz w:val="17"/>
                <w:szCs w:val="17"/>
              </w:rPr>
            </w:pPr>
          </w:p>
        </w:tc>
      </w:tr>
      <w:tr w:rsidR="0082570B" w:rsidRPr="00DC4AD1" w:rsidTr="00237CC5">
        <w:trPr>
          <w:gridAfter w:val="1"/>
          <w:wAfter w:w="12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82570B" w:rsidRPr="00DC4AD1" w:rsidRDefault="0082570B" w:rsidP="003A5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</w:rPr>
            </w:pPr>
            <w:r w:rsidRPr="00DC4AD1">
              <w:rPr>
                <w:rStyle w:val="CaptionChar"/>
                <w:noProof/>
              </w:rPr>
              <w:t>Realni sektor</w:t>
            </w:r>
          </w:p>
        </w:tc>
        <w:tc>
          <w:tcPr>
            <w:tcW w:w="3674" w:type="dxa"/>
            <w:vMerge w:val="restart"/>
          </w:tcPr>
          <w:p w:rsidR="0082570B" w:rsidRPr="00DC4AD1" w:rsidRDefault="00237CC5" w:rsidP="00237CC5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237CC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105410</wp:posOffset>
                  </wp:positionH>
                  <wp:positionV relativeFrom="margin">
                    <wp:posOffset>578485</wp:posOffset>
                  </wp:positionV>
                  <wp:extent cx="2146300" cy="1803400"/>
                  <wp:effectExtent l="0" t="0" r="0" b="0"/>
                  <wp:wrapSquare wrapText="bothSides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  <w:tr w:rsidR="007D0106" w:rsidRPr="00DC4AD1" w:rsidTr="00237CC5">
        <w:trPr>
          <w:gridAfter w:val="1"/>
          <w:wAfter w:w="12" w:type="dxa"/>
          <w:trHeight w:hRule="exact" w:val="3765"/>
        </w:trPr>
        <w:tc>
          <w:tcPr>
            <w:tcW w:w="7054" w:type="dxa"/>
            <w:tcBorders>
              <w:top w:val="single" w:sz="4" w:space="0" w:color="auto"/>
            </w:tcBorders>
          </w:tcPr>
          <w:p w:rsidR="007D0106" w:rsidRPr="00E50237" w:rsidRDefault="00237CC5" w:rsidP="00237CC5">
            <w:pPr>
              <w:spacing w:line="240" w:lineRule="auto"/>
              <w:jc w:val="both"/>
              <w:rPr>
                <w:rFonts w:cs="Calibri"/>
                <w:sz w:val="20"/>
              </w:rPr>
            </w:pPr>
            <w:r w:rsidRPr="00846315">
              <w:rPr>
                <w:rFonts w:cs="Calibri"/>
                <w:b/>
                <w:sz w:val="20"/>
                <w:szCs w:val="20"/>
              </w:rPr>
              <w:t xml:space="preserve">Indikatori kretanja u realnom sektoru u avgustu 2013 godine ukazuju na nastavak tranda rasta industrijske proizvodnje i prometa u maloprodaji i ponovni rast prometa u turizmu. </w:t>
            </w:r>
            <w:r w:rsidRPr="00846315">
              <w:rPr>
                <w:rFonts w:cs="Calibri"/>
                <w:sz w:val="20"/>
                <w:szCs w:val="20"/>
              </w:rPr>
              <w:t>Industrijska proizvodnja</w:t>
            </w:r>
            <w:r w:rsidRPr="00846315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u avgustu</w:t>
            </w:r>
            <w:r w:rsidRPr="00846315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bilježi rast,</w:t>
            </w:r>
            <w:r w:rsidRPr="00846315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od početka godine</w:t>
            </w:r>
            <w:r w:rsidRPr="00846315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9,5%, u odnosu na prethodni mjesec 0,8% i u odnosu na isti mjesec 2012 godine 9,0%. Sektor “prerađivačka industrija”, i pored pada proizvodnje osnovnih metala</w:t>
            </w:r>
            <w:r w:rsidR="00E25472"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(28,6%), bilježi godišnji rast od 4,7%, kao rezultat rasta proizvodnje farmaceutskih proizvoda</w:t>
            </w:r>
            <w:r w:rsidR="00E25472"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(64,0%), prehrambenih proizvoda</w:t>
            </w:r>
            <w:r w:rsidR="00E25472"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(15,9%), pića</w:t>
            </w:r>
            <w:r w:rsidR="00E25472"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(4,2%</w:t>
            </w:r>
            <w:r w:rsidR="00DE47FC">
              <w:rPr>
                <w:rFonts w:cs="Calibri"/>
                <w:sz w:val="20"/>
                <w:szCs w:val="20"/>
              </w:rPr>
              <w:t xml:space="preserve">). Godišnji rast zabilježen je </w:t>
            </w:r>
            <w:r w:rsidRPr="00846315">
              <w:rPr>
                <w:rFonts w:cs="Calibri"/>
                <w:sz w:val="20"/>
                <w:szCs w:val="20"/>
              </w:rPr>
              <w:t>i u se</w:t>
            </w:r>
            <w:r>
              <w:rPr>
                <w:rFonts w:cs="Calibri"/>
                <w:sz w:val="20"/>
                <w:szCs w:val="20"/>
              </w:rPr>
              <w:t xml:space="preserve">ktorima “vađenje rude i kamena” </w:t>
            </w:r>
            <w:r w:rsidRPr="00846315">
              <w:rPr>
                <w:rFonts w:cs="Calibri"/>
                <w:sz w:val="20"/>
                <w:szCs w:val="20"/>
              </w:rPr>
              <w:t>(7,7%) i “snabdijevanje el.energ., gasom i parom” (19,2%). Od početka godine industrijska proizvodnja je veća za 9,5%, što je rezultat visokog rasta proizvodnje električne energije</w:t>
            </w:r>
            <w:r w:rsidR="00A8105B"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 xml:space="preserve">(63,8%). 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846315">
              <w:rPr>
                <w:rFonts w:cs="Calibri"/>
                <w:sz w:val="20"/>
                <w:szCs w:val="20"/>
              </w:rPr>
              <w:t xml:space="preserve"> avgustu je  zabilježen rast dolazaka (5,2%) i noćenja turista (4,3%),</w:t>
            </w:r>
            <w:r w:rsidR="00E25472"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>dok je od početka godine rast dolazaka i noćenja iznosio 2,9 i 1,9%, respektivno. Promet u trgovini na malo u avgustu 2013.godine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46315">
              <w:rPr>
                <w:rFonts w:cs="Calibri"/>
                <w:sz w:val="20"/>
                <w:szCs w:val="20"/>
              </w:rPr>
              <w:t xml:space="preserve">(tekuće cijene) veći je za 14,4% u odnosu na isti mjesec prošle godine, što je rezultat rasta prometa u nespecijalizovanim prodavnicama (26,5%) 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674" w:type="dxa"/>
            <w:vMerge/>
            <w:vAlign w:val="center"/>
          </w:tcPr>
          <w:p w:rsidR="007D0106" w:rsidRPr="00DC4AD1" w:rsidRDefault="007D0106" w:rsidP="007D0106">
            <w:pPr>
              <w:spacing w:after="119" w:line="240" w:lineRule="auto"/>
              <w:jc w:val="center"/>
              <w:rPr>
                <w:noProof/>
              </w:rPr>
            </w:pPr>
          </w:p>
        </w:tc>
      </w:tr>
      <w:tr w:rsidR="007D0106" w:rsidRPr="00DC4AD1" w:rsidTr="00237CC5">
        <w:trPr>
          <w:gridAfter w:val="1"/>
          <w:wAfter w:w="12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7D0106" w:rsidRPr="00DC4AD1" w:rsidRDefault="007D0106" w:rsidP="007D0106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DC4AD1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74" w:type="dxa"/>
            <w:vMerge w:val="restart"/>
          </w:tcPr>
          <w:p w:rsidR="007D0106" w:rsidRPr="00DC4AD1" w:rsidRDefault="00237CC5" w:rsidP="00237CC5">
            <w:pPr>
              <w:spacing w:after="0" w:line="240" w:lineRule="auto"/>
              <w:ind w:left="-250"/>
              <w:jc w:val="center"/>
              <w:rPr>
                <w:b/>
                <w:noProof/>
              </w:rPr>
            </w:pPr>
            <w:r w:rsidRPr="00237CC5"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-52070</wp:posOffset>
                  </wp:positionH>
                  <wp:positionV relativeFrom="margin">
                    <wp:posOffset>180340</wp:posOffset>
                  </wp:positionV>
                  <wp:extent cx="2401570" cy="1770380"/>
                  <wp:effectExtent l="0" t="0" r="0" b="0"/>
                  <wp:wrapSquare wrapText="bothSides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7D0106" w:rsidRPr="00DC4AD1" w:rsidTr="00237CC5">
        <w:trPr>
          <w:gridAfter w:val="1"/>
          <w:wAfter w:w="12" w:type="dxa"/>
          <w:trHeight w:hRule="exact" w:val="3232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</w:tcPr>
          <w:p w:rsidR="007D0106" w:rsidRPr="00DC4AD1" w:rsidRDefault="00237CC5" w:rsidP="007D0106">
            <w:pPr>
              <w:pStyle w:val="Default"/>
              <w:jc w:val="both"/>
              <w:rPr>
                <w:noProof/>
                <w:sz w:val="18"/>
                <w:szCs w:val="18"/>
              </w:rPr>
            </w:pPr>
            <w:r w:rsidRPr="002E3D96">
              <w:rPr>
                <w:rFonts w:cs="Arial-ItalicMT"/>
                <w:b/>
                <w:iCs/>
                <w:sz w:val="20"/>
                <w:szCs w:val="20"/>
              </w:rPr>
              <w:t xml:space="preserve">Nakon blagog rasta u julu tekuće godine usljed primjene nove zakonske regulative, inflacija u avgustu bilježi pad u odnosu na prethodni mjesec. </w:t>
            </w:r>
            <w:r w:rsidRPr="002E3D96">
              <w:rPr>
                <w:rFonts w:asciiTheme="minorHAnsi" w:hAnsiTheme="minorHAnsi"/>
                <w:sz w:val="20"/>
                <w:szCs w:val="20"/>
              </w:rPr>
              <w:t>Godišnja stopa inflacije, mjerena indeksom potrošačkih cijena, u avgustu 2013 godine iznosila je 2,2%, i niža je za 0,5 p.p u odnosu na istu izmjerenu u julu, što je prvenstveno rezultat pada cijena hrane, goriva i usluga smještaja. Prosječna inflacija u periodu januar-avgust 2013 godine iznosila je 3,0%, što je na nivou inflacije planirane za 2013.godinu. Godišnja stopa inflacije, mjerena harmonizovanim indeksom potrošačkih cijena, u avgustu je iznosila 1,7%, što je pad od 0,5 p.p u odnosu na prethodni mjesec. Najveći uticaj na izmjerenu inflaciju imali su godišnji rast cijena povrća (30,7%), voća (14,6%), duvana (8,7%) i električne energije (4,5%)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2E3D96">
              <w:rPr>
                <w:rFonts w:asciiTheme="minorHAnsi" w:hAnsiTheme="minorHAnsi" w:cs="Arial-ItalicMT"/>
                <w:iCs/>
                <w:sz w:val="20"/>
                <w:szCs w:val="20"/>
                <w:lang w:eastAsia="sr-Latn-CS"/>
              </w:rPr>
              <w:t>Proizvođačke cijene u avgustu 2013 godine bilježe godišnji pad od 2,0%, što je prvenstveno rezultat  pada cijena u  pre</w:t>
            </w:r>
            <w:r w:rsidR="00ED3980">
              <w:rPr>
                <w:rFonts w:asciiTheme="minorHAnsi" w:hAnsiTheme="minorHAnsi" w:cs="Arial-ItalicMT"/>
                <w:iCs/>
                <w:sz w:val="20"/>
                <w:szCs w:val="20"/>
                <w:lang w:eastAsia="sr-Latn-CS"/>
              </w:rPr>
              <w:t>rađivačkoj industriji od 3,2% (</w:t>
            </w:r>
            <w:r w:rsidRPr="002E3D96">
              <w:rPr>
                <w:rFonts w:asciiTheme="minorHAnsi" w:hAnsiTheme="minorHAnsi" w:cs="Arial-ItalicMT"/>
                <w:iCs/>
                <w:sz w:val="20"/>
                <w:szCs w:val="20"/>
                <w:lang w:eastAsia="sr-Latn-CS"/>
              </w:rPr>
              <w:t>osnovni metali -5,7%, piće -7,3%).</w:t>
            </w:r>
          </w:p>
        </w:tc>
        <w:tc>
          <w:tcPr>
            <w:tcW w:w="3674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DC4AD1" w:rsidRDefault="007D0106" w:rsidP="007D0106">
            <w:pPr>
              <w:pStyle w:val="NoSpacing"/>
              <w:jc w:val="both"/>
              <w:rPr>
                <w:noProof/>
                <w:sz w:val="17"/>
                <w:szCs w:val="17"/>
              </w:rPr>
            </w:pPr>
          </w:p>
        </w:tc>
      </w:tr>
      <w:tr w:rsidR="00260976" w:rsidRPr="00DC4AD1" w:rsidTr="00260976">
        <w:trPr>
          <w:gridAfter w:val="1"/>
          <w:wAfter w:w="12" w:type="dxa"/>
          <w:trHeight w:val="255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260976" w:rsidRDefault="00260976" w:rsidP="002609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sr-Latn-CS"/>
              </w:rPr>
            </w:pPr>
            <w:r w:rsidRPr="00260976">
              <w:rPr>
                <w:b/>
                <w:bCs/>
                <w:noProof/>
                <w:sz w:val="20"/>
                <w:szCs w:val="20"/>
              </w:rPr>
              <w:t>Zaposlenost i zarade</w:t>
            </w:r>
          </w:p>
        </w:tc>
        <w:tc>
          <w:tcPr>
            <w:tcW w:w="3674" w:type="dxa"/>
            <w:tcBorders>
              <w:bottom w:val="nil"/>
            </w:tcBorders>
            <w:vAlign w:val="center"/>
          </w:tcPr>
          <w:p w:rsidR="00260976" w:rsidRPr="00784DAE" w:rsidRDefault="00260976" w:rsidP="007D0106">
            <w:pPr>
              <w:spacing w:after="0" w:line="240" w:lineRule="auto"/>
              <w:ind w:left="-250"/>
              <w:jc w:val="center"/>
              <w:rPr>
                <w:noProof/>
                <w:lang w:val="sr-Latn-CS" w:eastAsia="sr-Latn-CS"/>
              </w:rPr>
            </w:pPr>
          </w:p>
        </w:tc>
      </w:tr>
      <w:tr w:rsidR="007D0106" w:rsidRPr="00DC4AD1" w:rsidTr="003F56BD">
        <w:trPr>
          <w:gridAfter w:val="1"/>
          <w:wAfter w:w="12" w:type="dxa"/>
          <w:trHeight w:val="255"/>
        </w:trPr>
        <w:tc>
          <w:tcPr>
            <w:tcW w:w="7054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:rsidR="007D0106" w:rsidRPr="00DC4AD1" w:rsidRDefault="00237CC5" w:rsidP="00237CC5">
            <w:pPr>
              <w:jc w:val="both"/>
              <w:rPr>
                <w:noProof/>
                <w:sz w:val="20"/>
                <w:szCs w:val="20"/>
              </w:rPr>
            </w:pPr>
            <w:r w:rsidRPr="006225D9">
              <w:rPr>
                <w:b/>
                <w:sz w:val="20"/>
                <w:szCs w:val="20"/>
                <w:lang w:val="sr-Latn-CS"/>
              </w:rPr>
              <w:t>Broj zaposlenih</w:t>
            </w:r>
            <w:r w:rsidRPr="006225D9">
              <w:rPr>
                <w:sz w:val="20"/>
                <w:szCs w:val="20"/>
                <w:lang w:val="sr-Latn-CS"/>
              </w:rPr>
              <w:t xml:space="preserve"> u avgustu je iznosio 176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0E7E9D">
              <w:rPr>
                <w:sz w:val="20"/>
                <w:szCs w:val="20"/>
                <w:lang w:val="sr-Latn-CS"/>
              </w:rPr>
              <w:t>588, i</w:t>
            </w:r>
            <w:r w:rsidRPr="006225D9">
              <w:rPr>
                <w:sz w:val="20"/>
                <w:szCs w:val="20"/>
                <w:lang w:val="sr-Latn-CS"/>
              </w:rPr>
              <w:t xml:space="preserve"> povećan je za 2,1% u odnosu na avgust 2012. Broj nezaposlenih u avgustu 2013. je iznosio 30</w:t>
            </w:r>
            <w:r>
              <w:rPr>
                <w:sz w:val="20"/>
                <w:szCs w:val="20"/>
                <w:lang w:val="sr-Latn-CS"/>
              </w:rPr>
              <w:t>.</w:t>
            </w:r>
            <w:r w:rsidRPr="006225D9">
              <w:rPr>
                <w:sz w:val="20"/>
                <w:szCs w:val="20"/>
                <w:lang w:val="sr-Latn-CS"/>
              </w:rPr>
              <w:t xml:space="preserve">947 (povećan je 4,3% za čitav period), dok je stopa nezaposlenosti iznosila 13,3%. </w:t>
            </w:r>
            <w:r w:rsidRPr="006225D9"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  <w:t xml:space="preserve">Stopa nezaposlenosti (po ARS-u) je sa 21,6% u prvom kvartalu 2013. godine smanjena na 19,3% u drugom kvartalu 2013. godine. </w:t>
            </w:r>
            <w:r w:rsidRPr="006225D9">
              <w:rPr>
                <w:noProof/>
                <w:sz w:val="20"/>
                <w:szCs w:val="20"/>
              </w:rPr>
              <w:t>U avgustu 2013. je oglašeno 1</w:t>
            </w:r>
            <w:r>
              <w:rPr>
                <w:noProof/>
                <w:sz w:val="20"/>
                <w:szCs w:val="20"/>
              </w:rPr>
              <w:t>.</w:t>
            </w:r>
            <w:r w:rsidRPr="006225D9">
              <w:rPr>
                <w:noProof/>
                <w:sz w:val="20"/>
                <w:szCs w:val="20"/>
              </w:rPr>
              <w:t>495 slobodnih radnih mjesta, što je znatno više nego u avgustu 2012., ali je izdato 1</w:t>
            </w:r>
            <w:r>
              <w:rPr>
                <w:noProof/>
                <w:sz w:val="20"/>
                <w:szCs w:val="20"/>
              </w:rPr>
              <w:t>.</w:t>
            </w:r>
            <w:r w:rsidRPr="006225D9">
              <w:rPr>
                <w:noProof/>
                <w:sz w:val="20"/>
                <w:szCs w:val="20"/>
              </w:rPr>
              <w:t xml:space="preserve">225 radnih dozvola strancima, što je znatno manje nego u avgustu 2013. </w:t>
            </w:r>
            <w:r w:rsidRPr="006225D9">
              <w:rPr>
                <w:b/>
                <w:noProof/>
                <w:sz w:val="20"/>
                <w:szCs w:val="20"/>
              </w:rPr>
              <w:t>Prosječna zarada</w:t>
            </w:r>
            <w:r w:rsidRPr="006225D9">
              <w:rPr>
                <w:noProof/>
                <w:sz w:val="20"/>
                <w:szCs w:val="20"/>
              </w:rPr>
              <w:t xml:space="preserve"> u avgustu 2013. iznosila je 721€, </w:t>
            </w:r>
            <w:r>
              <w:rPr>
                <w:noProof/>
                <w:sz w:val="20"/>
                <w:szCs w:val="20"/>
              </w:rPr>
              <w:t>a</w:t>
            </w:r>
            <w:r w:rsidRPr="006225D9">
              <w:rPr>
                <w:noProof/>
                <w:sz w:val="20"/>
                <w:szCs w:val="20"/>
              </w:rPr>
              <w:t xml:space="preserve"> prosječna </w:t>
            </w:r>
            <w:r>
              <w:rPr>
                <w:noProof/>
                <w:sz w:val="20"/>
                <w:szCs w:val="20"/>
              </w:rPr>
              <w:t xml:space="preserve">neto </w:t>
            </w:r>
            <w:r w:rsidRPr="006225D9">
              <w:rPr>
                <w:noProof/>
                <w:sz w:val="20"/>
                <w:szCs w:val="20"/>
              </w:rPr>
              <w:t>zarada 475€. U odnosu na jul 2013. godine prosječna neto zarada u avgustu 2013. godine zabilježila je rast od 1,3%, dok je u avgustu 2013. godine u odnosu na isti mjesec prethodne</w:t>
            </w:r>
            <w:r w:rsidR="000D09EB">
              <w:rPr>
                <w:noProof/>
                <w:sz w:val="20"/>
                <w:szCs w:val="20"/>
              </w:rPr>
              <w:t xml:space="preserve"> godine zabilježila pad od 1,0%</w:t>
            </w:r>
            <w:r w:rsidRPr="006225D9">
              <w:rPr>
                <w:noProof/>
                <w:sz w:val="20"/>
                <w:szCs w:val="20"/>
              </w:rPr>
              <w:t>. Ako se ima u vidu da su potrošačke cijene u avgustu 2013. godine u odnosu na jul 2013. zabilježile pad od 0,1%</w:t>
            </w:r>
            <w:r w:rsidR="000D09EB">
              <w:rPr>
                <w:noProof/>
                <w:sz w:val="20"/>
                <w:szCs w:val="20"/>
              </w:rPr>
              <w:t>,</w:t>
            </w:r>
            <w:r w:rsidRPr="006225D9">
              <w:rPr>
                <w:noProof/>
                <w:sz w:val="20"/>
                <w:szCs w:val="20"/>
              </w:rPr>
              <w:t xml:space="preserve"> proizilazi da su re</w:t>
            </w:r>
            <w:r w:rsidR="00112E23">
              <w:rPr>
                <w:noProof/>
                <w:sz w:val="20"/>
                <w:szCs w:val="20"/>
              </w:rPr>
              <w:t>alne neto zarade</w:t>
            </w:r>
            <w:r w:rsidR="001E2403">
              <w:rPr>
                <w:noProof/>
                <w:sz w:val="20"/>
                <w:szCs w:val="20"/>
              </w:rPr>
              <w:t xml:space="preserve"> u avgustu</w:t>
            </w:r>
            <w:r w:rsidRPr="006225D9">
              <w:rPr>
                <w:noProof/>
                <w:sz w:val="20"/>
                <w:szCs w:val="20"/>
              </w:rPr>
              <w:t xml:space="preserve"> zabilježile rast od 1,4%, dok su za period </w:t>
            </w:r>
            <w:r w:rsidR="006357BA">
              <w:rPr>
                <w:noProof/>
                <w:sz w:val="20"/>
                <w:szCs w:val="20"/>
              </w:rPr>
              <w:t xml:space="preserve">realno </w:t>
            </w:r>
            <w:r w:rsidRPr="006225D9">
              <w:rPr>
                <w:noProof/>
                <w:sz w:val="20"/>
                <w:szCs w:val="20"/>
              </w:rPr>
              <w:t>smanjene 4,9%.</w:t>
            </w:r>
          </w:p>
        </w:tc>
        <w:tc>
          <w:tcPr>
            <w:tcW w:w="3674" w:type="dxa"/>
            <w:tcBorders>
              <w:top w:val="nil"/>
            </w:tcBorders>
            <w:vAlign w:val="center"/>
          </w:tcPr>
          <w:p w:rsidR="007D0106" w:rsidRPr="00DC4AD1" w:rsidRDefault="00237CC5" w:rsidP="007D0106">
            <w:pPr>
              <w:spacing w:after="0" w:line="240" w:lineRule="auto"/>
              <w:ind w:left="-250"/>
              <w:jc w:val="center"/>
              <w:rPr>
                <w:noProof/>
              </w:rPr>
            </w:pPr>
            <w:r w:rsidRPr="00237CC5">
              <w:rPr>
                <w:noProof/>
              </w:rPr>
              <w:drawing>
                <wp:inline distT="0" distB="0" distL="0" distR="0">
                  <wp:extent cx="2568181" cy="2280213"/>
                  <wp:effectExtent l="0" t="0" r="0" b="0"/>
                  <wp:docPr id="9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260976" w:rsidRPr="00DC4AD1" w:rsidTr="00483B9D">
        <w:trPr>
          <w:trHeight w:hRule="exact" w:val="4536"/>
        </w:trPr>
        <w:tc>
          <w:tcPr>
            <w:tcW w:w="705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8C5163" w:rsidRPr="008C5163" w:rsidRDefault="00260976" w:rsidP="00237CC5">
            <w:pPr>
              <w:pStyle w:val="ListParagraph"/>
              <w:numPr>
                <w:ilvl w:val="0"/>
                <w:numId w:val="1"/>
              </w:numPr>
              <w:pBdr>
                <w:between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0976">
              <w:rPr>
                <w:b/>
                <w:noProof/>
                <w:sz w:val="20"/>
                <w:szCs w:val="20"/>
              </w:rPr>
              <w:lastRenderedPageBreak/>
              <w:t>Javne finansije</w:t>
            </w:r>
          </w:p>
          <w:p w:rsidR="00237CC5" w:rsidRDefault="002668AA" w:rsidP="00237CC5">
            <w:pPr>
              <w:pStyle w:val="ListParagraph"/>
              <w:spacing w:after="0" w:line="240" w:lineRule="auto"/>
              <w:ind w:left="0"/>
              <w:jc w:val="both"/>
              <w:rPr>
                <w:noProof/>
                <w:sz w:val="20"/>
                <w:szCs w:val="20"/>
              </w:rPr>
            </w:pPr>
            <w:r w:rsidRPr="002668AA">
              <w:rPr>
                <w:b/>
                <w:noProof/>
                <w:sz w:val="20"/>
                <w:szCs w:val="20"/>
                <w:lang w:val="sr-Latn-CS" w:eastAsia="sr-Latn-C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3.65pt;margin-top:.45pt;width:343.15pt;height:0;z-index:251665408" o:connectortype="straight" strokeweight=".5pt"/>
              </w:pict>
            </w:r>
            <w:r w:rsidR="00237CC5">
              <w:rPr>
                <w:b/>
                <w:noProof/>
                <w:sz w:val="20"/>
                <w:szCs w:val="20"/>
              </w:rPr>
              <w:t xml:space="preserve">Izvorni </w:t>
            </w:r>
            <w:r w:rsidR="00237CC5" w:rsidRPr="00827E62">
              <w:rPr>
                <w:b/>
                <w:noProof/>
                <w:sz w:val="20"/>
                <w:szCs w:val="20"/>
              </w:rPr>
              <w:t>prihodi budžeta Crne Gore u avgustu 2013. g</w:t>
            </w:r>
            <w:r w:rsidR="000D588E">
              <w:rPr>
                <w:b/>
                <w:noProof/>
                <w:sz w:val="20"/>
                <w:szCs w:val="20"/>
              </w:rPr>
              <w:t>odine iznosili su 125,02 mil. €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 </w:t>
            </w:r>
            <w:r w:rsidR="000D588E">
              <w:rPr>
                <w:b/>
                <w:noProof/>
                <w:sz w:val="20"/>
                <w:szCs w:val="20"/>
              </w:rPr>
              <w:t xml:space="preserve"> i  v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eći su </w:t>
            </w:r>
            <w:r w:rsidR="00E9031B">
              <w:rPr>
                <w:b/>
                <w:noProof/>
                <w:sz w:val="20"/>
                <w:szCs w:val="20"/>
              </w:rPr>
              <w:t xml:space="preserve"> za </w:t>
            </w:r>
            <w:r w:rsidR="00E9031B" w:rsidRPr="00827E62">
              <w:rPr>
                <w:b/>
                <w:noProof/>
                <w:sz w:val="20"/>
                <w:szCs w:val="20"/>
              </w:rPr>
              <w:t>15,21%</w:t>
            </w:r>
            <w:r w:rsidR="00E9031B">
              <w:rPr>
                <w:b/>
                <w:noProof/>
                <w:sz w:val="20"/>
                <w:szCs w:val="20"/>
              </w:rPr>
              <w:t xml:space="preserve"> 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u </w:t>
            </w:r>
            <w:r w:rsidR="004639A5">
              <w:rPr>
                <w:b/>
                <w:noProof/>
                <w:sz w:val="20"/>
                <w:szCs w:val="20"/>
              </w:rPr>
              <w:t>odnosu na avgust 2012. godine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, </w:t>
            </w:r>
            <w:r w:rsidR="00E9031B">
              <w:rPr>
                <w:b/>
                <w:noProof/>
                <w:sz w:val="20"/>
                <w:szCs w:val="20"/>
              </w:rPr>
              <w:t>kao</w:t>
            </w:r>
            <w:r w:rsidR="00D77F3E">
              <w:rPr>
                <w:b/>
                <w:noProof/>
                <w:sz w:val="20"/>
                <w:szCs w:val="20"/>
              </w:rPr>
              <w:t xml:space="preserve"> 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i </w:t>
            </w:r>
            <w:r w:rsidR="004639A5">
              <w:rPr>
                <w:b/>
                <w:noProof/>
                <w:sz w:val="20"/>
                <w:szCs w:val="20"/>
              </w:rPr>
              <w:t>u odnosu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 na plan za 8,81%. </w:t>
            </w:r>
            <w:r w:rsidR="001A2F7A">
              <w:rPr>
                <w:b/>
                <w:noProof/>
                <w:sz w:val="20"/>
                <w:szCs w:val="20"/>
              </w:rPr>
              <w:t xml:space="preserve"> </w:t>
            </w:r>
            <w:r w:rsidR="001A2F7A" w:rsidRPr="001A2F7A">
              <w:rPr>
                <w:noProof/>
                <w:sz w:val="20"/>
                <w:szCs w:val="20"/>
              </w:rPr>
              <w:t>U periodu januar</w:t>
            </w:r>
            <w:r w:rsidR="001A2F7A">
              <w:rPr>
                <w:noProof/>
                <w:sz w:val="20"/>
                <w:szCs w:val="20"/>
              </w:rPr>
              <w:t xml:space="preserve">-avgust 2013.g. ostvaren je rast naplate prihoda od </w:t>
            </w:r>
            <w:r w:rsidR="00E9031B">
              <w:rPr>
                <w:noProof/>
                <w:sz w:val="20"/>
                <w:szCs w:val="20"/>
              </w:rPr>
              <w:t>6,9</w:t>
            </w:r>
            <w:r w:rsidR="001A2F7A">
              <w:rPr>
                <w:noProof/>
                <w:sz w:val="20"/>
                <w:szCs w:val="20"/>
              </w:rPr>
              <w:t>% u odnosu</w:t>
            </w:r>
            <w:r w:rsidR="004639A5">
              <w:rPr>
                <w:noProof/>
                <w:sz w:val="20"/>
                <w:szCs w:val="20"/>
              </w:rPr>
              <w:t xml:space="preserve"> na isti period</w:t>
            </w:r>
            <w:r w:rsidR="001A2F7A">
              <w:rPr>
                <w:noProof/>
                <w:sz w:val="20"/>
                <w:szCs w:val="20"/>
              </w:rPr>
              <w:t xml:space="preserve"> 2012.g</w:t>
            </w:r>
            <w:r w:rsidR="00C646AC">
              <w:rPr>
                <w:noProof/>
                <w:sz w:val="20"/>
                <w:szCs w:val="20"/>
              </w:rPr>
              <w:t>.</w:t>
            </w:r>
            <w:r w:rsidR="00237CC5" w:rsidRPr="00827E62">
              <w:rPr>
                <w:noProof/>
                <w:sz w:val="20"/>
                <w:szCs w:val="20"/>
              </w:rPr>
              <w:t xml:space="preserve"> što je posljedica sprovođenja mje</w:t>
            </w:r>
            <w:r w:rsidR="00FA3278">
              <w:rPr>
                <w:noProof/>
                <w:sz w:val="20"/>
                <w:szCs w:val="20"/>
              </w:rPr>
              <w:t>ra na suzbijanju sive ekonomije</w:t>
            </w:r>
            <w:r w:rsidR="004639A5">
              <w:rPr>
                <w:noProof/>
                <w:sz w:val="20"/>
                <w:szCs w:val="20"/>
              </w:rPr>
              <w:t xml:space="preserve"> i povećanja</w:t>
            </w:r>
            <w:r w:rsidR="001A2F7A">
              <w:rPr>
                <w:noProof/>
                <w:sz w:val="20"/>
                <w:szCs w:val="20"/>
              </w:rPr>
              <w:t xml:space="preserve"> gornje </w:t>
            </w:r>
            <w:r w:rsidR="00237CC5" w:rsidRPr="00827E62">
              <w:rPr>
                <w:noProof/>
                <w:sz w:val="20"/>
                <w:szCs w:val="20"/>
              </w:rPr>
              <w:t>st</w:t>
            </w:r>
            <w:r w:rsidR="004639A5">
              <w:rPr>
                <w:noProof/>
                <w:sz w:val="20"/>
                <w:szCs w:val="20"/>
              </w:rPr>
              <w:t>ope PDV-a na 19%. Naplata PDV-a</w:t>
            </w:r>
            <w:r w:rsidR="00C646AC">
              <w:rPr>
                <w:noProof/>
                <w:sz w:val="20"/>
                <w:szCs w:val="20"/>
              </w:rPr>
              <w:t xml:space="preserve"> u avgustu 2013.g. </w:t>
            </w:r>
            <w:r w:rsidR="00237CC5" w:rsidRPr="00827E62">
              <w:rPr>
                <w:noProof/>
                <w:sz w:val="20"/>
                <w:szCs w:val="20"/>
              </w:rPr>
              <w:t xml:space="preserve"> bila</w:t>
            </w:r>
            <w:r w:rsidR="00C646AC">
              <w:rPr>
                <w:noProof/>
                <w:sz w:val="20"/>
                <w:szCs w:val="20"/>
              </w:rPr>
              <w:t xml:space="preserve"> je</w:t>
            </w:r>
            <w:r w:rsidR="00237CC5" w:rsidRPr="00827E62">
              <w:rPr>
                <w:noProof/>
                <w:sz w:val="20"/>
                <w:szCs w:val="20"/>
              </w:rPr>
              <w:t xml:space="preserve"> veća </w:t>
            </w:r>
            <w:r w:rsidR="00C646AC">
              <w:rPr>
                <w:noProof/>
                <w:sz w:val="20"/>
                <w:szCs w:val="20"/>
              </w:rPr>
              <w:t xml:space="preserve"> u </w:t>
            </w:r>
            <w:r w:rsidR="00237CC5" w:rsidRPr="00827E62">
              <w:rPr>
                <w:noProof/>
                <w:sz w:val="20"/>
                <w:szCs w:val="20"/>
              </w:rPr>
              <w:t xml:space="preserve">odnosu  na plan za 39,9% , dok su akcize bile veće za 27,24%. </w:t>
            </w:r>
          </w:p>
          <w:p w:rsidR="00237CC5" w:rsidRPr="00827E62" w:rsidRDefault="00237CC5" w:rsidP="00237CC5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827E62">
              <w:rPr>
                <w:b/>
                <w:noProof/>
                <w:sz w:val="20"/>
                <w:szCs w:val="20"/>
              </w:rPr>
              <w:t>Izdaci budžeta</w:t>
            </w:r>
            <w:r w:rsidRPr="00827E62">
              <w:rPr>
                <w:noProof/>
                <w:sz w:val="20"/>
                <w:szCs w:val="20"/>
              </w:rPr>
              <w:t xml:space="preserve"> </w:t>
            </w:r>
            <w:r w:rsidR="00AE3EC8">
              <w:rPr>
                <w:noProof/>
                <w:sz w:val="20"/>
                <w:szCs w:val="20"/>
              </w:rPr>
              <w:t xml:space="preserve"> u avgustu 2013.g. </w:t>
            </w:r>
            <w:r w:rsidRPr="00827E62">
              <w:rPr>
                <w:noProof/>
                <w:sz w:val="20"/>
                <w:szCs w:val="20"/>
              </w:rPr>
              <w:t xml:space="preserve">iznosili su 142,15 mil. € i veći su u odnosu na isti </w:t>
            </w:r>
            <w:r w:rsidR="00AE3EC8">
              <w:rPr>
                <w:noProof/>
                <w:sz w:val="20"/>
                <w:szCs w:val="20"/>
              </w:rPr>
              <w:t>mjesec</w:t>
            </w:r>
            <w:r w:rsidRPr="00827E62">
              <w:rPr>
                <w:noProof/>
                <w:sz w:val="20"/>
                <w:szCs w:val="20"/>
              </w:rPr>
              <w:t xml:space="preserve"> prošle godine </w:t>
            </w:r>
            <w:r w:rsidR="00AE3EC8" w:rsidRPr="00827E62">
              <w:rPr>
                <w:noProof/>
                <w:sz w:val="20"/>
                <w:szCs w:val="20"/>
              </w:rPr>
              <w:t xml:space="preserve"> za 44,3 mil. € </w:t>
            </w:r>
            <w:r w:rsidR="00AE3EC8">
              <w:rPr>
                <w:noProof/>
                <w:sz w:val="20"/>
                <w:szCs w:val="20"/>
              </w:rPr>
              <w:t xml:space="preserve"> i u odnosu na plan</w:t>
            </w:r>
            <w:r w:rsidRPr="00827E62">
              <w:rPr>
                <w:noProof/>
                <w:sz w:val="20"/>
                <w:szCs w:val="20"/>
              </w:rPr>
              <w:t xml:space="preserve"> </w:t>
            </w:r>
            <w:r w:rsidR="00AE3EC8">
              <w:rPr>
                <w:noProof/>
                <w:sz w:val="20"/>
                <w:szCs w:val="20"/>
              </w:rPr>
              <w:t xml:space="preserve">za  37,15 mil. € </w:t>
            </w:r>
            <w:r w:rsidRPr="00827E62">
              <w:rPr>
                <w:noProof/>
                <w:sz w:val="20"/>
                <w:szCs w:val="20"/>
              </w:rPr>
              <w:t xml:space="preserve">. </w:t>
            </w:r>
          </w:p>
          <w:p w:rsidR="00237CC5" w:rsidRPr="00827E62" w:rsidRDefault="000D588E" w:rsidP="00237CC5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Deficit</w:t>
            </w:r>
            <w:r w:rsidR="00237CC5" w:rsidRPr="00827E62">
              <w:rPr>
                <w:b/>
                <w:noProof/>
                <w:sz w:val="20"/>
                <w:szCs w:val="20"/>
              </w:rPr>
              <w:t xml:space="preserve"> budžeta</w:t>
            </w:r>
            <w:r w:rsidR="00237CC5" w:rsidRPr="00827E62">
              <w:rPr>
                <w:noProof/>
                <w:sz w:val="20"/>
                <w:szCs w:val="20"/>
              </w:rPr>
              <w:t xml:space="preserve"> u avgustu 2013. </w:t>
            </w:r>
            <w:r w:rsidR="004639A5">
              <w:rPr>
                <w:noProof/>
                <w:sz w:val="20"/>
                <w:szCs w:val="20"/>
              </w:rPr>
              <w:t xml:space="preserve">godine iznosio je </w:t>
            </w:r>
            <w:r w:rsidR="00E9031B">
              <w:rPr>
                <w:noProof/>
                <w:sz w:val="20"/>
                <w:szCs w:val="20"/>
              </w:rPr>
              <w:t>17,13 mil. €</w:t>
            </w:r>
            <w:r w:rsidR="00237CC5" w:rsidRPr="00827E62">
              <w:rPr>
                <w:noProof/>
                <w:sz w:val="20"/>
                <w:szCs w:val="20"/>
              </w:rPr>
              <w:t xml:space="preserve">. Kumulativni deficit budžeta </w:t>
            </w:r>
            <w:r w:rsidR="00E9031B">
              <w:rPr>
                <w:noProof/>
                <w:sz w:val="20"/>
                <w:szCs w:val="20"/>
              </w:rPr>
              <w:t>za</w:t>
            </w:r>
            <w:r w:rsidR="00237CC5" w:rsidRPr="00827E62">
              <w:rPr>
                <w:noProof/>
                <w:sz w:val="20"/>
                <w:szCs w:val="20"/>
              </w:rPr>
              <w:t xml:space="preserve"> 8 mjeseci 2013. godine iznosio je 137,26 mil. € i veći je od deficita u istom periodu</w:t>
            </w:r>
            <w:r w:rsidR="00793F4D">
              <w:rPr>
                <w:noProof/>
                <w:sz w:val="20"/>
                <w:szCs w:val="20"/>
              </w:rPr>
              <w:t xml:space="preserve"> prošle godine za 27,07 mil. €</w:t>
            </w:r>
            <w:r w:rsidR="004639A5">
              <w:rPr>
                <w:noProof/>
                <w:sz w:val="20"/>
                <w:szCs w:val="20"/>
              </w:rPr>
              <w:t>, zbog plaćenih garancija za Kombinat Aluminijuma u iznosu od 103 mil €</w:t>
            </w:r>
            <w:r w:rsidR="00793F4D">
              <w:rPr>
                <w:noProof/>
                <w:sz w:val="20"/>
                <w:szCs w:val="20"/>
              </w:rPr>
              <w:t>.</w:t>
            </w:r>
          </w:p>
          <w:p w:rsidR="00237CC5" w:rsidRDefault="00237CC5" w:rsidP="00237CC5">
            <w:pPr>
              <w:jc w:val="both"/>
              <w:rPr>
                <w:noProof/>
                <w:sz w:val="20"/>
                <w:szCs w:val="20"/>
              </w:rPr>
            </w:pPr>
            <w:r w:rsidRPr="00827E62">
              <w:rPr>
                <w:b/>
                <w:noProof/>
                <w:sz w:val="20"/>
                <w:szCs w:val="20"/>
              </w:rPr>
              <w:t>Državni dug</w:t>
            </w:r>
            <w:r>
              <w:rPr>
                <w:noProof/>
                <w:sz w:val="20"/>
                <w:szCs w:val="20"/>
              </w:rPr>
              <w:t xml:space="preserve"> na kraju avgusta</w:t>
            </w:r>
            <w:r w:rsidRPr="00827E62">
              <w:rPr>
                <w:noProof/>
                <w:sz w:val="20"/>
                <w:szCs w:val="20"/>
              </w:rPr>
              <w:t xml:space="preserve"> 2013.godine iznosio je 1.844,9 mil. € ili 52,46% procijenjenog BDP-a i povećan je </w:t>
            </w:r>
            <w:r w:rsidR="00AE3EC8">
              <w:rPr>
                <w:noProof/>
                <w:sz w:val="20"/>
                <w:szCs w:val="20"/>
              </w:rPr>
              <w:t>0,98 p.p.</w:t>
            </w:r>
            <w:r w:rsidRPr="00827E62">
              <w:rPr>
                <w:noProof/>
                <w:sz w:val="20"/>
                <w:szCs w:val="20"/>
              </w:rPr>
              <w:t xml:space="preserve"> u odnosu na prethodni mjesec. Unutrašnji dug iznosio je 433,8 mil. €, a dug prema nerezidentima 1.411,1 mil.€  </w:t>
            </w:r>
          </w:p>
          <w:p w:rsidR="00237CC5" w:rsidRPr="00260976" w:rsidRDefault="00237CC5" w:rsidP="00237CC5">
            <w:pPr>
              <w:pStyle w:val="ListParagraph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</w:rPr>
            </w:pPr>
          </w:p>
          <w:p w:rsidR="00260976" w:rsidRPr="00260976" w:rsidRDefault="00260976" w:rsidP="003F56BD">
            <w:pPr>
              <w:spacing w:after="0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260976" w:rsidRPr="00DC4AD1" w:rsidRDefault="00483B9D" w:rsidP="00260976">
            <w:pPr>
              <w:spacing w:after="119" w:line="240" w:lineRule="auto"/>
              <w:jc w:val="center"/>
              <w:rPr>
                <w:noProof/>
              </w:rPr>
            </w:pPr>
            <w:r w:rsidRPr="00483B9D">
              <w:rPr>
                <w:noProof/>
              </w:rPr>
              <w:drawing>
                <wp:inline distT="0" distB="0" distL="0" distR="0">
                  <wp:extent cx="2324100" cy="2552700"/>
                  <wp:effectExtent l="19050" t="0" r="0" b="0"/>
                  <wp:docPr id="1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260976" w:rsidRPr="00DC4AD1" w:rsidTr="00C07EBB">
        <w:trPr>
          <w:trHeight w:hRule="exact" w:val="5037"/>
        </w:trPr>
        <w:tc>
          <w:tcPr>
            <w:tcW w:w="705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8C5163" w:rsidRPr="008C5163" w:rsidRDefault="002668AA" w:rsidP="008C51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2668AA">
              <w:rPr>
                <w:b/>
                <w:bCs/>
                <w:noProof/>
                <w:sz w:val="20"/>
                <w:szCs w:val="20"/>
                <w:lang w:val="sr-Latn-CS" w:eastAsia="sr-Latn-CS"/>
              </w:rPr>
              <w:pict>
                <v:shape id="_x0000_s1027" type="#_x0000_t32" style="position:absolute;left:0;text-align:left;margin-left:0;margin-top:10.7pt;width:339.5pt;height:0;z-index:251660288;mso-position-horizontal-relative:text;mso-position-vertical-relative:text" o:connectortype="straight" strokeweight=".5pt"/>
              </w:pict>
            </w:r>
            <w:r w:rsidR="00706CF0">
              <w:rPr>
                <w:b/>
                <w:bCs/>
                <w:noProof/>
                <w:sz w:val="20"/>
                <w:szCs w:val="20"/>
              </w:rPr>
              <w:t>Monetarni sek</w:t>
            </w:r>
            <w:r w:rsidR="008C5163" w:rsidRPr="008C5163">
              <w:rPr>
                <w:b/>
                <w:bCs/>
                <w:noProof/>
                <w:sz w:val="20"/>
                <w:szCs w:val="20"/>
              </w:rPr>
              <w:t>tor</w:t>
            </w:r>
          </w:p>
          <w:p w:rsidR="008C5163" w:rsidRPr="00260976" w:rsidRDefault="004F4CFC" w:rsidP="0050365D">
            <w:pPr>
              <w:spacing w:line="240" w:lineRule="auto"/>
              <w:jc w:val="both"/>
              <w:rPr>
                <w:noProof/>
              </w:rPr>
            </w:pPr>
            <w:r w:rsidRPr="004F4CFC">
              <w:rPr>
                <w:b/>
                <w:noProof/>
                <w:sz w:val="20"/>
              </w:rPr>
              <w:t>U avgustu su nastavljene pozitivne tendenci</w:t>
            </w:r>
            <w:r w:rsidR="000F1AA9">
              <w:rPr>
                <w:b/>
                <w:noProof/>
                <w:sz w:val="20"/>
              </w:rPr>
              <w:t>je u kretanju  ukupnih kredita i</w:t>
            </w:r>
            <w:r w:rsidRPr="004F4CFC">
              <w:rPr>
                <w:b/>
                <w:noProof/>
                <w:sz w:val="20"/>
              </w:rPr>
              <w:t xml:space="preserve"> </w:t>
            </w:r>
            <w:r w:rsidR="000F1AA9">
              <w:rPr>
                <w:b/>
                <w:noProof/>
                <w:sz w:val="20"/>
              </w:rPr>
              <w:t>ostalih potraživanja, depozita i</w:t>
            </w:r>
            <w:r w:rsidRPr="004F4CFC">
              <w:rPr>
                <w:b/>
                <w:noProof/>
                <w:sz w:val="20"/>
              </w:rPr>
              <w:t xml:space="preserve"> kapitala banaka</w:t>
            </w:r>
            <w:r w:rsidRPr="004F4CFC">
              <w:rPr>
                <w:noProof/>
                <w:sz w:val="20"/>
              </w:rPr>
              <w:t xml:space="preserve">. Rast </w:t>
            </w:r>
            <w:r w:rsidRPr="004F4CFC">
              <w:rPr>
                <w:b/>
                <w:noProof/>
                <w:sz w:val="20"/>
              </w:rPr>
              <w:t>ukupnih kredita</w:t>
            </w:r>
            <w:r w:rsidRPr="004F4CFC">
              <w:rPr>
                <w:noProof/>
                <w:sz w:val="20"/>
              </w:rPr>
              <w:t xml:space="preserve"> I ostalih potraživanja za prvih osam mjeseci ove godine, u odnosu na kraj 2012 godine je iznosio 8,4 %, što je najvećim dijelom rezultat  izmjene regulative, koja je stupila na snagu 1 januara 2013 godine</w:t>
            </w:r>
            <w:r w:rsidR="000F1AA9">
              <w:rPr>
                <w:noProof/>
                <w:sz w:val="20"/>
              </w:rPr>
              <w:t xml:space="preserve"> </w:t>
            </w:r>
            <w:r w:rsidRPr="004F4CFC">
              <w:rPr>
                <w:noProof/>
                <w:sz w:val="20"/>
              </w:rPr>
              <w:t>.</w:t>
            </w:r>
            <w:r w:rsidR="000F1AA9">
              <w:rPr>
                <w:noProof/>
                <w:sz w:val="20"/>
              </w:rPr>
              <w:t xml:space="preserve"> </w:t>
            </w:r>
            <w:r w:rsidRPr="004F4CFC">
              <w:rPr>
                <w:noProof/>
                <w:sz w:val="20"/>
              </w:rPr>
              <w:t>Naime,</w:t>
            </w:r>
            <w:r w:rsidR="000F1AA9">
              <w:rPr>
                <w:noProof/>
                <w:sz w:val="20"/>
              </w:rPr>
              <w:t xml:space="preserve"> </w:t>
            </w:r>
            <w:r w:rsidRPr="004F4CFC">
              <w:rPr>
                <w:noProof/>
                <w:sz w:val="20"/>
              </w:rPr>
              <w:t>primjenom Međunarodnih računovodstvenih standarda banke su vratile dio otpisanih kredita I ostalih potraživanja (kategorija E) iz vanbilansne evidencije u bilanse. Tako se u posmatranom periodu stvarna kreditna aktivnost  reflektovala kroz 484,9 mil. € novoodobrenih kredita, od čega se 40,1 % odnosilo na privredu, 37,8 % na stanov</w:t>
            </w:r>
            <w:r w:rsidR="000F1AA9">
              <w:rPr>
                <w:noProof/>
                <w:sz w:val="20"/>
              </w:rPr>
              <w:t xml:space="preserve">ništvo i 15,7 % na </w:t>
            </w:r>
            <w:r w:rsidRPr="004F4CFC">
              <w:rPr>
                <w:noProof/>
                <w:sz w:val="20"/>
              </w:rPr>
              <w:t xml:space="preserve">vladu. </w:t>
            </w:r>
            <w:r w:rsidRPr="004F4CFC">
              <w:rPr>
                <w:b/>
                <w:noProof/>
                <w:sz w:val="20"/>
              </w:rPr>
              <w:t xml:space="preserve">Ukupni depoziti </w:t>
            </w:r>
            <w:r w:rsidRPr="004F4CFC">
              <w:rPr>
                <w:noProof/>
                <w:sz w:val="20"/>
              </w:rPr>
              <w:t>su u avgustu iznosili 2.144,3 mil. €, pri čemu su ostvaril</w:t>
            </w:r>
            <w:r w:rsidR="0050365D">
              <w:rPr>
                <w:noProof/>
                <w:sz w:val="20"/>
              </w:rPr>
              <w:t xml:space="preserve">i rast od 3,3 % na mjesečnom i </w:t>
            </w:r>
            <w:r w:rsidRPr="004F4CFC">
              <w:rPr>
                <w:noProof/>
                <w:sz w:val="20"/>
              </w:rPr>
              <w:t xml:space="preserve">9,7 % na godišnjem nivou. </w:t>
            </w:r>
            <w:r w:rsidR="000F1AA9">
              <w:rPr>
                <w:noProof/>
                <w:sz w:val="20"/>
              </w:rPr>
              <w:t>D</w:t>
            </w:r>
            <w:r w:rsidRPr="004F4CFC">
              <w:rPr>
                <w:noProof/>
                <w:sz w:val="20"/>
              </w:rPr>
              <w:t>epoziti stanovništva, koji imaju dominantnu poziciju u ukupnim depozitima od 56,8%, su povećani za 9,9% u odnosu na isti mjesec prethodne godine.</w:t>
            </w:r>
            <w:r w:rsidR="0090210D">
              <w:rPr>
                <w:noProof/>
                <w:sz w:val="20"/>
              </w:rPr>
              <w:t xml:space="preserve"> </w:t>
            </w:r>
            <w:r w:rsidRPr="004F4CFC">
              <w:rPr>
                <w:b/>
                <w:noProof/>
                <w:sz w:val="20"/>
              </w:rPr>
              <w:t xml:space="preserve">Ukupan kapital </w:t>
            </w:r>
            <w:r w:rsidR="0090210D">
              <w:rPr>
                <w:noProof/>
                <w:sz w:val="20"/>
              </w:rPr>
              <w:t xml:space="preserve">je iznosio 414,0 mil. € i </w:t>
            </w:r>
            <w:r w:rsidRPr="004F4CFC">
              <w:rPr>
                <w:noProof/>
                <w:sz w:val="20"/>
              </w:rPr>
              <w:t xml:space="preserve">povećan je za 125,3 mil. €, </w:t>
            </w:r>
            <w:r w:rsidRPr="004F4CFC">
              <w:rPr>
                <w:noProof/>
                <w:sz w:val="20"/>
                <w:szCs w:val="20"/>
              </w:rPr>
              <w:t xml:space="preserve">ili 43,4 % u odnosu na kraj prethodne godine. </w:t>
            </w:r>
            <w:r w:rsidRPr="004F4CFC">
              <w:rPr>
                <w:b/>
                <w:noProof/>
                <w:sz w:val="20"/>
                <w:szCs w:val="20"/>
              </w:rPr>
              <w:t>Nelikvidnost privrede</w:t>
            </w:r>
            <w:r w:rsidRPr="004F4CFC">
              <w:rPr>
                <w:noProof/>
                <w:sz w:val="20"/>
                <w:szCs w:val="20"/>
              </w:rPr>
              <w:t xml:space="preserve"> je</w:t>
            </w:r>
            <w:r w:rsidR="00965E55">
              <w:rPr>
                <w:noProof/>
                <w:sz w:val="20"/>
                <w:szCs w:val="20"/>
              </w:rPr>
              <w:t xml:space="preserve"> i </w:t>
            </w:r>
            <w:r w:rsidRPr="004F4CFC">
              <w:rPr>
                <w:noProof/>
                <w:sz w:val="20"/>
                <w:szCs w:val="20"/>
              </w:rPr>
              <w:t>dalje izražena,</w:t>
            </w:r>
            <w:r w:rsidR="0090210D">
              <w:rPr>
                <w:noProof/>
                <w:sz w:val="20"/>
                <w:szCs w:val="20"/>
              </w:rPr>
              <w:t xml:space="preserve"> </w:t>
            </w:r>
            <w:r w:rsidRPr="004F4CFC">
              <w:rPr>
                <w:noProof/>
                <w:sz w:val="20"/>
                <w:szCs w:val="20"/>
              </w:rPr>
              <w:t>tako da je od 54.840 pravnih lica,koji posluju u avgustu u blokadi bilo 12.594, što je za 0,82 % više u</w:t>
            </w:r>
            <w:r>
              <w:rPr>
                <w:noProof/>
              </w:rPr>
              <w:t xml:space="preserve"> </w:t>
            </w:r>
            <w:r w:rsidRPr="004F4CFC">
              <w:rPr>
                <w:noProof/>
                <w:sz w:val="20"/>
              </w:rPr>
              <w:t xml:space="preserve">odnosu na </w:t>
            </w:r>
            <w:r w:rsidRPr="00C07EBB">
              <w:rPr>
                <w:noProof/>
                <w:sz w:val="20"/>
                <w:szCs w:val="20"/>
              </w:rPr>
              <w:t>prethodni mjesec. U vrijednosnom smislu , ukupan iznos duga po osnovu koga je izvršeno blokiranje računa iznosi  438,2 mil. €, što je za 0,33 % više u odnosu na prethodni mjesec.</w:t>
            </w:r>
          </w:p>
        </w:tc>
        <w:tc>
          <w:tcPr>
            <w:tcW w:w="3686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vAlign w:val="center"/>
          </w:tcPr>
          <w:p w:rsidR="00260976" w:rsidRPr="00DC4AD1" w:rsidRDefault="005562D6" w:rsidP="00260976">
            <w:pPr>
              <w:spacing w:after="119" w:line="240" w:lineRule="auto"/>
              <w:jc w:val="center"/>
              <w:rPr>
                <w:noProof/>
              </w:rPr>
            </w:pPr>
            <w:r w:rsidRPr="005562D6">
              <w:rPr>
                <w:noProof/>
              </w:rPr>
              <w:drawing>
                <wp:inline distT="0" distB="0" distL="0" distR="0">
                  <wp:extent cx="2343150" cy="2355850"/>
                  <wp:effectExtent l="0" t="0" r="0" b="0"/>
                  <wp:docPr id="3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260976" w:rsidRPr="00DC4AD1" w:rsidTr="000F1AA9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260976" w:rsidRPr="00DC4AD1" w:rsidRDefault="00260976" w:rsidP="002609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b/>
                <w:noProof/>
                <w:sz w:val="20"/>
                <w:szCs w:val="20"/>
              </w:rPr>
            </w:pPr>
            <w:r w:rsidRPr="00DC4AD1">
              <w:rPr>
                <w:b/>
                <w:bCs/>
                <w:noProof/>
                <w:sz w:val="20"/>
                <w:szCs w:val="20"/>
              </w:rPr>
              <w:t>Spoljnotrgovinska  razmjena  i  investicije</w:t>
            </w:r>
          </w:p>
        </w:tc>
        <w:tc>
          <w:tcPr>
            <w:tcW w:w="3686" w:type="dxa"/>
            <w:gridSpan w:val="2"/>
            <w:vMerge w:val="restart"/>
            <w:tcBorders>
              <w:bottom w:val="thickThinSmallGap" w:sz="18" w:space="0" w:color="auto"/>
            </w:tcBorders>
            <w:vAlign w:val="bottom"/>
          </w:tcPr>
          <w:p w:rsidR="00260976" w:rsidRPr="00DC4AD1" w:rsidRDefault="004F4CFC" w:rsidP="000F1AA9">
            <w:pPr>
              <w:spacing w:after="0" w:line="240" w:lineRule="auto"/>
              <w:ind w:left="-250"/>
              <w:jc w:val="center"/>
              <w:rPr>
                <w:noProof/>
                <w:sz w:val="17"/>
                <w:szCs w:val="17"/>
              </w:rPr>
            </w:pPr>
            <w:r w:rsidRPr="004F4CFC">
              <w:rPr>
                <w:noProof/>
                <w:sz w:val="17"/>
                <w:szCs w:val="17"/>
              </w:rPr>
              <w:drawing>
                <wp:inline distT="0" distB="0" distL="0" distR="0">
                  <wp:extent cx="2311977" cy="2010641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260976" w:rsidRPr="00DC4AD1" w:rsidRDefault="00260976" w:rsidP="000F1AA9">
            <w:pPr>
              <w:jc w:val="center"/>
              <w:rPr>
                <w:noProof/>
                <w:sz w:val="17"/>
                <w:szCs w:val="17"/>
              </w:rPr>
            </w:pPr>
          </w:p>
          <w:p w:rsidR="00260976" w:rsidRPr="00DC4AD1" w:rsidRDefault="00260976" w:rsidP="000F1AA9">
            <w:pPr>
              <w:jc w:val="center"/>
              <w:rPr>
                <w:noProof/>
                <w:sz w:val="17"/>
                <w:szCs w:val="17"/>
              </w:rPr>
            </w:pPr>
          </w:p>
          <w:p w:rsidR="00260976" w:rsidRPr="00DC4AD1" w:rsidRDefault="00260976" w:rsidP="000F1AA9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260976" w:rsidRPr="00DC4AD1" w:rsidTr="00C07EBB">
        <w:trPr>
          <w:trHeight w:hRule="exact" w:val="5414"/>
        </w:trPr>
        <w:tc>
          <w:tcPr>
            <w:tcW w:w="7054" w:type="dxa"/>
            <w:tcBorders>
              <w:top w:val="single" w:sz="4" w:space="0" w:color="auto"/>
              <w:bottom w:val="thickThinSmallGap" w:sz="18" w:space="0" w:color="auto"/>
            </w:tcBorders>
          </w:tcPr>
          <w:p w:rsidR="00260976" w:rsidRPr="00DC4AD1" w:rsidRDefault="00483B9D" w:rsidP="000F1AA9">
            <w:pPr>
              <w:spacing w:line="240" w:lineRule="auto"/>
              <w:jc w:val="both"/>
              <w:rPr>
                <w:noProof/>
                <w:sz w:val="18"/>
                <w:szCs w:val="18"/>
              </w:rPr>
            </w:pPr>
            <w:r w:rsidRPr="00052FD9">
              <w:rPr>
                <w:b/>
                <w:noProof/>
                <w:color w:val="000000"/>
                <w:sz w:val="20"/>
                <w:szCs w:val="20"/>
              </w:rPr>
              <w:t>Kretanja u eksternom sektoru  u periodu januar-avgust 2013.godine  karakteriše</w:t>
            </w:r>
            <w:r>
              <w:rPr>
                <w:noProof/>
              </w:rPr>
              <w:t xml:space="preserve"> </w:t>
            </w:r>
            <w:r w:rsidRPr="00052FD9">
              <w:rPr>
                <w:b/>
                <w:noProof/>
                <w:color w:val="000000"/>
                <w:sz w:val="20"/>
                <w:szCs w:val="20"/>
              </w:rPr>
              <w:t xml:space="preserve"> pad obima robne razmjene i spoljnotrgovinskog deficita.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954461">
              <w:rPr>
                <w:sz w:val="20"/>
                <w:szCs w:val="20"/>
              </w:rPr>
              <w:t>Ukup</w:t>
            </w:r>
            <w:r>
              <w:rPr>
                <w:sz w:val="20"/>
                <w:szCs w:val="20"/>
              </w:rPr>
              <w:t xml:space="preserve">na spoljnotrgovinska razmjena </w:t>
            </w:r>
            <w:r w:rsidRPr="00954461">
              <w:rPr>
                <w:sz w:val="20"/>
                <w:szCs w:val="20"/>
              </w:rPr>
              <w:t xml:space="preserve"> iznosi</w:t>
            </w:r>
            <w:r>
              <w:rPr>
                <w:sz w:val="20"/>
                <w:szCs w:val="20"/>
              </w:rPr>
              <w:t>la</w:t>
            </w:r>
            <w:r w:rsidRPr="00954461">
              <w:rPr>
                <w:sz w:val="20"/>
                <w:szCs w:val="20"/>
              </w:rPr>
              <w:t xml:space="preserve">  je  1.440,5mil.€</w:t>
            </w:r>
            <w:r>
              <w:rPr>
                <w:sz w:val="20"/>
                <w:szCs w:val="20"/>
              </w:rPr>
              <w:t xml:space="preserve">, što je za </w:t>
            </w:r>
            <w:r w:rsidRPr="00954461">
              <w:rPr>
                <w:sz w:val="20"/>
                <w:szCs w:val="20"/>
              </w:rPr>
              <w:t>2,9%</w:t>
            </w:r>
            <w:r>
              <w:rPr>
                <w:sz w:val="20"/>
                <w:szCs w:val="20"/>
              </w:rPr>
              <w:t xml:space="preserve"> manje </w:t>
            </w:r>
            <w:r w:rsidRPr="00954461">
              <w:rPr>
                <w:sz w:val="20"/>
                <w:szCs w:val="20"/>
              </w:rPr>
              <w:t xml:space="preserve"> u odnosu na isti period 2012.godine.  Spoljnotrgovinski  deficit  je  bio za  6,5% manji  nego u prethodnoj godini  i  iznosi  928,5mil.€, usljed   povećanja izvoza roba za 4,3%</w:t>
            </w:r>
            <w:r w:rsidR="000F1AA9">
              <w:rPr>
                <w:sz w:val="20"/>
                <w:szCs w:val="20"/>
              </w:rPr>
              <w:t xml:space="preserve"> </w:t>
            </w:r>
            <w:r w:rsidRPr="00954461">
              <w:rPr>
                <w:sz w:val="20"/>
                <w:szCs w:val="20"/>
              </w:rPr>
              <w:t xml:space="preserve"> uz istovremeno  smanjenje  uvoza  za  4,4%.  Iako je u posmatranom  periodu  zabilježeno  smanjenje  robnog  deficita, ono  nije  bilo  rezultat  poboljšanja  konkurentnosti  izvoza,  već  specifičnih  sektorskih faktora, odnosno  kretanja  u  energetskom  sektoru.  Povećan  je  stepen  pokrivenosti  uvoza  izvozom </w:t>
            </w:r>
            <w:r>
              <w:rPr>
                <w:sz w:val="20"/>
                <w:szCs w:val="20"/>
              </w:rPr>
              <w:t xml:space="preserve"> </w:t>
            </w:r>
            <w:r w:rsidRPr="00954461">
              <w:rPr>
                <w:sz w:val="20"/>
                <w:szCs w:val="20"/>
              </w:rPr>
              <w:t>robe  na  21,6%  sa  19,8% koliko je iznosio u  prvih  osam mjeseci   2012.godine.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Ukupan izvoz roba  </w:t>
            </w:r>
            <w:r>
              <w:rPr>
                <w:sz w:val="20"/>
                <w:szCs w:val="20"/>
              </w:rPr>
              <w:t xml:space="preserve">vrijedio </w:t>
            </w:r>
            <w:r w:rsidRPr="00DC4AD1">
              <w:rPr>
                <w:sz w:val="20"/>
                <w:szCs w:val="20"/>
              </w:rPr>
              <w:t xml:space="preserve"> je </w:t>
            </w:r>
            <w:r>
              <w:rPr>
                <w:sz w:val="20"/>
                <w:szCs w:val="20"/>
              </w:rPr>
              <w:t>256,0</w:t>
            </w:r>
            <w:r w:rsidRPr="00DC4AD1">
              <w:rPr>
                <w:sz w:val="20"/>
                <w:szCs w:val="20"/>
              </w:rPr>
              <w:t>mil.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€  ili </w:t>
            </w:r>
            <w:r>
              <w:rPr>
                <w:sz w:val="20"/>
                <w:szCs w:val="20"/>
              </w:rPr>
              <w:t>4</w:t>
            </w:r>
            <w:r w:rsidRPr="00DC4AD1">
              <w:rPr>
                <w:sz w:val="20"/>
                <w:szCs w:val="20"/>
              </w:rPr>
              <w:t>,3% više,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 dok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>je uv</w:t>
            </w:r>
            <w:r>
              <w:rPr>
                <w:sz w:val="20"/>
                <w:szCs w:val="20"/>
              </w:rPr>
              <w:t>oz</w:t>
            </w:r>
            <w:r w:rsidRPr="00DC4A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robe </w:t>
            </w:r>
            <w:r>
              <w:rPr>
                <w:sz w:val="20"/>
                <w:szCs w:val="20"/>
              </w:rPr>
              <w:t xml:space="preserve"> u vrijednosti  od   1.184,5</w:t>
            </w:r>
            <w:r w:rsidRPr="00DC4AD1">
              <w:rPr>
                <w:sz w:val="20"/>
                <w:szCs w:val="20"/>
              </w:rPr>
              <w:t>mil.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 xml:space="preserve"> bio za </w:t>
            </w:r>
            <w:r w:rsidRPr="00DC4AD1">
              <w:rPr>
                <w:sz w:val="20"/>
                <w:szCs w:val="20"/>
              </w:rPr>
              <w:t xml:space="preserve"> 4,</w:t>
            </w:r>
            <w:r>
              <w:rPr>
                <w:sz w:val="20"/>
                <w:szCs w:val="20"/>
              </w:rPr>
              <w:t>4</w:t>
            </w:r>
            <w:r w:rsidRPr="00DC4AD1">
              <w:rPr>
                <w:sz w:val="20"/>
                <w:szCs w:val="20"/>
              </w:rPr>
              <w:t>% manj</w:t>
            </w:r>
            <w:r>
              <w:rPr>
                <w:sz w:val="20"/>
                <w:szCs w:val="20"/>
              </w:rPr>
              <w:t>i</w:t>
            </w:r>
            <w:r w:rsidRPr="00DC4A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Na rast </w:t>
            </w:r>
            <w:r w:rsidRPr="00052FD9">
              <w:rPr>
                <w:b/>
                <w:sz w:val="20"/>
                <w:szCs w:val="20"/>
              </w:rPr>
              <w:t>izvoza</w:t>
            </w:r>
            <w:r>
              <w:rPr>
                <w:sz w:val="20"/>
                <w:szCs w:val="20"/>
              </w:rPr>
              <w:t xml:space="preserve">  najviše  je </w:t>
            </w:r>
            <w:r w:rsidRPr="00DC4A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uticao i</w:t>
            </w:r>
            <w:r w:rsidRPr="00DC4AD1">
              <w:rPr>
                <w:sz w:val="20"/>
                <w:szCs w:val="20"/>
              </w:rPr>
              <w:t xml:space="preserve">zvoz </w:t>
            </w:r>
            <w:r>
              <w:rPr>
                <w:sz w:val="20"/>
                <w:szCs w:val="20"/>
              </w:rPr>
              <w:t>električne energije  koji  iznosi  75,7 mil.€ ili 207,0% više u  odnosu  na  isti  period  prethodne godine.  Istovremeno,  izvoz a</w:t>
            </w:r>
            <w:r w:rsidRPr="00DC4AD1">
              <w:rPr>
                <w:sz w:val="20"/>
                <w:szCs w:val="20"/>
              </w:rPr>
              <w:t>luminijum</w:t>
            </w:r>
            <w:r>
              <w:rPr>
                <w:sz w:val="20"/>
                <w:szCs w:val="20"/>
              </w:rPr>
              <w:t xml:space="preserve">a </w:t>
            </w:r>
            <w:r w:rsidRPr="00DC4A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 w:rsidRPr="00DC4AD1">
              <w:rPr>
                <w:sz w:val="20"/>
                <w:szCs w:val="20"/>
              </w:rPr>
              <w:t xml:space="preserve"> gvožđ</w:t>
            </w:r>
            <w:r>
              <w:rPr>
                <w:sz w:val="20"/>
                <w:szCs w:val="20"/>
              </w:rPr>
              <w:t>a</w:t>
            </w:r>
            <w:r w:rsidRPr="00DC4A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>čelik</w:t>
            </w:r>
            <w:r>
              <w:rPr>
                <w:sz w:val="20"/>
                <w:szCs w:val="20"/>
              </w:rPr>
              <w:t>a</w:t>
            </w:r>
            <w:r w:rsidRPr="00DC4AD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bilježi </w:t>
            </w:r>
            <w:r w:rsidRPr="00DC4AD1">
              <w:rPr>
                <w:sz w:val="20"/>
                <w:szCs w:val="20"/>
              </w:rPr>
              <w:t xml:space="preserve"> pad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 xml:space="preserve"> 43</w:t>
            </w:r>
            <w:r w:rsidRPr="00DC4AD1">
              <w:rPr>
                <w:sz w:val="20"/>
                <w:szCs w:val="20"/>
              </w:rPr>
              <w:t xml:space="preserve">,0%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 29,</w:t>
            </w:r>
            <w:r w:rsidRPr="00DC4AD1">
              <w:rPr>
                <w:sz w:val="20"/>
                <w:szCs w:val="20"/>
              </w:rPr>
              <w:t xml:space="preserve">0%, respektivno. Negativan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trend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kod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izvoza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navedenih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kategorija 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prisutan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je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usljed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smanjenja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proizvodnje </w:t>
            </w:r>
            <w:r>
              <w:rPr>
                <w:sz w:val="20"/>
                <w:szCs w:val="20"/>
              </w:rPr>
              <w:t xml:space="preserve"> osnovnih metala za 43,7%. </w:t>
            </w:r>
            <w:r w:rsidRPr="00DC4AD1">
              <w:rPr>
                <w:sz w:val="20"/>
                <w:szCs w:val="20"/>
              </w:rPr>
              <w:t xml:space="preserve">Na pad  </w:t>
            </w:r>
            <w:r w:rsidRPr="00052FD9">
              <w:rPr>
                <w:b/>
                <w:sz w:val="20"/>
                <w:szCs w:val="20"/>
              </w:rPr>
              <w:t>uvoza</w:t>
            </w:r>
            <w:r w:rsidRPr="00DC4AD1">
              <w:rPr>
                <w:sz w:val="20"/>
                <w:szCs w:val="20"/>
              </w:rPr>
              <w:t xml:space="preserve"> najviše je uticalo smanjenje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 uvoza 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>električne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 xml:space="preserve"> energije </w:t>
            </w:r>
            <w:r>
              <w:rPr>
                <w:sz w:val="20"/>
                <w:szCs w:val="20"/>
              </w:rPr>
              <w:t xml:space="preserve"> za  55,0</w:t>
            </w:r>
            <w:r w:rsidRPr="00DC4AD1">
              <w:rPr>
                <w:sz w:val="20"/>
                <w:szCs w:val="20"/>
              </w:rPr>
              <w:t xml:space="preserve">%, </w:t>
            </w:r>
            <w:r>
              <w:rPr>
                <w:sz w:val="20"/>
                <w:szCs w:val="20"/>
              </w:rPr>
              <w:t xml:space="preserve">što je sa jedne strane, rezultat  smanjenja  potrošnje KAP-a , a  sa  druge,  rasta  obima  proizvodnje električne energije.  Izvoz  u  zemlje  EU- 28, nekada  glavno izvozno  tržište  aluminijuma, smanjen  je  za  21,8%, dok je izvoz u  zemlje  CEFTA  povećan  za  41,8% u odnosu na isti period prethodne godine. </w:t>
            </w:r>
          </w:p>
        </w:tc>
        <w:tc>
          <w:tcPr>
            <w:tcW w:w="3686" w:type="dxa"/>
            <w:gridSpan w:val="2"/>
            <w:vMerge/>
            <w:tcBorders>
              <w:top w:val="thinThickSmallGap" w:sz="18" w:space="0" w:color="auto"/>
              <w:bottom w:val="thickThinSmallGap" w:sz="18" w:space="0" w:color="auto"/>
            </w:tcBorders>
            <w:vAlign w:val="center"/>
          </w:tcPr>
          <w:p w:rsidR="00260976" w:rsidRPr="00DC4AD1" w:rsidRDefault="00260976" w:rsidP="00260976">
            <w:pPr>
              <w:spacing w:after="0" w:line="240" w:lineRule="auto"/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82570B" w:rsidRPr="00DC4AD1" w:rsidRDefault="0082570B" w:rsidP="00D51C00">
      <w:pPr>
        <w:rPr>
          <w:noProof/>
        </w:rPr>
        <w:sectPr w:rsidR="0082570B" w:rsidRPr="00DC4AD1" w:rsidSect="008D4618">
          <w:pgSz w:w="11907" w:h="16839" w:code="9"/>
          <w:pgMar w:top="720" w:right="720" w:bottom="567" w:left="720" w:header="720" w:footer="720" w:gutter="0"/>
          <w:cols w:space="720"/>
          <w:rtlGutter/>
          <w:docGrid w:linePitch="360"/>
        </w:sectPr>
      </w:pPr>
    </w:p>
    <w:p w:rsidR="0082570B" w:rsidRPr="00DC4AD1" w:rsidRDefault="0082570B" w:rsidP="0002564B">
      <w:pPr>
        <w:jc w:val="center"/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lastRenderedPageBreak/>
        <w:t xml:space="preserve">Tabela 1: </w:t>
      </w:r>
      <w:r w:rsidRPr="00DC4AD1">
        <w:rPr>
          <w:b/>
          <w:bCs/>
          <w:noProof/>
          <w:sz w:val="17"/>
          <w:szCs w:val="16"/>
        </w:rPr>
        <w:t>MAKROEKONOMSKI INDIKATORI</w:t>
      </w:r>
      <w:r w:rsidRPr="00DC4AD1">
        <w:rPr>
          <w:noProof/>
          <w:sz w:val="17"/>
          <w:szCs w:val="16"/>
        </w:rPr>
        <w:t xml:space="preserve"> – </w:t>
      </w:r>
      <w:r w:rsidR="00F11F0D">
        <w:rPr>
          <w:noProof/>
          <w:sz w:val="17"/>
          <w:szCs w:val="16"/>
        </w:rPr>
        <w:t>Avgust</w:t>
      </w:r>
      <w:r w:rsidRPr="00DC4AD1">
        <w:rPr>
          <w:noProof/>
          <w:sz w:val="17"/>
          <w:szCs w:val="16"/>
        </w:rPr>
        <w:t xml:space="preserve"> 201</w:t>
      </w:r>
      <w:r w:rsidR="00191F90" w:rsidRPr="00DC4AD1">
        <w:rPr>
          <w:noProof/>
          <w:sz w:val="17"/>
          <w:szCs w:val="16"/>
        </w:rPr>
        <w:t>3</w:t>
      </w:r>
      <w:r w:rsidRPr="00DC4AD1">
        <w:rPr>
          <w:noProof/>
          <w:sz w:val="17"/>
          <w:szCs w:val="16"/>
        </w:rPr>
        <w:t>.</w:t>
      </w:r>
    </w:p>
    <w:p w:rsidR="0082570B" w:rsidRPr="00DC4AD1" w:rsidRDefault="0082570B" w:rsidP="0002564B">
      <w:pPr>
        <w:spacing w:after="0" w:line="240" w:lineRule="auto"/>
        <w:outlineLvl w:val="0"/>
        <w:rPr>
          <w:b/>
          <w:i/>
          <w:noProof/>
          <w:sz w:val="16"/>
          <w:szCs w:val="16"/>
        </w:rPr>
      </w:pPr>
      <w:bookmarkStart w:id="1" w:name="_GoBack"/>
      <w:bookmarkEnd w:id="1"/>
      <w:r w:rsidRPr="00DC4AD1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82570B" w:rsidRPr="00DC4AD1" w:rsidRDefault="0082570B" w:rsidP="00303D85">
      <w:pPr>
        <w:spacing w:after="0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475BE2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66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667"/>
        <w:gridCol w:w="802"/>
        <w:gridCol w:w="802"/>
        <w:gridCol w:w="779"/>
      </w:tblGrid>
      <w:tr w:rsidR="007E0761" w:rsidRPr="007E0761" w:rsidTr="007E0761">
        <w:trPr>
          <w:trHeight w:val="609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VIII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2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2"/>
                <w:szCs w:val="16"/>
                <w:lang w:val="sr-Latn-CS" w:eastAsia="sr-Latn-CS"/>
              </w:rPr>
              <w:t>avg 2013 / avg 2012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b/>
                <w:bCs/>
                <w:sz w:val="12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2"/>
                <w:szCs w:val="16"/>
                <w:lang w:val="sr-Latn-CS" w:eastAsia="sr-Latn-CS"/>
              </w:rPr>
              <w:t>jan - avg 2013 / jan - avg 2012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-5,50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-16,10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-6,00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22,40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19,00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9,5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-13,00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-20,40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-40,50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-28,10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-20,30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-36,40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-32,80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-28,20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-11,50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11,70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-17,4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-8,30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4,30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64,5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1,9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12,10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7,80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D14D13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>
              <w:rPr>
                <w:rFonts w:cs="Calibri"/>
                <w:sz w:val="16"/>
                <w:szCs w:val="16"/>
                <w:lang w:val="sr-Latn-CS" w:eastAsia="sr-Latn-CS"/>
              </w:rPr>
              <w:t>14,4</w:t>
            </w:r>
            <w:r w:rsidR="007E0761" w:rsidRPr="007E0761">
              <w:rPr>
                <w:rFonts w:cs="Calibri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484EA7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  <w:r w:rsidR="00484EA7">
              <w:rPr>
                <w:rFonts w:cs="Calibri"/>
                <w:sz w:val="16"/>
                <w:szCs w:val="16"/>
                <w:lang w:val="sr-Latn-CS" w:eastAsia="sr-Latn-CS"/>
              </w:rPr>
              <w:t>10,5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484EA7" w:rsidP="00484EA7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>
              <w:rPr>
                <w:rFonts w:cs="Calibri"/>
                <w:sz w:val="16"/>
                <w:szCs w:val="16"/>
                <w:lang w:val="sr-Latn-CS" w:eastAsia="sr-Latn-CS"/>
              </w:rPr>
              <w:t>14,5</w:t>
            </w:r>
            <w:r w:rsidR="007E0761"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0009E1" w:rsidP="00484EA7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>
              <w:rPr>
                <w:rFonts w:cs="Calibri"/>
                <w:sz w:val="16"/>
                <w:szCs w:val="16"/>
                <w:lang w:val="sr-Latn-CS" w:eastAsia="sr-Latn-CS"/>
              </w:rPr>
              <w:t xml:space="preserve">    </w:t>
            </w:r>
            <w:r w:rsidR="00484EA7">
              <w:rPr>
                <w:rFonts w:cs="Calibri"/>
                <w:sz w:val="16"/>
                <w:szCs w:val="16"/>
                <w:lang w:val="sr-Latn-CS" w:eastAsia="sr-Latn-CS"/>
              </w:rPr>
              <w:t>10,2</w:t>
            </w:r>
            <w:r w:rsidR="007E0761"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12,0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-28,2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color w:val="993300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n/d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2,9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173.024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169.877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168.701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168.589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167.484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167.370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167.379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167.738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170.302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174.369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179.861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178.815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176.588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4,4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28.549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28.272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29.540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30.718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31.232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31.890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32.648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32.986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32.624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31.363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30.337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30.102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30.947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4,3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12,3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12,7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4,2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18,8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20,6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21,5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19,3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1.081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2.766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972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2.826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1.719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1.430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1.495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75,3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38,3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-41,8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712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-0,5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477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469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-2,0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2.401,4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2.425,3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2.361,5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2.338,1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2.342,0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2.482,8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2.507,6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2.490,7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2.466,7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2.477,6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2.457,5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2.505,8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2.538,3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342,7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350,5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330,4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329,4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327,8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457,1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455,7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465,3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480,8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492,9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441,3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447,0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18,4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18,2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18,7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19,9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18,0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17,8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1.954,4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2.001,1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1.965,5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1.982,9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1.980,7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1.969,8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1.990,1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1.999,3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1.951,5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1.974,4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2.009,7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2.075,0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2.144,3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950,5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941,1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923,6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936,6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930,4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1.013,2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1.019,0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1.026,5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1.029,1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1.027,9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990,5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970,2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947,6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-2,3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824,6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825,2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821,6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818,1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809,2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857,4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861,1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865,8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872,5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875,1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880,9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882,5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880,6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552,1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569,2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549,5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546,4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526,5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507,8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518,7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525,4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489,8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509,8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539,3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576,2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612,3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1.108,3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1.113,7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1.114,7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1.134,7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1.146,8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1.150,4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1.158,7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1.165,0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1.165,1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1.162,4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1.164,7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1.192,9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1.218,1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9,33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2,93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2,83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-0,36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31,8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30,1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26,5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32,4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28,0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31,3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29,9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36,9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39,4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31,7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-10,6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-10,7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4,3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173,4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147,7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158,6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136,6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139,5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110,2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113,9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138,6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162,3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152,2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170,3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172,3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164,6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-4,4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-5,1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-4,4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-141,6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-117,6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-132,2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-104,3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-107,0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-82,2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-82,7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-108,6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-125,4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-112,8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-140,0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-140,5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-136,2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-6,5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92,7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20,9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77,3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40,1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6,6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19,5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39,5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17,1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29,5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38,8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n.d.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n.d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 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114,7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111,9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108,5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108,2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111,3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111,1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107,7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115,7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7,4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-3,2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1.843,3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2.064,1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1.974,3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1.948,8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2.086,8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2.037,6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2.053,6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1.911,3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1.861,0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1.832,6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1.814,5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1.769,6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1.816,2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-6,8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0,937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0,685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0,615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0,574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0,543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0,622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0,478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-0,9</w:t>
            </w:r>
          </w:p>
        </w:tc>
      </w:tr>
      <w:tr w:rsidR="007E0761" w:rsidRPr="007E0761" w:rsidTr="005374C9">
        <w:trPr>
          <w:trHeight w:hRule="exact" w:val="227"/>
        </w:trPr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1,3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-0,3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761" w:rsidRPr="007E0761" w:rsidRDefault="007E0761" w:rsidP="007E076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7E0761">
              <w:rPr>
                <w:rFonts w:cs="Calibri"/>
                <w:sz w:val="16"/>
                <w:szCs w:val="16"/>
                <w:lang w:val="sr-Latn-CS" w:eastAsia="sr-Latn-CS"/>
              </w:rPr>
              <w:t>-1,0</w:t>
            </w:r>
          </w:p>
        </w:tc>
      </w:tr>
    </w:tbl>
    <w:p w:rsidR="004F4CFC" w:rsidRPr="00DC4AD1" w:rsidRDefault="004F4CFC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82570B" w:rsidRDefault="00475BE2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DC4AD1">
        <w:rPr>
          <w:i/>
          <w:iCs/>
          <w:noProof/>
          <w:sz w:val="12"/>
          <w:szCs w:val="12"/>
        </w:rPr>
        <w:t xml:space="preserve"> </w:t>
      </w:r>
      <w:r w:rsidR="0082570B" w:rsidRPr="00DC4AD1">
        <w:rPr>
          <w:i/>
          <w:iCs/>
          <w:noProof/>
          <w:sz w:val="12"/>
          <w:szCs w:val="12"/>
        </w:rPr>
        <w:br w:type="page"/>
      </w:r>
    </w:p>
    <w:p w:rsidR="00784DAE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84DAE" w:rsidRDefault="00784DAE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</w:p>
    <w:p w:rsidR="00784DAE" w:rsidRPr="00DC4AD1" w:rsidRDefault="00784DAE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</w:rPr>
      </w:pPr>
      <w:r w:rsidRPr="00DC4AD1">
        <w:rPr>
          <w:noProof/>
          <w:sz w:val="17"/>
          <w:szCs w:val="16"/>
        </w:rPr>
        <w:t xml:space="preserve">Tabela 2: </w:t>
      </w:r>
      <w:r w:rsidRPr="00DC4AD1">
        <w:rPr>
          <w:b/>
          <w:bCs/>
          <w:noProof/>
          <w:sz w:val="17"/>
          <w:szCs w:val="16"/>
        </w:rPr>
        <w:t>BUDŽET CRNE GORE</w:t>
      </w:r>
      <w:r w:rsidRPr="00DC4AD1">
        <w:rPr>
          <w:noProof/>
          <w:sz w:val="17"/>
          <w:szCs w:val="16"/>
        </w:rPr>
        <w:t xml:space="preserve"> –</w:t>
      </w:r>
      <w:r w:rsidR="008B6D0D">
        <w:rPr>
          <w:noProof/>
          <w:sz w:val="17"/>
          <w:szCs w:val="16"/>
        </w:rPr>
        <w:t>Avgust</w:t>
      </w:r>
      <w:r>
        <w:rPr>
          <w:noProof/>
          <w:sz w:val="17"/>
          <w:szCs w:val="16"/>
        </w:rPr>
        <w:t xml:space="preserve"> </w:t>
      </w:r>
      <w:r w:rsidRPr="00DC4AD1">
        <w:rPr>
          <w:noProof/>
          <w:sz w:val="17"/>
          <w:szCs w:val="16"/>
        </w:rPr>
        <w:t xml:space="preserve"> 2013.</w:t>
      </w:r>
    </w:p>
    <w:p w:rsidR="0082570B" w:rsidRPr="00DC4AD1" w:rsidRDefault="0082570B" w:rsidP="003A1150">
      <w:pPr>
        <w:spacing w:after="0" w:line="240" w:lineRule="auto"/>
        <w:jc w:val="both"/>
        <w:rPr>
          <w:i/>
          <w:iCs/>
          <w:noProof/>
          <w:sz w:val="12"/>
          <w:szCs w:val="12"/>
        </w:rPr>
      </w:pPr>
    </w:p>
    <w:p w:rsidR="0082570B" w:rsidRPr="00DC4AD1" w:rsidRDefault="00A419CE" w:rsidP="00A419CE">
      <w:pPr>
        <w:tabs>
          <w:tab w:val="left" w:pos="4230"/>
          <w:tab w:val="center" w:pos="8079"/>
        </w:tabs>
        <w:outlineLvl w:val="0"/>
        <w:rPr>
          <w:noProof/>
          <w:sz w:val="17"/>
          <w:szCs w:val="16"/>
        </w:rPr>
      </w:pPr>
      <w:r w:rsidRPr="00DC4AD1">
        <w:rPr>
          <w:noProof/>
          <w:sz w:val="17"/>
          <w:szCs w:val="16"/>
        </w:rPr>
        <w:tab/>
      </w:r>
      <w:r w:rsidRPr="00DC4AD1">
        <w:rPr>
          <w:noProof/>
          <w:sz w:val="17"/>
          <w:szCs w:val="16"/>
        </w:rPr>
        <w:tab/>
      </w:r>
    </w:p>
    <w:tbl>
      <w:tblPr>
        <w:tblW w:w="5000" w:type="pct"/>
        <w:jc w:val="center"/>
        <w:tblLook w:val="04A0"/>
      </w:tblPr>
      <w:tblGrid>
        <w:gridCol w:w="2138"/>
        <w:gridCol w:w="644"/>
        <w:gridCol w:w="644"/>
        <w:gridCol w:w="644"/>
        <w:gridCol w:w="644"/>
        <w:gridCol w:w="644"/>
        <w:gridCol w:w="644"/>
        <w:gridCol w:w="644"/>
        <w:gridCol w:w="651"/>
        <w:gridCol w:w="690"/>
        <w:gridCol w:w="690"/>
        <w:gridCol w:w="690"/>
        <w:gridCol w:w="690"/>
        <w:gridCol w:w="690"/>
        <w:gridCol w:w="641"/>
        <w:gridCol w:w="641"/>
        <w:gridCol w:w="714"/>
        <w:gridCol w:w="749"/>
        <w:gridCol w:w="1278"/>
        <w:gridCol w:w="812"/>
        <w:gridCol w:w="793"/>
      </w:tblGrid>
      <w:tr w:rsidR="00560113" w:rsidRPr="00560113" w:rsidTr="008B6D0D">
        <w:trPr>
          <w:trHeight w:val="315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color w:val="000000"/>
                <w:sz w:val="13"/>
                <w:szCs w:val="13"/>
              </w:rPr>
            </w:pPr>
          </w:p>
        </w:tc>
        <w:tc>
          <w:tcPr>
            <w:tcW w:w="15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2012</w:t>
            </w:r>
          </w:p>
        </w:tc>
        <w:tc>
          <w:tcPr>
            <w:tcW w:w="1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2013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2013-plan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Analitika-avgust</w:t>
            </w:r>
          </w:p>
        </w:tc>
      </w:tr>
      <w:tr w:rsidR="00560113" w:rsidRPr="00560113" w:rsidTr="008B6D0D">
        <w:trPr>
          <w:trHeight w:val="930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i/>
                <w:iCs/>
                <w:sz w:val="13"/>
                <w:szCs w:val="13"/>
              </w:rPr>
              <w:t>BUDŽET CRNE GORE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III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III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IV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VIII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VIII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avg 2013/avg2012(%)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jan-avg 2013/jan-avg 2012 (%)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jc w:val="center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avg 2013/avg 2013 plan (%)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560113">
              <w:rPr>
                <w:rFonts w:cs="Calibri"/>
                <w:b/>
                <w:bCs/>
                <w:sz w:val="14"/>
                <w:szCs w:val="14"/>
              </w:rPr>
              <w:t>IZVORNI PRIHODI, od čega: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48,73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67,76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76,28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98,76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86,82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95,94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130,90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108,52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54,76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75,68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88,30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103,95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94,00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color w:val="000000"/>
                <w:sz w:val="13"/>
                <w:szCs w:val="13"/>
              </w:rPr>
              <w:t>99,46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color w:val="000000"/>
                <w:sz w:val="13"/>
                <w:szCs w:val="13"/>
              </w:rPr>
              <w:t>121,97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color w:val="000000"/>
                <w:sz w:val="13"/>
                <w:szCs w:val="13"/>
              </w:rPr>
              <w:t>125,02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114,90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15,21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6,93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8,81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Porezi i doprinosi na  zarade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12,32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30,47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33,23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39,30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34,83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32,63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41,77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48,37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14,21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34,57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35,60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34,16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36,35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39,09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40,63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44,81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51,09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-7,36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-12,29</w:t>
            </w:r>
          </w:p>
        </w:tc>
      </w:tr>
      <w:tr w:rsidR="00560113" w:rsidRPr="00560113" w:rsidTr="008B6D0D">
        <w:trPr>
          <w:trHeight w:val="315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Porez na dobit pravnih lica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0,41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0,43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4,55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13,49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3,05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3,80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28,54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14,80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3,64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3,87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2,84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22,86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-38,42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-17,16</w:t>
            </w:r>
          </w:p>
        </w:tc>
      </w:tr>
      <w:tr w:rsidR="00560113" w:rsidRPr="00560113" w:rsidTr="008B6D0D">
        <w:trPr>
          <w:trHeight w:val="30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Porez na dodatu vrijednost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21,20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21,32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23,76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27,71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30,99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37,82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37,35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32,21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24,86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24,75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29,49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33,76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34,16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35,87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47,18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47,07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33,76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46,11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19,27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39,39</w:t>
            </w:r>
          </w:p>
        </w:tc>
      </w:tr>
      <w:tr w:rsidR="00560113" w:rsidRPr="00560113" w:rsidTr="008B6D0D">
        <w:trPr>
          <w:trHeight w:val="30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Akcize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9,27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9,08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6,38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9,98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10,09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14,77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13,19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17,42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9,26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8,99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10,36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12,32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12,03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13,03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16,43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20,98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16,49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20,42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14,65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27,24</w:t>
            </w:r>
          </w:p>
        </w:tc>
      </w:tr>
      <w:tr w:rsidR="00560113" w:rsidRPr="00560113" w:rsidTr="008B6D0D">
        <w:trPr>
          <w:trHeight w:val="315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Porez na medj trgovinu i transak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2,27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3,38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2,36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2,46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2,21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-8,66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-29,00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-14,93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560113">
              <w:rPr>
                <w:rFonts w:cs="Calibri"/>
                <w:b/>
                <w:bCs/>
                <w:sz w:val="14"/>
                <w:szCs w:val="14"/>
              </w:rPr>
              <w:t>IZDACI BUDŽETA, od čega 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84,36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99,64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84,96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150,15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102,81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99,77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104,38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97,82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81,04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95,33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104,39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120,53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96,28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100,61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160,06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142,15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105,00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45,32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9,29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35,39</w:t>
            </w:r>
          </w:p>
        </w:tc>
      </w:tr>
      <w:tr w:rsidR="00560113" w:rsidRPr="00560113" w:rsidTr="008B6D0D">
        <w:trPr>
          <w:trHeight w:val="390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Bruto zarade i doprinosi na teret posl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32,05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31,32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31,74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31,80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30,93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30,93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31,01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-0,93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0,56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-0,26</w:t>
            </w:r>
          </w:p>
        </w:tc>
      </w:tr>
      <w:tr w:rsidR="00560113" w:rsidRPr="00560113" w:rsidTr="008B6D0D">
        <w:trPr>
          <w:trHeight w:val="405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Rashodi za materijal i usluge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2,04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12,20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6,39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20,77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13,85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15,93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10,26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3,54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6,34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8,06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5,63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6,09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7,15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6,43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-37,34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-45,03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-8,39</w:t>
            </w:r>
          </w:p>
        </w:tc>
      </w:tr>
      <w:tr w:rsidR="00560113" w:rsidRPr="00560113" w:rsidTr="008B6D0D">
        <w:trPr>
          <w:trHeight w:val="30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Kamate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1,73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2,72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14,21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4,94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2,67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0,55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25,31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3,50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5,65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2,10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-21,31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25,92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-64,15</w:t>
            </w:r>
          </w:p>
        </w:tc>
      </w:tr>
      <w:tr w:rsidR="00560113" w:rsidRPr="00560113" w:rsidTr="008B6D0D">
        <w:trPr>
          <w:trHeight w:val="30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Transferi za socijalnu zaštitu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37,23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40,40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35,63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43,78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40,87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39,07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40,98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39,99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38,15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42,30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40,50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40,45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39,92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38,92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38,42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41,49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-3,93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0,20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-7,41</w:t>
            </w:r>
          </w:p>
        </w:tc>
      </w:tr>
      <w:tr w:rsidR="00560113" w:rsidRPr="00560113" w:rsidTr="008B6D0D">
        <w:trPr>
          <w:trHeight w:val="36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Transferi instit, pojed i NVO sektoru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0,44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2,81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0,99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4,07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2,43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4,77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7,18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8,95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5,88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7,42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7,06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5,86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9,04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7,62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338,67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219,31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18,67</w:t>
            </w:r>
          </w:p>
        </w:tc>
      </w:tr>
      <w:tr w:rsidR="00560113" w:rsidRPr="00560113" w:rsidTr="008B6D0D">
        <w:trPr>
          <w:trHeight w:val="315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Kapitalni izdaci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2,37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3,76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1,64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4,69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5,87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4,48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6,51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8,25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0,30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2,12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4,94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4,93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5,21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4,93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5,50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6,36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-33,36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-12,62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-13,51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560113">
              <w:rPr>
                <w:rFonts w:cs="Calibri"/>
                <w:b/>
                <w:bCs/>
                <w:sz w:val="14"/>
                <w:szCs w:val="14"/>
              </w:rPr>
              <w:t>Suficit / Deficit budžeta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-35,63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-31,88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-8,69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-51,39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-15,99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-3,83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26,52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10,70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-26,28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-19,66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-16,09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-16,58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-2,28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color w:val="000000"/>
                <w:sz w:val="13"/>
                <w:szCs w:val="13"/>
              </w:rPr>
              <w:t>-1,15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color w:val="000000"/>
                <w:sz w:val="13"/>
                <w:szCs w:val="13"/>
              </w:rPr>
              <w:t>-38,09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color w:val="000000"/>
                <w:sz w:val="13"/>
                <w:szCs w:val="13"/>
              </w:rPr>
              <w:t>-17,13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9,90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-260,04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24,57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-272,96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Primarni deficit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-31,92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-30,15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-5,96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-37,18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-13,89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1,11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27,82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13,37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-25,73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-17,89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-14,08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8,73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-1,16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2,35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-32,44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-15,02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15,77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-212,32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23,99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-195,27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Otplata dugova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14,84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9,37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6,92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10,53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18,30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12,53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20,38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16,06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7,38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7,34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7,89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5,57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18,47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34,60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16,48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5,64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-19,13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9,63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192,12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b/>
                <w:bCs/>
                <w:sz w:val="13"/>
                <w:szCs w:val="13"/>
              </w:rPr>
            </w:pPr>
            <w:r w:rsidRPr="00560113">
              <w:rPr>
                <w:rFonts w:cs="Calibri"/>
                <w:b/>
                <w:bCs/>
                <w:sz w:val="13"/>
                <w:szCs w:val="13"/>
              </w:rPr>
              <w:t>Državni dug (stanje duga)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1473,2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1540,3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1534,8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1638,6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1634,5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1629,6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1718,8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1703,2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1726,6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1732,7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1755,7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1764,2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1767,1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1760,9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1810,4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1844,90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 xml:space="preserve"> 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8,32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10,02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 xml:space="preserve"> -</w:t>
            </w:r>
          </w:p>
        </w:tc>
      </w:tr>
      <w:tr w:rsidR="00560113" w:rsidRPr="00560113" w:rsidTr="008B6D0D">
        <w:trPr>
          <w:trHeight w:val="330"/>
          <w:jc w:val="center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Domaći dug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419,0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431,3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426,5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432,6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424,1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424,1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411,2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395,4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394,0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396,7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420,3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431,7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436,0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442,7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442,8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433,80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 xml:space="preserve"> 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9,71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 xml:space="preserve"> -</w:t>
            </w:r>
          </w:p>
        </w:tc>
      </w:tr>
      <w:tr w:rsidR="00560113" w:rsidRPr="00560113" w:rsidTr="008B6D0D">
        <w:trPr>
          <w:trHeight w:val="315"/>
          <w:jc w:val="center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560113">
            <w:pPr>
              <w:spacing w:after="0" w:line="240" w:lineRule="auto"/>
              <w:rPr>
                <w:rFonts w:cs="Calibri"/>
                <w:i/>
                <w:iCs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sz w:val="13"/>
                <w:szCs w:val="13"/>
              </w:rPr>
              <w:t>Inostrani dug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1054,2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1109,0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1108,3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1206,0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1210,4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1205,5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1307,6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1307,8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1332,6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1336,0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1335,4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1332,5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1331,1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1318,2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>1367,6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color w:val="000000"/>
                <w:sz w:val="13"/>
                <w:szCs w:val="13"/>
              </w:rPr>
              <w:t>1411,10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sz w:val="13"/>
                <w:szCs w:val="13"/>
              </w:rPr>
            </w:pPr>
            <w:r w:rsidRPr="00560113">
              <w:rPr>
                <w:rFonts w:cs="Calibri"/>
                <w:sz w:val="13"/>
                <w:szCs w:val="13"/>
              </w:rPr>
              <w:t xml:space="preserve"> 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7,90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>13,21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3" w:rsidRPr="00560113" w:rsidRDefault="00560113" w:rsidP="008B6D0D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3"/>
                <w:szCs w:val="13"/>
              </w:rPr>
            </w:pPr>
            <w:r w:rsidRPr="00560113">
              <w:rPr>
                <w:rFonts w:cs="Calibri"/>
                <w:i/>
                <w:iCs/>
                <w:color w:val="000000"/>
                <w:sz w:val="13"/>
                <w:szCs w:val="13"/>
              </w:rPr>
              <w:t xml:space="preserve"> -</w:t>
            </w:r>
          </w:p>
        </w:tc>
      </w:tr>
    </w:tbl>
    <w:p w:rsidR="0082570B" w:rsidRPr="00DC4AD1" w:rsidRDefault="0082570B" w:rsidP="0002564B">
      <w:pPr>
        <w:outlineLvl w:val="0"/>
        <w:rPr>
          <w:b/>
          <w:i/>
          <w:noProof/>
          <w:sz w:val="14"/>
          <w:szCs w:val="14"/>
        </w:rPr>
      </w:pPr>
    </w:p>
    <w:p w:rsidR="0082570B" w:rsidRPr="00DC4AD1" w:rsidRDefault="0082570B" w:rsidP="0002564B">
      <w:pPr>
        <w:outlineLvl w:val="0"/>
        <w:rPr>
          <w:b/>
          <w:i/>
          <w:noProof/>
          <w:sz w:val="14"/>
          <w:szCs w:val="14"/>
        </w:rPr>
      </w:pPr>
      <w:r w:rsidRPr="00DC4AD1">
        <w:rPr>
          <w:b/>
          <w:i/>
          <w:noProof/>
          <w:sz w:val="14"/>
          <w:szCs w:val="14"/>
        </w:rPr>
        <w:t>Izvor: Ministarstvo finansija</w:t>
      </w:r>
      <w:r w:rsidR="00D15C59">
        <w:rPr>
          <w:b/>
          <w:i/>
          <w:noProof/>
          <w:sz w:val="14"/>
          <w:szCs w:val="14"/>
        </w:rPr>
        <w:t xml:space="preserve"> </w:t>
      </w:r>
      <w:r w:rsidRPr="00DC4AD1">
        <w:rPr>
          <w:b/>
          <w:i/>
          <w:noProof/>
          <w:sz w:val="14"/>
          <w:szCs w:val="14"/>
        </w:rPr>
        <w:t>Crne Gore</w:t>
      </w:r>
    </w:p>
    <w:p w:rsidR="0082570B" w:rsidRPr="00DC4AD1" w:rsidRDefault="0082570B" w:rsidP="005025EC">
      <w:pPr>
        <w:jc w:val="both"/>
        <w:rPr>
          <w:rFonts w:cs="Calibri"/>
          <w:bCs/>
          <w:noProof/>
          <w:sz w:val="14"/>
          <w:szCs w:val="14"/>
        </w:rPr>
      </w:pPr>
    </w:p>
    <w:p w:rsidR="0082570B" w:rsidRPr="00DC4AD1" w:rsidRDefault="0082570B" w:rsidP="005025EC">
      <w:pPr>
        <w:ind w:left="-142"/>
        <w:jc w:val="both"/>
        <w:rPr>
          <w:noProof/>
          <w:sz w:val="14"/>
          <w:szCs w:val="14"/>
        </w:rPr>
      </w:pPr>
      <w:r w:rsidRPr="00DC4AD1">
        <w:rPr>
          <w:rFonts w:cs="Calibri"/>
          <w:bCs/>
          <w:noProof/>
          <w:sz w:val="14"/>
          <w:szCs w:val="14"/>
        </w:rPr>
        <w:t>.</w:t>
      </w:r>
    </w:p>
    <w:sectPr w:rsidR="0082570B" w:rsidRPr="00DC4AD1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BF" w:rsidRDefault="000B69BF" w:rsidP="00965FCD">
      <w:pPr>
        <w:spacing w:after="0" w:line="240" w:lineRule="auto"/>
      </w:pPr>
      <w:r>
        <w:separator/>
      </w:r>
    </w:p>
  </w:endnote>
  <w:endnote w:type="continuationSeparator" w:id="1">
    <w:p w:rsidR="000B69BF" w:rsidRDefault="000B69BF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BF" w:rsidRDefault="000B69BF" w:rsidP="00965FCD">
      <w:pPr>
        <w:spacing w:after="0" w:line="240" w:lineRule="auto"/>
      </w:pPr>
      <w:r>
        <w:separator/>
      </w:r>
    </w:p>
  </w:footnote>
  <w:footnote w:type="continuationSeparator" w:id="1">
    <w:p w:rsidR="000B69BF" w:rsidRDefault="000B69BF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97970"/>
    <w:multiLevelType w:val="hybridMultilevel"/>
    <w:tmpl w:val="16588DB0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9E1"/>
    <w:rsid w:val="000010A3"/>
    <w:rsid w:val="00003D78"/>
    <w:rsid w:val="00004B56"/>
    <w:rsid w:val="000147A0"/>
    <w:rsid w:val="00014AAB"/>
    <w:rsid w:val="00014D0B"/>
    <w:rsid w:val="00014E6A"/>
    <w:rsid w:val="0001692A"/>
    <w:rsid w:val="00017070"/>
    <w:rsid w:val="00021033"/>
    <w:rsid w:val="000224B4"/>
    <w:rsid w:val="00022789"/>
    <w:rsid w:val="0002564B"/>
    <w:rsid w:val="000263A4"/>
    <w:rsid w:val="00031722"/>
    <w:rsid w:val="000341DE"/>
    <w:rsid w:val="00034923"/>
    <w:rsid w:val="00034D42"/>
    <w:rsid w:val="0003544A"/>
    <w:rsid w:val="000369E1"/>
    <w:rsid w:val="00037B58"/>
    <w:rsid w:val="0004205C"/>
    <w:rsid w:val="000421A3"/>
    <w:rsid w:val="00043DED"/>
    <w:rsid w:val="000449CD"/>
    <w:rsid w:val="00044CB0"/>
    <w:rsid w:val="00045654"/>
    <w:rsid w:val="00045D59"/>
    <w:rsid w:val="00046C9E"/>
    <w:rsid w:val="00050EAB"/>
    <w:rsid w:val="00052DC4"/>
    <w:rsid w:val="00054068"/>
    <w:rsid w:val="00055E5C"/>
    <w:rsid w:val="00055F78"/>
    <w:rsid w:val="00056E43"/>
    <w:rsid w:val="000572EC"/>
    <w:rsid w:val="000601A4"/>
    <w:rsid w:val="00061391"/>
    <w:rsid w:val="000645F3"/>
    <w:rsid w:val="00067726"/>
    <w:rsid w:val="00070965"/>
    <w:rsid w:val="000734AF"/>
    <w:rsid w:val="00073786"/>
    <w:rsid w:val="00074378"/>
    <w:rsid w:val="000747AC"/>
    <w:rsid w:val="00074C3E"/>
    <w:rsid w:val="00074D69"/>
    <w:rsid w:val="0007530C"/>
    <w:rsid w:val="00080AEE"/>
    <w:rsid w:val="000812E2"/>
    <w:rsid w:val="00082D87"/>
    <w:rsid w:val="00085B67"/>
    <w:rsid w:val="00090FDD"/>
    <w:rsid w:val="00091154"/>
    <w:rsid w:val="000915D3"/>
    <w:rsid w:val="000917D8"/>
    <w:rsid w:val="000925F7"/>
    <w:rsid w:val="00094311"/>
    <w:rsid w:val="000945C9"/>
    <w:rsid w:val="0009505C"/>
    <w:rsid w:val="0009548F"/>
    <w:rsid w:val="000956EB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54A3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818"/>
    <w:rsid w:val="000D0368"/>
    <w:rsid w:val="000D0374"/>
    <w:rsid w:val="000D09EB"/>
    <w:rsid w:val="000D52CF"/>
    <w:rsid w:val="000D588E"/>
    <w:rsid w:val="000D5D48"/>
    <w:rsid w:val="000D5ED7"/>
    <w:rsid w:val="000D6DF1"/>
    <w:rsid w:val="000D765B"/>
    <w:rsid w:val="000E13EB"/>
    <w:rsid w:val="000E2251"/>
    <w:rsid w:val="000E2351"/>
    <w:rsid w:val="000E3987"/>
    <w:rsid w:val="000E6096"/>
    <w:rsid w:val="000E77A4"/>
    <w:rsid w:val="000E7E9D"/>
    <w:rsid w:val="000F1AA9"/>
    <w:rsid w:val="000F4D73"/>
    <w:rsid w:val="000F5B09"/>
    <w:rsid w:val="000F6577"/>
    <w:rsid w:val="000F6C6B"/>
    <w:rsid w:val="000F756E"/>
    <w:rsid w:val="00100371"/>
    <w:rsid w:val="0010339D"/>
    <w:rsid w:val="00106446"/>
    <w:rsid w:val="00107128"/>
    <w:rsid w:val="00107647"/>
    <w:rsid w:val="00107A07"/>
    <w:rsid w:val="00112853"/>
    <w:rsid w:val="00112E23"/>
    <w:rsid w:val="00114109"/>
    <w:rsid w:val="00115519"/>
    <w:rsid w:val="00115C83"/>
    <w:rsid w:val="00116365"/>
    <w:rsid w:val="001164A1"/>
    <w:rsid w:val="00117AB0"/>
    <w:rsid w:val="00120A3A"/>
    <w:rsid w:val="00123CBD"/>
    <w:rsid w:val="00131185"/>
    <w:rsid w:val="001326B7"/>
    <w:rsid w:val="00134816"/>
    <w:rsid w:val="00134A21"/>
    <w:rsid w:val="00134C6C"/>
    <w:rsid w:val="00136E70"/>
    <w:rsid w:val="00141FDD"/>
    <w:rsid w:val="00144C86"/>
    <w:rsid w:val="0014607D"/>
    <w:rsid w:val="00147278"/>
    <w:rsid w:val="00152E4F"/>
    <w:rsid w:val="001530CE"/>
    <w:rsid w:val="0015322D"/>
    <w:rsid w:val="00154145"/>
    <w:rsid w:val="0015515C"/>
    <w:rsid w:val="00156E33"/>
    <w:rsid w:val="00157601"/>
    <w:rsid w:val="00160183"/>
    <w:rsid w:val="001610BD"/>
    <w:rsid w:val="001613FC"/>
    <w:rsid w:val="001627A3"/>
    <w:rsid w:val="00163041"/>
    <w:rsid w:val="001644C7"/>
    <w:rsid w:val="00165DE6"/>
    <w:rsid w:val="001678F1"/>
    <w:rsid w:val="00170C82"/>
    <w:rsid w:val="00170CCE"/>
    <w:rsid w:val="00172D59"/>
    <w:rsid w:val="001730BE"/>
    <w:rsid w:val="00174836"/>
    <w:rsid w:val="0017540F"/>
    <w:rsid w:val="00181309"/>
    <w:rsid w:val="0018289E"/>
    <w:rsid w:val="0018592D"/>
    <w:rsid w:val="0018626E"/>
    <w:rsid w:val="00186BEF"/>
    <w:rsid w:val="00186F09"/>
    <w:rsid w:val="0018794A"/>
    <w:rsid w:val="00187C66"/>
    <w:rsid w:val="00190285"/>
    <w:rsid w:val="00191F90"/>
    <w:rsid w:val="00192F1E"/>
    <w:rsid w:val="001942BA"/>
    <w:rsid w:val="001A2829"/>
    <w:rsid w:val="001A2F7A"/>
    <w:rsid w:val="001A392F"/>
    <w:rsid w:val="001A594D"/>
    <w:rsid w:val="001A5B99"/>
    <w:rsid w:val="001A65F4"/>
    <w:rsid w:val="001A7319"/>
    <w:rsid w:val="001B3267"/>
    <w:rsid w:val="001B3BE3"/>
    <w:rsid w:val="001B4F99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37FD"/>
    <w:rsid w:val="001D4E81"/>
    <w:rsid w:val="001E2403"/>
    <w:rsid w:val="001E29D1"/>
    <w:rsid w:val="001E2BC7"/>
    <w:rsid w:val="001E33FE"/>
    <w:rsid w:val="001E4EAE"/>
    <w:rsid w:val="001E5BE3"/>
    <w:rsid w:val="001F1378"/>
    <w:rsid w:val="001F19CC"/>
    <w:rsid w:val="001F27F8"/>
    <w:rsid w:val="001F2B57"/>
    <w:rsid w:val="001F4C02"/>
    <w:rsid w:val="001F69DD"/>
    <w:rsid w:val="001F7445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35A2"/>
    <w:rsid w:val="0021614C"/>
    <w:rsid w:val="00220834"/>
    <w:rsid w:val="002210E9"/>
    <w:rsid w:val="00223E45"/>
    <w:rsid w:val="002251C3"/>
    <w:rsid w:val="00225F74"/>
    <w:rsid w:val="002263B3"/>
    <w:rsid w:val="0022695C"/>
    <w:rsid w:val="00227682"/>
    <w:rsid w:val="00227D75"/>
    <w:rsid w:val="00230FA2"/>
    <w:rsid w:val="00231268"/>
    <w:rsid w:val="00232A05"/>
    <w:rsid w:val="0023443E"/>
    <w:rsid w:val="00234902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60976"/>
    <w:rsid w:val="00260EF0"/>
    <w:rsid w:val="00265023"/>
    <w:rsid w:val="002650CF"/>
    <w:rsid w:val="00265406"/>
    <w:rsid w:val="00265A3D"/>
    <w:rsid w:val="002668AA"/>
    <w:rsid w:val="00270FD9"/>
    <w:rsid w:val="002717A8"/>
    <w:rsid w:val="002723A7"/>
    <w:rsid w:val="00274EBC"/>
    <w:rsid w:val="00275609"/>
    <w:rsid w:val="00282488"/>
    <w:rsid w:val="00282DBE"/>
    <w:rsid w:val="00283704"/>
    <w:rsid w:val="00287A18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A52"/>
    <w:rsid w:val="002C1FBF"/>
    <w:rsid w:val="002C47B8"/>
    <w:rsid w:val="002C4A81"/>
    <w:rsid w:val="002C6888"/>
    <w:rsid w:val="002C78FB"/>
    <w:rsid w:val="002D0F81"/>
    <w:rsid w:val="002D170B"/>
    <w:rsid w:val="002D175D"/>
    <w:rsid w:val="002D2E80"/>
    <w:rsid w:val="002D3B0F"/>
    <w:rsid w:val="002D4073"/>
    <w:rsid w:val="002D447A"/>
    <w:rsid w:val="002D5865"/>
    <w:rsid w:val="002E6CB0"/>
    <w:rsid w:val="002F184C"/>
    <w:rsid w:val="002F19E7"/>
    <w:rsid w:val="002F2166"/>
    <w:rsid w:val="002F323A"/>
    <w:rsid w:val="002F3B70"/>
    <w:rsid w:val="002F5002"/>
    <w:rsid w:val="002F567B"/>
    <w:rsid w:val="002F6AB2"/>
    <w:rsid w:val="003004B8"/>
    <w:rsid w:val="003022A7"/>
    <w:rsid w:val="00303D85"/>
    <w:rsid w:val="00307F4D"/>
    <w:rsid w:val="00312994"/>
    <w:rsid w:val="0031558E"/>
    <w:rsid w:val="00315B94"/>
    <w:rsid w:val="003212E4"/>
    <w:rsid w:val="003217C9"/>
    <w:rsid w:val="00321CA6"/>
    <w:rsid w:val="00327AC3"/>
    <w:rsid w:val="00327BFC"/>
    <w:rsid w:val="00330832"/>
    <w:rsid w:val="00330C13"/>
    <w:rsid w:val="00331520"/>
    <w:rsid w:val="00331C0E"/>
    <w:rsid w:val="00331D9F"/>
    <w:rsid w:val="003324D9"/>
    <w:rsid w:val="0033276A"/>
    <w:rsid w:val="00333C49"/>
    <w:rsid w:val="00337648"/>
    <w:rsid w:val="00340752"/>
    <w:rsid w:val="003409C9"/>
    <w:rsid w:val="00341583"/>
    <w:rsid w:val="00344581"/>
    <w:rsid w:val="0034655C"/>
    <w:rsid w:val="00350CFE"/>
    <w:rsid w:val="0035139C"/>
    <w:rsid w:val="003568F4"/>
    <w:rsid w:val="00357182"/>
    <w:rsid w:val="00357E66"/>
    <w:rsid w:val="00360100"/>
    <w:rsid w:val="00360197"/>
    <w:rsid w:val="003625F1"/>
    <w:rsid w:val="003638CF"/>
    <w:rsid w:val="00364D14"/>
    <w:rsid w:val="00365311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5DA"/>
    <w:rsid w:val="00396D7E"/>
    <w:rsid w:val="00396FDF"/>
    <w:rsid w:val="003A0776"/>
    <w:rsid w:val="003A0C23"/>
    <w:rsid w:val="003A0F73"/>
    <w:rsid w:val="003A1150"/>
    <w:rsid w:val="003A1E5E"/>
    <w:rsid w:val="003A5C77"/>
    <w:rsid w:val="003A5EB6"/>
    <w:rsid w:val="003A785D"/>
    <w:rsid w:val="003B0E7A"/>
    <w:rsid w:val="003B1992"/>
    <w:rsid w:val="003B1A29"/>
    <w:rsid w:val="003B1C22"/>
    <w:rsid w:val="003B1D25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CAE"/>
    <w:rsid w:val="003F0EA8"/>
    <w:rsid w:val="003F5183"/>
    <w:rsid w:val="003F56BD"/>
    <w:rsid w:val="003F5A35"/>
    <w:rsid w:val="00400C11"/>
    <w:rsid w:val="004010A8"/>
    <w:rsid w:val="00401DED"/>
    <w:rsid w:val="00404546"/>
    <w:rsid w:val="00406097"/>
    <w:rsid w:val="00406C7B"/>
    <w:rsid w:val="00407FE4"/>
    <w:rsid w:val="0041311D"/>
    <w:rsid w:val="00415784"/>
    <w:rsid w:val="00415806"/>
    <w:rsid w:val="004159BE"/>
    <w:rsid w:val="004168B3"/>
    <w:rsid w:val="0041784C"/>
    <w:rsid w:val="00417DAC"/>
    <w:rsid w:val="00420CBC"/>
    <w:rsid w:val="00421432"/>
    <w:rsid w:val="00421CD5"/>
    <w:rsid w:val="00421E9D"/>
    <w:rsid w:val="00423EE9"/>
    <w:rsid w:val="00425EC2"/>
    <w:rsid w:val="00427696"/>
    <w:rsid w:val="00435D37"/>
    <w:rsid w:val="00436469"/>
    <w:rsid w:val="004379FA"/>
    <w:rsid w:val="0044465C"/>
    <w:rsid w:val="0044550D"/>
    <w:rsid w:val="004471B9"/>
    <w:rsid w:val="00447221"/>
    <w:rsid w:val="00454093"/>
    <w:rsid w:val="00454C7D"/>
    <w:rsid w:val="00455227"/>
    <w:rsid w:val="004574D9"/>
    <w:rsid w:val="00461324"/>
    <w:rsid w:val="0046148B"/>
    <w:rsid w:val="004634E4"/>
    <w:rsid w:val="004639A5"/>
    <w:rsid w:val="004655E7"/>
    <w:rsid w:val="00466E96"/>
    <w:rsid w:val="00466F15"/>
    <w:rsid w:val="004725CB"/>
    <w:rsid w:val="0047278D"/>
    <w:rsid w:val="00475763"/>
    <w:rsid w:val="00475BE2"/>
    <w:rsid w:val="00480082"/>
    <w:rsid w:val="00483B9D"/>
    <w:rsid w:val="004848E8"/>
    <w:rsid w:val="00484EA7"/>
    <w:rsid w:val="004865CE"/>
    <w:rsid w:val="004868F5"/>
    <w:rsid w:val="00487296"/>
    <w:rsid w:val="0049070F"/>
    <w:rsid w:val="004932C1"/>
    <w:rsid w:val="00493B63"/>
    <w:rsid w:val="004940E0"/>
    <w:rsid w:val="00496861"/>
    <w:rsid w:val="004A1113"/>
    <w:rsid w:val="004A3449"/>
    <w:rsid w:val="004A382B"/>
    <w:rsid w:val="004A3894"/>
    <w:rsid w:val="004A38D1"/>
    <w:rsid w:val="004A55B1"/>
    <w:rsid w:val="004A56BE"/>
    <w:rsid w:val="004A5717"/>
    <w:rsid w:val="004A62DA"/>
    <w:rsid w:val="004B1C2A"/>
    <w:rsid w:val="004B41B2"/>
    <w:rsid w:val="004B5F63"/>
    <w:rsid w:val="004B7800"/>
    <w:rsid w:val="004B7883"/>
    <w:rsid w:val="004C0135"/>
    <w:rsid w:val="004C0541"/>
    <w:rsid w:val="004C16F3"/>
    <w:rsid w:val="004C373F"/>
    <w:rsid w:val="004C3C31"/>
    <w:rsid w:val="004C659C"/>
    <w:rsid w:val="004D49A0"/>
    <w:rsid w:val="004D4E0F"/>
    <w:rsid w:val="004E02D3"/>
    <w:rsid w:val="004E4063"/>
    <w:rsid w:val="004E7676"/>
    <w:rsid w:val="004F288B"/>
    <w:rsid w:val="004F3817"/>
    <w:rsid w:val="004F4CFC"/>
    <w:rsid w:val="004F50B8"/>
    <w:rsid w:val="004F7808"/>
    <w:rsid w:val="004F7D2D"/>
    <w:rsid w:val="004F7F71"/>
    <w:rsid w:val="005025EC"/>
    <w:rsid w:val="005027D6"/>
    <w:rsid w:val="0050365D"/>
    <w:rsid w:val="005070CF"/>
    <w:rsid w:val="005078B9"/>
    <w:rsid w:val="0051345D"/>
    <w:rsid w:val="00516264"/>
    <w:rsid w:val="00517175"/>
    <w:rsid w:val="00521DE6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3F8"/>
    <w:rsid w:val="00534ED3"/>
    <w:rsid w:val="0053502A"/>
    <w:rsid w:val="0053621B"/>
    <w:rsid w:val="00536525"/>
    <w:rsid w:val="0053722D"/>
    <w:rsid w:val="005374C9"/>
    <w:rsid w:val="00540D55"/>
    <w:rsid w:val="00541131"/>
    <w:rsid w:val="00541D70"/>
    <w:rsid w:val="005429A2"/>
    <w:rsid w:val="00543A1F"/>
    <w:rsid w:val="005468F5"/>
    <w:rsid w:val="00546967"/>
    <w:rsid w:val="00547212"/>
    <w:rsid w:val="00547B34"/>
    <w:rsid w:val="005523CF"/>
    <w:rsid w:val="0055364A"/>
    <w:rsid w:val="00553E61"/>
    <w:rsid w:val="0055409D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1749"/>
    <w:rsid w:val="005829D9"/>
    <w:rsid w:val="00583591"/>
    <w:rsid w:val="005852DA"/>
    <w:rsid w:val="00590B7B"/>
    <w:rsid w:val="005916D5"/>
    <w:rsid w:val="00593B25"/>
    <w:rsid w:val="00595DA2"/>
    <w:rsid w:val="00596079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3915"/>
    <w:rsid w:val="005C3D3E"/>
    <w:rsid w:val="005C4CBE"/>
    <w:rsid w:val="005C4DBD"/>
    <w:rsid w:val="005C5F38"/>
    <w:rsid w:val="005D0E14"/>
    <w:rsid w:val="005D4BC4"/>
    <w:rsid w:val="005D6EEB"/>
    <w:rsid w:val="005D751B"/>
    <w:rsid w:val="005E038B"/>
    <w:rsid w:val="005E150E"/>
    <w:rsid w:val="005E2852"/>
    <w:rsid w:val="005E2B06"/>
    <w:rsid w:val="005E35C9"/>
    <w:rsid w:val="005E4CD1"/>
    <w:rsid w:val="005E5941"/>
    <w:rsid w:val="005E6D35"/>
    <w:rsid w:val="005F50EA"/>
    <w:rsid w:val="005F568D"/>
    <w:rsid w:val="006006C6"/>
    <w:rsid w:val="006050EA"/>
    <w:rsid w:val="006071F2"/>
    <w:rsid w:val="00607217"/>
    <w:rsid w:val="00607500"/>
    <w:rsid w:val="0061084D"/>
    <w:rsid w:val="006127E9"/>
    <w:rsid w:val="00612A74"/>
    <w:rsid w:val="00612F5E"/>
    <w:rsid w:val="00613676"/>
    <w:rsid w:val="006152FB"/>
    <w:rsid w:val="00616B6E"/>
    <w:rsid w:val="00620FA4"/>
    <w:rsid w:val="0062271A"/>
    <w:rsid w:val="00622F10"/>
    <w:rsid w:val="00623BC4"/>
    <w:rsid w:val="00624C12"/>
    <w:rsid w:val="00634B74"/>
    <w:rsid w:val="006357BA"/>
    <w:rsid w:val="0063610A"/>
    <w:rsid w:val="00642A13"/>
    <w:rsid w:val="006435D8"/>
    <w:rsid w:val="00645ED4"/>
    <w:rsid w:val="00647463"/>
    <w:rsid w:val="00647B12"/>
    <w:rsid w:val="006509EE"/>
    <w:rsid w:val="0065108A"/>
    <w:rsid w:val="006534C5"/>
    <w:rsid w:val="00653CF3"/>
    <w:rsid w:val="00654A8A"/>
    <w:rsid w:val="0065775B"/>
    <w:rsid w:val="00657F58"/>
    <w:rsid w:val="00661339"/>
    <w:rsid w:val="00661C7E"/>
    <w:rsid w:val="00663690"/>
    <w:rsid w:val="00664DEB"/>
    <w:rsid w:val="00666EFC"/>
    <w:rsid w:val="00670373"/>
    <w:rsid w:val="00670C6E"/>
    <w:rsid w:val="00671844"/>
    <w:rsid w:val="00671961"/>
    <w:rsid w:val="006723F0"/>
    <w:rsid w:val="00672DCB"/>
    <w:rsid w:val="006751BF"/>
    <w:rsid w:val="006756E9"/>
    <w:rsid w:val="006759B4"/>
    <w:rsid w:val="006760A4"/>
    <w:rsid w:val="00676256"/>
    <w:rsid w:val="00676A4B"/>
    <w:rsid w:val="00681351"/>
    <w:rsid w:val="00681A9E"/>
    <w:rsid w:val="0068490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71AF"/>
    <w:rsid w:val="00697A91"/>
    <w:rsid w:val="006A0B4A"/>
    <w:rsid w:val="006A290B"/>
    <w:rsid w:val="006A4801"/>
    <w:rsid w:val="006A5DE6"/>
    <w:rsid w:val="006A6C58"/>
    <w:rsid w:val="006B159D"/>
    <w:rsid w:val="006B2866"/>
    <w:rsid w:val="006B3579"/>
    <w:rsid w:val="006B4777"/>
    <w:rsid w:val="006B5863"/>
    <w:rsid w:val="006B729D"/>
    <w:rsid w:val="006B7725"/>
    <w:rsid w:val="006C15C6"/>
    <w:rsid w:val="006C27EC"/>
    <w:rsid w:val="006C2906"/>
    <w:rsid w:val="006C3C84"/>
    <w:rsid w:val="006C5096"/>
    <w:rsid w:val="006C5F17"/>
    <w:rsid w:val="006C6B7E"/>
    <w:rsid w:val="006C7BA4"/>
    <w:rsid w:val="006C7EA3"/>
    <w:rsid w:val="006D1A57"/>
    <w:rsid w:val="006D2A9C"/>
    <w:rsid w:val="006D3720"/>
    <w:rsid w:val="006D3727"/>
    <w:rsid w:val="006D4A5C"/>
    <w:rsid w:val="006D53D7"/>
    <w:rsid w:val="006D74DB"/>
    <w:rsid w:val="006E11AC"/>
    <w:rsid w:val="006E4746"/>
    <w:rsid w:val="006E4B91"/>
    <w:rsid w:val="006E6751"/>
    <w:rsid w:val="006E7282"/>
    <w:rsid w:val="006F1AFE"/>
    <w:rsid w:val="006F2861"/>
    <w:rsid w:val="006F4309"/>
    <w:rsid w:val="006F5E1B"/>
    <w:rsid w:val="006F6B2B"/>
    <w:rsid w:val="006F6D5E"/>
    <w:rsid w:val="006F7C03"/>
    <w:rsid w:val="00701093"/>
    <w:rsid w:val="007027D1"/>
    <w:rsid w:val="00705089"/>
    <w:rsid w:val="007055C9"/>
    <w:rsid w:val="00706CF0"/>
    <w:rsid w:val="00710BC7"/>
    <w:rsid w:val="00712271"/>
    <w:rsid w:val="00712C9A"/>
    <w:rsid w:val="00713AA0"/>
    <w:rsid w:val="00715597"/>
    <w:rsid w:val="00715DEB"/>
    <w:rsid w:val="00716A7D"/>
    <w:rsid w:val="00716B14"/>
    <w:rsid w:val="00717FE8"/>
    <w:rsid w:val="00721DCD"/>
    <w:rsid w:val="00722A4C"/>
    <w:rsid w:val="007234B4"/>
    <w:rsid w:val="00725D07"/>
    <w:rsid w:val="00727967"/>
    <w:rsid w:val="007307C9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515DA"/>
    <w:rsid w:val="007534AA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6413B"/>
    <w:rsid w:val="007652FD"/>
    <w:rsid w:val="0076645A"/>
    <w:rsid w:val="00771538"/>
    <w:rsid w:val="007722BC"/>
    <w:rsid w:val="00772A01"/>
    <w:rsid w:val="00772F45"/>
    <w:rsid w:val="00776A67"/>
    <w:rsid w:val="00776DE5"/>
    <w:rsid w:val="00777134"/>
    <w:rsid w:val="00781377"/>
    <w:rsid w:val="00783A9F"/>
    <w:rsid w:val="00784166"/>
    <w:rsid w:val="0078476D"/>
    <w:rsid w:val="00784BF8"/>
    <w:rsid w:val="00784DAE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A1882"/>
    <w:rsid w:val="007A2838"/>
    <w:rsid w:val="007A299E"/>
    <w:rsid w:val="007A33EE"/>
    <w:rsid w:val="007A5A5D"/>
    <w:rsid w:val="007A67CB"/>
    <w:rsid w:val="007B0888"/>
    <w:rsid w:val="007B41C4"/>
    <w:rsid w:val="007B5A1B"/>
    <w:rsid w:val="007B5C2E"/>
    <w:rsid w:val="007B7DBE"/>
    <w:rsid w:val="007C1EE8"/>
    <w:rsid w:val="007C2107"/>
    <w:rsid w:val="007C2827"/>
    <w:rsid w:val="007C43BE"/>
    <w:rsid w:val="007C49FF"/>
    <w:rsid w:val="007D0106"/>
    <w:rsid w:val="007D0956"/>
    <w:rsid w:val="007D39CD"/>
    <w:rsid w:val="007D410B"/>
    <w:rsid w:val="007D4C9D"/>
    <w:rsid w:val="007D4EE7"/>
    <w:rsid w:val="007D5AB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61AF"/>
    <w:rsid w:val="007F775F"/>
    <w:rsid w:val="00802B7F"/>
    <w:rsid w:val="00804F0B"/>
    <w:rsid w:val="00805844"/>
    <w:rsid w:val="00806B4B"/>
    <w:rsid w:val="00810837"/>
    <w:rsid w:val="00810CDD"/>
    <w:rsid w:val="00811332"/>
    <w:rsid w:val="0081184B"/>
    <w:rsid w:val="00811943"/>
    <w:rsid w:val="00811DF5"/>
    <w:rsid w:val="00812E0B"/>
    <w:rsid w:val="00813F13"/>
    <w:rsid w:val="00815A2F"/>
    <w:rsid w:val="00817A6A"/>
    <w:rsid w:val="0082070B"/>
    <w:rsid w:val="00822F67"/>
    <w:rsid w:val="008251C2"/>
    <w:rsid w:val="0082570B"/>
    <w:rsid w:val="0082721B"/>
    <w:rsid w:val="008343BA"/>
    <w:rsid w:val="0083553F"/>
    <w:rsid w:val="008355A8"/>
    <w:rsid w:val="00836A00"/>
    <w:rsid w:val="00844B4B"/>
    <w:rsid w:val="00845320"/>
    <w:rsid w:val="00845675"/>
    <w:rsid w:val="00847B5B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4891"/>
    <w:rsid w:val="00864D7E"/>
    <w:rsid w:val="008656F4"/>
    <w:rsid w:val="00871ED5"/>
    <w:rsid w:val="00873808"/>
    <w:rsid w:val="00873FD5"/>
    <w:rsid w:val="00874F31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D16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B599F"/>
    <w:rsid w:val="008B6D0D"/>
    <w:rsid w:val="008C01EB"/>
    <w:rsid w:val="008C15C8"/>
    <w:rsid w:val="008C2299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4618"/>
    <w:rsid w:val="008D5823"/>
    <w:rsid w:val="008D6E96"/>
    <w:rsid w:val="008D6F6A"/>
    <w:rsid w:val="008D6F78"/>
    <w:rsid w:val="008E0E90"/>
    <w:rsid w:val="008E10D6"/>
    <w:rsid w:val="008E2B58"/>
    <w:rsid w:val="008E3805"/>
    <w:rsid w:val="008E3D20"/>
    <w:rsid w:val="008E5EDA"/>
    <w:rsid w:val="008E6D00"/>
    <w:rsid w:val="008E7183"/>
    <w:rsid w:val="008F0415"/>
    <w:rsid w:val="008F195C"/>
    <w:rsid w:val="008F34CB"/>
    <w:rsid w:val="008F3986"/>
    <w:rsid w:val="008F4F59"/>
    <w:rsid w:val="008F7755"/>
    <w:rsid w:val="00900F62"/>
    <w:rsid w:val="0090210D"/>
    <w:rsid w:val="00902289"/>
    <w:rsid w:val="009022BB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6D6"/>
    <w:rsid w:val="00915576"/>
    <w:rsid w:val="0091631F"/>
    <w:rsid w:val="00916A0F"/>
    <w:rsid w:val="00920528"/>
    <w:rsid w:val="00922BF8"/>
    <w:rsid w:val="0092368D"/>
    <w:rsid w:val="0092403C"/>
    <w:rsid w:val="0092474C"/>
    <w:rsid w:val="00925448"/>
    <w:rsid w:val="009271A2"/>
    <w:rsid w:val="0093378D"/>
    <w:rsid w:val="0093484E"/>
    <w:rsid w:val="00935A48"/>
    <w:rsid w:val="00937C0F"/>
    <w:rsid w:val="009404CE"/>
    <w:rsid w:val="00941C71"/>
    <w:rsid w:val="00941E99"/>
    <w:rsid w:val="0094299F"/>
    <w:rsid w:val="009472A1"/>
    <w:rsid w:val="00947E4E"/>
    <w:rsid w:val="00951A56"/>
    <w:rsid w:val="009543FD"/>
    <w:rsid w:val="009545F5"/>
    <w:rsid w:val="00956F1D"/>
    <w:rsid w:val="0095708D"/>
    <w:rsid w:val="009570EC"/>
    <w:rsid w:val="00957325"/>
    <w:rsid w:val="00961D65"/>
    <w:rsid w:val="00962341"/>
    <w:rsid w:val="009636C3"/>
    <w:rsid w:val="009647DB"/>
    <w:rsid w:val="00965B35"/>
    <w:rsid w:val="00965E55"/>
    <w:rsid w:val="00965FCD"/>
    <w:rsid w:val="00966CC3"/>
    <w:rsid w:val="009707F3"/>
    <w:rsid w:val="00970817"/>
    <w:rsid w:val="00972F5D"/>
    <w:rsid w:val="0097377E"/>
    <w:rsid w:val="00974320"/>
    <w:rsid w:val="00974F42"/>
    <w:rsid w:val="0098296F"/>
    <w:rsid w:val="009836D7"/>
    <w:rsid w:val="0098562F"/>
    <w:rsid w:val="00985C9B"/>
    <w:rsid w:val="009860B5"/>
    <w:rsid w:val="00992B90"/>
    <w:rsid w:val="00994D96"/>
    <w:rsid w:val="009A0736"/>
    <w:rsid w:val="009A1376"/>
    <w:rsid w:val="009A24E1"/>
    <w:rsid w:val="009A4C61"/>
    <w:rsid w:val="009A6D2F"/>
    <w:rsid w:val="009A74A7"/>
    <w:rsid w:val="009A792A"/>
    <w:rsid w:val="009B1C0A"/>
    <w:rsid w:val="009B320B"/>
    <w:rsid w:val="009B5779"/>
    <w:rsid w:val="009B65AF"/>
    <w:rsid w:val="009B6603"/>
    <w:rsid w:val="009B6985"/>
    <w:rsid w:val="009C162D"/>
    <w:rsid w:val="009C42D7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8AC"/>
    <w:rsid w:val="009E5D48"/>
    <w:rsid w:val="009E70C1"/>
    <w:rsid w:val="009E7177"/>
    <w:rsid w:val="009F0EB0"/>
    <w:rsid w:val="009F1090"/>
    <w:rsid w:val="009F18E0"/>
    <w:rsid w:val="009F3035"/>
    <w:rsid w:val="009F35DF"/>
    <w:rsid w:val="009F3CF9"/>
    <w:rsid w:val="009F3DA9"/>
    <w:rsid w:val="009F4195"/>
    <w:rsid w:val="00A00218"/>
    <w:rsid w:val="00A0035B"/>
    <w:rsid w:val="00A060B3"/>
    <w:rsid w:val="00A06C70"/>
    <w:rsid w:val="00A07539"/>
    <w:rsid w:val="00A10CF5"/>
    <w:rsid w:val="00A119B4"/>
    <w:rsid w:val="00A11CDE"/>
    <w:rsid w:val="00A11E17"/>
    <w:rsid w:val="00A14996"/>
    <w:rsid w:val="00A16685"/>
    <w:rsid w:val="00A17447"/>
    <w:rsid w:val="00A20571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36F39"/>
    <w:rsid w:val="00A37526"/>
    <w:rsid w:val="00A419CE"/>
    <w:rsid w:val="00A423C3"/>
    <w:rsid w:val="00A4482B"/>
    <w:rsid w:val="00A44F75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6220E"/>
    <w:rsid w:val="00A62711"/>
    <w:rsid w:val="00A63167"/>
    <w:rsid w:val="00A66994"/>
    <w:rsid w:val="00A67103"/>
    <w:rsid w:val="00A73828"/>
    <w:rsid w:val="00A74590"/>
    <w:rsid w:val="00A75004"/>
    <w:rsid w:val="00A76BD3"/>
    <w:rsid w:val="00A80523"/>
    <w:rsid w:val="00A8105B"/>
    <w:rsid w:val="00A81A72"/>
    <w:rsid w:val="00A85320"/>
    <w:rsid w:val="00A85322"/>
    <w:rsid w:val="00A919D2"/>
    <w:rsid w:val="00A92C88"/>
    <w:rsid w:val="00A93193"/>
    <w:rsid w:val="00A94105"/>
    <w:rsid w:val="00A9414F"/>
    <w:rsid w:val="00A94444"/>
    <w:rsid w:val="00A965E6"/>
    <w:rsid w:val="00AA1568"/>
    <w:rsid w:val="00AA4C9B"/>
    <w:rsid w:val="00AA53FC"/>
    <w:rsid w:val="00AA57C2"/>
    <w:rsid w:val="00AA6372"/>
    <w:rsid w:val="00AB1AAD"/>
    <w:rsid w:val="00AB3700"/>
    <w:rsid w:val="00AB47EB"/>
    <w:rsid w:val="00AB4C24"/>
    <w:rsid w:val="00AB4C79"/>
    <w:rsid w:val="00AB517A"/>
    <w:rsid w:val="00AC33D0"/>
    <w:rsid w:val="00AC41A8"/>
    <w:rsid w:val="00AC4D78"/>
    <w:rsid w:val="00AC4E44"/>
    <w:rsid w:val="00AC7CE7"/>
    <w:rsid w:val="00AD02E0"/>
    <w:rsid w:val="00AD0474"/>
    <w:rsid w:val="00AD0FC1"/>
    <w:rsid w:val="00AD1B16"/>
    <w:rsid w:val="00AD1CF2"/>
    <w:rsid w:val="00AD308A"/>
    <w:rsid w:val="00AD4978"/>
    <w:rsid w:val="00AD677F"/>
    <w:rsid w:val="00AD69AC"/>
    <w:rsid w:val="00AD6C85"/>
    <w:rsid w:val="00AD6E0C"/>
    <w:rsid w:val="00AD725A"/>
    <w:rsid w:val="00AE3B29"/>
    <w:rsid w:val="00AE3EC8"/>
    <w:rsid w:val="00AE46D2"/>
    <w:rsid w:val="00AF16EF"/>
    <w:rsid w:val="00AF2A35"/>
    <w:rsid w:val="00AF39C0"/>
    <w:rsid w:val="00AF6471"/>
    <w:rsid w:val="00AF71DC"/>
    <w:rsid w:val="00B022B2"/>
    <w:rsid w:val="00B02D66"/>
    <w:rsid w:val="00B039A4"/>
    <w:rsid w:val="00B0449D"/>
    <w:rsid w:val="00B063C0"/>
    <w:rsid w:val="00B10371"/>
    <w:rsid w:val="00B12E31"/>
    <w:rsid w:val="00B12FFF"/>
    <w:rsid w:val="00B144B8"/>
    <w:rsid w:val="00B215A7"/>
    <w:rsid w:val="00B21B23"/>
    <w:rsid w:val="00B2229B"/>
    <w:rsid w:val="00B2447D"/>
    <w:rsid w:val="00B2654F"/>
    <w:rsid w:val="00B27D61"/>
    <w:rsid w:val="00B30BC0"/>
    <w:rsid w:val="00B36D48"/>
    <w:rsid w:val="00B40133"/>
    <w:rsid w:val="00B41E7A"/>
    <w:rsid w:val="00B434CF"/>
    <w:rsid w:val="00B46ABF"/>
    <w:rsid w:val="00B47CAB"/>
    <w:rsid w:val="00B50021"/>
    <w:rsid w:val="00B50CF4"/>
    <w:rsid w:val="00B53433"/>
    <w:rsid w:val="00B57E89"/>
    <w:rsid w:val="00B600D9"/>
    <w:rsid w:val="00B6394D"/>
    <w:rsid w:val="00B63FBA"/>
    <w:rsid w:val="00B6519A"/>
    <w:rsid w:val="00B663B8"/>
    <w:rsid w:val="00B71665"/>
    <w:rsid w:val="00B71C0B"/>
    <w:rsid w:val="00B74947"/>
    <w:rsid w:val="00B7591E"/>
    <w:rsid w:val="00B81BD0"/>
    <w:rsid w:val="00B82794"/>
    <w:rsid w:val="00B84CCB"/>
    <w:rsid w:val="00B862AF"/>
    <w:rsid w:val="00B90D97"/>
    <w:rsid w:val="00B91241"/>
    <w:rsid w:val="00B92D47"/>
    <w:rsid w:val="00BA06C1"/>
    <w:rsid w:val="00BA0B65"/>
    <w:rsid w:val="00BA1F78"/>
    <w:rsid w:val="00BA6FEF"/>
    <w:rsid w:val="00BB24C2"/>
    <w:rsid w:val="00BB40F6"/>
    <w:rsid w:val="00BB60B2"/>
    <w:rsid w:val="00BB785F"/>
    <w:rsid w:val="00BB7D3F"/>
    <w:rsid w:val="00BC1BBF"/>
    <w:rsid w:val="00BC2E39"/>
    <w:rsid w:val="00BC4BB9"/>
    <w:rsid w:val="00BC6076"/>
    <w:rsid w:val="00BC6E86"/>
    <w:rsid w:val="00BC76FE"/>
    <w:rsid w:val="00BD0C9A"/>
    <w:rsid w:val="00BD30D2"/>
    <w:rsid w:val="00BE2E1E"/>
    <w:rsid w:val="00BE3FF4"/>
    <w:rsid w:val="00BE47BD"/>
    <w:rsid w:val="00BE5B52"/>
    <w:rsid w:val="00BE6E6D"/>
    <w:rsid w:val="00BF0ACC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77DA"/>
    <w:rsid w:val="00C0788A"/>
    <w:rsid w:val="00C07EBB"/>
    <w:rsid w:val="00C131FA"/>
    <w:rsid w:val="00C13F58"/>
    <w:rsid w:val="00C14571"/>
    <w:rsid w:val="00C1491F"/>
    <w:rsid w:val="00C157D1"/>
    <w:rsid w:val="00C20E5A"/>
    <w:rsid w:val="00C22E55"/>
    <w:rsid w:val="00C23729"/>
    <w:rsid w:val="00C25367"/>
    <w:rsid w:val="00C26844"/>
    <w:rsid w:val="00C2734A"/>
    <w:rsid w:val="00C309B8"/>
    <w:rsid w:val="00C321B7"/>
    <w:rsid w:val="00C34184"/>
    <w:rsid w:val="00C34AC1"/>
    <w:rsid w:val="00C35CAA"/>
    <w:rsid w:val="00C37B69"/>
    <w:rsid w:val="00C40CFD"/>
    <w:rsid w:val="00C41BAB"/>
    <w:rsid w:val="00C41D78"/>
    <w:rsid w:val="00C42122"/>
    <w:rsid w:val="00C427B1"/>
    <w:rsid w:val="00C42838"/>
    <w:rsid w:val="00C4601D"/>
    <w:rsid w:val="00C46235"/>
    <w:rsid w:val="00C47275"/>
    <w:rsid w:val="00C50494"/>
    <w:rsid w:val="00C51BC7"/>
    <w:rsid w:val="00C53A70"/>
    <w:rsid w:val="00C565D2"/>
    <w:rsid w:val="00C576EA"/>
    <w:rsid w:val="00C57CD2"/>
    <w:rsid w:val="00C603DE"/>
    <w:rsid w:val="00C6164F"/>
    <w:rsid w:val="00C62171"/>
    <w:rsid w:val="00C6348A"/>
    <w:rsid w:val="00C6406C"/>
    <w:rsid w:val="00C64636"/>
    <w:rsid w:val="00C646AC"/>
    <w:rsid w:val="00C652CE"/>
    <w:rsid w:val="00C6630B"/>
    <w:rsid w:val="00C701AF"/>
    <w:rsid w:val="00C72651"/>
    <w:rsid w:val="00C72C89"/>
    <w:rsid w:val="00C74B05"/>
    <w:rsid w:val="00C75F0D"/>
    <w:rsid w:val="00C75F73"/>
    <w:rsid w:val="00C80520"/>
    <w:rsid w:val="00C81007"/>
    <w:rsid w:val="00C85EA2"/>
    <w:rsid w:val="00C86D66"/>
    <w:rsid w:val="00C87E02"/>
    <w:rsid w:val="00C909BF"/>
    <w:rsid w:val="00C9152B"/>
    <w:rsid w:val="00C93D87"/>
    <w:rsid w:val="00C93DA1"/>
    <w:rsid w:val="00C9626E"/>
    <w:rsid w:val="00CA211C"/>
    <w:rsid w:val="00CA44ED"/>
    <w:rsid w:val="00CA7C68"/>
    <w:rsid w:val="00CA7C77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D769F"/>
    <w:rsid w:val="00CE518B"/>
    <w:rsid w:val="00CE6CFC"/>
    <w:rsid w:val="00CF0D75"/>
    <w:rsid w:val="00CF4E1E"/>
    <w:rsid w:val="00CF5FA3"/>
    <w:rsid w:val="00D004D6"/>
    <w:rsid w:val="00D0131E"/>
    <w:rsid w:val="00D01C27"/>
    <w:rsid w:val="00D0344E"/>
    <w:rsid w:val="00D0409E"/>
    <w:rsid w:val="00D0655B"/>
    <w:rsid w:val="00D06D66"/>
    <w:rsid w:val="00D0711F"/>
    <w:rsid w:val="00D10F1E"/>
    <w:rsid w:val="00D134CD"/>
    <w:rsid w:val="00D14D13"/>
    <w:rsid w:val="00D15C59"/>
    <w:rsid w:val="00D17067"/>
    <w:rsid w:val="00D20419"/>
    <w:rsid w:val="00D20CDA"/>
    <w:rsid w:val="00D222E7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5983"/>
    <w:rsid w:val="00D3631D"/>
    <w:rsid w:val="00D44ED9"/>
    <w:rsid w:val="00D45256"/>
    <w:rsid w:val="00D47D6A"/>
    <w:rsid w:val="00D50FD4"/>
    <w:rsid w:val="00D51C00"/>
    <w:rsid w:val="00D51E0A"/>
    <w:rsid w:val="00D52AB9"/>
    <w:rsid w:val="00D55775"/>
    <w:rsid w:val="00D564C8"/>
    <w:rsid w:val="00D57413"/>
    <w:rsid w:val="00D60D35"/>
    <w:rsid w:val="00D61692"/>
    <w:rsid w:val="00D64F6E"/>
    <w:rsid w:val="00D710FD"/>
    <w:rsid w:val="00D71690"/>
    <w:rsid w:val="00D719A0"/>
    <w:rsid w:val="00D733AC"/>
    <w:rsid w:val="00D73AA8"/>
    <w:rsid w:val="00D75F50"/>
    <w:rsid w:val="00D76A94"/>
    <w:rsid w:val="00D7718A"/>
    <w:rsid w:val="00D77F3E"/>
    <w:rsid w:val="00D803C1"/>
    <w:rsid w:val="00D848EE"/>
    <w:rsid w:val="00D85C94"/>
    <w:rsid w:val="00D85F1E"/>
    <w:rsid w:val="00D8651E"/>
    <w:rsid w:val="00D91904"/>
    <w:rsid w:val="00D92C91"/>
    <w:rsid w:val="00D94466"/>
    <w:rsid w:val="00D96B77"/>
    <w:rsid w:val="00D96CD3"/>
    <w:rsid w:val="00DA35C2"/>
    <w:rsid w:val="00DA372E"/>
    <w:rsid w:val="00DA6330"/>
    <w:rsid w:val="00DB0D61"/>
    <w:rsid w:val="00DB2EE2"/>
    <w:rsid w:val="00DB3E5E"/>
    <w:rsid w:val="00DB4A28"/>
    <w:rsid w:val="00DB55E7"/>
    <w:rsid w:val="00DB561E"/>
    <w:rsid w:val="00DB7C5D"/>
    <w:rsid w:val="00DC006E"/>
    <w:rsid w:val="00DC1184"/>
    <w:rsid w:val="00DC3690"/>
    <w:rsid w:val="00DC48C0"/>
    <w:rsid w:val="00DC4AD1"/>
    <w:rsid w:val="00DD230D"/>
    <w:rsid w:val="00DD351E"/>
    <w:rsid w:val="00DD5A8F"/>
    <w:rsid w:val="00DD756A"/>
    <w:rsid w:val="00DE0595"/>
    <w:rsid w:val="00DE1A7C"/>
    <w:rsid w:val="00DE2C31"/>
    <w:rsid w:val="00DE4794"/>
    <w:rsid w:val="00DE47FC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0EAA"/>
    <w:rsid w:val="00E01B04"/>
    <w:rsid w:val="00E01F45"/>
    <w:rsid w:val="00E02E82"/>
    <w:rsid w:val="00E03367"/>
    <w:rsid w:val="00E04E50"/>
    <w:rsid w:val="00E05C49"/>
    <w:rsid w:val="00E06855"/>
    <w:rsid w:val="00E143F2"/>
    <w:rsid w:val="00E14901"/>
    <w:rsid w:val="00E157D0"/>
    <w:rsid w:val="00E20800"/>
    <w:rsid w:val="00E237D9"/>
    <w:rsid w:val="00E249A9"/>
    <w:rsid w:val="00E25472"/>
    <w:rsid w:val="00E27F19"/>
    <w:rsid w:val="00E30184"/>
    <w:rsid w:val="00E30F05"/>
    <w:rsid w:val="00E318AD"/>
    <w:rsid w:val="00E32169"/>
    <w:rsid w:val="00E328B1"/>
    <w:rsid w:val="00E35767"/>
    <w:rsid w:val="00E35972"/>
    <w:rsid w:val="00E35BCC"/>
    <w:rsid w:val="00E36E18"/>
    <w:rsid w:val="00E37149"/>
    <w:rsid w:val="00E40915"/>
    <w:rsid w:val="00E41355"/>
    <w:rsid w:val="00E42290"/>
    <w:rsid w:val="00E43D7A"/>
    <w:rsid w:val="00E453FC"/>
    <w:rsid w:val="00E456CD"/>
    <w:rsid w:val="00E4745C"/>
    <w:rsid w:val="00E51282"/>
    <w:rsid w:val="00E523EF"/>
    <w:rsid w:val="00E54993"/>
    <w:rsid w:val="00E565C1"/>
    <w:rsid w:val="00E56648"/>
    <w:rsid w:val="00E56972"/>
    <w:rsid w:val="00E56E69"/>
    <w:rsid w:val="00E57695"/>
    <w:rsid w:val="00E57725"/>
    <w:rsid w:val="00E610DC"/>
    <w:rsid w:val="00E64AA5"/>
    <w:rsid w:val="00E64E93"/>
    <w:rsid w:val="00E72541"/>
    <w:rsid w:val="00E72808"/>
    <w:rsid w:val="00E72F93"/>
    <w:rsid w:val="00E734B7"/>
    <w:rsid w:val="00E73E27"/>
    <w:rsid w:val="00E75796"/>
    <w:rsid w:val="00E8093F"/>
    <w:rsid w:val="00E82901"/>
    <w:rsid w:val="00E82C42"/>
    <w:rsid w:val="00E83DA8"/>
    <w:rsid w:val="00E83E92"/>
    <w:rsid w:val="00E842DE"/>
    <w:rsid w:val="00E84A41"/>
    <w:rsid w:val="00E8523D"/>
    <w:rsid w:val="00E87BA7"/>
    <w:rsid w:val="00E9031B"/>
    <w:rsid w:val="00E91311"/>
    <w:rsid w:val="00E92380"/>
    <w:rsid w:val="00E95A95"/>
    <w:rsid w:val="00EA0BE5"/>
    <w:rsid w:val="00EA2FB5"/>
    <w:rsid w:val="00EA43D5"/>
    <w:rsid w:val="00EA5738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EF737D"/>
    <w:rsid w:val="00F00B04"/>
    <w:rsid w:val="00F01200"/>
    <w:rsid w:val="00F03604"/>
    <w:rsid w:val="00F03B06"/>
    <w:rsid w:val="00F04386"/>
    <w:rsid w:val="00F04AF5"/>
    <w:rsid w:val="00F053FC"/>
    <w:rsid w:val="00F064DC"/>
    <w:rsid w:val="00F10750"/>
    <w:rsid w:val="00F1178A"/>
    <w:rsid w:val="00F11F0D"/>
    <w:rsid w:val="00F1270D"/>
    <w:rsid w:val="00F13EE1"/>
    <w:rsid w:val="00F176FB"/>
    <w:rsid w:val="00F21847"/>
    <w:rsid w:val="00F21D60"/>
    <w:rsid w:val="00F231BA"/>
    <w:rsid w:val="00F24232"/>
    <w:rsid w:val="00F24992"/>
    <w:rsid w:val="00F26EE8"/>
    <w:rsid w:val="00F27924"/>
    <w:rsid w:val="00F3219F"/>
    <w:rsid w:val="00F32E78"/>
    <w:rsid w:val="00F36375"/>
    <w:rsid w:val="00F37E59"/>
    <w:rsid w:val="00F4195C"/>
    <w:rsid w:val="00F41ABF"/>
    <w:rsid w:val="00F52271"/>
    <w:rsid w:val="00F52987"/>
    <w:rsid w:val="00F54342"/>
    <w:rsid w:val="00F550CB"/>
    <w:rsid w:val="00F5720E"/>
    <w:rsid w:val="00F5737B"/>
    <w:rsid w:val="00F619FF"/>
    <w:rsid w:val="00F6365F"/>
    <w:rsid w:val="00F653CD"/>
    <w:rsid w:val="00F65D2D"/>
    <w:rsid w:val="00F6620F"/>
    <w:rsid w:val="00F67252"/>
    <w:rsid w:val="00F70CC9"/>
    <w:rsid w:val="00F72EE3"/>
    <w:rsid w:val="00F737D1"/>
    <w:rsid w:val="00F74097"/>
    <w:rsid w:val="00F743B0"/>
    <w:rsid w:val="00F81AF7"/>
    <w:rsid w:val="00F81F17"/>
    <w:rsid w:val="00F8680A"/>
    <w:rsid w:val="00F911BE"/>
    <w:rsid w:val="00F93E6F"/>
    <w:rsid w:val="00F943E3"/>
    <w:rsid w:val="00F94653"/>
    <w:rsid w:val="00F967FC"/>
    <w:rsid w:val="00FA053C"/>
    <w:rsid w:val="00FA0AE5"/>
    <w:rsid w:val="00FA1BE2"/>
    <w:rsid w:val="00FA2AA4"/>
    <w:rsid w:val="00FA3278"/>
    <w:rsid w:val="00FB03D2"/>
    <w:rsid w:val="00FB0828"/>
    <w:rsid w:val="00FB495F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AB9"/>
    <w:rsid w:val="00FD6D73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Radovan\ESI%20po%20zemlja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olja.tomanovic\Desktop\ARS%2023.09.2013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ndrija.damjanovic\Desktop\mmi-2013%20_9%20(Andrija)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adovan.zivkovic\Dropbox\MINISTARSTVO%20FINANSIJA%20(1)\SEP\MMI\MMI%202013\MMI_2013_09\mmi-2013%20_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3%200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900"/>
            </a:pPr>
            <a:r>
              <a:rPr lang="x-none" sz="900"/>
              <a:t>Stope na</a:t>
            </a:r>
            <a:r>
              <a:rPr lang="x-none" sz="900" baseline="0"/>
              <a:t> 10-to godišnje državne obveznice- 30. avgust2013</a:t>
            </a:r>
            <a:endParaRPr lang="en-US" sz="9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0.32758568738230809"/>
          <c:y val="0.15160593297930791"/>
          <c:w val="0.66822834274953813"/>
          <c:h val="0.75438996505804867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0"/>
                  <c:y val="-6.4706345530339021E-2"/>
                </c:manualLayout>
              </c:layout>
              <c:showVal val="1"/>
            </c:dLbl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Sheet2!$B$4:$B$10</c:f>
              <c:strCache>
                <c:ptCount val="7"/>
                <c:pt idx="0">
                  <c:v>Grčka</c:v>
                </c:pt>
                <c:pt idx="1">
                  <c:v>Portugal</c:v>
                </c:pt>
                <c:pt idx="2">
                  <c:v>Španija</c:v>
                </c:pt>
                <c:pt idx="3">
                  <c:v>Italija </c:v>
                </c:pt>
                <c:pt idx="4">
                  <c:v>Irska</c:v>
                </c:pt>
                <c:pt idx="5">
                  <c:v>Holandija</c:v>
                </c:pt>
                <c:pt idx="6">
                  <c:v>Njemačka</c:v>
                </c:pt>
              </c:strCache>
            </c:strRef>
          </c:cat>
          <c:val>
            <c:numRef>
              <c:f>Sheet2!$C$4:$C$11</c:f>
              <c:numCache>
                <c:formatCode>General</c:formatCode>
                <c:ptCount val="8"/>
                <c:pt idx="0">
                  <c:v>10.31</c:v>
                </c:pt>
                <c:pt idx="1">
                  <c:v>6.74</c:v>
                </c:pt>
                <c:pt idx="2">
                  <c:v>4.5599999999999996</c:v>
                </c:pt>
                <c:pt idx="3">
                  <c:v>4.42</c:v>
                </c:pt>
                <c:pt idx="4">
                  <c:v>4.18</c:v>
                </c:pt>
                <c:pt idx="5">
                  <c:v>2.2999999999999998</c:v>
                </c:pt>
                <c:pt idx="6">
                  <c:v>1.86</c:v>
                </c:pt>
              </c:numCache>
            </c:numRef>
          </c:val>
        </c:ser>
        <c:gapWidth val="30"/>
        <c:axId val="105996288"/>
        <c:axId val="105997824"/>
      </c:barChart>
      <c:catAx>
        <c:axId val="105996288"/>
        <c:scaling>
          <c:orientation val="minMax"/>
        </c:scaling>
        <c:axPos val="l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5997824"/>
        <c:crosses val="autoZero"/>
        <c:auto val="1"/>
        <c:lblAlgn val="ctr"/>
        <c:lblOffset val="100"/>
      </c:catAx>
      <c:valAx>
        <c:axId val="105997824"/>
        <c:scaling>
          <c:orientation val="minMax"/>
          <c:max val="11"/>
          <c:min val="1"/>
        </c:scaling>
        <c:delete val="1"/>
        <c:axPos val="b"/>
        <c:numFmt formatCode="#,##0.0" sourceLinked="0"/>
        <c:tickLblPos val="none"/>
        <c:crossAx val="1059962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3977894561227894"/>
          <c:y val="0.25576943991299617"/>
          <c:w val="0.81564151877904756"/>
          <c:h val="0.65282443008790292"/>
        </c:manualLayout>
      </c:layout>
      <c:lineChart>
        <c:grouping val="standard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Industrijska proizvodnja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indikatori'!$W$27:$AI$27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2013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indikatori'!$W$12:$AI$12</c:f>
              <c:numCache>
                <c:formatCode>0.0</c:formatCode>
                <c:ptCount val="13"/>
                <c:pt idx="0">
                  <c:v>-5.5</c:v>
                </c:pt>
                <c:pt idx="1">
                  <c:v>-16.100000000000001</c:v>
                </c:pt>
                <c:pt idx="2">
                  <c:v>-24.4</c:v>
                </c:pt>
                <c:pt idx="3">
                  <c:v>-6</c:v>
                </c:pt>
                <c:pt idx="4">
                  <c:v>17</c:v>
                </c:pt>
                <c:pt idx="5">
                  <c:v>1.7000000000000002</c:v>
                </c:pt>
                <c:pt idx="6">
                  <c:v>-3</c:v>
                </c:pt>
                <c:pt idx="7">
                  <c:v>10.4</c:v>
                </c:pt>
                <c:pt idx="8">
                  <c:v>14.2</c:v>
                </c:pt>
                <c:pt idx="9">
                  <c:v>22.4</c:v>
                </c:pt>
                <c:pt idx="10">
                  <c:v>19.600000000000001</c:v>
                </c:pt>
                <c:pt idx="11">
                  <c:v>5.0999999999999996</c:v>
                </c:pt>
                <c:pt idx="12">
                  <c:v>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indikatori'!$W$27:$AI$27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2013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indikatori'!$W$13:$AI$13</c:f>
              <c:numCache>
                <c:formatCode>0.0</c:formatCode>
                <c:ptCount val="13"/>
                <c:pt idx="0">
                  <c:v>-13</c:v>
                </c:pt>
                <c:pt idx="1">
                  <c:v>-20.399999999999999</c:v>
                </c:pt>
                <c:pt idx="2">
                  <c:v>-40.5</c:v>
                </c:pt>
                <c:pt idx="3">
                  <c:v>-28.1</c:v>
                </c:pt>
                <c:pt idx="4">
                  <c:v>-20.3</c:v>
                </c:pt>
                <c:pt idx="5">
                  <c:v>-36.4</c:v>
                </c:pt>
                <c:pt idx="6">
                  <c:v>-32.800000000000004</c:v>
                </c:pt>
                <c:pt idx="7">
                  <c:v>-34.4</c:v>
                </c:pt>
                <c:pt idx="8">
                  <c:v>-28.2</c:v>
                </c:pt>
                <c:pt idx="9">
                  <c:v>-11.5</c:v>
                </c:pt>
                <c:pt idx="10">
                  <c:v>-11.1</c:v>
                </c:pt>
                <c:pt idx="11">
                  <c:v>11.7</c:v>
                </c:pt>
                <c:pt idx="12">
                  <c:v>4.7</c:v>
                </c:pt>
              </c:numCache>
            </c:numRef>
          </c:val>
          <c:smooth val="1"/>
        </c:ser>
        <c:marker val="1"/>
        <c:axId val="106112512"/>
        <c:axId val="106114048"/>
      </c:lineChart>
      <c:catAx>
        <c:axId val="1061125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6114048"/>
        <c:crosses val="autoZero"/>
        <c:auto val="1"/>
        <c:lblAlgn val="ctr"/>
        <c:lblOffset val="100"/>
      </c:catAx>
      <c:valAx>
        <c:axId val="106114048"/>
        <c:scaling>
          <c:orientation val="minMax"/>
        </c:scaling>
        <c:axPos val="l"/>
        <c:numFmt formatCode="#,##0.0" sourceLinked="0"/>
        <c:maj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6112512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8.8480606590842864E-2"/>
          <c:y val="3.4928967212431799E-3"/>
          <c:w val="0.80553595261929312"/>
          <c:h val="0.17169657422512236"/>
        </c:manualLayout>
      </c:layout>
      <c:txPr>
        <a:bodyPr/>
        <a:lstStyle/>
        <a:p>
          <a:pPr>
            <a:defRPr lang="sr-Latn-CS"/>
          </a:pPr>
          <a:endParaRPr lang="en-US"/>
        </a:p>
      </c:txPr>
    </c:legend>
    <c:plotVisOnly val="1"/>
  </c:chart>
  <c:spPr>
    <a:ln>
      <a:noFill/>
    </a:ln>
  </c:spPr>
  <c:txPr>
    <a:bodyPr/>
    <a:lstStyle/>
    <a:p>
      <a:pPr>
        <a:defRPr sz="600"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1050"/>
            </a:pPr>
            <a:r>
              <a:rPr lang="en-US" sz="105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6668083156272367"/>
          <c:y val="0.20505928138293431"/>
          <c:w val="0.80155042444058211"/>
          <c:h val="0.43440484369360938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indikatori'!$W$27:$AI$27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2013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indikatori'!$W$19:$AI$19</c:f>
              <c:numCache>
                <c:formatCode>0.0</c:formatCode>
                <c:ptCount val="13"/>
                <c:pt idx="0">
                  <c:v>4</c:v>
                </c:pt>
                <c:pt idx="1">
                  <c:v>4.4000000000000004</c:v>
                </c:pt>
                <c:pt idx="2">
                  <c:v>5.2</c:v>
                </c:pt>
                <c:pt idx="3">
                  <c:v>5.2</c:v>
                </c:pt>
                <c:pt idx="4">
                  <c:v>5.0999999999999996</c:v>
                </c:pt>
                <c:pt idx="5">
                  <c:v>4.2</c:v>
                </c:pt>
                <c:pt idx="6">
                  <c:v>3.3</c:v>
                </c:pt>
                <c:pt idx="7">
                  <c:v>3.3</c:v>
                </c:pt>
                <c:pt idx="8">
                  <c:v>3.2</c:v>
                </c:pt>
                <c:pt idx="9">
                  <c:v>3</c:v>
                </c:pt>
                <c:pt idx="10">
                  <c:v>2.2000000000000002</c:v>
                </c:pt>
                <c:pt idx="11">
                  <c:v>2.7</c:v>
                </c:pt>
                <c:pt idx="12">
                  <c:v>2.2000000000000002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indikatori'!$C$20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indikatori'!$W$27:$AI$27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2013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indikatori'!$W$20:$AI$20</c:f>
              <c:numCache>
                <c:formatCode>#,##0.0</c:formatCode>
                <c:ptCount val="13"/>
                <c:pt idx="0">
                  <c:v>5</c:v>
                </c:pt>
                <c:pt idx="1">
                  <c:v>4.5999999999999996</c:v>
                </c:pt>
                <c:pt idx="2">
                  <c:v>4.9000000000000004</c:v>
                </c:pt>
                <c:pt idx="3">
                  <c:v>4.8</c:v>
                </c:pt>
                <c:pt idx="4">
                  <c:v>4.4000000000000004</c:v>
                </c:pt>
                <c:pt idx="5">
                  <c:v>3.8</c:v>
                </c:pt>
                <c:pt idx="6">
                  <c:v>3.1</c:v>
                </c:pt>
                <c:pt idx="7">
                  <c:v>3</c:v>
                </c:pt>
                <c:pt idx="8">
                  <c:v>2.4</c:v>
                </c:pt>
                <c:pt idx="9">
                  <c:v>2.1</c:v>
                </c:pt>
                <c:pt idx="10">
                  <c:v>1.5</c:v>
                </c:pt>
                <c:pt idx="11">
                  <c:v>2.2000000000000002</c:v>
                </c:pt>
                <c:pt idx="12">
                  <c:v>1.7000000000000002</c:v>
                </c:pt>
              </c:numCache>
            </c:numRef>
          </c:val>
          <c:smooth val="1"/>
        </c:ser>
        <c:marker val="1"/>
        <c:axId val="106142720"/>
        <c:axId val="106164992"/>
      </c:lineChart>
      <c:catAx>
        <c:axId val="1061427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06164992"/>
        <c:crosses val="autoZero"/>
        <c:auto val="1"/>
        <c:lblAlgn val="ctr"/>
        <c:lblOffset val="100"/>
      </c:catAx>
      <c:valAx>
        <c:axId val="106164992"/>
        <c:scaling>
          <c:orientation val="minMax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06142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3903988070802812E-2"/>
          <c:y val="0.79031834307140958"/>
          <c:w val="0.87956980240265414"/>
          <c:h val="0.18218166595089688"/>
        </c:manualLayout>
      </c:layout>
      <c:txPr>
        <a:bodyPr/>
        <a:lstStyle/>
        <a:p>
          <a:pPr>
            <a:defRPr lang="en-U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r-Latn-CS" sz="800"/>
              <a:t>stopa</a:t>
            </a:r>
            <a:r>
              <a:rPr lang="sr-Latn-CS" sz="800" baseline="0"/>
              <a:t> nezaposlenosti</a:t>
            </a:r>
            <a:r>
              <a:rPr lang="en-US" sz="800"/>
              <a:t> (ARS) </a:t>
            </a:r>
          </a:p>
        </c:rich>
      </c:tx>
      <c:layout>
        <c:manualLayout>
          <c:xMode val="edge"/>
          <c:yMode val="edge"/>
          <c:x val="0.16420493906663194"/>
          <c:y val="4.211970436210810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589229108073031"/>
          <c:y val="0.12169126305305777"/>
          <c:w val="0.81736489756757968"/>
          <c:h val="0.52047080860979644"/>
        </c:manualLayout>
      </c:layout>
      <c:barChart>
        <c:barDir val="col"/>
        <c:grouping val="clustered"/>
        <c:ser>
          <c:idx val="0"/>
          <c:order val="0"/>
          <c:tx>
            <c:v>ukupno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Sheet1!$E$81:$E$90</c:f>
              <c:strCache>
                <c:ptCount val="10"/>
                <c:pt idx="0">
                  <c:v>1.K.2011</c:v>
                </c:pt>
                <c:pt idx="1">
                  <c:v>2.K.2011</c:v>
                </c:pt>
                <c:pt idx="2">
                  <c:v>3.K.2011</c:v>
                </c:pt>
                <c:pt idx="3">
                  <c:v>4.K.2011</c:v>
                </c:pt>
                <c:pt idx="4">
                  <c:v>1.K.2012</c:v>
                </c:pt>
                <c:pt idx="5">
                  <c:v>2.K.2012</c:v>
                </c:pt>
                <c:pt idx="6">
                  <c:v>3.K.2012</c:v>
                </c:pt>
                <c:pt idx="7">
                  <c:v>4.K.2012</c:v>
                </c:pt>
                <c:pt idx="8">
                  <c:v>1.K.2013</c:v>
                </c:pt>
                <c:pt idx="9">
                  <c:v>2.K.2013</c:v>
                </c:pt>
              </c:strCache>
            </c:strRef>
          </c:cat>
          <c:val>
            <c:numRef>
              <c:f>Sheet1!$F$81:$F$90</c:f>
              <c:numCache>
                <c:formatCode>#,##0.0</c:formatCode>
                <c:ptCount val="10"/>
                <c:pt idx="0">
                  <c:v>21.2</c:v>
                </c:pt>
                <c:pt idx="1">
                  <c:v>19.899999999999999</c:v>
                </c:pt>
                <c:pt idx="2">
                  <c:v>19.5</c:v>
                </c:pt>
                <c:pt idx="3">
                  <c:v>18.100000000000001</c:v>
                </c:pt>
                <c:pt idx="4">
                  <c:v>20.7</c:v>
                </c:pt>
                <c:pt idx="5">
                  <c:v>20</c:v>
                </c:pt>
                <c:pt idx="6">
                  <c:v>18.8</c:v>
                </c:pt>
                <c:pt idx="7">
                  <c:v>20.6</c:v>
                </c:pt>
                <c:pt idx="8">
                  <c:v>21.5</c:v>
                </c:pt>
                <c:pt idx="9">
                  <c:v>19.2</c:v>
                </c:pt>
              </c:numCache>
            </c:numRef>
          </c:val>
        </c:ser>
        <c:ser>
          <c:idx val="1"/>
          <c:order val="1"/>
          <c:tx>
            <c:v>mušk.</c:v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Sheet1!$E$81:$E$90</c:f>
              <c:strCache>
                <c:ptCount val="10"/>
                <c:pt idx="0">
                  <c:v>1.K.2011</c:v>
                </c:pt>
                <c:pt idx="1">
                  <c:v>2.K.2011</c:v>
                </c:pt>
                <c:pt idx="2">
                  <c:v>3.K.2011</c:v>
                </c:pt>
                <c:pt idx="3">
                  <c:v>4.K.2011</c:v>
                </c:pt>
                <c:pt idx="4">
                  <c:v>1.K.2012</c:v>
                </c:pt>
                <c:pt idx="5">
                  <c:v>2.K.2012</c:v>
                </c:pt>
                <c:pt idx="6">
                  <c:v>3.K.2012</c:v>
                </c:pt>
                <c:pt idx="7">
                  <c:v>4.K.2012</c:v>
                </c:pt>
                <c:pt idx="8">
                  <c:v>1.K.2013</c:v>
                </c:pt>
                <c:pt idx="9">
                  <c:v>2.K.2013</c:v>
                </c:pt>
              </c:strCache>
            </c:strRef>
          </c:cat>
          <c:val>
            <c:numRef>
              <c:f>Sheet1!$G$81:$G$90</c:f>
              <c:numCache>
                <c:formatCode>#,##0.0</c:formatCode>
                <c:ptCount val="10"/>
                <c:pt idx="0">
                  <c:v>20.399999999999999</c:v>
                </c:pt>
                <c:pt idx="1">
                  <c:v>19.100000000000001</c:v>
                </c:pt>
                <c:pt idx="2">
                  <c:v>19.2</c:v>
                </c:pt>
                <c:pt idx="3">
                  <c:v>18.399999999999999</c:v>
                </c:pt>
                <c:pt idx="4">
                  <c:v>20.8</c:v>
                </c:pt>
                <c:pt idx="5">
                  <c:v>19.7</c:v>
                </c:pt>
                <c:pt idx="6">
                  <c:v>18.2</c:v>
                </c:pt>
                <c:pt idx="7">
                  <c:v>20.8</c:v>
                </c:pt>
                <c:pt idx="8">
                  <c:v>23.4</c:v>
                </c:pt>
                <c:pt idx="9">
                  <c:v>20.3</c:v>
                </c:pt>
              </c:numCache>
            </c:numRef>
          </c:val>
        </c:ser>
        <c:ser>
          <c:idx val="2"/>
          <c:order val="2"/>
          <c:tx>
            <c:v>žene</c:v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Sheet1!$E$81:$E$90</c:f>
              <c:strCache>
                <c:ptCount val="10"/>
                <c:pt idx="0">
                  <c:v>1.K.2011</c:v>
                </c:pt>
                <c:pt idx="1">
                  <c:v>2.K.2011</c:v>
                </c:pt>
                <c:pt idx="2">
                  <c:v>3.K.2011</c:v>
                </c:pt>
                <c:pt idx="3">
                  <c:v>4.K.2011</c:v>
                </c:pt>
                <c:pt idx="4">
                  <c:v>1.K.2012</c:v>
                </c:pt>
                <c:pt idx="5">
                  <c:v>2.K.2012</c:v>
                </c:pt>
                <c:pt idx="6">
                  <c:v>3.K.2012</c:v>
                </c:pt>
                <c:pt idx="7">
                  <c:v>4.K.2012</c:v>
                </c:pt>
                <c:pt idx="8">
                  <c:v>1.K.2013</c:v>
                </c:pt>
                <c:pt idx="9">
                  <c:v>2.K.2013</c:v>
                </c:pt>
              </c:strCache>
            </c:strRef>
          </c:cat>
          <c:val>
            <c:numRef>
              <c:f>Sheet1!$H$81:$H$90</c:f>
              <c:numCache>
                <c:formatCode>#,##0.0</c:formatCode>
                <c:ptCount val="10"/>
                <c:pt idx="0">
                  <c:v>22.2</c:v>
                </c:pt>
                <c:pt idx="1">
                  <c:v>21</c:v>
                </c:pt>
                <c:pt idx="2">
                  <c:v>19.8</c:v>
                </c:pt>
                <c:pt idx="3">
                  <c:v>17.7</c:v>
                </c:pt>
                <c:pt idx="4">
                  <c:v>20.6</c:v>
                </c:pt>
                <c:pt idx="5">
                  <c:v>20.399999999999999</c:v>
                </c:pt>
                <c:pt idx="6">
                  <c:v>19.5</c:v>
                </c:pt>
                <c:pt idx="7">
                  <c:v>20.399999999999999</c:v>
                </c:pt>
                <c:pt idx="8">
                  <c:v>19.2</c:v>
                </c:pt>
                <c:pt idx="9">
                  <c:v>17.8</c:v>
                </c:pt>
              </c:numCache>
            </c:numRef>
          </c:val>
        </c:ser>
        <c:axId val="108214144"/>
        <c:axId val="108215680"/>
      </c:barChart>
      <c:catAx>
        <c:axId val="108214144"/>
        <c:scaling>
          <c:orientation val="minMax"/>
        </c:scaling>
        <c:axPos val="b"/>
        <c:numFmt formatCode="#,##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lang="en-U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8215680"/>
        <c:crosses val="autoZero"/>
        <c:auto val="1"/>
        <c:lblAlgn val="ctr"/>
        <c:lblOffset val="100"/>
        <c:tickLblSkip val="1"/>
        <c:tickMarkSkip val="1"/>
      </c:catAx>
      <c:valAx>
        <c:axId val="108215680"/>
        <c:scaling>
          <c:orientation val="minMax"/>
          <c:min val="17"/>
        </c:scaling>
        <c:axPos val="l"/>
        <c:numFmt formatCode="#,##0.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082141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2"/>
        <c:txPr>
          <a:bodyPr/>
          <a:lstStyle/>
          <a:p>
            <a:pPr>
              <a:defRPr sz="800">
                <a:latin typeface="+mn-lt"/>
              </a:defRPr>
            </a:pPr>
            <a:endParaRPr lang="en-US"/>
          </a:p>
        </c:txPr>
      </c:legendEntry>
      <c:layout>
        <c:manualLayout>
          <c:xMode val="edge"/>
          <c:yMode val="edge"/>
          <c:x val="0.13184779421699641"/>
          <c:y val="0.86818117430257913"/>
          <c:w val="0.7264137535477444"/>
          <c:h val="8.7261584773001472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lang="en-US" sz="800" b="0" i="0" u="none" strike="noStrike" baseline="0">
              <a:solidFill>
                <a:srgbClr val="000000"/>
              </a:solidFill>
              <a:latin typeface="+mn-lt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4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D</a:t>
            </a:r>
            <a:r>
              <a:rPr lang="en-US" sz="800"/>
              <a:t>RŽAVNI</a:t>
            </a:r>
            <a:r>
              <a:rPr lang="x-none" sz="800"/>
              <a:t> BUDŽET</a:t>
            </a:r>
            <a:endParaRPr lang="en-US" sz="800"/>
          </a:p>
        </c:rich>
      </c:tx>
    </c:title>
    <c:plotArea>
      <c:layout>
        <c:manualLayout>
          <c:layoutTarget val="inner"/>
          <c:xMode val="edge"/>
          <c:yMode val="edge"/>
          <c:x val="0.14349425584097097"/>
          <c:y val="0.17219297214713841"/>
          <c:w val="0.66110547622225779"/>
          <c:h val="0.57977976890820004"/>
        </c:manualLayout>
      </c:layout>
      <c:barChart>
        <c:barDir val="col"/>
        <c:grouping val="clustered"/>
        <c:ser>
          <c:idx val="2"/>
          <c:order val="2"/>
          <c:tx>
            <c:v>Suficit/deficit</c:v>
          </c:tx>
          <c:spPr>
            <a:effectLst/>
          </c:spPr>
          <c:cat>
            <c:strRef>
              <c:f>'Fiskalni indikatori (07)'!$V$5:$AC$5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'Fiskalni indikatori (07)'!$V$19:$AC$19</c:f>
              <c:numCache>
                <c:formatCode>0.00,,</c:formatCode>
                <c:ptCount val="8"/>
                <c:pt idx="0">
                  <c:v>-26278908.770000011</c:v>
                </c:pt>
                <c:pt idx="1">
                  <c:v>-19655387.129999995</c:v>
                </c:pt>
                <c:pt idx="2">
                  <c:v>-16094603.739488453</c:v>
                </c:pt>
                <c:pt idx="3">
                  <c:v>-16579320.979057282</c:v>
                </c:pt>
                <c:pt idx="4">
                  <c:v>-2281533.7802222082</c:v>
                </c:pt>
                <c:pt idx="5">
                  <c:v>-1150925.664792031</c:v>
                </c:pt>
                <c:pt idx="6">
                  <c:v>-38091562.151030391</c:v>
                </c:pt>
                <c:pt idx="7">
                  <c:v>-17126125.741030376</c:v>
                </c:pt>
              </c:numCache>
            </c:numRef>
          </c:val>
        </c:ser>
        <c:axId val="108260352"/>
        <c:axId val="108258816"/>
      </c:barChart>
      <c:lineChart>
        <c:grouping val="standard"/>
        <c:ser>
          <c:idx val="0"/>
          <c:order val="0"/>
          <c:tx>
            <c:v>IZVORNI PRIHODI</c:v>
          </c:tx>
          <c:spPr>
            <a:ln>
              <a:prstDash val="sysDash"/>
            </a:ln>
          </c:spPr>
          <c:marker>
            <c:symbol val="none"/>
          </c:marker>
          <c:cat>
            <c:strRef>
              <c:f>'Fiskalni indikatori (07)'!$V$5:$AC$5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'Fiskalni indikatori (07)'!$V$6:$AC$6</c:f>
              <c:numCache>
                <c:formatCode>0.00,,</c:formatCode>
                <c:ptCount val="8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99463336.86999999</c:v>
                </c:pt>
                <c:pt idx="6">
                  <c:v>121967418.41000022</c:v>
                </c:pt>
                <c:pt idx="7">
                  <c:v>125022813.07000001</c:v>
                </c:pt>
              </c:numCache>
            </c:numRef>
          </c:val>
          <c:smooth val="1"/>
        </c:ser>
        <c:ser>
          <c:idx val="1"/>
          <c:order val="1"/>
          <c:tx>
            <c:v>IZDACI BUDŽETA</c:v>
          </c:tx>
          <c:marker>
            <c:symbol val="none"/>
          </c:marker>
          <c:cat>
            <c:strRef>
              <c:f>'Fiskalni indikatori (07)'!$V$5:$AC$5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'Fiskalni indikatori (07)'!$V$12:$AC$12</c:f>
              <c:numCache>
                <c:formatCode>0.00,,</c:formatCode>
                <c:ptCount val="8"/>
                <c:pt idx="0">
                  <c:v>81035266.75</c:v>
                </c:pt>
                <c:pt idx="1">
                  <c:v>95331117.189999998</c:v>
                </c:pt>
                <c:pt idx="2">
                  <c:v>104390849.31948937</c:v>
                </c:pt>
                <c:pt idx="3">
                  <c:v>120528158.97905727</c:v>
                </c:pt>
                <c:pt idx="4">
                  <c:v>96279363.380222172</c:v>
                </c:pt>
                <c:pt idx="5">
                  <c:v>100614262.53479201</c:v>
                </c:pt>
                <c:pt idx="6">
                  <c:v>160058980.56103039</c:v>
                </c:pt>
                <c:pt idx="7">
                  <c:v>142148938.81103039</c:v>
                </c:pt>
              </c:numCache>
            </c:numRef>
          </c:val>
        </c:ser>
        <c:marker val="1"/>
        <c:axId val="108243200"/>
        <c:axId val="108257280"/>
      </c:lineChart>
      <c:catAx>
        <c:axId val="108243200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8257280"/>
        <c:crosses val="autoZero"/>
        <c:auto val="1"/>
        <c:lblAlgn val="ctr"/>
        <c:lblOffset val="100"/>
      </c:catAx>
      <c:valAx>
        <c:axId val="108257280"/>
        <c:scaling>
          <c:orientation val="minMax"/>
          <c:min val="0"/>
        </c:scaling>
        <c:axPos val="l"/>
        <c:majorGridlines/>
        <c:numFmt formatCode="0.0,,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700"/>
            </a:pPr>
            <a:endParaRPr lang="en-US"/>
          </a:p>
        </c:txPr>
        <c:crossAx val="108243200"/>
        <c:crosses val="autoZero"/>
        <c:crossBetween val="between"/>
      </c:valAx>
      <c:valAx>
        <c:axId val="108258816"/>
        <c:scaling>
          <c:orientation val="minMax"/>
          <c:max val="90000000"/>
          <c:min val="-9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8260352"/>
        <c:crosses val="max"/>
        <c:crossBetween val="between"/>
        <c:minorUnit val="3000000"/>
      </c:valAx>
      <c:catAx>
        <c:axId val="108260352"/>
        <c:scaling>
          <c:orientation val="minMax"/>
        </c:scaling>
        <c:delete val="1"/>
        <c:axPos val="b"/>
        <c:tickLblPos val="none"/>
        <c:crossAx val="10825881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1114152397617089"/>
          <c:y val="0.82442819647544063"/>
          <c:w val="0.8817118693496645"/>
          <c:h val="0.14852822501664903"/>
        </c:manualLayout>
      </c:layout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 algn="just">
        <a:defRPr sz="800" baseline="0"/>
      </a:pPr>
      <a:endParaRPr lang="en-US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6511721342349406"/>
          <c:y val="4.7384595793450342E-2"/>
          <c:w val="0.63564731237864436"/>
          <c:h val="0.79461829501915704"/>
        </c:manualLayout>
      </c:layout>
      <c:lineChart>
        <c:grouping val="standard"/>
        <c:ser>
          <c:idx val="0"/>
          <c:order val="0"/>
          <c:tx>
            <c:strRef>
              <c:f>'Makroekonomski indikatori'!$C$37</c:f>
              <c:strCache>
                <c:ptCount val="1"/>
                <c:pt idx="0">
                  <c:v>Krediti privredi (kumulativ, u mil €)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-0.2209742171267802"/>
                  <c:y val="-0.11528431743012539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Krediti privrede</a:t>
                    </a:r>
                    <a:endParaRPr lang="en-US" sz="800"/>
                  </a:p>
                </c:rich>
              </c:tx>
              <c:showVal val="1"/>
            </c:dLbl>
            <c:delete val="1"/>
          </c:dLbls>
          <c:cat>
            <c:strRef>
              <c:f>'Makroekonomski indikatori'!$O$59:$AI$59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2013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indikatori'!$U$37:$AI$37</c:f>
              <c:numCache>
                <c:formatCode>#,##0.0,,</c:formatCode>
                <c:ptCount val="13"/>
                <c:pt idx="0">
                  <c:v>950468000</c:v>
                </c:pt>
                <c:pt idx="1">
                  <c:v>941103000</c:v>
                </c:pt>
                <c:pt idx="2">
                  <c:v>923561000</c:v>
                </c:pt>
                <c:pt idx="3">
                  <c:v>936596000</c:v>
                </c:pt>
                <c:pt idx="4">
                  <c:v>930425000</c:v>
                </c:pt>
                <c:pt idx="5">
                  <c:v>1013195000</c:v>
                </c:pt>
                <c:pt idx="6">
                  <c:v>1018996000</c:v>
                </c:pt>
                <c:pt idx="7">
                  <c:v>1026510000</c:v>
                </c:pt>
                <c:pt idx="8">
                  <c:v>1029095000</c:v>
                </c:pt>
                <c:pt idx="9">
                  <c:v>1027926460.6433954</c:v>
                </c:pt>
                <c:pt idx="10">
                  <c:v>990503000</c:v>
                </c:pt>
                <c:pt idx="11">
                  <c:v>970241000</c:v>
                </c:pt>
                <c:pt idx="12">
                  <c:v>947586000</c:v>
                </c:pt>
              </c:numCache>
            </c:numRef>
          </c:val>
          <c:smooth val="1"/>
        </c:ser>
        <c:marker val="1"/>
        <c:axId val="109872640"/>
        <c:axId val="109874176"/>
      </c:lineChart>
      <c:lineChart>
        <c:grouping val="standard"/>
        <c:ser>
          <c:idx val="1"/>
          <c:order val="1"/>
          <c:tx>
            <c:strRef>
              <c:f>'Makroekonomski indikatori'!$C$39</c:f>
              <c:strCache>
                <c:ptCount val="1"/>
                <c:pt idx="0">
                  <c:v>Depoziti privrede (kumulativ, u mil €)</c:v>
                </c:pt>
              </c:strCache>
            </c:strRef>
          </c:tx>
          <c:spPr>
            <a:ln w="28575">
              <a:prstDash val="sysDash"/>
            </a:ln>
          </c:spPr>
          <c:marker>
            <c:symbol val="none"/>
          </c:marker>
          <c:dLbls>
            <c:dLbl>
              <c:idx val="3"/>
              <c:layout>
                <c:manualLayout>
                  <c:x val="0.1431863090284447"/>
                  <c:y val="-0.23597045652312462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Depoziti</a:t>
                    </a:r>
                    <a:r>
                      <a:rPr lang="x-none" sz="800" baseline="0"/>
                      <a:t> privrede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'Makroekonomski indikatori'!$O$59:$AG$59</c:f>
              <c:strCache>
                <c:ptCount val="11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2013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</c:strCache>
            </c:strRef>
          </c:cat>
          <c:val>
            <c:numRef>
              <c:f>'Makroekonomski indikatori'!$U$39:$AI$39</c:f>
              <c:numCache>
                <c:formatCode>#,##0.0,,</c:formatCode>
                <c:ptCount val="13"/>
                <c:pt idx="0">
                  <c:v>552080000</c:v>
                </c:pt>
                <c:pt idx="1">
                  <c:v>569228000</c:v>
                </c:pt>
                <c:pt idx="2">
                  <c:v>549548000</c:v>
                </c:pt>
                <c:pt idx="3">
                  <c:v>546428000</c:v>
                </c:pt>
                <c:pt idx="4">
                  <c:v>526525000</c:v>
                </c:pt>
                <c:pt idx="5">
                  <c:v>507787000</c:v>
                </c:pt>
                <c:pt idx="6">
                  <c:v>518687000</c:v>
                </c:pt>
                <c:pt idx="7">
                  <c:v>525396000</c:v>
                </c:pt>
                <c:pt idx="8">
                  <c:v>489805000</c:v>
                </c:pt>
                <c:pt idx="9">
                  <c:v>509806000</c:v>
                </c:pt>
                <c:pt idx="10">
                  <c:v>539330000</c:v>
                </c:pt>
                <c:pt idx="11">
                  <c:v>576247000</c:v>
                </c:pt>
                <c:pt idx="12">
                  <c:v>612291000</c:v>
                </c:pt>
              </c:numCache>
            </c:numRef>
          </c:val>
          <c:smooth val="1"/>
        </c:ser>
        <c:marker val="1"/>
        <c:axId val="109897984"/>
        <c:axId val="109896448"/>
      </c:lineChart>
      <c:catAx>
        <c:axId val="1098726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109874176"/>
        <c:crosses val="autoZero"/>
        <c:auto val="1"/>
        <c:lblAlgn val="ctr"/>
        <c:lblOffset val="100"/>
        <c:tickLblSkip val="3"/>
      </c:catAx>
      <c:valAx>
        <c:axId val="109874176"/>
        <c:scaling>
          <c:orientation val="minMax"/>
          <c:max val="1100000000"/>
          <c:min val="900000000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#,##0.0,,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9872640"/>
        <c:crosses val="autoZero"/>
        <c:crossBetween val="between"/>
        <c:majorUnit val="100000000"/>
        <c:minorUnit val="30000000"/>
      </c:valAx>
      <c:valAx>
        <c:axId val="109896448"/>
        <c:scaling>
          <c:orientation val="minMax"/>
          <c:min val="459999999.99999619"/>
        </c:scaling>
        <c:axPos val="r"/>
        <c:numFmt formatCode="#,##0.0,,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9897984"/>
        <c:crosses val="max"/>
        <c:crossBetween val="between"/>
      </c:valAx>
      <c:catAx>
        <c:axId val="109897984"/>
        <c:scaling>
          <c:orientation val="minMax"/>
        </c:scaling>
        <c:delete val="1"/>
        <c:axPos val="b"/>
        <c:tickLblPos val="none"/>
        <c:crossAx val="109896448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900"/>
            </a:pPr>
            <a:r>
              <a:rPr lang="en-US" sz="900"/>
              <a:t>Spoljnotrgovinski bilans</a:t>
            </a:r>
            <a:r>
              <a:rPr lang="en-US" sz="900" baseline="0"/>
              <a:t> (mil. </a:t>
            </a:r>
            <a:r>
              <a:rPr lang="en-US" sz="900" baseline="0">
                <a:latin typeface="Calibri"/>
              </a:rPr>
              <a:t>€)</a:t>
            </a:r>
            <a:endParaRPr lang="en-US" sz="900"/>
          </a:p>
        </c:rich>
      </c:tx>
      <c:layout>
        <c:manualLayout>
          <c:xMode val="edge"/>
          <c:yMode val="edge"/>
          <c:x val="0.14321682265870292"/>
          <c:y val="5.4509979653254862E-3"/>
        </c:manualLayout>
      </c:layout>
    </c:title>
    <c:plotArea>
      <c:layout>
        <c:manualLayout>
          <c:layoutTarget val="inner"/>
          <c:xMode val="edge"/>
          <c:yMode val="edge"/>
          <c:x val="0.13120404329980634"/>
          <c:y val="0.13965727424567767"/>
          <c:w val="0.76230462877089611"/>
          <c:h val="0.51914882540509733"/>
        </c:manualLayout>
      </c:layout>
      <c:barChart>
        <c:barDir val="col"/>
        <c:grouping val="clustered"/>
        <c:ser>
          <c:idx val="2"/>
          <c:order val="2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'Makroekonomski indikatori'!$P$60:$AI$60</c:f>
              <c:strCache>
                <c:ptCount val="20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'Makroekonomski indikatori'!$P$47:$AI$47</c:f>
              <c:numCache>
                <c:formatCode>0.0,,</c:formatCode>
                <c:ptCount val="20"/>
                <c:pt idx="0">
                  <c:v>-72446000</c:v>
                </c:pt>
                <c:pt idx="1">
                  <c:v>-82626000</c:v>
                </c:pt>
                <c:pt idx="2">
                  <c:v>-158072000</c:v>
                </c:pt>
                <c:pt idx="3" formatCode="#,##0.0,,">
                  <c:v>-119730000</c:v>
                </c:pt>
                <c:pt idx="4" formatCode="#,##0.0,,">
                  <c:v>-133225000</c:v>
                </c:pt>
                <c:pt idx="5" formatCode="#,##0.0,,">
                  <c:v>-138890000</c:v>
                </c:pt>
                <c:pt idx="6" formatCode="#,##0.0,,">
                  <c:v>-117584000</c:v>
                </c:pt>
                <c:pt idx="7" formatCode="#,##0.0,,">
                  <c:v>-141577000</c:v>
                </c:pt>
                <c:pt idx="8" formatCode="#,##0.0,,">
                  <c:v>-117584000</c:v>
                </c:pt>
                <c:pt idx="9" formatCode="#,##0.0,,">
                  <c:v>-106785000</c:v>
                </c:pt>
                <c:pt idx="10" formatCode="#,##0.0,,">
                  <c:v>-104165000</c:v>
                </c:pt>
                <c:pt idx="11" formatCode="#,##0.0,,">
                  <c:v>-106785000</c:v>
                </c:pt>
                <c:pt idx="12" formatCode="#,##0.0,,">
                  <c:v>-82237000</c:v>
                </c:pt>
                <c:pt idx="13" formatCode="#,##0.0,,">
                  <c:v>-82685000</c:v>
                </c:pt>
                <c:pt idx="14" formatCode="#,##0.0,,">
                  <c:v>-108649000</c:v>
                </c:pt>
                <c:pt idx="15" formatCode="#,##0.0,,">
                  <c:v>-125409000</c:v>
                </c:pt>
                <c:pt idx="16" formatCode="#,##0.0,,">
                  <c:v>-112793000</c:v>
                </c:pt>
                <c:pt idx="17" formatCode="#,##0.0,,">
                  <c:v>-139972000</c:v>
                </c:pt>
                <c:pt idx="18" formatCode="#,##0.0,,">
                  <c:v>-140540000</c:v>
                </c:pt>
                <c:pt idx="19" formatCode="#,##0.0,,">
                  <c:v>-136243000</c:v>
                </c:pt>
              </c:numCache>
            </c:numRef>
          </c:val>
        </c:ser>
        <c:gapWidth val="66"/>
        <c:axId val="109928832"/>
        <c:axId val="109930368"/>
      </c:barChart>
      <c:lineChart>
        <c:grouping val="standard"/>
        <c:ser>
          <c:idx val="1"/>
          <c:order val="1"/>
          <c:tx>
            <c:v>uvoz</c:v>
          </c:tx>
          <c:spPr>
            <a:ln>
              <a:solidFill>
                <a:srgbClr val="C00000"/>
              </a:solidFill>
            </a:ln>
            <a:effectLst>
              <a:outerShdw blurRad="50800" dist="38100" dir="5400000" algn="t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indikatori'!$P$60:$AE$60</c:f>
              <c:strCache>
                <c:ptCount val="16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'Makroekonomski indikatori'!$P$46:$AI$46</c:f>
              <c:numCache>
                <c:formatCode>0.0,,</c:formatCode>
                <c:ptCount val="20"/>
                <c:pt idx="0">
                  <c:v>99919000</c:v>
                </c:pt>
                <c:pt idx="1">
                  <c:v>106537000</c:v>
                </c:pt>
                <c:pt idx="2">
                  <c:v>191452000</c:v>
                </c:pt>
                <c:pt idx="3" formatCode="#,##0.0,,">
                  <c:v>150969000</c:v>
                </c:pt>
                <c:pt idx="4" formatCode="#,##0.0,,">
                  <c:v>167727000</c:v>
                </c:pt>
                <c:pt idx="5" formatCode="#,##0.0,,">
                  <c:v>170816000</c:v>
                </c:pt>
                <c:pt idx="6" formatCode="#,##0.0,,">
                  <c:v>147706000</c:v>
                </c:pt>
                <c:pt idx="7" formatCode="#,##0.0,,">
                  <c:v>173351000</c:v>
                </c:pt>
                <c:pt idx="8" formatCode="#,##0.0,,">
                  <c:v>147706000</c:v>
                </c:pt>
                <c:pt idx="9" formatCode="#,##0.0,,">
                  <c:v>158634000</c:v>
                </c:pt>
                <c:pt idx="10" formatCode="#,##0.0,,">
                  <c:v>136515000</c:v>
                </c:pt>
                <c:pt idx="11" formatCode="#,##0.0,,">
                  <c:v>139228000</c:v>
                </c:pt>
                <c:pt idx="12" formatCode="#,##0.0,,">
                  <c:v>110220000</c:v>
                </c:pt>
                <c:pt idx="13" formatCode="#,##0.0,,">
                  <c:v>113944000</c:v>
                </c:pt>
                <c:pt idx="14" formatCode="#,##0.0,,">
                  <c:v>138598000</c:v>
                </c:pt>
                <c:pt idx="15" formatCode="#,##0.0,,">
                  <c:v>162340000</c:v>
                </c:pt>
                <c:pt idx="16" formatCode="#,##0.0,,">
                  <c:v>152192000</c:v>
                </c:pt>
                <c:pt idx="17" formatCode="#,##0.0,,">
                  <c:v>170349000</c:v>
                </c:pt>
                <c:pt idx="18" formatCode="#,##0.0,,">
                  <c:v>172268000</c:v>
                </c:pt>
                <c:pt idx="19" formatCode="#,##0.0,,">
                  <c:v>164622000</c:v>
                </c:pt>
              </c:numCache>
            </c:numRef>
          </c:val>
          <c:smooth val="1"/>
        </c:ser>
        <c:marker val="1"/>
        <c:axId val="109928832"/>
        <c:axId val="109930368"/>
      </c:lineChart>
      <c:lineChart>
        <c:grouping val="standard"/>
        <c:ser>
          <c:idx val="0"/>
          <c:order val="0"/>
          <c:tx>
            <c:v>izvoz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'Makroekonomski indikatori'!$P$60:$AE$60</c:f>
              <c:strCache>
                <c:ptCount val="16"/>
                <c:pt idx="0">
                  <c:v>2012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2013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'Makroekonomski indikatori'!$P$45:$AI$45</c:f>
              <c:numCache>
                <c:formatCode>0.0,,</c:formatCode>
                <c:ptCount val="20"/>
                <c:pt idx="0">
                  <c:v>27473000</c:v>
                </c:pt>
                <c:pt idx="1">
                  <c:v>23911000</c:v>
                </c:pt>
                <c:pt idx="2">
                  <c:v>33380000</c:v>
                </c:pt>
                <c:pt idx="3" formatCode="#,##0.0,,">
                  <c:v>31239000</c:v>
                </c:pt>
                <c:pt idx="4" formatCode="#,##0.0,,">
                  <c:v>34502000</c:v>
                </c:pt>
                <c:pt idx="5" formatCode="#,##0.0,,">
                  <c:v>31926000</c:v>
                </c:pt>
                <c:pt idx="6" formatCode="#,##0.0,,">
                  <c:v>30122000</c:v>
                </c:pt>
                <c:pt idx="7" formatCode="#,##0.0,,">
                  <c:v>31774000</c:v>
                </c:pt>
                <c:pt idx="8" formatCode="#,##0.0,,">
                  <c:v>30122000</c:v>
                </c:pt>
                <c:pt idx="9" formatCode="#,##0.0,,">
                  <c:v>26476000</c:v>
                </c:pt>
                <c:pt idx="10" formatCode="#,##0.0,,">
                  <c:v>32350000</c:v>
                </c:pt>
                <c:pt idx="11" formatCode="#,##0.0,,">
                  <c:v>32443000</c:v>
                </c:pt>
                <c:pt idx="12" formatCode="#,##0.0,,">
                  <c:v>27983000</c:v>
                </c:pt>
                <c:pt idx="13" formatCode="#,##0.0,,">
                  <c:v>31259000</c:v>
                </c:pt>
                <c:pt idx="14" formatCode="#,##0.0,,">
                  <c:v>29949000</c:v>
                </c:pt>
                <c:pt idx="15" formatCode="#,##0.0,,">
                  <c:v>36931000</c:v>
                </c:pt>
                <c:pt idx="16" formatCode="#,##0.0,,">
                  <c:v>39399000</c:v>
                </c:pt>
                <c:pt idx="17" formatCode="#,##0.0,,">
                  <c:v>30377000</c:v>
                </c:pt>
                <c:pt idx="18" formatCode="#,##0.0,,">
                  <c:v>31728000</c:v>
                </c:pt>
                <c:pt idx="19" formatCode="#,##0.0,,">
                  <c:v>28379000</c:v>
                </c:pt>
              </c:numCache>
            </c:numRef>
          </c:val>
          <c:smooth val="1"/>
        </c:ser>
        <c:marker val="1"/>
        <c:axId val="109937792"/>
        <c:axId val="109931904"/>
      </c:lineChart>
      <c:catAx>
        <c:axId val="109928832"/>
        <c:scaling>
          <c:orientation val="minMax"/>
        </c:scaling>
        <c:axPos val="b"/>
        <c:numFmt formatCode="@" sourceLinked="1"/>
        <c:majorTickMark val="cross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09930368"/>
        <c:crosses val="autoZero"/>
        <c:lblAlgn val="ctr"/>
        <c:lblOffset val="100"/>
        <c:tickLblSkip val="2"/>
        <c:tickMarkSkip val="1"/>
      </c:catAx>
      <c:valAx>
        <c:axId val="109930368"/>
        <c:scaling>
          <c:orientation val="minMax"/>
        </c:scaling>
        <c:axPos val="l"/>
        <c:numFmt formatCode="0.0,,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9928832"/>
        <c:crosses val="autoZero"/>
        <c:crossBetween val="between"/>
      </c:valAx>
      <c:valAx>
        <c:axId val="109931904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9937792"/>
        <c:crosses val="max"/>
        <c:crossBetween val="between"/>
      </c:valAx>
      <c:catAx>
        <c:axId val="109937792"/>
        <c:scaling>
          <c:orientation val="minMax"/>
        </c:scaling>
        <c:delete val="1"/>
        <c:axPos val="b"/>
        <c:numFmt formatCode="0.0,," sourceLinked="1"/>
        <c:tickLblPos val="none"/>
        <c:crossAx val="109931904"/>
        <c:crosses val="autoZero"/>
        <c:lblAlgn val="ctr"/>
        <c:lblOffset val="100"/>
      </c:catAx>
    </c:plotArea>
    <c:legend>
      <c:legendPos val="b"/>
      <c:txPr>
        <a:bodyPr/>
        <a:lstStyle/>
        <a:p>
          <a:pPr>
            <a:defRPr lang="en-US" sz="700"/>
          </a:pPr>
          <a:endParaRPr lang="en-US"/>
        </a:p>
      </c:txPr>
    </c:legend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0.01587</cdr:y>
    </cdr:from>
    <cdr:to>
      <cdr:x>0.22656</cdr:x>
      <cdr:y>0.15369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40511"/>
          <a:ext cx="526542" cy="351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x-none" sz="700"/>
            <a:t>Prihod</a:t>
          </a:r>
          <a:r>
            <a:rPr lang="hr-BA" sz="800"/>
            <a:t>/</a:t>
          </a:r>
          <a:endParaRPr lang="x-none" sz="800"/>
        </a:p>
        <a:p xmlns:a="http://schemas.openxmlformats.org/drawingml/2006/main">
          <a:r>
            <a:rPr lang="x-none" sz="800"/>
            <a:t>Rashodi</a:t>
          </a:r>
          <a:endParaRPr lang="en-US" sz="800"/>
        </a:p>
      </cdr:txBody>
    </cdr:sp>
  </cdr:relSizeAnchor>
  <cdr:relSizeAnchor xmlns:cdr="http://schemas.openxmlformats.org/drawingml/2006/chartDrawing">
    <cdr:from>
      <cdr:x>3.54685E-7</cdr:x>
      <cdr:y>0.00408</cdr:y>
    </cdr:from>
    <cdr:to>
      <cdr:x>0.27258</cdr:x>
      <cdr:y>0.18041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" y="13767"/>
          <a:ext cx="768525" cy="594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0.7819</cdr:x>
      <cdr:y>0.01383</cdr:y>
    </cdr:from>
    <cdr:to>
      <cdr:x>1</cdr:x>
      <cdr:y>0.14712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17225" y="35304"/>
          <a:ext cx="506875" cy="3402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x-none" sz="800"/>
            <a:t>Suficit/</a:t>
          </a:r>
        </a:p>
        <a:p xmlns:a="http://schemas.openxmlformats.org/drawingml/2006/main">
          <a:r>
            <a:rPr lang="x-none" sz="700"/>
            <a:t>Deficit</a:t>
          </a:r>
          <a:endParaRPr lang="x-none" sz="800"/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0.11824</cdr:x>
      <cdr:y>0.0271</cdr:y>
    </cdr:from>
    <cdr:to>
      <cdr:x>0.45946</cdr:x>
      <cdr:y>0.18041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33375" y="91339"/>
          <a:ext cx="962026" cy="5166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0.06419</cdr:x>
      <cdr:y>0.03344</cdr:y>
    </cdr:from>
    <cdr:to>
      <cdr:x>0.08041</cdr:x>
      <cdr:y>0.04757</cdr:y>
    </cdr:to>
    <cdr:sp macro="" textlink="">
      <cdr:nvSpPr>
        <cdr:cNvPr id="6" name="TextBox 5"/>
        <cdr:cNvSpPr txBox="1"/>
      </cdr:nvSpPr>
      <cdr:spPr>
        <a:xfrm xmlns:a="http://schemas.openxmlformats.org/drawingml/2006/main" flipH="1">
          <a:off x="180975" y="112713"/>
          <a:ext cx="45719" cy="4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0.71192</cdr:x>
      <cdr:y>0.22043</cdr:y>
    </cdr:from>
    <cdr:to>
      <cdr:x>0.86606</cdr:x>
      <cdr:y>0.28601</cdr:y>
    </cdr:to>
    <cdr:sp macro="" textlink="">
      <cdr:nvSpPr>
        <cdr:cNvPr id="3" name="Elbow Connector 2"/>
        <cdr:cNvSpPr/>
      </cdr:nvSpPr>
      <cdr:spPr>
        <a:xfrm xmlns:a="http://schemas.openxmlformats.org/drawingml/2006/main">
          <a:off x="1668134" y="519301"/>
          <a:ext cx="361173" cy="154497"/>
        </a:xfrm>
        <a:prstGeom xmlns:a="http://schemas.openxmlformats.org/drawingml/2006/main" prst="bentConnector3">
          <a:avLst>
            <a:gd name="adj1" fmla="val 50000"/>
          </a:avLst>
        </a:prstGeom>
        <a:ln xmlns:a="http://schemas.openxmlformats.org/drawingml/2006/main" w="3175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0.08224</cdr:x>
      <cdr:y>0.53166</cdr:y>
    </cdr:from>
    <cdr:to>
      <cdr:x>0.19967</cdr:x>
      <cdr:y>0.59805</cdr:y>
    </cdr:to>
    <cdr:sp macro="" textlink="">
      <cdr:nvSpPr>
        <cdr:cNvPr id="4" name="Elbow Connector 3"/>
        <cdr:cNvSpPr/>
      </cdr:nvSpPr>
      <cdr:spPr>
        <a:xfrm xmlns:a="http://schemas.openxmlformats.org/drawingml/2006/main" flipH="1" flipV="1">
          <a:off x="218425" y="1252215"/>
          <a:ext cx="311870" cy="156368"/>
        </a:xfrm>
        <a:prstGeom xmlns:a="http://schemas.openxmlformats.org/drawingml/2006/main" prst="bentConnector3">
          <a:avLst>
            <a:gd name="adj1" fmla="val 64103"/>
          </a:avLst>
        </a:prstGeom>
        <a:ln xmlns:a="http://schemas.openxmlformats.org/drawingml/2006/main" w="3175">
          <a:tailEnd type="arrow" w="sm" len="sm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DD30D-C453-463A-A899-DE55C8AB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iva.vukovic</cp:lastModifiedBy>
  <cp:revision>2</cp:revision>
  <cp:lastPrinted>2013-09-17T10:11:00Z</cp:lastPrinted>
  <dcterms:created xsi:type="dcterms:W3CDTF">2013-10-16T14:10:00Z</dcterms:created>
  <dcterms:modified xsi:type="dcterms:W3CDTF">2013-10-16T14:10:00Z</dcterms:modified>
</cp:coreProperties>
</file>