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7E9E" w14:textId="4617DE26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  <w:r w:rsidRPr="009A655F">
        <w:rPr>
          <w:bCs/>
          <w:smallCaps w:val="0"/>
          <w:sz w:val="24"/>
          <w:szCs w:val="24"/>
          <w:lang w:val="en-GB"/>
        </w:rPr>
        <w:t xml:space="preserve">CORRIGENDUM No: </w:t>
      </w:r>
      <w:r w:rsidR="00C60668">
        <w:rPr>
          <w:bCs/>
          <w:smallCaps w:val="0"/>
          <w:sz w:val="24"/>
          <w:szCs w:val="24"/>
          <w:lang w:val="en-GB"/>
        </w:rPr>
        <w:t>2</w:t>
      </w:r>
    </w:p>
    <w:p w14:paraId="28E91D36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</w:p>
    <w:p w14:paraId="121261BC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  <w:r w:rsidRPr="009A655F">
        <w:rPr>
          <w:bCs/>
          <w:smallCaps w:val="0"/>
          <w:sz w:val="24"/>
          <w:szCs w:val="24"/>
          <w:lang w:val="en-GB"/>
        </w:rPr>
        <w:t>to the</w:t>
      </w:r>
    </w:p>
    <w:p w14:paraId="663C16DA" w14:textId="77777777" w:rsidR="00862852" w:rsidRPr="009A655F" w:rsidRDefault="00862852" w:rsidP="0086285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en-GB"/>
        </w:rPr>
      </w:pPr>
    </w:p>
    <w:p w14:paraId="4825D636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55F">
        <w:rPr>
          <w:rFonts w:ascii="Times New Roman" w:eastAsia="Times New Roman" w:hAnsi="Times New Roman" w:cs="Times New Roman"/>
          <w:b/>
          <w:sz w:val="24"/>
          <w:szCs w:val="24"/>
        </w:rPr>
        <w:t>Procurement of services related to:</w:t>
      </w:r>
    </w:p>
    <w:p w14:paraId="6E97B4C6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F03FE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496413486"/>
      <w:bookmarkStart w:id="1" w:name="_Toc501529909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Preparation of the Main Design and Supervision on construction of an elementary school in </w:t>
      </w:r>
      <w:proofErr w:type="spellStart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>Karabuško</w:t>
      </w:r>
      <w:proofErr w:type="spellEnd"/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polje,</w:t>
      </w:r>
    </w:p>
    <w:p w14:paraId="6E490F0C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55F">
        <w:rPr>
          <w:rFonts w:ascii="Times New Roman" w:eastAsia="Times New Roman" w:hAnsi="Times New Roman" w:cs="Times New Roman"/>
          <w:b/>
          <w:bCs/>
          <w:sz w:val="28"/>
          <w:szCs w:val="28"/>
        </w:rPr>
        <w:t>Municipality Tuzi</w:t>
      </w:r>
      <w:bookmarkEnd w:id="0"/>
      <w:bookmarkEnd w:id="1"/>
    </w:p>
    <w:p w14:paraId="03D32F28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4C54E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22EE2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Toc283296680"/>
      <w:r w:rsidRPr="009A655F">
        <w:rPr>
          <w:rFonts w:ascii="Times New Roman" w:eastAsia="Times New Roman" w:hAnsi="Times New Roman" w:cs="Times New Roman"/>
          <w:sz w:val="24"/>
          <w:szCs w:val="24"/>
        </w:rPr>
        <w:t>Invitation to Tender No.</w:t>
      </w:r>
      <w:bookmarkEnd w:id="2"/>
      <w:r w:rsidRPr="009A655F">
        <w:rPr>
          <w:rFonts w:ascii="Times New Roman" w:eastAsia="Times New Roman" w:hAnsi="Times New Roman" w:cs="Times New Roman"/>
          <w:iCs/>
          <w:sz w:val="24"/>
          <w:szCs w:val="24"/>
        </w:rPr>
        <w:t xml:space="preserve"> 09/1-03-603/24-5793/8</w:t>
      </w:r>
    </w:p>
    <w:p w14:paraId="445D5D02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C5E573" w14:textId="77777777" w:rsidR="00862852" w:rsidRPr="009A655F" w:rsidRDefault="00862852" w:rsidP="0086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55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050CE" wp14:editId="2A28DB7C">
                <wp:simplePos x="0" y="0"/>
                <wp:positionH relativeFrom="column">
                  <wp:posOffset>6245225</wp:posOffset>
                </wp:positionH>
                <wp:positionV relativeFrom="paragraph">
                  <wp:posOffset>700405</wp:posOffset>
                </wp:positionV>
                <wp:extent cx="361950" cy="3714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C74D" id="Rectangle 3" o:spid="_x0000_s1026" style="position:absolute;margin-left:491.75pt;margin-top:55.1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" strokecolor="white"/>
            </w:pict>
          </mc:Fallback>
        </mc:AlternateContent>
      </w:r>
      <w:r w:rsidRPr="009A655F">
        <w:rPr>
          <w:rFonts w:ascii="Times New Roman" w:eastAsia="Times New Roman" w:hAnsi="Times New Roman" w:cs="Times New Roman"/>
          <w:sz w:val="24"/>
          <w:szCs w:val="24"/>
        </w:rPr>
        <w:t>Issued on: 10 June 2026</w:t>
      </w:r>
    </w:p>
    <w:p w14:paraId="603105B8" w14:textId="77777777" w:rsidR="00862852" w:rsidRPr="009A655F" w:rsidRDefault="00862852" w:rsidP="00862852">
      <w:pPr>
        <w:pStyle w:val="Default"/>
        <w:jc w:val="center"/>
        <w:rPr>
          <w:rFonts w:ascii="Times New Roman" w:eastAsia="Minion Pro" w:hAnsi="Times New Roman" w:cs="Times New Roman"/>
          <w:b/>
          <w:bCs/>
        </w:rPr>
      </w:pPr>
    </w:p>
    <w:p w14:paraId="6C42A647" w14:textId="32F8FF97" w:rsidR="00862852" w:rsidRPr="009A655F" w:rsidRDefault="00862852" w:rsidP="009A655F">
      <w:pPr>
        <w:pStyle w:val="Default"/>
        <w:jc w:val="center"/>
        <w:rPr>
          <w:rFonts w:ascii="Times New Roman" w:eastAsia="Minion Pro" w:hAnsi="Times New Roman" w:cs="Times New Roman"/>
          <w:b/>
          <w:bCs/>
        </w:rPr>
      </w:pPr>
      <w:r w:rsidRPr="009A655F">
        <w:rPr>
          <w:rFonts w:ascii="Times New Roman" w:eastAsia="Minion Pro" w:hAnsi="Times New Roman" w:cs="Times New Roman"/>
          <w:b/>
          <w:bCs/>
        </w:rPr>
        <w:t xml:space="preserve">Corrigendum issued on </w:t>
      </w:r>
      <w:r w:rsidR="00DC7BF0" w:rsidRPr="00DC7BF0">
        <w:rPr>
          <w:rFonts w:ascii="Times New Roman" w:eastAsia="Minion Pro" w:hAnsi="Times New Roman" w:cs="Times New Roman"/>
          <w:b/>
          <w:bCs/>
          <w:highlight w:val="yellow"/>
        </w:rPr>
        <w:t>15</w:t>
      </w:r>
      <w:r w:rsidR="00DC7BF0" w:rsidRPr="00DC7BF0">
        <w:rPr>
          <w:rFonts w:ascii="Times New Roman" w:eastAsia="Minion Pro" w:hAnsi="Times New Roman" w:cs="Times New Roman"/>
          <w:b/>
          <w:bCs/>
          <w:highlight w:val="yellow"/>
          <w:vertAlign w:val="superscript"/>
        </w:rPr>
        <w:t>th</w:t>
      </w:r>
      <w:r w:rsidR="00DC7BF0" w:rsidRPr="00DC7BF0">
        <w:rPr>
          <w:rFonts w:ascii="Times New Roman" w:eastAsia="Minion Pro" w:hAnsi="Times New Roman" w:cs="Times New Roman"/>
          <w:b/>
          <w:bCs/>
          <w:highlight w:val="yellow"/>
        </w:rPr>
        <w:t xml:space="preserve"> </w:t>
      </w:r>
      <w:r w:rsidRPr="00DC7BF0">
        <w:rPr>
          <w:rFonts w:ascii="Times New Roman" w:eastAsia="Minion Pro" w:hAnsi="Times New Roman" w:cs="Times New Roman"/>
          <w:b/>
          <w:bCs/>
          <w:highlight w:val="yellow"/>
        </w:rPr>
        <w:t>July 2026</w:t>
      </w:r>
    </w:p>
    <w:p w14:paraId="53F1DA78" w14:textId="77777777" w:rsidR="00862852" w:rsidRPr="00F66FC7" w:rsidRDefault="00862852" w:rsidP="00862852">
      <w:pPr>
        <w:rPr>
          <w:rFonts w:ascii="Times New Roman" w:hAnsi="Times New Roman" w:cs="Times New Roman"/>
          <w:lang w:val="en-US"/>
        </w:rPr>
      </w:pPr>
    </w:p>
    <w:p w14:paraId="0056FDFF" w14:textId="77777777" w:rsidR="00862852" w:rsidRPr="00F66FC7" w:rsidRDefault="00862852" w:rsidP="00862852">
      <w:pPr>
        <w:spacing w:after="240"/>
        <w:rPr>
          <w:rFonts w:ascii="Times New Roman" w:eastAsia="Calibri" w:hAnsi="Times New Roman" w:cs="Times New Roman"/>
        </w:rPr>
      </w:pPr>
      <w:r w:rsidRPr="00F66FC7">
        <w:rPr>
          <w:rFonts w:ascii="Times New Roman" w:eastAsia="Calibri" w:hAnsi="Times New Roman" w:cs="Times New Roman"/>
        </w:rPr>
        <w:t>As a result of the clarification process the Contracting Authority makes the following modifications to the Tender Dossier:</w:t>
      </w:r>
    </w:p>
    <w:p w14:paraId="245ACF4B" w14:textId="77777777" w:rsidR="00862852" w:rsidRPr="00F66FC7" w:rsidRDefault="00862852" w:rsidP="00862852">
      <w:pPr>
        <w:shd w:val="clear" w:color="auto" w:fill="DAE9F7" w:themeFill="text2" w:themeFillTint="1A"/>
        <w:rPr>
          <w:rFonts w:ascii="Times New Roman" w:eastAsia="Calibri" w:hAnsi="Times New Roman" w:cs="Times New Roman"/>
          <w:b/>
          <w:bCs/>
        </w:rPr>
      </w:pPr>
      <w:r w:rsidRPr="00F66FC7">
        <w:rPr>
          <w:rFonts w:ascii="Times New Roman" w:eastAsia="Calibri" w:hAnsi="Times New Roman" w:cs="Times New Roman"/>
          <w:b/>
          <w:bCs/>
        </w:rPr>
        <w:t xml:space="preserve">MODIFICATION NO.1 </w:t>
      </w:r>
    </w:p>
    <w:p w14:paraId="3005F4EF" w14:textId="77777777" w:rsidR="002867AA" w:rsidRPr="002867AA" w:rsidRDefault="002867AA" w:rsidP="002867A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2867AA">
        <w:rPr>
          <w:rFonts w:ascii="Times New Roman" w:eastAsia="Calibri" w:hAnsi="Times New Roman" w:cs="Times New Roman"/>
        </w:rPr>
        <w:t xml:space="preserve">With reference to the Contract Notice published in the OJEU (OJ S 126/2026, 03/07/2026), please note that section </w:t>
      </w:r>
      <w:r w:rsidRPr="002867AA">
        <w:rPr>
          <w:rFonts w:ascii="Times New Roman" w:eastAsia="Calibri" w:hAnsi="Times New Roman" w:cs="Times New Roman"/>
          <w:b/>
          <w:bCs/>
        </w:rPr>
        <w:t>5.1.12 – Terms of procurement</w:t>
      </w:r>
      <w:r w:rsidRPr="002867AA">
        <w:rPr>
          <w:rFonts w:ascii="Times New Roman" w:eastAsia="Calibri" w:hAnsi="Times New Roman" w:cs="Times New Roman"/>
        </w:rPr>
        <w:t xml:space="preserve"> has been corrected.</w:t>
      </w:r>
    </w:p>
    <w:p w14:paraId="6F92436C" w14:textId="77777777" w:rsidR="002867AA" w:rsidRPr="002867AA" w:rsidRDefault="002867AA" w:rsidP="002867A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2867AA">
        <w:rPr>
          <w:rFonts w:ascii="Times New Roman" w:eastAsia="Calibri" w:hAnsi="Times New Roman" w:cs="Times New Roman"/>
        </w:rPr>
        <w:t>Specifically, the statement:</w:t>
      </w:r>
    </w:p>
    <w:p w14:paraId="593174D4" w14:textId="2AB82FBD" w:rsidR="002867AA" w:rsidRPr="002867AA" w:rsidRDefault="00C60668" w:rsidP="002867AA">
      <w:pPr>
        <w:spacing w:before="120" w:after="120" w:line="240" w:lineRule="auto"/>
        <w:ind w:right="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“</w:t>
      </w:r>
      <w:r w:rsidR="002867AA" w:rsidRPr="002867AA">
        <w:rPr>
          <w:rFonts w:ascii="Times New Roman" w:eastAsia="Calibri" w:hAnsi="Times New Roman" w:cs="Times New Roman"/>
        </w:rPr>
        <w:t>Terms of submission:</w:t>
      </w:r>
      <w:r w:rsidR="002867AA" w:rsidRPr="002867AA">
        <w:rPr>
          <w:rFonts w:ascii="Times New Roman" w:eastAsia="Calibri" w:hAnsi="Times New Roman" w:cs="Times New Roman"/>
        </w:rPr>
        <w:br/>
        <w:t xml:space="preserve">Electronic submission: </w:t>
      </w:r>
      <w:r w:rsidR="002867AA" w:rsidRPr="002867AA">
        <w:rPr>
          <w:rFonts w:ascii="Times New Roman" w:eastAsia="Calibri" w:hAnsi="Times New Roman" w:cs="Times New Roman"/>
          <w:highlight w:val="lightGray"/>
        </w:rPr>
        <w:t>Allowed</w:t>
      </w:r>
      <w:r>
        <w:rPr>
          <w:rFonts w:ascii="Times New Roman" w:eastAsia="Calibri" w:hAnsi="Times New Roman" w:cs="Times New Roman"/>
        </w:rPr>
        <w:t>”</w:t>
      </w:r>
    </w:p>
    <w:p w14:paraId="595BC6C0" w14:textId="77777777" w:rsidR="002867AA" w:rsidRPr="002867AA" w:rsidRDefault="002867AA" w:rsidP="002867A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2867AA">
        <w:rPr>
          <w:rFonts w:ascii="Times New Roman" w:eastAsia="Calibri" w:hAnsi="Times New Roman" w:cs="Times New Roman"/>
        </w:rPr>
        <w:t xml:space="preserve">has been amended to clarify that </w:t>
      </w:r>
      <w:r w:rsidRPr="002867AA">
        <w:rPr>
          <w:rFonts w:ascii="Times New Roman" w:eastAsia="Calibri" w:hAnsi="Times New Roman" w:cs="Times New Roman"/>
          <w:b/>
          <w:bCs/>
        </w:rPr>
        <w:t>electronic submission of tenders is not permitted</w:t>
      </w:r>
      <w:r w:rsidRPr="002867AA">
        <w:rPr>
          <w:rFonts w:ascii="Times New Roman" w:eastAsia="Calibri" w:hAnsi="Times New Roman" w:cs="Times New Roman"/>
        </w:rPr>
        <w:t>.</w:t>
      </w:r>
    </w:p>
    <w:p w14:paraId="30E49682" w14:textId="77777777" w:rsidR="002867AA" w:rsidRPr="002867AA" w:rsidRDefault="002867AA" w:rsidP="002867A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2867AA">
        <w:rPr>
          <w:rFonts w:ascii="Times New Roman" w:eastAsia="Calibri" w:hAnsi="Times New Roman" w:cs="Times New Roman"/>
        </w:rPr>
        <w:t>Please refer to the amended Contract Notice, which will be published in the OJEU.</w:t>
      </w:r>
    </w:p>
    <w:p w14:paraId="1BF9DB59" w14:textId="77777777" w:rsidR="00DC7BF0" w:rsidRDefault="00DC7BF0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p w14:paraId="7A10E9B1" w14:textId="54A09287" w:rsidR="002867AA" w:rsidRPr="00F66FC7" w:rsidRDefault="002867AA" w:rsidP="002867AA">
      <w:pPr>
        <w:shd w:val="clear" w:color="auto" w:fill="DAE9F7" w:themeFill="text2" w:themeFillTint="1A"/>
        <w:rPr>
          <w:rFonts w:ascii="Times New Roman" w:eastAsia="Calibri" w:hAnsi="Times New Roman" w:cs="Times New Roman"/>
          <w:b/>
          <w:bCs/>
        </w:rPr>
      </w:pPr>
      <w:r w:rsidRPr="00F66FC7">
        <w:rPr>
          <w:rFonts w:ascii="Times New Roman" w:eastAsia="Calibri" w:hAnsi="Times New Roman" w:cs="Times New Roman"/>
          <w:b/>
          <w:bCs/>
        </w:rPr>
        <w:t>MODIFICATION NO.</w:t>
      </w:r>
      <w:r>
        <w:rPr>
          <w:rFonts w:ascii="Times New Roman" w:eastAsia="Calibri" w:hAnsi="Times New Roman" w:cs="Times New Roman"/>
          <w:b/>
          <w:bCs/>
        </w:rPr>
        <w:t>2</w:t>
      </w:r>
    </w:p>
    <w:p w14:paraId="6B0C32A7" w14:textId="680AB7A7" w:rsidR="002867AA" w:rsidRDefault="002867AA" w:rsidP="002867AA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  <w:r w:rsidRPr="00862852">
        <w:rPr>
          <w:rFonts w:ascii="Times New Roman" w:eastAsia="Calibri" w:hAnsi="Times New Roman" w:cs="Times New Roman"/>
        </w:rPr>
        <w:t xml:space="preserve">With the reference to the Tender Dossier, </w:t>
      </w:r>
      <w:r>
        <w:rPr>
          <w:rFonts w:ascii="Times New Roman" w:eastAsia="Calibri" w:hAnsi="Times New Roman" w:cs="Times New Roman"/>
        </w:rPr>
        <w:t xml:space="preserve">Part 1, </w:t>
      </w:r>
      <w:r w:rsidRPr="002867AA">
        <w:rPr>
          <w:rFonts w:ascii="Times New Roman" w:eastAsia="Calibri" w:hAnsi="Times New Roman" w:cs="Times New Roman"/>
        </w:rPr>
        <w:t>Section IV - Proposal Forms</w:t>
      </w:r>
      <w:r w:rsidRPr="00862852">
        <w:rPr>
          <w:rFonts w:ascii="Times New Roman" w:eastAsia="Calibri" w:hAnsi="Times New Roman" w:cs="Times New Roman"/>
        </w:rPr>
        <w:t xml:space="preserve">, the original text: </w:t>
      </w:r>
    </w:p>
    <w:p w14:paraId="28456A0C" w14:textId="77777777" w:rsidR="00DC7BF0" w:rsidRDefault="00DC7BF0" w:rsidP="00BC501E">
      <w:pPr>
        <w:spacing w:before="120" w:after="120" w:line="240" w:lineRule="auto"/>
        <w:ind w:right="72"/>
        <w:jc w:val="both"/>
        <w:rPr>
          <w:rFonts w:ascii="Times New Roman" w:eastAsia="Calibri" w:hAnsi="Times New Roman" w:cs="Times New Roman"/>
        </w:rPr>
      </w:pPr>
    </w:p>
    <w:p w14:paraId="57DDB5D2" w14:textId="7C6E720E" w:rsidR="002867AA" w:rsidRPr="00C60668" w:rsidRDefault="002867AA" w:rsidP="002867AA">
      <w:pPr>
        <w:jc w:val="center"/>
        <w:rPr>
          <w:rFonts w:ascii="Times New Roman Bold" w:hAnsi="Times New Roman Bold"/>
          <w:b/>
          <w:smallCaps/>
          <w:sz w:val="24"/>
          <w:szCs w:val="24"/>
        </w:rPr>
      </w:pPr>
      <w:r>
        <w:rPr>
          <w:rFonts w:ascii="Times New Roman Bold" w:hAnsi="Times New Roman Bold"/>
          <w:b/>
          <w:smallCaps/>
          <w:szCs w:val="24"/>
        </w:rPr>
        <w:t>“</w:t>
      </w:r>
      <w:r w:rsidRPr="00C60668">
        <w:rPr>
          <w:rFonts w:ascii="Times New Roman Bold" w:hAnsi="Times New Roman Bold"/>
          <w:b/>
          <w:smallCaps/>
          <w:sz w:val="24"/>
          <w:szCs w:val="24"/>
        </w:rPr>
        <w:t>Form TECH-6</w:t>
      </w:r>
    </w:p>
    <w:p w14:paraId="6F95287B" w14:textId="77777777" w:rsidR="002867AA" w:rsidRPr="00C60668" w:rsidRDefault="002867AA" w:rsidP="002867AA">
      <w:pPr>
        <w:pStyle w:val="SectionVHeader"/>
        <w:spacing w:before="120"/>
        <w:rPr>
          <w:sz w:val="24"/>
          <w:szCs w:val="24"/>
        </w:rPr>
      </w:pPr>
      <w:r w:rsidRPr="00C60668">
        <w:rPr>
          <w:sz w:val="24"/>
          <w:szCs w:val="24"/>
        </w:rPr>
        <w:t>List of Personnel proposed as Key Staff</w:t>
      </w:r>
    </w:p>
    <w:p w14:paraId="483EE5CD" w14:textId="77777777" w:rsidR="002867AA" w:rsidRPr="00C23504" w:rsidRDefault="002867AA" w:rsidP="002867AA">
      <w:pPr>
        <w:pStyle w:val="Subtitle2"/>
        <w:spacing w:before="0" w:after="0"/>
      </w:pPr>
    </w:p>
    <w:p w14:paraId="3002D1B3" w14:textId="77777777" w:rsidR="002867AA" w:rsidRPr="00C23504" w:rsidRDefault="002867AA" w:rsidP="002867AA">
      <w:pPr>
        <w:rPr>
          <w:i/>
          <w:iCs/>
          <w:spacing w:val="-2"/>
        </w:rPr>
      </w:pPr>
      <w:r w:rsidRPr="00C23504">
        <w:rPr>
          <w:i/>
          <w:spacing w:val="-2"/>
        </w:rPr>
        <w:t>[</w:t>
      </w:r>
      <w:r w:rsidRPr="00C23504">
        <w:rPr>
          <w:i/>
        </w:rPr>
        <w:t>Consultant should provide the name of one candidate qualified to meet the specified requirements stated for each position pursuant to</w:t>
      </w:r>
      <w:r w:rsidRPr="00C23504">
        <w:rPr>
          <w:i/>
          <w:iCs/>
          <w:spacing w:val="-2"/>
        </w:rPr>
        <w:t xml:space="preserve"> Section VII, </w:t>
      </w:r>
      <w:r w:rsidRPr="00C23504">
        <w:rPr>
          <w:b/>
          <w:bCs/>
          <w:i/>
          <w:iCs/>
          <w:spacing w:val="-2"/>
        </w:rPr>
        <w:t>Terms of Reference</w:t>
      </w:r>
      <w:r w:rsidRPr="00C23504">
        <w:rPr>
          <w:i/>
          <w:iCs/>
          <w:spacing w:val="-2"/>
        </w:rPr>
        <w:t xml:space="preserve"> This form should be used for </w:t>
      </w:r>
      <w:r w:rsidRPr="00C23504">
        <w:rPr>
          <w:b/>
          <w:bCs/>
          <w:i/>
          <w:iCs/>
          <w:spacing w:val="-2"/>
        </w:rPr>
        <w:t>Key Staff (</w:t>
      </w:r>
      <w:proofErr w:type="spellStart"/>
      <w:r w:rsidRPr="00C23504">
        <w:rPr>
          <w:b/>
          <w:bCs/>
          <w:i/>
          <w:iCs/>
          <w:spacing w:val="-2"/>
        </w:rPr>
        <w:t>i.e</w:t>
      </w:r>
      <w:proofErr w:type="spellEnd"/>
      <w:r w:rsidRPr="00C23504">
        <w:rPr>
          <w:b/>
          <w:bCs/>
          <w:i/>
          <w:iCs/>
          <w:spacing w:val="-2"/>
        </w:rPr>
        <w:t xml:space="preserve"> </w:t>
      </w:r>
      <w:r w:rsidRPr="002867AA">
        <w:rPr>
          <w:b/>
          <w:bCs/>
          <w:i/>
          <w:iCs/>
          <w:spacing w:val="-2"/>
          <w:highlight w:val="lightGray"/>
        </w:rPr>
        <w:t>three</w:t>
      </w:r>
      <w:r w:rsidRPr="00C23504">
        <w:rPr>
          <w:b/>
          <w:bCs/>
          <w:i/>
          <w:iCs/>
          <w:spacing w:val="-2"/>
        </w:rPr>
        <w:t xml:space="preserve"> Key Experts</w:t>
      </w:r>
      <w:r w:rsidRPr="00C23504">
        <w:rPr>
          <w:i/>
          <w:iCs/>
          <w:spacing w:val="-2"/>
        </w:rPr>
        <w:t>)</w:t>
      </w:r>
    </w:p>
    <w:p w14:paraId="77338CE7" w14:textId="77777777" w:rsidR="002867AA" w:rsidRPr="00C23504" w:rsidRDefault="002867AA" w:rsidP="002867AA">
      <w:pPr>
        <w:suppressAutoHyphens/>
        <w:rPr>
          <w:b/>
          <w:sz w:val="28"/>
        </w:rPr>
      </w:pPr>
    </w:p>
    <w:p w14:paraId="0FB161B2" w14:textId="77777777" w:rsidR="002867AA" w:rsidRPr="00C23504" w:rsidRDefault="002867AA" w:rsidP="002867AA">
      <w:pPr>
        <w:suppressAutoHyphens/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326"/>
      </w:tblGrid>
      <w:tr w:rsidR="002867AA" w:rsidRPr="00C23504" w14:paraId="22B21DFF" w14:textId="77777777" w:rsidTr="008B70DE">
        <w:trPr>
          <w:cantSplit/>
        </w:trPr>
        <w:tc>
          <w:tcPr>
            <w:tcW w:w="918" w:type="dxa"/>
            <w:vMerge w:val="restart"/>
          </w:tcPr>
          <w:p w14:paraId="22FDB32C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1.</w:t>
            </w:r>
          </w:p>
        </w:tc>
        <w:tc>
          <w:tcPr>
            <w:tcW w:w="8326" w:type="dxa"/>
          </w:tcPr>
          <w:p w14:paraId="79CF59BA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07BC1FB9" w14:textId="77777777" w:rsidTr="008B70DE">
        <w:trPr>
          <w:cantSplit/>
        </w:trPr>
        <w:tc>
          <w:tcPr>
            <w:tcW w:w="918" w:type="dxa"/>
            <w:vMerge/>
          </w:tcPr>
          <w:p w14:paraId="263588FE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6ED54B71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  <w:tr w:rsidR="002867AA" w:rsidRPr="00C23504" w14:paraId="1B018D6D" w14:textId="77777777" w:rsidTr="008B70DE">
        <w:trPr>
          <w:cantSplit/>
        </w:trPr>
        <w:tc>
          <w:tcPr>
            <w:tcW w:w="918" w:type="dxa"/>
            <w:vMerge w:val="restart"/>
          </w:tcPr>
          <w:p w14:paraId="57199E73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2.</w:t>
            </w:r>
          </w:p>
        </w:tc>
        <w:tc>
          <w:tcPr>
            <w:tcW w:w="8326" w:type="dxa"/>
          </w:tcPr>
          <w:p w14:paraId="0CE07BFF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293A0189" w14:textId="77777777" w:rsidTr="008B70DE">
        <w:trPr>
          <w:cantSplit/>
        </w:trPr>
        <w:tc>
          <w:tcPr>
            <w:tcW w:w="918" w:type="dxa"/>
            <w:vMerge/>
          </w:tcPr>
          <w:p w14:paraId="259B5362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52DAA6B3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  <w:tr w:rsidR="002867AA" w:rsidRPr="00C23504" w14:paraId="42CE73FC" w14:textId="77777777" w:rsidTr="008B70DE">
        <w:trPr>
          <w:cantSplit/>
        </w:trPr>
        <w:tc>
          <w:tcPr>
            <w:tcW w:w="918" w:type="dxa"/>
            <w:vMerge w:val="restart"/>
          </w:tcPr>
          <w:p w14:paraId="3159BCD0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3.</w:t>
            </w:r>
          </w:p>
        </w:tc>
        <w:tc>
          <w:tcPr>
            <w:tcW w:w="8326" w:type="dxa"/>
          </w:tcPr>
          <w:p w14:paraId="5AAD3B72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55DDB5AC" w14:textId="77777777" w:rsidTr="008B70DE">
        <w:trPr>
          <w:cantSplit/>
        </w:trPr>
        <w:tc>
          <w:tcPr>
            <w:tcW w:w="918" w:type="dxa"/>
            <w:vMerge/>
          </w:tcPr>
          <w:p w14:paraId="05444FC9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28B57F34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</w:tbl>
    <w:p w14:paraId="358F61C6" w14:textId="0E919A53" w:rsidR="002867AA" w:rsidRPr="00C23504" w:rsidRDefault="002867AA" w:rsidP="002867AA">
      <w:r w:rsidRPr="00C23504">
        <w:t xml:space="preserve">For each of the above-mentioned experts, the consultant will fill out the form </w:t>
      </w:r>
      <w:proofErr w:type="gramStart"/>
      <w:r w:rsidRPr="00C23504">
        <w:t>below:</w:t>
      </w:r>
      <w:r>
        <w:t>…</w:t>
      </w:r>
      <w:proofErr w:type="gramEnd"/>
      <w:r>
        <w:t>”</w:t>
      </w:r>
    </w:p>
    <w:p w14:paraId="3172D7F4" w14:textId="29C9F475" w:rsidR="002867AA" w:rsidRPr="00862852" w:rsidRDefault="002867AA" w:rsidP="002867AA">
      <w:pPr>
        <w:spacing w:after="240"/>
        <w:rPr>
          <w:rFonts w:ascii="Times New Roman" w:eastAsia="Calibri" w:hAnsi="Times New Roman" w:cs="Times New Roman"/>
          <w:u w:val="single"/>
        </w:rPr>
      </w:pPr>
      <w:r w:rsidRPr="00862852">
        <w:rPr>
          <w:rFonts w:ascii="Times New Roman" w:eastAsia="Calibri" w:hAnsi="Times New Roman" w:cs="Times New Roman"/>
          <w:u w:val="single"/>
        </w:rPr>
        <w:t xml:space="preserve">has been </w:t>
      </w:r>
      <w:r>
        <w:rPr>
          <w:rFonts w:ascii="Times New Roman" w:eastAsia="Calibri" w:hAnsi="Times New Roman" w:cs="Times New Roman"/>
          <w:u w:val="single"/>
        </w:rPr>
        <w:t>modified as follows</w:t>
      </w:r>
      <w:r w:rsidRPr="00862852">
        <w:rPr>
          <w:rFonts w:ascii="Times New Roman" w:eastAsia="Calibri" w:hAnsi="Times New Roman" w:cs="Times New Roman"/>
          <w:u w:val="single"/>
        </w:rPr>
        <w:t>:</w:t>
      </w:r>
    </w:p>
    <w:p w14:paraId="461B6B69" w14:textId="77777777" w:rsidR="002867AA" w:rsidRPr="00C60668" w:rsidRDefault="002867AA" w:rsidP="002867AA">
      <w:pPr>
        <w:jc w:val="center"/>
        <w:rPr>
          <w:rFonts w:ascii="Times New Roman Bold" w:hAnsi="Times New Roman Bold"/>
          <w:b/>
          <w:smallCaps/>
          <w:sz w:val="24"/>
          <w:szCs w:val="24"/>
        </w:rPr>
      </w:pPr>
      <w:r w:rsidRPr="00C60668">
        <w:rPr>
          <w:rFonts w:ascii="Times New Roman Bold" w:hAnsi="Times New Roman Bold"/>
          <w:b/>
          <w:smallCaps/>
          <w:sz w:val="24"/>
          <w:szCs w:val="24"/>
        </w:rPr>
        <w:t>“Form TECH-6</w:t>
      </w:r>
    </w:p>
    <w:p w14:paraId="24F4731D" w14:textId="77777777" w:rsidR="002867AA" w:rsidRPr="00C60668" w:rsidRDefault="002867AA" w:rsidP="002867AA">
      <w:pPr>
        <w:pStyle w:val="SectionVHeader"/>
        <w:spacing w:before="120"/>
        <w:rPr>
          <w:sz w:val="24"/>
          <w:szCs w:val="24"/>
        </w:rPr>
      </w:pPr>
      <w:r w:rsidRPr="00C60668">
        <w:rPr>
          <w:sz w:val="24"/>
          <w:szCs w:val="24"/>
        </w:rPr>
        <w:t>List of Personnel proposed as Key Staff</w:t>
      </w:r>
    </w:p>
    <w:p w14:paraId="50F0DC73" w14:textId="77777777" w:rsidR="002867AA" w:rsidRPr="00C23504" w:rsidRDefault="002867AA" w:rsidP="002867AA">
      <w:pPr>
        <w:pStyle w:val="Subtitle2"/>
        <w:spacing w:before="0" w:after="0"/>
      </w:pPr>
    </w:p>
    <w:p w14:paraId="3EC42C35" w14:textId="014EE82A" w:rsidR="002867AA" w:rsidRPr="002867AA" w:rsidRDefault="002867AA" w:rsidP="002867AA">
      <w:pPr>
        <w:rPr>
          <w:i/>
          <w:iCs/>
          <w:spacing w:val="-2"/>
        </w:rPr>
      </w:pPr>
      <w:r w:rsidRPr="00C23504">
        <w:rPr>
          <w:i/>
          <w:spacing w:val="-2"/>
        </w:rPr>
        <w:t>[</w:t>
      </w:r>
      <w:r w:rsidRPr="00C23504">
        <w:rPr>
          <w:i/>
        </w:rPr>
        <w:t>Consultant should provide the name of one candidate qualified to meet the specified requirements stated for each position pursuant to</w:t>
      </w:r>
      <w:r w:rsidRPr="00C23504">
        <w:rPr>
          <w:i/>
          <w:iCs/>
          <w:spacing w:val="-2"/>
        </w:rPr>
        <w:t xml:space="preserve"> Section VII, </w:t>
      </w:r>
      <w:r w:rsidRPr="00C23504">
        <w:rPr>
          <w:b/>
          <w:bCs/>
          <w:i/>
          <w:iCs/>
          <w:spacing w:val="-2"/>
        </w:rPr>
        <w:t>Terms of Reference</w:t>
      </w:r>
      <w:r w:rsidRPr="00C23504">
        <w:rPr>
          <w:i/>
          <w:iCs/>
          <w:spacing w:val="-2"/>
        </w:rPr>
        <w:t xml:space="preserve"> This form should be used for </w:t>
      </w:r>
      <w:r w:rsidRPr="00C23504">
        <w:rPr>
          <w:b/>
          <w:bCs/>
          <w:i/>
          <w:iCs/>
          <w:spacing w:val="-2"/>
        </w:rPr>
        <w:t>Key Staff (</w:t>
      </w:r>
      <w:proofErr w:type="spellStart"/>
      <w:r w:rsidRPr="00C23504">
        <w:rPr>
          <w:b/>
          <w:bCs/>
          <w:i/>
          <w:iCs/>
          <w:spacing w:val="-2"/>
        </w:rPr>
        <w:t>i.e</w:t>
      </w:r>
      <w:proofErr w:type="spellEnd"/>
      <w:r w:rsidRPr="00C23504">
        <w:rPr>
          <w:b/>
          <w:bCs/>
          <w:i/>
          <w:iCs/>
          <w:spacing w:val="-2"/>
        </w:rPr>
        <w:t xml:space="preserve"> </w:t>
      </w:r>
      <w:r w:rsidRPr="002867AA">
        <w:rPr>
          <w:b/>
          <w:bCs/>
          <w:i/>
          <w:iCs/>
          <w:spacing w:val="-2"/>
          <w:highlight w:val="lightGray"/>
        </w:rPr>
        <w:t>two</w:t>
      </w:r>
      <w:r w:rsidRPr="00C23504">
        <w:rPr>
          <w:b/>
          <w:bCs/>
          <w:i/>
          <w:iCs/>
          <w:spacing w:val="-2"/>
        </w:rPr>
        <w:t xml:space="preserve"> Key Experts</w:t>
      </w:r>
      <w:r w:rsidRPr="00C23504">
        <w:rPr>
          <w:i/>
          <w:iCs/>
          <w:spacing w:val="-2"/>
        </w:rPr>
        <w:t>)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326"/>
      </w:tblGrid>
      <w:tr w:rsidR="002867AA" w:rsidRPr="00C23504" w14:paraId="341C7AC8" w14:textId="77777777" w:rsidTr="002867AA">
        <w:trPr>
          <w:cantSplit/>
          <w:trHeight w:val="368"/>
        </w:trPr>
        <w:tc>
          <w:tcPr>
            <w:tcW w:w="918" w:type="dxa"/>
            <w:vMerge w:val="restart"/>
          </w:tcPr>
          <w:p w14:paraId="06E0C9CB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1.</w:t>
            </w:r>
          </w:p>
        </w:tc>
        <w:tc>
          <w:tcPr>
            <w:tcW w:w="8326" w:type="dxa"/>
          </w:tcPr>
          <w:p w14:paraId="78AA30BB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54A1B8BF" w14:textId="77777777" w:rsidTr="008B70DE">
        <w:trPr>
          <w:cantSplit/>
        </w:trPr>
        <w:tc>
          <w:tcPr>
            <w:tcW w:w="918" w:type="dxa"/>
            <w:vMerge/>
          </w:tcPr>
          <w:p w14:paraId="439F2672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4B92AA72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  <w:tr w:rsidR="002867AA" w:rsidRPr="00C23504" w14:paraId="3E32CE26" w14:textId="77777777" w:rsidTr="008B70DE">
        <w:trPr>
          <w:cantSplit/>
        </w:trPr>
        <w:tc>
          <w:tcPr>
            <w:tcW w:w="918" w:type="dxa"/>
            <w:vMerge w:val="restart"/>
          </w:tcPr>
          <w:p w14:paraId="5B394F5A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2.</w:t>
            </w:r>
          </w:p>
        </w:tc>
        <w:tc>
          <w:tcPr>
            <w:tcW w:w="8326" w:type="dxa"/>
          </w:tcPr>
          <w:p w14:paraId="40A612FA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4682370A" w14:textId="77777777" w:rsidTr="008B70DE">
        <w:trPr>
          <w:cantSplit/>
        </w:trPr>
        <w:tc>
          <w:tcPr>
            <w:tcW w:w="918" w:type="dxa"/>
            <w:vMerge/>
          </w:tcPr>
          <w:p w14:paraId="3E1B4CAA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3858ECD3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  <w:tr w:rsidR="002867AA" w:rsidRPr="00C23504" w14:paraId="0BB758F5" w14:textId="77777777" w:rsidTr="008B70DE">
        <w:trPr>
          <w:cantSplit/>
        </w:trPr>
        <w:tc>
          <w:tcPr>
            <w:tcW w:w="918" w:type="dxa"/>
            <w:vMerge w:val="restart"/>
          </w:tcPr>
          <w:p w14:paraId="0C86530D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3.</w:t>
            </w:r>
          </w:p>
        </w:tc>
        <w:tc>
          <w:tcPr>
            <w:tcW w:w="8326" w:type="dxa"/>
          </w:tcPr>
          <w:p w14:paraId="182CDA17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Title of position*</w:t>
            </w:r>
          </w:p>
        </w:tc>
      </w:tr>
      <w:tr w:rsidR="002867AA" w:rsidRPr="00C23504" w14:paraId="5F680DCD" w14:textId="77777777" w:rsidTr="008B70DE">
        <w:trPr>
          <w:cantSplit/>
        </w:trPr>
        <w:tc>
          <w:tcPr>
            <w:tcW w:w="918" w:type="dxa"/>
            <w:vMerge/>
          </w:tcPr>
          <w:p w14:paraId="13DC761D" w14:textId="77777777" w:rsidR="002867AA" w:rsidRPr="00C23504" w:rsidRDefault="002867AA" w:rsidP="002867AA">
            <w:pPr>
              <w:suppressAutoHyphens/>
              <w:spacing w:after="0"/>
            </w:pPr>
          </w:p>
        </w:tc>
        <w:tc>
          <w:tcPr>
            <w:tcW w:w="8326" w:type="dxa"/>
          </w:tcPr>
          <w:p w14:paraId="0BABF87A" w14:textId="77777777" w:rsidR="002867AA" w:rsidRPr="00C23504" w:rsidRDefault="002867AA" w:rsidP="002867AA">
            <w:pPr>
              <w:suppressAutoHyphens/>
              <w:spacing w:after="0"/>
            </w:pPr>
            <w:r w:rsidRPr="00C23504">
              <w:t>Name of the candidate</w:t>
            </w:r>
          </w:p>
        </w:tc>
      </w:tr>
    </w:tbl>
    <w:p w14:paraId="432C905C" w14:textId="26DE7C65" w:rsidR="00BC501E" w:rsidRPr="00153BF2" w:rsidRDefault="002867AA" w:rsidP="00153BF2">
      <w:r w:rsidRPr="00C23504">
        <w:t xml:space="preserve">For each of the above-mentioned experts, the consultant will fill out the form </w:t>
      </w:r>
      <w:proofErr w:type="gramStart"/>
      <w:r w:rsidRPr="00C23504">
        <w:t>below:</w:t>
      </w:r>
      <w:r>
        <w:t>…</w:t>
      </w:r>
      <w:proofErr w:type="gramEnd"/>
      <w:r>
        <w:t>”</w:t>
      </w:r>
    </w:p>
    <w:p w14:paraId="5AF66AA7" w14:textId="6CA65087" w:rsidR="00D62680" w:rsidRPr="00862852" w:rsidRDefault="00426F53" w:rsidP="000066A0">
      <w:pPr>
        <w:spacing w:before="120" w:after="120" w:line="240" w:lineRule="auto"/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852">
        <w:rPr>
          <w:rFonts w:ascii="Times New Roman" w:hAnsi="Times New Roman" w:cs="Times New Roman"/>
          <w:b/>
          <w:bCs/>
          <w:sz w:val="24"/>
          <w:szCs w:val="24"/>
        </w:rPr>
        <w:t>All other terms and conditions of the Bidding Documents remain unchanged.</w:t>
      </w:r>
      <w:r w:rsidRPr="00862852">
        <w:rPr>
          <w:rFonts w:ascii="Times New Roman" w:hAnsi="Times New Roman" w:cs="Times New Roman"/>
          <w:b/>
          <w:bCs/>
          <w:sz w:val="24"/>
          <w:szCs w:val="24"/>
        </w:rPr>
        <w:br/>
        <w:t>The above amendment forms an integral part of the Bidding Documents.</w:t>
      </w:r>
    </w:p>
    <w:sectPr w:rsidR="00D62680" w:rsidRPr="00862852" w:rsidSect="000066A0">
      <w:footerReference w:type="default" r:id="rId7"/>
      <w:pgSz w:w="12240" w:h="15840" w:code="1"/>
      <w:pgMar w:top="1170" w:right="1440" w:bottom="1440" w:left="1440" w:header="720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7C8E" w14:textId="77777777" w:rsidR="00A90A61" w:rsidRDefault="00A90A61" w:rsidP="004A6846">
      <w:pPr>
        <w:spacing w:after="0" w:line="240" w:lineRule="auto"/>
      </w:pPr>
      <w:r>
        <w:separator/>
      </w:r>
    </w:p>
  </w:endnote>
  <w:endnote w:type="continuationSeparator" w:id="0">
    <w:p w14:paraId="3F0A1260" w14:textId="77777777" w:rsidR="00A90A61" w:rsidRDefault="00A90A61" w:rsidP="004A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Arial"/>
    <w:charset w:val="00"/>
    <w:family w:val="swiss"/>
    <w:pitch w:val="default"/>
  </w:font>
  <w:font w:name="Minion Pro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651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E2756D" w14:textId="661CE9BB" w:rsidR="004A6846" w:rsidRDefault="004A68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7D287" w14:textId="77777777" w:rsidR="004A6846" w:rsidRDefault="004A6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DC8D" w14:textId="77777777" w:rsidR="00A90A61" w:rsidRDefault="00A90A61" w:rsidP="004A6846">
      <w:pPr>
        <w:spacing w:after="0" w:line="240" w:lineRule="auto"/>
      </w:pPr>
      <w:r>
        <w:separator/>
      </w:r>
    </w:p>
  </w:footnote>
  <w:footnote w:type="continuationSeparator" w:id="0">
    <w:p w14:paraId="339FFB2C" w14:textId="77777777" w:rsidR="00A90A61" w:rsidRDefault="00A90A61" w:rsidP="004A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3998"/>
    <w:multiLevelType w:val="multilevel"/>
    <w:tmpl w:val="60F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D306C"/>
    <w:multiLevelType w:val="hybridMultilevel"/>
    <w:tmpl w:val="A9909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72872">
    <w:abstractNumId w:val="1"/>
  </w:num>
  <w:num w:numId="2" w16cid:durableId="71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8"/>
    <w:rsid w:val="00001CBD"/>
    <w:rsid w:val="000066A0"/>
    <w:rsid w:val="000442E5"/>
    <w:rsid w:val="000900CE"/>
    <w:rsid w:val="00090EFC"/>
    <w:rsid w:val="000E5568"/>
    <w:rsid w:val="00153BF2"/>
    <w:rsid w:val="0017012A"/>
    <w:rsid w:val="00186231"/>
    <w:rsid w:val="001A612B"/>
    <w:rsid w:val="001D325B"/>
    <w:rsid w:val="002067BC"/>
    <w:rsid w:val="00222F77"/>
    <w:rsid w:val="0024752D"/>
    <w:rsid w:val="00255F63"/>
    <w:rsid w:val="002867AA"/>
    <w:rsid w:val="00296E6E"/>
    <w:rsid w:val="002A6C2D"/>
    <w:rsid w:val="003053D1"/>
    <w:rsid w:val="003920CA"/>
    <w:rsid w:val="003A46EF"/>
    <w:rsid w:val="00426F53"/>
    <w:rsid w:val="004A2E67"/>
    <w:rsid w:val="004A5FAE"/>
    <w:rsid w:val="004A6846"/>
    <w:rsid w:val="004B10EA"/>
    <w:rsid w:val="005045E3"/>
    <w:rsid w:val="0051272E"/>
    <w:rsid w:val="00554122"/>
    <w:rsid w:val="005A253C"/>
    <w:rsid w:val="005B1A58"/>
    <w:rsid w:val="005D0965"/>
    <w:rsid w:val="005E2356"/>
    <w:rsid w:val="005E5468"/>
    <w:rsid w:val="006146F8"/>
    <w:rsid w:val="006A4FE6"/>
    <w:rsid w:val="006A78A2"/>
    <w:rsid w:val="006E0DE1"/>
    <w:rsid w:val="00761C18"/>
    <w:rsid w:val="007E18D6"/>
    <w:rsid w:val="008025E5"/>
    <w:rsid w:val="00837403"/>
    <w:rsid w:val="0086138C"/>
    <w:rsid w:val="00862852"/>
    <w:rsid w:val="008B6175"/>
    <w:rsid w:val="008C5D91"/>
    <w:rsid w:val="00965782"/>
    <w:rsid w:val="009924C1"/>
    <w:rsid w:val="009A655F"/>
    <w:rsid w:val="009D2C61"/>
    <w:rsid w:val="009F1384"/>
    <w:rsid w:val="00A371B2"/>
    <w:rsid w:val="00A5713F"/>
    <w:rsid w:val="00A60EE9"/>
    <w:rsid w:val="00A80E40"/>
    <w:rsid w:val="00A823F6"/>
    <w:rsid w:val="00A868BC"/>
    <w:rsid w:val="00A90A61"/>
    <w:rsid w:val="00AB5586"/>
    <w:rsid w:val="00AB60AA"/>
    <w:rsid w:val="00AB79FC"/>
    <w:rsid w:val="00AD02AE"/>
    <w:rsid w:val="00AE24E1"/>
    <w:rsid w:val="00B07C97"/>
    <w:rsid w:val="00B7627D"/>
    <w:rsid w:val="00B823E9"/>
    <w:rsid w:val="00B94620"/>
    <w:rsid w:val="00B9566D"/>
    <w:rsid w:val="00BC501E"/>
    <w:rsid w:val="00BD742A"/>
    <w:rsid w:val="00C25DD9"/>
    <w:rsid w:val="00C27A11"/>
    <w:rsid w:val="00C60668"/>
    <w:rsid w:val="00CC0BC9"/>
    <w:rsid w:val="00D02BE0"/>
    <w:rsid w:val="00D07CF4"/>
    <w:rsid w:val="00D32BC6"/>
    <w:rsid w:val="00D4214B"/>
    <w:rsid w:val="00D52A10"/>
    <w:rsid w:val="00D54832"/>
    <w:rsid w:val="00D62680"/>
    <w:rsid w:val="00D712A5"/>
    <w:rsid w:val="00D81E6E"/>
    <w:rsid w:val="00D87ACA"/>
    <w:rsid w:val="00DA6580"/>
    <w:rsid w:val="00DC7BF0"/>
    <w:rsid w:val="00DE09CA"/>
    <w:rsid w:val="00DF6D47"/>
    <w:rsid w:val="00E417B0"/>
    <w:rsid w:val="00E42F68"/>
    <w:rsid w:val="00E56262"/>
    <w:rsid w:val="00E90874"/>
    <w:rsid w:val="00EE085F"/>
    <w:rsid w:val="00EF5BDB"/>
    <w:rsid w:val="00F3296F"/>
    <w:rsid w:val="00F52301"/>
    <w:rsid w:val="00F72A97"/>
    <w:rsid w:val="00F916D5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B9A4"/>
  <w15:chartTrackingRefBased/>
  <w15:docId w15:val="{46CF3637-F422-4D3E-AFDE-04A0C22E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18"/>
    <w:pPr>
      <w:spacing w:after="200" w:line="276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6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18"/>
    <w:rPr>
      <w:b/>
      <w:bCs/>
      <w:smallCaps/>
      <w:color w:val="0F4761" w:themeColor="accent1" w:themeShade="BF"/>
      <w:spacing w:val="5"/>
    </w:rPr>
  </w:style>
  <w:style w:type="paragraph" w:customStyle="1" w:styleId="Heading1a">
    <w:name w:val="Heading 1a"/>
    <w:rsid w:val="00761C1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  <w14:ligatures w14:val="none"/>
    </w:rPr>
  </w:style>
  <w:style w:type="paragraph" w:customStyle="1" w:styleId="SectionVHeading2">
    <w:name w:val="Section V. Heading 2"/>
    <w:basedOn w:val="Normal"/>
    <w:rsid w:val="00761C18"/>
    <w:pPr>
      <w:spacing w:before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/>
    </w:rPr>
  </w:style>
  <w:style w:type="table" w:styleId="TableGrid">
    <w:name w:val="Table Grid"/>
    <w:basedOn w:val="TableNormal"/>
    <w:uiPriority w:val="39"/>
    <w:rsid w:val="0018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46"/>
    <w:rPr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46"/>
    <w:rPr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52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1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862852"/>
    <w:pPr>
      <w:widowControl w:val="0"/>
      <w:suppressAutoHyphens/>
      <w:autoSpaceDE w:val="0"/>
      <w:spacing w:after="0" w:line="240" w:lineRule="auto"/>
    </w:pPr>
    <w:rPr>
      <w:rFonts w:ascii="Myriad Pro" w:eastAsia="Myriad Pro" w:hAnsi="Myriad Pro" w:cs="Myriad Pro"/>
      <w:color w:val="000000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rsid w:val="0086285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62852"/>
    <w:rPr>
      <w:rFonts w:ascii="Times New Roman" w:eastAsia="Times New Roman" w:hAnsi="Times New Roman" w:cs="Times New Roman"/>
      <w:szCs w:val="20"/>
      <w14:ligatures w14:val="none"/>
    </w:rPr>
  </w:style>
  <w:style w:type="paragraph" w:customStyle="1" w:styleId="SectionVHeader">
    <w:name w:val="Section V. Header"/>
    <w:basedOn w:val="Normal"/>
    <w:uiPriority w:val="99"/>
    <w:rsid w:val="00286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ubtitle2">
    <w:name w:val="Subtitle 2"/>
    <w:basedOn w:val="Footer"/>
    <w:rsid w:val="002867AA"/>
    <w:pPr>
      <w:tabs>
        <w:tab w:val="clear" w:pos="4513"/>
        <w:tab w:val="clear" w:pos="9026"/>
        <w:tab w:val="center" w:pos="4752"/>
        <w:tab w:val="right" w:pos="9864"/>
      </w:tabs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Beaumard (SUB)</dc:creator>
  <cp:keywords/>
  <dc:description/>
  <cp:lastModifiedBy>Suzana Beaumard (SUB)</cp:lastModifiedBy>
  <cp:revision>4</cp:revision>
  <cp:lastPrinted>2026-04-29T05:51:00Z</cp:lastPrinted>
  <dcterms:created xsi:type="dcterms:W3CDTF">2026-07-14T06:42:00Z</dcterms:created>
  <dcterms:modified xsi:type="dcterms:W3CDTF">2026-07-14T08:23:00Z</dcterms:modified>
</cp:coreProperties>
</file>