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48EDD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novu člana 317g stav 6 Porodičnog zakona ("Službeni list RCG", broj 1/07 i "Službeni list CG", broj 53/16), Ministarstvo pravde donijelo je</w:t>
      </w:r>
    </w:p>
    <w:p w14:paraId="1C0977A6" w14:textId="77777777" w:rsidR="003C6379" w:rsidRPr="003C6379" w:rsidRDefault="003C6379" w:rsidP="003C637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</w:pPr>
      <w:bookmarkStart w:id="0" w:name="sadrzaj1"/>
      <w:bookmarkEnd w:id="0"/>
      <w:r w:rsidRPr="003C6379"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  <w:t>Pravilnik o obuci za lica za podršku djetetu u postupcima u vezi sa porodičnim odnosima</w:t>
      </w:r>
    </w:p>
    <w:p w14:paraId="323FDA19" w14:textId="77777777" w:rsidR="003C6379" w:rsidRPr="003C6379" w:rsidRDefault="003C6379" w:rsidP="003C6379">
      <w:pPr>
        <w:spacing w:before="100" w:beforeAutospacing="1" w:after="100" w:afterAutospacing="1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Pravilnik je objavljen u "Službenom listu CG", br. 46/2017 od 18.7.2017. godine, a stupio je na snagu 26.7.2017.</w:t>
      </w:r>
    </w:p>
    <w:p w14:paraId="569EACCD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" w:name="clan_1"/>
      <w:bookmarkEnd w:id="1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</w:t>
      </w:r>
    </w:p>
    <w:p w14:paraId="20580566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Ovim pravilnikom propisuju se program i način sprovođenja obuke za lica za podršku djetetu u postupcima u vezi sa porodičnim odnosima (u daljem tekstu: lice za podršku), sastav i način rada komisije koja sprovodi provjeru stečenih znanja i vještina tokom obuke, provjera stečenih znanja i vještina za lica za podršku, kao i obrazac uvjerenja o uspješno završenoj obuci.</w:t>
      </w:r>
    </w:p>
    <w:p w14:paraId="6BD3D41F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" w:name="clan_2"/>
      <w:bookmarkEnd w:id="2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</w:t>
      </w:r>
    </w:p>
    <w:p w14:paraId="387DA0B3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Izrazi koji se u ovom pravilniku koriste za fizička lica u muškom rodu podrazumijevaju iste izraze u ženskom rodu.</w:t>
      </w:r>
    </w:p>
    <w:p w14:paraId="468ABB2F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" w:name="clan_3"/>
      <w:bookmarkEnd w:id="3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3</w:t>
      </w:r>
    </w:p>
    <w:p w14:paraId="533BD0D7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Obuka za lica za podršku (u daljem tekstu: obuka) traje 30 časova, a sprovodi se u pet radnih dana, po šest časova.</w:t>
      </w:r>
    </w:p>
    <w:p w14:paraId="38C7AEFC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Svaki radni dan sadrži obuku raspoređenu po časovima u trajanju od 45 minuta do 90 minuta, sa pauzama između časova.</w:t>
      </w:r>
    </w:p>
    <w:p w14:paraId="5F90BC15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" w:name="clan_4"/>
      <w:bookmarkEnd w:id="4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4</w:t>
      </w:r>
    </w:p>
    <w:p w14:paraId="4E8C56DB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Prvi dan obuke sadrži tri teme, i to:</w:t>
      </w:r>
    </w:p>
    <w:p w14:paraId="78ECF89B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Lice za podršku i njegova uloga (ko može da bude lice za podršku, sklonosti i vještine neophodne za lice za podršku, razlika između uloge lica za podršku i uloge staratelja za poseban slučaj, kolizijskog staratelja i privremenog zastupnika i standardi u pružanju podrške djetetu);</w:t>
      </w:r>
    </w:p>
    <w:p w14:paraId="360A457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Dijete u sudskom postupku kao subjekt pravne zaštite (osvrt na relevantne međunarodne norme i standarde);</w:t>
      </w:r>
    </w:p>
    <w:p w14:paraId="431813D7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Konvencija Ujedinjenih nacija o pravima djeteta (prava djeteta sa naglaskom na čl. 3 i 12, pravo djeteta na učešće u sudskom postupku, pravo djeteta na informisanje i izražavanje sopstvenog mišljenja i najbolji interes djeteta).</w:t>
      </w:r>
    </w:p>
    <w:p w14:paraId="0DBDF3A1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" w:name="clan_5"/>
      <w:bookmarkEnd w:id="5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5</w:t>
      </w:r>
    </w:p>
    <w:p w14:paraId="4B3816C5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Drugi dan obuke sadrži pet tema, i to:</w:t>
      </w:r>
    </w:p>
    <w:p w14:paraId="41CE4EA5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Slučajevi u kojima je neophodno angažovati lice za podršku (konfliktni razvod braka, održavanje ličnih odnosa sa drugim roditeljem i dr.);</w:t>
      </w:r>
    </w:p>
    <w:p w14:paraId="22ABE9EF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Prava djeteta i odnosi roditelja i djece (roditeljsko staranje, vršenje roditeljskog prava, mjere za zaštitu prava i dobrobiti djeteta, ograničenje roditeljskog prava, lišenje roditeljskog prava, produženje roditeljskog prava i prestanak roditeljskog prava);</w:t>
      </w:r>
    </w:p>
    <w:p w14:paraId="383A2F12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Razgraničenje uloge suda i centra za socijalni rad od uloge lica za podršku i privremenog zastupnika i kolizijskog staratelja djeteta;</w:t>
      </w:r>
    </w:p>
    <w:p w14:paraId="2B2C96B0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Roditeljski stilovi vaspitanja;</w:t>
      </w:r>
    </w:p>
    <w:p w14:paraId="689DACE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5) Razvoj djeteta i ranjive grupe djece (djeca sa invaliditetom, djeca žrtve nasilja, djeca bez roditeljskog staranja, djeca migranti i dr.).</w:t>
      </w:r>
    </w:p>
    <w:p w14:paraId="03FF51B9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6" w:name="clan_6"/>
      <w:bookmarkEnd w:id="6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6</w:t>
      </w:r>
    </w:p>
    <w:p w14:paraId="74EEC8F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Treći dan obuke sadrži pet tema, i to:</w:t>
      </w:r>
    </w:p>
    <w:p w14:paraId="07A0DD17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Uspostavljanje kontakta sa djetetom;</w:t>
      </w:r>
    </w:p>
    <w:p w14:paraId="414E6CBC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Identifikacija problema u porodičnim odnosima (između roditelja i roditelja i djeteta);</w:t>
      </w:r>
    </w:p>
    <w:p w14:paraId="78AE36AB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Suočavanje sa otporom kod djeteta i vještina prevazilaženja tog otpora;</w:t>
      </w:r>
    </w:p>
    <w:p w14:paraId="4E743E2C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Specifičnosti komunikacije sa ranjivim grupama djece (djeca sa invaliditetom, djeca žrtve nasilja, djeca bez roditeljskog staranja, djeca migranti i dr.).</w:t>
      </w:r>
    </w:p>
    <w:p w14:paraId="5C820828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5) Manipulacija roditelja sa djetetom.</w:t>
      </w:r>
    </w:p>
    <w:p w14:paraId="037FCF23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7" w:name="clan_7"/>
      <w:bookmarkEnd w:id="7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7</w:t>
      </w:r>
    </w:p>
    <w:p w14:paraId="593A14B5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Četvrti dan obuke sadrži šest tema vezanih za praktične vježbe na osnovu postavljenog zadatka, i to:</w:t>
      </w:r>
    </w:p>
    <w:p w14:paraId="243936ED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Uspostavljanje prvog kontakta sa djetetom i roditeljima (međusobno upoznavanje, predstavljanje uloge lica za podršku, predstavljanje standarda rada i razjašnjenje nejasnoća);</w:t>
      </w:r>
    </w:p>
    <w:p w14:paraId="41FCED67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Uspostavljanje odnosa povjerenja između djeteta i lica za podršku i dogovor o radu;</w:t>
      </w:r>
    </w:p>
    <w:p w14:paraId="1F2C50F3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Komunikacija sa djetetom (upoznavanje o njegovim pravima, pružanje informacija o predmetu, toku i mogućem ishodu postupka, kao i pružanje objašnjenja koja se tiču mogućih posljedica izražavanja mišljenja djeteta);</w:t>
      </w:r>
    </w:p>
    <w:p w14:paraId="022A4D87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Utvrđivanje mišljenja djeteta i dogovor sa djetetom u pogledu izražavanja tog mišljenja (lično ili preko lica za podršku);</w:t>
      </w:r>
    </w:p>
    <w:p w14:paraId="2BECDFF4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5) Završni susret roditelja, lica za podršku i djeteta, ukoliko dijete želi da prisustvuje tom susretu;</w:t>
      </w:r>
    </w:p>
    <w:p w14:paraId="3958580E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6) Podrška djetetu pred sudom i iznošenje mišljenja djeteta pred sudom.</w:t>
      </w:r>
    </w:p>
    <w:p w14:paraId="0D36D559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8" w:name="clan_8"/>
      <w:bookmarkEnd w:id="8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8</w:t>
      </w:r>
    </w:p>
    <w:p w14:paraId="0BA37D05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Petog dana obuke obavljaju se praktične vježbe u grupama, na način da svaki polaznik prođe vježbu i kao lice za podršku i kao stranka.</w:t>
      </w:r>
    </w:p>
    <w:p w14:paraId="19FFD973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9" w:name="clan_9"/>
      <w:bookmarkEnd w:id="9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9</w:t>
      </w:r>
    </w:p>
    <w:p w14:paraId="0745BFD6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Obuku sprovodi Ministarstvo pravde, preko komisije koja sprovodi provjeru stečenih znanja i vještina tokom obuke (u daljem tekstu: Komisija).</w:t>
      </w:r>
    </w:p>
    <w:p w14:paraId="19DD2AEB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ima predsjednika i tri člana.</w:t>
      </w:r>
    </w:p>
    <w:p w14:paraId="54C4395C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Komisije imaju zamjenike.</w:t>
      </w:r>
    </w:p>
    <w:p w14:paraId="06D95CE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Predsjednik, članovi Komisije i njihovi zamjenici imenuju se iz reda istaknutih stručnjaka iz odgovarajućih oblasti.</w:t>
      </w:r>
    </w:p>
    <w:p w14:paraId="5BCE0BFE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Komisije imenuju se na vrijeme od dvije godine i mogu biti ponovo imenovani.</w:t>
      </w:r>
    </w:p>
    <w:p w14:paraId="0AAEF5B4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Aktom o obrazovanju Komisije određuje se i sekretar Komisije.</w:t>
      </w:r>
    </w:p>
    <w:p w14:paraId="7514B97A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0" w:name="clan_10"/>
      <w:bookmarkEnd w:id="10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10</w:t>
      </w:r>
    </w:p>
    <w:p w14:paraId="371C7B47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Predsjedniku i članovima Komisije, njihovim zamjenicima i sekretaru pripada naknada za rad u Komisiji, u visini koju rješenjem utvrđuje ministar nadležan za poslove pravosuđa (u daljem tekstu: ministar), u skladu sa zakonom kojim se uređuju zarade zaposlenih u javnom sektoru.</w:t>
      </w:r>
    </w:p>
    <w:p w14:paraId="5AB2134E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1" w:name="clan_11"/>
      <w:bookmarkEnd w:id="11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11</w:t>
      </w:r>
    </w:p>
    <w:p w14:paraId="7C9B803B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Poziv za obuku objavljuje Ministarstvo pravde, na svojoj internet stranici i u jednom od štampanih medija koji izlazi na teritoriji cijele Crne Gore.</w:t>
      </w:r>
    </w:p>
    <w:p w14:paraId="74936306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 pozivu iz stava 1 ovog člana naznačiće se datum, vrijeme i mjesto održavanja obuke.</w:t>
      </w:r>
    </w:p>
    <w:p w14:paraId="554AC64E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2" w:name="clan_12"/>
      <w:bookmarkEnd w:id="12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12</w:t>
      </w:r>
    </w:p>
    <w:p w14:paraId="30A6722F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Prijava za obuku podnosi se Ministarstvu pravde.</w:t>
      </w:r>
    </w:p>
    <w:p w14:paraId="7C77325D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Uz prijavu iz stava 1 ovog člana, kandidat prilaže dokaze o ispunjavanju uslova iz člana 317g stav 1 al. 1, 2, 3 i 6 Porodičnog zakona.</w:t>
      </w:r>
    </w:p>
    <w:p w14:paraId="03D409F5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ispunjenosti uslova iz stava 2 ovog člana ministar odlučuje rješenjem.</w:t>
      </w:r>
    </w:p>
    <w:p w14:paraId="788EAC54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Rješenje iz stava 3 ovog člana dostavlja se kandidatu, u roku od 15 dana od dana prijema prijave za obuku.</w:t>
      </w:r>
    </w:p>
    <w:p w14:paraId="147618CA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3" w:name="clan_13"/>
      <w:bookmarkEnd w:id="13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13</w:t>
      </w:r>
    </w:p>
    <w:p w14:paraId="11A1C40B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Provjera stečenih znanja i vještina vrši se u roku od sedam dana od dana okončanja obuke.</w:t>
      </w:r>
    </w:p>
    <w:p w14:paraId="05EA987D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datumu, vremenu i mjestu provjere stečenih znanja i vještina sekretar Komisije obavještava kandidate koji su završili obuku, u skladu sa ovim pravilnikom.</w:t>
      </w:r>
    </w:p>
    <w:p w14:paraId="13E8B99F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4" w:name="clan_14"/>
      <w:bookmarkEnd w:id="14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14</w:t>
      </w:r>
    </w:p>
    <w:p w14:paraId="6225C3CE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Prije početka provjere stečenih znanja i vještina sekretar Komisije utvrđuje identitet kandidata uvidom u ličnu kartu ili pasoš i upoznaje ga sa pravilima kojih se mora pridržavati tokom provjere stečenih znanja i vještina.</w:t>
      </w:r>
    </w:p>
    <w:p w14:paraId="5DD594C5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5" w:name="clan_15"/>
      <w:bookmarkEnd w:id="15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15</w:t>
      </w:r>
    </w:p>
    <w:p w14:paraId="65B928B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Provjera stečenih znanja i vještina vrši se javno u prisustvu predsjednika i članova Komisije.</w:t>
      </w:r>
    </w:p>
    <w:p w14:paraId="0B5C3546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Provjera iz stava 1 ovog člana sastoji se iz usmenog dijela i praktične vježbe na teme koje su bile predmet obuke.</w:t>
      </w:r>
    </w:p>
    <w:p w14:paraId="6B747FC4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6" w:name="clan_16"/>
      <w:bookmarkEnd w:id="16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16</w:t>
      </w:r>
    </w:p>
    <w:p w14:paraId="6F566B06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Uspjeh kandidata na provjeri stečenih znanja i vještina ocjenjuje se ocjenom "zadovoljava" ili "ne zadovoljava".</w:t>
      </w:r>
    </w:p>
    <w:p w14:paraId="6154C9E0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7" w:name="clan_17"/>
      <w:bookmarkEnd w:id="17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17</w:t>
      </w:r>
    </w:p>
    <w:p w14:paraId="0CD18A98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je na provjeri stečenih znanja i vještina dobio ocjenu "ne zadovoljava" ima pravo na ponovnu provjeru stečenih znanja i vještina, u roku od 30 dana od dana održavanja provjere.</w:t>
      </w:r>
    </w:p>
    <w:p w14:paraId="5DBE9221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je na ponovnoj provjeri stečenih znanja i vještina dobio ocjenu "ne zadovoljava", smatra se da nije uspješno završio obuku.</w:t>
      </w:r>
    </w:p>
    <w:p w14:paraId="72F8DC91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iz stava 2 ovog člana može se ponovo prijaviti za obuku.</w:t>
      </w:r>
    </w:p>
    <w:p w14:paraId="5032AC0C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8" w:name="clan_18"/>
      <w:bookmarkEnd w:id="18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18</w:t>
      </w:r>
    </w:p>
    <w:p w14:paraId="42FF2E7D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može, na pisani zahtjev kandidata, odložiti provjeru stečenih znanja i vještina, odnosno započetu provjeru zbog bolesti ili drugih opravdanih razloga, ali ne duže od 30 dana.</w:t>
      </w:r>
    </w:p>
    <w:p w14:paraId="52A73AFD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ne pristupi provjeri stečenih znanja i vještina ili izjavi da odustaje od provjere, smatra se da nije uspješno završio obuku.</w:t>
      </w:r>
    </w:p>
    <w:p w14:paraId="748EE3FC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9" w:name="clan_19"/>
      <w:bookmarkEnd w:id="19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19</w:t>
      </w:r>
    </w:p>
    <w:p w14:paraId="28CD1FDA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toku provjere stečenih znanja i vještina sekretar Komisije vodi zapisnik.</w:t>
      </w:r>
    </w:p>
    <w:p w14:paraId="604BB7D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Zapisnik iz stava 1 ovog člana sadrži: ime, prezime i prebivalište kandidata, vrstu i nivo kvalifikacije obrazovanja, sastav Komisije, datum i mjesto provjere stečenih znanja i vještina, konstataciju da je kandidat odustao od započete provjere, pitanja postavljena kandidatu na usmenom dijelu i temu praktične vježbe, ocjenu uspjeha, rok za ponovnu provjeru stečenih znanja i vještina, ocjenu uspjeha na ponovnoj provjeri stečenih znanja i vještina i vrijeme završetka provjere stečenih znanja i vještina.</w:t>
      </w:r>
    </w:p>
    <w:p w14:paraId="53D8EEE0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potpisuju predsjednik, članovi i sekretar Komisije.</w:t>
      </w:r>
    </w:p>
    <w:p w14:paraId="4450E88F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0" w:name="clan_20"/>
      <w:bookmarkEnd w:id="20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20</w:t>
      </w:r>
    </w:p>
    <w:p w14:paraId="6EF67FFA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Uvjerenje o uspješno završenoj obuci izdaje se na obrascu koji sadrži Grb Crne Gore, nazive: "CRNA GORA" i "MINISTARSTVO PRAVDE", pravni osnov za izdavanje uvjerenja, naziv: "UVJERENjE o uspješno završenoj obuci za lica za podršku djetetu u postupcima u vezi sa porodičnim odnosima", mjesta za ime i prezime kandidata, datum uspješno završene obuke, broj, datum i mjesto izdavanja uvjerenja, kao i mjesta za pečat i potpis ministra.</w:t>
      </w:r>
    </w:p>
    <w:p w14:paraId="01988559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Obrazac uvjerenja iz stava 1 ovog člana sastavni je dio ovog pravilnika.</w:t>
      </w:r>
    </w:p>
    <w:p w14:paraId="53404D9F" w14:textId="77777777" w:rsidR="003C6379" w:rsidRPr="003C6379" w:rsidRDefault="003C6379" w:rsidP="003C6379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1" w:name="clan_21"/>
      <w:bookmarkEnd w:id="21"/>
      <w:r w:rsidRPr="003C63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21</w:t>
      </w:r>
    </w:p>
    <w:p w14:paraId="64EE9FA2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Ovaj pravilnik stupa na snagu osmog dana od dana objavljivanja u "Službenom listu Crne Gore".</w:t>
      </w:r>
    </w:p>
    <w:p w14:paraId="316EEB1C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Broj: 01-019-1235/17</w:t>
      </w:r>
    </w:p>
    <w:p w14:paraId="073E622C" w14:textId="77777777" w:rsidR="003C6379" w:rsidRPr="003C6379" w:rsidRDefault="003C6379" w:rsidP="003C6379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Podgorica, 9. juna 2017. godine</w:t>
      </w:r>
    </w:p>
    <w:p w14:paraId="7F48F305" w14:textId="77777777" w:rsidR="003C6379" w:rsidRPr="003C6379" w:rsidRDefault="003C6379" w:rsidP="003C6379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Ministar,</w:t>
      </w:r>
    </w:p>
    <w:p w14:paraId="2C9FFA22" w14:textId="77777777" w:rsidR="003C6379" w:rsidRPr="003C6379" w:rsidRDefault="003C6379" w:rsidP="003C6379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C6379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Zoran Pažin</w:t>
      </w:r>
      <w:r w:rsidRPr="003C6379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, s.r.</w:t>
      </w:r>
      <w:bookmarkStart w:id="22" w:name="_GoBack"/>
      <w:bookmarkEnd w:id="22"/>
    </w:p>
    <w:sectPr w:rsidR="003C6379" w:rsidRPr="003C6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F1"/>
    <w:rsid w:val="003C6379"/>
    <w:rsid w:val="00E2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5A081-1D54-43CE-8C49-60FA2E38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1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686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84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275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51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05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952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742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17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45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6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3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133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647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344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772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1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12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122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17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</cp:revision>
  <dcterms:created xsi:type="dcterms:W3CDTF">2025-09-04T11:57:00Z</dcterms:created>
  <dcterms:modified xsi:type="dcterms:W3CDTF">2025-09-04T11:58:00Z</dcterms:modified>
</cp:coreProperties>
</file>