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AA" w:rsidRDefault="00407DAA" w:rsidP="00407DAA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24 Zakona o vaspitanju i obrazovanju djece sa posebnim obrazovnim potrebama ("Službeni list RCG", broj 80/04 i "Službeni list CG", broj 45/10) Ministarstvo prosvjete i sporta, donijelo je</w:t>
      </w:r>
    </w:p>
    <w:p w:rsidR="00407DAA" w:rsidRDefault="00407DAA" w:rsidP="00407DA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407DAA" w:rsidRDefault="00407DAA" w:rsidP="00407DAA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407DAA" w:rsidRDefault="00407DAA" w:rsidP="00407DA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NAČINU, USLOVIMA I POSTUPKU ZA USMJERAVANJE DJECE SA POSEBNIM OBRAZOVNIM POTREBAMA</w:t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407DAA" w:rsidRDefault="00407DAA" w:rsidP="00407DAA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57 od 30. novembra 2011)</w:t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0" w:name="clan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l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Style w:val="expand1"/>
          <w:vanish w:val="0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Način, uslovi i postupak za usmjeravanje djece sa posebnim obrazovnim potrebama propisuje se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za usmjeravanje djece sa posebnim obrazovnim potrebama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Prijedlog za usmjeravanje u odgovarajući obrazovni program i ustanovu u koju se dijete sa posebnom obrazovnom potrebom uključuje, daje Komisija za usmjeravanje djece sa posebnim obrazovnim potrebama (u daljem tekstu: prvostepena komisija) na osnovu očuvanih sposobnosti i posebne obrazovne potrebe.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posebnim obrazovnim potrebama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Određivanje posebne obrazovne potrebe i usmjeravanje u odgovarajući obrazovni program obuhvata djecu: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tjelesnim, mentalnim, senzornim i kombinovanim smetnjama u razvoju, sa poremećajima u ponašanju,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teškim hroničnim oboljenjima, dugotrajno bolesnu djecu, djecu koja imaju poteškoće u učenju i druge teškoće uzrokovane emocionalnim, socijalnim, jezičkim i kulturološkim preprekama.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tjelesnim smetnjama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Djeca sa tjelesnim smetnjama su djeca čije se sposobnosti odnose na izvođenje pokreta, pomijeranje i korišćenja djelova tijela, pokretanja čitavog tijela do potpune tjelesne neaktivnosti.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 obzirom na smetnje iz stava 1 ovog člana razlikuju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lakšim tjelesnim smetnjama koja su samostalna kod svih radnji, osim onih koje zahtijevaju dobru spretnost ruku, kada im je potrebna manja pomoć drugih lica, jednostavnija prilagođavanja i pomoćna sredstva.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umjerenim tjelesnim smetnjama koja se samostalno kreću po prostorijama ili na kraće razdaljine, djelimično izvode fizičke aktivnosti, pa i ako se izvodi uz pomoć drugog lica, nadgledanje ili tehnička pomagala.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težim tjelesnim smetnjama koja za kretanje koriste pomagala (ortoze, štake, kolica na ručni pogon, hodalice i sl.) i imaju značajno umanjenu finu motoriku ruku pa im za izvođenje vaspitno-obrazovnog rada može biti potrebna pomoć drugog lica.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teškim tjelesnim smetnjama koja imaju male funkcionalne pokrete tijela, pa im je za kretanje potrebno korišćenje elektromotornih kolica, za sjedenje prilagođena pomoćna sredstva, a kod izvođenja vaspitno-obrazovnog rada pomoć drugog lica.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mentalnim smetnjama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Djeca sa mentalnim smetnjama su djeca koja imaju umanjene intelektualne sposobnosti: učenja, pamćenja, prisjećanja, reprodukovanja i ostalih misaonih funkcija.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 obzirom na smetnje iz stava 1 ovog člana razlikuju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lakšim mentalnim smetnjama koja imaju umanjene intelektualne sposobnosti za učenje i izvođenje vještina, snalaženje u rješavanju jednostavnih problema i mogu se osposobiti na osnovu rutinskih vještina za jednostavne poslove i samostalan socijalni život.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umjerenim mentalnim smetnjama koja imaju intelektualne sposobnost da usvoje osnove čitanja, pisanja, razviju vještine osnovnog samozbrinjavanja, i mogu se osposobiti za jednostavne, praktične, rutinske i poznate poslove, pod stalnim i neposrednim nadzorom.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- djeca sa težim mentalnim smetnjama koja imaju veoma umanjene intelektualne sposobnosti za učenje, otežano </w:t>
      </w:r>
      <w:r>
        <w:rPr>
          <w:rStyle w:val="expand1"/>
          <w:vanish w:val="0"/>
          <w:color w:val="000000"/>
          <w:lang w:val="sr-Latn-CS"/>
        </w:rPr>
        <w:lastRenderedPageBreak/>
        <w:t>realizuju svakodnevne životne potrebe i mogu se osposobiti za najjednostavnije radnje, znanja i vještina neophodne za svakodnevni život uz pomoć i/ili nadgledanje.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teškim mentalnim smetnjama koja imaju jako umanjene intelektualne sposobnostima za izvršavanje intelektualnih aktivnosti i teško mogu realizovati svakodnevne životne potrebe, pa im je potrebno razvijati vještine potrebne za životne interakcije uz njegu, nadzor i pomoć od strane drugog lica.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senzornim smetnjama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Djeca sa senzornim smetnjama su djeca sa smetnjama vida, sa slušnim smetnjama, govorno-jezičkim smetnjama i sa autizmom.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Djeca sa smetnjama vida su djeca sa djelimičnim ili potpuno umanjenim sposobnostima vidnog sistema da prime nadražaje i razlikuju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slabovidošću koja imaju smetnje u vizuelnoj percepciji, suženju vidnog polja, oštrine i preostalog vida.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bez ostatka vida koja imaju minimalni ostatak vida ili su bez ostatka vida u zavisnosti od stepena oštrine vida, prisustva percepcije svjetlosti, kvaliteta vidnog polja i upotrebe ostalih čula.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Nagluva i gluva djeca su djeca koja imaju suženje slušnog polja što uzrokuje teškoće u formiranju govora i ometa sporazumijevanje verbalnim putem, dok gluva djeca imaju potpuni gubitak sluha i nemogućnost kontakta sa zvukom i razlikuju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lakšim gubitkom sluha koja na jednom ili oba uva mogu imati problem u formiranju govora i obezbjeđuje im se habilitacija ili rehabilitacija i odgovarajuća pomagala (slušne aparate).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umjerenim gubitkom sluha koja imaju otežano slušanje, formiranje govora i sporazumijevanje te im je potrebna rana audiološka intervencija, posebni uslovi i pomagala.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težim gubitkim sluha koja imaju otežano slušanje, formiranje glasova, razumijevanje i govorno sporazumijevanje i potrebna im je rana intervencija odnosno rehabilitaciju, stručna pomoć (slušni trening, uputstva za čitanje govora sa usta), adekvatne obrazovne tehnologije i znanja o njima.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teškim gubitkom sluha koja imaju vrlo otežano slušanje, formiranje, razumijevanje govora i sporazumijevanje, kao i teškoće pri usvajanju znanja, pa im se obezbjeđuju adekvatne obrazovne tehnologije.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najtežim gubitkom sluha koja mogu imati kontakt sa zvukom, ali ne mogu izgraditi govor ni pomoću slušnog aparata pa im se obezbjeđuju, posebni uslovi i pomagala, adekvatne obrazovne metodologije i tehnologije i po potrebi tehnička pomoć u nastavi.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potpunim gubitkom sluha koja kontakt sa zvukom primaju putem vibracija, ne razlikuju dvije jačine zvuka i ne mogu čuti i razumjeti verbalni govor pa im se obezbjeđuju, posebni uslovi i pomagala, adekvatne obrazovne metodologije i tehnologije i po potrebi tehnička pomoć u nastavi.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Djeca sa govorno-jezičkim smetnjama su djeca sa smetnjama u izgovoru glasova, u razvoju produkcije i razumijevanja govora, u čitanju i pisanju i sa poremećajem ritma i tempa govora i razlikuju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lakšim do umjerenim govorno-jezičkim smetnjama koja imaju smetnje u izgovoru pojedinih glasova (dislalija), smetnje u čitanju i pisanju (disleksija i disgrafija) i smetnje ritma i tempa govora (mucanje).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djeca sa težim do teškim govorno-jezičkim smetnjama koja imaju razvojnu disfaziju i govor nerazumljiv za okolinu, a razvijaju komunikaciju gestovima ili s nekoliko dvosložnih riječi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Djeca sa autizmom su djeca sa smetnjama u govoru i komunikaciji, u društvenom kontaktu, u razmišljanju, u ponašanju i senzornoj percepciji.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poremećajima u ponašanju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Djeca sa poremećajima u ponašanju su djeca čije se ponašanje manifestuje neuspješnom socijalnom integracijom, agresivnošću i/ili autoagresivnošću, uživanjem psihoaktivnih supstanci, uništavanjee tuđe imovine, bježanjem od kuće, dužim izostajanjem sa nastave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teškim hroničnim oboljenjima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Djeca sa teškim hroničnim oboljenjima su djeca sa oboljenjima srca i krvnih sudova, organa za disanje, varenje i izlučivanja, kože i potkožnog tkiva, centralnog i perifernog nervnog sistema, krvi, žlijezda sa unutrašnjim lučenjem, psihijatrijskim, alergijskim, autoimunim, reumatološkim, metaboličkim i malignim oboljenjima.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emocionalnim teškoćama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lastRenderedPageBreak/>
        <w:t>     Djeca sa emocionalnim teškoćama su djeca koja imaju teškoće produženog trajanja, a ne situacionog porijekla, ne razvijaju adekvatne socijalne relacije sa vršnjacima i odraslima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kombinovanim smetnjama u razvoju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Djeca sa kombinovanim smetnjama u razvoju su djeca koja imaju više smetnji u razvoju sa akcentom na primarnoj smetnji.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dugotrajnim bolestima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Djeca sa dugotrajnim bolestima su djeca koja imaju oboljenja raznog porijekla u trajanju dužem od tri mjeseca.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poteškoćama u učenju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Djeca sa poteškoćama u učenju su djeca koja, zbog poznatih ili nepoznatih smetnji u djelovanju centralnog nervnog sistema, imaju problem sa pažnjom, pamćenjem, mišljenjem, komunikacijom, emocionalnim sazrijevanjem i opšti uspjeh nedovoljan u dužem periodu.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teškoćama uzrokovanim socijalnim, jezičkim i kulturološkim preprekama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Djeca sa teškoćama uzrokovanim socijalnim, jezičkim i kulturološkim preprekama su djeca koja žive u nepovoljnim materijalnim i porodičnim uslovima (bez roditeljskog staranja, nasilje u porodici, bolest, zavisnost od psihoaktivnih supstanci i sl.) i djeca sa ometajućim kulturološkim i jezičkim faktorima.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Obezbjeđivanje uslova prema posebnim obrazovnim potrebama djeteta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Predškolska ustanova, ustanova osnovnog, opšteg srednjeg i stručnog obrazovanja i vaspitanja i resursni centar (u daljem tekstu: ustanova), u skladu sa mogućnostima, rješenjem o usmjeravanju i individualnim programom, obezbjeđuje uslove prema posebnoj obrazovnoj potrebi djeteta tako što prilagođava prostor, opremu i nastavna sredstva.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Asistent u nastavi se obezbjeđuje za djecu: sa težim i teškim tjelesnim smetnjama, sa umjerenim mentalnim smetnjama, djecu bez vida, sa najtežim i potpunim gubitkom sluha, sa težim do teškim govorno-jezičkim smetnjama i sa autizmom, u skladu sa rješenjem o usmjeravanju i individualnim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Uslovi koje ustanova obezbjeđuje djeci sa posebnim obrazovnim potrebama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Ustanova obezbjeđuje djeci: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tjelesnim smetnjama pristup zgradi, priboru, opremi, prostor za kretanje, po potrebi tehnološka pomagala, pomoć resursnog centra od momenta otkrivanja smetnje.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mentalnim smetnjama očigledna nastavna sredstava, uklanjaju i smanjuju ometajuće faktore, pomoć resursnog centra od momenta otkrivanja smetnje.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smetnjama vida mjesto u učionici sa koga se najbolje vidi tabla, slobodne puteve do table, bezbjedno okruženje, nastavna sredstva, materijal, adekvatnu obrazovnu tehnologiju i dodatna znanja o njima, pomoć resursnog centra od momenta otkrivanja smetnje.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nagluvoj i gluvoj da sjede blizu nastavnika, otklanjaju se ometajući zvuči, neometan pogled u toku komunikacije, prilagođen didaktički materijal, adekvatnu obrazovnu tehnologiju i dodatna znanja o njima.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govorno-jezičkim smetnjama, shodno utvrđenoj smetnji sažetke, veći i podebljani font obrazovnog materijala, prilagođene pismene zadatke i vrijeme za rješavanje, pomoć resursnog centra od momenta otkrivanja smetnje.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autizmom jasne fizičke i vizuelne granice (označavanje, ograničavanje prostora i sl.), jasna i precizna uputstva i dnevni raspored, otklanjaju vizuelna i auditivna odvlačenja pažnje, pomoć resursnog centra od momenta otkrivanja smetnje.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teškoćama pažnje mjesto pored katedre, otklanjanje svega što remeti pažnju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teškoćama uzrokovanim socijalnim, jezičkim i kulturološkim preprekama psihosocijalnu podršku, dopunsku nastavu za prevazilaženje jezičkih barijera,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Interes djeteta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Ukoliko roditelji djeteta ne sarađuju ili postupaju na način koji je u suprotnosti sa najboljim interesom djeteta ustanova će obavijestiti nadležnu ustanovu socijalne i dječje zaštite.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Sastav prvostepene komisije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Prvostepenu komisiju, saglasno članu 19 Zakona o vaspitanju i obrazovanju djece sa posebnim obrazovnim potrebama, čine: pedijatar i doktor odgovarajuće specijalnosti, psiholog, pedagog, defektolog odgovarajuće specijalnosti i socijalni radnik. Doktor određene specijalnosti i defektolog odgovarajuće specijalnosti uključuju se u rad komisije zavisno od posebne obrazovne potrebe djeteta.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Rad prvostepene komisije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Prvostepena komisija daje predlog na osnovu neposrednog pregleda djeteta, zdravstvene, pedagoške, psihološke i socijalne dokumentacije, kao i druge dokumentacije od uticaja na utvrđivanje posebne potrebe, razgovara sa roditeljem, vaspitačem, odnosno učiteljem (nastavnikom) kao i olakšavajućih i otežavajućih faktora sredine koji pospješuju ili otežavaju učešće u vaspitanju i obrazovanju kada stupe u interakciju sa smetnjama i teškoćama u razvoju.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je postupak usmjeravanja djeteta pokrenut nakon započetog obrazovanja, na zahtjev organa lokalne uprave, ustanova će dostaviti izvještaj o obrazovnim postignućima djeteta i njegovom funkcionisanju za period do pokretanja postupka.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Prvostepena komisija može, ako je to potrebno, da pribavi mišljenje pojedinih stručnjaka, ili stručnih institucija upućivanjem djeteta na ispitivanje (opservaciju) u odgovarajuću instituciju.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Prijedlog prvostepene komisije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Svaki član prvostepene komisije daje pisano mišljenje o djetetu koje se usmjerava u odgovarajući obrazovni program koji je dat na Obrascu br. 1 koji čini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Prvostepena komisija za svako dijete daje prijedlog o usmjeravanju koji je dat na Obrascu br. 2 koji čini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Zapisnik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O radu prvostepene komisije vodi se zapisnik sa sjednice i registar usmjerene djece.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Zapisnik je povjerljiv.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Dostavljanje rješenja prvostepene komisije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40" w:name="clan21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Organ lokalne uprave nadležan za poslove prosvjete dostavlja primjerak rješenja o usmjeravanju djeteta sa posebnom obrazovnom potrebom u odgovarajući obrazovni program (u daljem tekstu: rješenje) ustanovi, kao i ustanovama zdravstvene i socijalne zaštite, Zavodu za školstvo, Centru za stručno obrazovanje, Ispitnom centru, najkasnije u roku od osam dana, od dana donošenja rješenja.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Organ, iz stava 1 ovog člana, obavještava i organe državne uprave nadležene za poslove prosvjete, socijalnog staranja i zdravstva o broju djece i obrazovnim programima u koje su usmjerena.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Sastav Drugostepene komisije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42" w:name="clan22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Drugostepenu komisiju, saglasno članu 22 Zakona o vaspitanju i obrazovanju djece sa posebnim obrazovnim potrebama, čine: pedijatar i doktor odgovarajuće specijalnosti, defektolog, psiholog, pedagog, socijalni radnik i učitelj, odnosno vaspitač. Za člana Drugostepene komisije ne može biti imenovan član prvostepene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Mišljenje Drugostepene komisije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44" w:name="clan23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lastRenderedPageBreak/>
        <w:t>     Drugostepena komisija daje mišljenje na osnovu ocjene prijedloga prvostepene komisije i druge dokumentacije.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Drugostepena komisija može zahtijevati dodatnu dokumentaciju od ustanove, ustanova zdravstvene i socijalne zaštite i drugih ustanova, a ukoliko je to potrebno, može, u postupku pripreme stručnog mišljenja, obaviti neposredan pregled djeteta i pribaviti mišljenje pojedinih stručnjaka, ili stručnih institucija.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Drugostepena komisija za svako dijete daje mišljenje o usmjeravanju u odgovarajući obrazovni program koji je dat na Obrascu br. 1 koji čini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Predsjednik i članovi komisije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46" w:name="clan24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>     Radom prvostepene i Drugostepene komisije (u daljem tekstu: komisija) rukovodi predsjednik koji se imenuje iz reda doktora, po pravilu, specijalista pedijatar.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Predsjednik i svaki član komisije imaju svoje zamjenike.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Svaki član komisije priprema mišljenje o djetetu i izvještaj i vodi dokumentaciju o svom radu koja se čuva pri sjedištu komisije i koja je povjerljiva.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Bliži sastav i način rada komisija, iz stava 1 ovog člana, uređuje se aktom o obrazovanju.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Rad komisije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48" w:name="clan25"/>
      <w:bookmarkEnd w:id="4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9" w:name="1025"/>
      <w:bookmarkEnd w:id="49"/>
      <w:r>
        <w:rPr>
          <w:rStyle w:val="expand1"/>
          <w:vanish w:val="0"/>
          <w:color w:val="000000"/>
          <w:lang w:val="sr-Latn-CS"/>
        </w:rPr>
        <w:t>     Komisija radi i daje prijedlog u punom sastavu.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je samostalna u davanju prijedloga, odnosno mišljenja i za svoj rad odgovara organu koji ju je imenovao.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Bliži način rada komisije uređuje se poslovnikom o radu.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Razrješenje člana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50" w:name="clan26"/>
      <w:bookmarkEnd w:id="5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1" w:name="1026"/>
      <w:bookmarkEnd w:id="51"/>
      <w:r>
        <w:rPr>
          <w:rStyle w:val="expand1"/>
          <w:vanish w:val="0"/>
          <w:color w:val="000000"/>
          <w:lang w:val="sr-Latn-CS"/>
        </w:rPr>
        <w:t>     Član komisije koji iz neopravdanih razloga odsustvuje u radu komisije, ili se ne odnosi u skladu sa pravilima svoje struke, na prijedlog predsjednika može biti razriješen.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Upućivanje djeteta na ponovni postupak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52" w:name="clan27"/>
      <w:bookmarkEnd w:id="5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3" w:name="1027"/>
      <w:bookmarkEnd w:id="53"/>
      <w:r>
        <w:rPr>
          <w:rStyle w:val="expand1"/>
          <w:vanish w:val="0"/>
          <w:color w:val="000000"/>
          <w:lang w:val="sr-Latn-CS"/>
        </w:rPr>
        <w:t>     Ako poslije donošenja rješenja o usmjeravanju u odgovarajući obrazovni program kod djeteta nastupe promjene u odnosu na posebnu obrazovnu potrebu (dosadašnji program nije odgovarajući ili prestane potreba pohađanja obrazovnog programa u koji je dijete bilo usmjereno), organ lokalne uprave nadležan za poslove prosvjete, sprovodi ponovni postupak.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u ponovljenom postupku utvrde promjene u odnosu na utvrđenu posebnu obrazovnu potrebu, organ lokalne uprave nadležan za poslove prosvjete, na prijedlog prvostepene komisije donosi novo rješenje.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Administrativno-tehnički poslovi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54" w:name="clan28"/>
      <w:bookmarkEnd w:id="5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5" name="Picture 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6" name="Picture 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5" w:name="1028"/>
      <w:bookmarkEnd w:id="55"/>
      <w:r>
        <w:rPr>
          <w:rStyle w:val="expand1"/>
          <w:vanish w:val="0"/>
          <w:color w:val="000000"/>
          <w:lang w:val="sr-Latn-CS"/>
        </w:rPr>
        <w:t>     Administrativno-tehničke poslove za potrebe komisije obavlja organ koji je komisiju imenovao.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Vođenje evidencije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56" w:name="clan29"/>
      <w:bookmarkEnd w:id="5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7" name="Picture 5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8" name="Picture 5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7" w:name="1029"/>
      <w:bookmarkEnd w:id="57"/>
      <w:r>
        <w:rPr>
          <w:rStyle w:val="expand1"/>
          <w:vanish w:val="0"/>
          <w:color w:val="000000"/>
          <w:lang w:val="sr-Latn-CS"/>
        </w:rPr>
        <w:t>     Organ lokalne uprave nadležan za poslove prosvjete vodi matičnu evidenciju o svakom djetetu koja je data na Obrascu br. 3, koji čini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preseljenja djeteta, organ lokalne uprave nadležan za poslove prosvjete, po službenoj dužnosti, dostavlja cjelokupnu evidenciju sa dokumentacijom o usmjerenom djetetu nadležnom organu u mjestu novog prebivališta djeteta, koji nakon prijema dokumenata upisuje dijete u svoju matičnu evidenciju.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Prekid evidencije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58" w:name="clan30"/>
      <w:bookmarkEnd w:id="5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9" name="Picture 5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0" name="Picture 6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9" w:name="1030"/>
      <w:bookmarkEnd w:id="59"/>
      <w:r>
        <w:rPr>
          <w:rStyle w:val="expand1"/>
          <w:vanish w:val="0"/>
          <w:color w:val="000000"/>
          <w:lang w:val="sr-Latn-CS"/>
        </w:rPr>
        <w:t>     Kada djetetu nije više potrebno obrazovanje i vaspitanje po određenom obrazovnom programu, organ lokalne uprave nadležan za poslove prosvjete prekida dalje vođenje evidencije o djetetu i to upisuje u matičnu evidenciju, sa napomenom u koji program nastavlja obrazovanje i vaspitanje, odnosno iz kojih razloga je došlo do prekida vođenja evidencije.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Troškovi rada komisija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60" w:name="clan31"/>
      <w:bookmarkEnd w:id="6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1" name="Picture 6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2" name="Picture 6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1" w:name="1031"/>
      <w:bookmarkEnd w:id="61"/>
      <w:r>
        <w:rPr>
          <w:rStyle w:val="expand1"/>
          <w:vanish w:val="0"/>
          <w:color w:val="000000"/>
          <w:lang w:val="sr-Latn-CS"/>
        </w:rPr>
        <w:t>     Troškovi rada komisije padaju na teret organa koji vodi postupak.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važenja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62" w:name="clan32"/>
      <w:bookmarkEnd w:id="6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3" name="Picture 6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4" name="Picture 6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AA" w:rsidRDefault="00407DAA" w:rsidP="00407DA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3" w:name="1032"/>
      <w:bookmarkEnd w:id="63"/>
      <w:r>
        <w:rPr>
          <w:rStyle w:val="expand1"/>
          <w:vanish w:val="0"/>
          <w:color w:val="000000"/>
          <w:lang w:val="sr-Latn-CS"/>
        </w:rPr>
        <w:t>     Stupanjem na snagu ovog pravilnika prestaje da važi Pravilnik o kriterijumima za određivanje oblika i stepena nedostataka, smetnje, odnosno poremećaja djece i mladih s posebnim potrebama i načinu uključivanja u obrazovne programe ("Službeni list RCG" broj 23/06).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07DAA" w:rsidRDefault="00407DAA" w:rsidP="00407DA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407DAA" w:rsidRDefault="00407DAA" w:rsidP="00407DAA">
      <w:pPr>
        <w:rPr>
          <w:rStyle w:val="expand1"/>
          <w:vanish w:val="0"/>
          <w:color w:val="000000"/>
        </w:rPr>
      </w:pPr>
    </w:p>
    <w:p w:rsidR="00407DAA" w:rsidRDefault="00407DAA" w:rsidP="00407DAA">
      <w:pPr>
        <w:jc w:val="center"/>
      </w:pPr>
      <w:bookmarkStart w:id="64" w:name="clan33"/>
      <w:bookmarkEnd w:id="6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5" name="Picture 6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6" name="Picture 6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407DAA" w:rsidP="00407DAA">
      <w:bookmarkStart w:id="65" w:name="1033"/>
      <w:bookmarkEnd w:id="65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01-5173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18. novembar 2011.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7DAA"/>
    <w:rsid w:val="000F4A40"/>
    <w:rsid w:val="00407DAA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407DAA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44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2753</Words>
  <Characters>15695</Characters>
  <Application>Microsoft Office Word</Application>
  <DocSecurity>0</DocSecurity>
  <Lines>130</Lines>
  <Paragraphs>36</Paragraphs>
  <ScaleCrop>false</ScaleCrop>
  <Company/>
  <LinksUpToDate>false</LinksUpToDate>
  <CharactersWithSpaces>18412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2015-04-03T12:38:00Z</dcterms:created>
  <dcterms:modified xsi:type="dcterms:W3CDTF">2015-04-03T12:40:00Z</dcterms:modified>
</cp:coreProperties>
</file>