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D5" w:rsidRPr="00584F75" w:rsidRDefault="005171D5" w:rsidP="005171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171D5" w:rsidRDefault="005171D5" w:rsidP="005171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63.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171D5" w:rsidRPr="00584F75" w:rsidRDefault="005171D5" w:rsidP="005171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17. mart 2022. godine, u 11.00 sati</w:t>
      </w:r>
    </w:p>
    <w:p w:rsidR="005171D5" w:rsidRPr="00584F75" w:rsidRDefault="005171D5" w:rsidP="005171D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171D5" w:rsidRPr="00584F75" w:rsidRDefault="005171D5" w:rsidP="005171D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62.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5171D5" w:rsidRPr="00F0398F" w:rsidRDefault="005171D5" w:rsidP="005171D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marta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171D5" w:rsidRPr="0034423D" w:rsidRDefault="005171D5" w:rsidP="005171D5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5171D5" w:rsidRPr="00D8016A" w:rsidRDefault="005171D5" w:rsidP="005171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171D5" w:rsidRPr="00A43E9E" w:rsidRDefault="005171D5" w:rsidP="005171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5171D5" w:rsidRPr="004472E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porezu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dodatu</w:t>
      </w:r>
      <w:proofErr w:type="spellEnd"/>
      <w:r w:rsidRPr="004472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72E2">
        <w:rPr>
          <w:rFonts w:ascii="Arial" w:hAnsi="Arial" w:cs="Arial"/>
          <w:sz w:val="24"/>
          <w:szCs w:val="24"/>
          <w:shd w:val="clear" w:color="auto" w:fill="F6F6F6"/>
        </w:rPr>
        <w:t>vrijednost</w:t>
      </w:r>
      <w:proofErr w:type="spellEnd"/>
    </w:p>
    <w:p w:rsidR="005171D5" w:rsidRPr="00E83FA7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90BE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90B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0BE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90B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90BE9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790BE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90BE9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790B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0BE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90B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90BE9">
        <w:rPr>
          <w:rFonts w:ascii="Arial" w:hAnsi="Arial" w:cs="Arial"/>
          <w:sz w:val="24"/>
          <w:szCs w:val="24"/>
          <w:shd w:val="clear" w:color="auto" w:fill="F6F6F6"/>
        </w:rPr>
        <w:t>akcizama</w:t>
      </w:r>
      <w:proofErr w:type="spellEnd"/>
    </w:p>
    <w:p w:rsidR="005171D5" w:rsidRPr="00E83FA7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83FA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privremenim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ograničavanje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cijena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značaja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život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zdravlje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6F6F6"/>
        </w:rPr>
        <w:t>ljudi</w:t>
      </w:r>
      <w:proofErr w:type="spellEnd"/>
    </w:p>
    <w:p w:rsidR="005171D5" w:rsidRPr="00E83FA7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83FA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FFFFF"/>
        </w:rPr>
        <w:t>interventnih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FFFFF"/>
        </w:rPr>
        <w:t>naba</w:t>
      </w:r>
      <w:r>
        <w:rPr>
          <w:rFonts w:ascii="Arial" w:hAnsi="Arial" w:cs="Arial"/>
          <w:sz w:val="24"/>
          <w:szCs w:val="24"/>
          <w:shd w:val="clear" w:color="auto" w:fill="FFFFFF"/>
        </w:rPr>
        <w:t>vki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uslovima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ozbiljnih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poreme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ć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tržiš</w:t>
      </w:r>
      <w:r w:rsidRPr="00E83FA7">
        <w:rPr>
          <w:rFonts w:ascii="Arial" w:hAnsi="Arial" w:cs="Arial"/>
          <w:sz w:val="24"/>
          <w:szCs w:val="24"/>
          <w:shd w:val="clear" w:color="auto" w:fill="FFFFFF"/>
        </w:rPr>
        <w:t>tu</w:t>
      </w:r>
      <w:proofErr w:type="spellEnd"/>
      <w:r w:rsidRPr="00E83FA7">
        <w:rPr>
          <w:rFonts w:ascii="Arial" w:hAnsi="Arial" w:cs="Arial"/>
          <w:sz w:val="24"/>
          <w:szCs w:val="24"/>
          <w:shd w:val="clear" w:color="auto" w:fill="FFFFFF"/>
        </w:rPr>
        <w:t xml:space="preserve"> za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3FA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171D5" w:rsidRPr="0062145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C5E6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privremenih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kao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odgovor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krizu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izazvanu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ratom</w:t>
      </w:r>
      <w:proofErr w:type="spellEnd"/>
      <w:r w:rsidRPr="00FC5E6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C5E67">
        <w:rPr>
          <w:rFonts w:ascii="Arial" w:hAnsi="Arial" w:cs="Arial"/>
          <w:sz w:val="24"/>
          <w:szCs w:val="24"/>
          <w:shd w:val="clear" w:color="auto" w:fill="F6F6F6"/>
        </w:rPr>
        <w:t>Ukrajini</w:t>
      </w:r>
      <w:proofErr w:type="spellEnd"/>
    </w:p>
    <w:p w:rsidR="005171D5" w:rsidRPr="0062145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145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razvoja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Cr</w:t>
      </w:r>
      <w:r>
        <w:rPr>
          <w:rFonts w:ascii="Arial" w:hAnsi="Arial" w:cs="Arial"/>
          <w:sz w:val="24"/>
          <w:szCs w:val="24"/>
          <w:shd w:val="clear" w:color="auto" w:fill="FFFFFF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2022-2025.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1452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21452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62145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171D5" w:rsidRPr="00D8505A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8505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kontrolne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liste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robe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dvostruke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8505A">
        <w:rPr>
          <w:rFonts w:ascii="Arial" w:hAnsi="Arial" w:cs="Arial"/>
          <w:sz w:val="24"/>
          <w:szCs w:val="24"/>
          <w:shd w:val="clear" w:color="auto" w:fill="FFFFFF"/>
        </w:rPr>
        <w:t>namjene</w:t>
      </w:r>
      <w:proofErr w:type="spellEnd"/>
      <w:r w:rsidRPr="00D8505A">
        <w:rPr>
          <w:rFonts w:ascii="Arial" w:hAnsi="Arial" w:cs="Arial"/>
          <w:sz w:val="24"/>
          <w:szCs w:val="24"/>
          <w:shd w:val="clear" w:color="auto" w:fill="FFFFFF"/>
        </w:rPr>
        <w:t>*</w:t>
      </w:r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2694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uvođenju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restriktivnih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utvrđenih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odlukom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2022/266/ZVBP od 23.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kao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odgovor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priznavanje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područja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ukrajinskih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regija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Donjecka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Lugan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E2694E">
        <w:rPr>
          <w:rFonts w:ascii="Arial" w:hAnsi="Arial" w:cs="Arial"/>
          <w:sz w:val="24"/>
          <w:szCs w:val="24"/>
          <w:shd w:val="clear" w:color="auto" w:fill="F6F6F6"/>
        </w:rPr>
        <w:t>ska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nijesu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pod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kontrolom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Ukrajine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naredbu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ruskim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snagama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da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stupe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ta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područja</w:t>
      </w:r>
      <w:proofErr w:type="spellEnd"/>
    </w:p>
    <w:p w:rsidR="005171D5" w:rsidRPr="00A27BA5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27BA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uvođenju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međunarodnih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restriktivnih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utvrđenih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odlukama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2014/145/ZVBP od 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2014/151/ZVBP od 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2014/238/ZVBP od 28.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2014/265/ZVBP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2014/308/ZVBP od 28.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2014/455/ZVBP od 11.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2014/475/ZVBP od 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2014/499/ZVBP od 25.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2014/508/ZVBP od 30.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2014/658/ZVBP od 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2014/801/ZVBP od 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2014/855/ZVBP od 28.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2015/241/ZVBP od 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2015/432/ZVBP od 13.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2015/1524/ZVBP od 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2016/359/ZVBP od 10.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2016/1671/ZVBP od 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2016/1961/ZVBP od 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2017/445/ZVBP od 13.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2017/1386/ZVBP od 25.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2017/1418/ZVBP od 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avgusta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2017/1561/ZVBP od 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>, 2017/2163/ZVBP od 20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2018/392/ZVBP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2018/706/ZVBP od 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2018/1085/ZVBP od 30.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2018/1237/ZVBP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27BA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2018/1930/ZVBP od 10.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2019/95/ZVBP od 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2019/415/ZVBP od 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2019/416/ZVBP od 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2019/1405/ZVBP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2020/120/ZVBP od 28.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2020/399/ZVBP od 13.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2020/1269/ZVBP od 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2020/1369/ZVBP od 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2021/448/ZVBP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2021/1470/ZVBP od 10.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2021/1792/ZVBP od 11.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2021/2196/ZVBP od 13.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odnosu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djelovanja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podrivaju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ugrožavaju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teritorijalni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integritet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suverenitet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nezavisnost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</w:p>
    <w:p w:rsidR="005171D5" w:rsidRPr="00A27BA5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27BA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uvođenju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restrikt</w:t>
      </w:r>
      <w:r>
        <w:rPr>
          <w:rFonts w:ascii="Arial" w:hAnsi="Arial" w:cs="Arial"/>
          <w:sz w:val="24"/>
          <w:szCs w:val="24"/>
          <w:shd w:val="clear" w:color="auto" w:fill="F6F6F6"/>
        </w:rPr>
        <w:t>ivnih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utvrđenih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r w:rsidRPr="00A27BA5">
        <w:rPr>
          <w:rFonts w:ascii="Arial" w:hAnsi="Arial" w:cs="Arial"/>
          <w:sz w:val="24"/>
          <w:szCs w:val="24"/>
          <w:shd w:val="clear" w:color="auto" w:fill="F6F6F6"/>
        </w:rPr>
        <w:t>vropske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2014/512/ZVBP od 31.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, 2014/659/ZVBP od 8.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, 2014/872/ZVBP od 4.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dece</w:t>
      </w:r>
      <w:r>
        <w:rPr>
          <w:rFonts w:ascii="Arial" w:hAnsi="Arial" w:cs="Arial"/>
          <w:sz w:val="24"/>
          <w:szCs w:val="24"/>
          <w:shd w:val="clear" w:color="auto" w:fill="F6F6F6"/>
        </w:rPr>
        <w:t>mbra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2014.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2015/971/ZVBP</w:t>
      </w:r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od 22.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2015/1764/ZVBP od 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2015/2431/ZVBP od 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2015.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2017/2214/ZVBP od 30.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2019/2192/ZVBP od 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2019.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2020/907/ZVBP od 29.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2020/2143/ZVBP od 17.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i 2021/1144/ZVBP od 12.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obzirom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djelovanja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Rusije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kojima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destabilizuje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situacija</w:t>
      </w:r>
      <w:proofErr w:type="spellEnd"/>
      <w:r w:rsidRPr="00A27BA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27BA5">
        <w:rPr>
          <w:rFonts w:ascii="Arial" w:hAnsi="Arial" w:cs="Arial"/>
          <w:sz w:val="24"/>
          <w:szCs w:val="24"/>
          <w:shd w:val="clear" w:color="auto" w:fill="F6F6F6"/>
        </w:rPr>
        <w:t>Ukrajini</w:t>
      </w:r>
      <w:proofErr w:type="spellEnd"/>
    </w:p>
    <w:p w:rsidR="005171D5" w:rsidRPr="00790BE9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2694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osnivanju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antidoping</w:t>
      </w:r>
      <w:proofErr w:type="spellEnd"/>
    </w:p>
    <w:p w:rsidR="005171D5" w:rsidRPr="0087637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pružanju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privremenog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karaktera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licima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87637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372">
        <w:rPr>
          <w:rFonts w:ascii="Arial" w:hAnsi="Arial" w:cs="Arial"/>
          <w:sz w:val="24"/>
          <w:szCs w:val="24"/>
          <w:shd w:val="clear" w:color="auto" w:fill="F6F6F6"/>
        </w:rPr>
        <w:t>Avganistana</w:t>
      </w:r>
      <w:proofErr w:type="spellEnd"/>
    </w:p>
    <w:p w:rsidR="005171D5" w:rsidRPr="0030251A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potrebnim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realizaciju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privredi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građanima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intervencija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tržištu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poljoprivrednih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ribarstva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6F6F6"/>
        </w:rPr>
        <w:t>akvakulture</w:t>
      </w:r>
      <w:proofErr w:type="spellEnd"/>
    </w:p>
    <w:p w:rsidR="005171D5" w:rsidRPr="00F9395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stvaranju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prerađivačkih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kapaciteta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ribarstva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Gore „</w:t>
      </w:r>
      <w:proofErr w:type="spellStart"/>
      <w:r w:rsidRPr="0030251A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3025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30251A">
        <w:rPr>
          <w:rFonts w:ascii="Arial" w:hAnsi="Arial" w:cs="Arial"/>
          <w:sz w:val="24"/>
          <w:szCs w:val="24"/>
          <w:shd w:val="clear" w:color="auto" w:fill="FFFFFF"/>
        </w:rPr>
        <w:t>REGROW“</w:t>
      </w:r>
      <w:proofErr w:type="gramEnd"/>
    </w:p>
    <w:p w:rsidR="005171D5" w:rsidRPr="00F9395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inicijativi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izmjene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malih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hidroelektrana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Andrijevi</w:t>
      </w:r>
      <w:r>
        <w:rPr>
          <w:rFonts w:ascii="Arial" w:hAnsi="Arial" w:cs="Arial"/>
          <w:sz w:val="24"/>
          <w:szCs w:val="24"/>
          <w:shd w:val="clear" w:color="auto" w:fill="F6F6F6"/>
        </w:rPr>
        <w:t>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9395F">
        <w:rPr>
          <w:rFonts w:ascii="Arial" w:hAnsi="Arial" w:cs="Arial"/>
          <w:sz w:val="24"/>
          <w:szCs w:val="24"/>
          <w:shd w:val="clear" w:color="auto" w:fill="F6F6F6"/>
        </w:rPr>
        <w:t>edlozima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</w:p>
    <w:p w:rsidR="005171D5" w:rsidRPr="008644F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primjerenog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roka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ugovorne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obaveze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energetske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dozvole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male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hidroelektrane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F9395F">
        <w:rPr>
          <w:rFonts w:ascii="Arial" w:hAnsi="Arial" w:cs="Arial"/>
          <w:sz w:val="24"/>
          <w:szCs w:val="24"/>
          <w:shd w:val="clear" w:color="auto" w:fill="FFFFFF"/>
        </w:rPr>
        <w:t>Vinicka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proofErr w:type="gram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vodotoka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Vinicka</w:t>
      </w:r>
      <w:proofErr w:type="spellEnd"/>
      <w:r w:rsidRPr="00F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395F">
        <w:rPr>
          <w:rFonts w:ascii="Arial" w:hAnsi="Arial" w:cs="Arial"/>
          <w:sz w:val="24"/>
          <w:szCs w:val="24"/>
          <w:shd w:val="clear" w:color="auto" w:fill="FFFFFF"/>
        </w:rPr>
        <w:t>rijeka</w:t>
      </w:r>
      <w:proofErr w:type="spellEnd"/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Informa</w:t>
      </w:r>
      <w:r>
        <w:rPr>
          <w:rFonts w:ascii="Arial" w:hAnsi="Arial" w:cs="Arial"/>
          <w:sz w:val="24"/>
          <w:szCs w:val="24"/>
          <w:shd w:val="clear" w:color="auto" w:fill="FFFFFF"/>
        </w:rPr>
        <w:t>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procesu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Medijske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2694E">
        <w:rPr>
          <w:rFonts w:ascii="Arial" w:hAnsi="Arial" w:cs="Arial"/>
          <w:sz w:val="24"/>
          <w:szCs w:val="24"/>
          <w:shd w:val="clear" w:color="auto" w:fill="FFFFFF"/>
        </w:rPr>
        <w:t>trategije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Gore 2022-2026</w:t>
      </w:r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Predl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E2694E">
        <w:rPr>
          <w:rFonts w:ascii="Arial" w:hAnsi="Arial" w:cs="Arial"/>
          <w:sz w:val="24"/>
          <w:szCs w:val="24"/>
          <w:shd w:val="clear" w:color="auto" w:fill="F6F6F6"/>
        </w:rPr>
        <w:t>dluke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Statuta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Novi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(„Službeni list CG – opštinski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propisi“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1/19, 37/19 i 6/20)</w:t>
      </w:r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početku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vršenja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polugodišnjeg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mnjenja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stavovima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građana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štampanim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medijima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elektronskim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publikacijama</w:t>
      </w:r>
      <w:proofErr w:type="spellEnd"/>
    </w:p>
    <w:p w:rsidR="005171D5" w:rsidRPr="00716BDA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Sistema za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elektronsku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identifikaciju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autentifikaciju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i Sistema za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elektronsku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naplatu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povezivanje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Portalom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elektronske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uprave</w:t>
      </w:r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reformu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javne uprave za 2021.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171D5" w:rsidRPr="008263A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akcijama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preduzetim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reforme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javne uprave za 2021.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Dinamičkog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akcija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reformi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javne uprave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oktobar-decembar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</w:p>
    <w:p w:rsidR="005171D5" w:rsidRPr="008263A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komercijalnim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TV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emiterima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nacionalnom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pokrivenošću</w:t>
      </w:r>
      <w:proofErr w:type="spellEnd"/>
    </w:p>
    <w:p w:rsidR="005171D5" w:rsidRPr="00F20494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</w:p>
    <w:p w:rsidR="005171D5" w:rsidRPr="004E1D4B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novčane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za rad u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stručnom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savjetodavnom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tijelu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statistiku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statističko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1</w:t>
      </w:r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utvrđivanje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visine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naknada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AF31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1AF">
        <w:rPr>
          <w:rFonts w:ascii="Arial" w:hAnsi="Arial" w:cs="Arial"/>
          <w:sz w:val="24"/>
          <w:szCs w:val="24"/>
          <w:shd w:val="clear" w:color="auto" w:fill="F6F6F6"/>
        </w:rPr>
        <w:t>t</w:t>
      </w:r>
      <w:r>
        <w:rPr>
          <w:rFonts w:ascii="Arial" w:hAnsi="Arial" w:cs="Arial"/>
          <w:sz w:val="24"/>
          <w:szCs w:val="24"/>
          <w:shd w:val="clear" w:color="auto" w:fill="F6F6F6"/>
        </w:rPr>
        <w:t>ijela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oblika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žbeni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 w:rsidRPr="00AF31AF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AF31AF">
        <w:rPr>
          <w:rFonts w:ascii="Arial" w:hAnsi="Arial" w:cs="Arial"/>
          <w:sz w:val="24"/>
          <w:szCs w:val="24"/>
          <w:shd w:val="clear" w:color="auto" w:fill="F6F6F6"/>
        </w:rPr>
        <w:t>, br.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AF31AF">
        <w:rPr>
          <w:rFonts w:ascii="Arial" w:hAnsi="Arial" w:cs="Arial"/>
          <w:sz w:val="24"/>
          <w:szCs w:val="24"/>
          <w:shd w:val="clear" w:color="auto" w:fill="F6F6F6"/>
        </w:rPr>
        <w:t>26/12, 34/12 i 27/13)</w:t>
      </w:r>
    </w:p>
    <w:p w:rsidR="005171D5" w:rsidRPr="00E2694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5171D5" w:rsidRPr="002A0091" w:rsidRDefault="005171D5" w:rsidP="005171D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71D5" w:rsidRPr="004A2A38" w:rsidRDefault="005171D5" w:rsidP="005171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5171D5" w:rsidRPr="005414D3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414D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Turistička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zona </w:t>
      </w:r>
      <w:proofErr w:type="spellStart"/>
      <w:proofErr w:type="gramStart"/>
      <w:r w:rsidRPr="005414D3">
        <w:rPr>
          <w:rFonts w:ascii="Arial" w:hAnsi="Arial" w:cs="Arial"/>
          <w:sz w:val="24"/>
          <w:szCs w:val="24"/>
          <w:shd w:val="clear" w:color="auto" w:fill="FFFFFF"/>
        </w:rPr>
        <w:t>Lepetane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Tivat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</w:p>
    <w:p w:rsidR="005171D5" w:rsidRPr="00931EFC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4720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davanja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koncesija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D47200"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 w:rsidRPr="00D47200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5171D5" w:rsidRPr="00145EC3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Tehničkog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Hrvatske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Saveznog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Savezne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Njemačke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Italije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>, Ministars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tva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Rumunije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Poljske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pogledu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doprinosa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Gore NATO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Centru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izvrsnost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planinsko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ratovanje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40D15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tehnič</w:t>
      </w:r>
      <w:r w:rsidRPr="00340D15">
        <w:rPr>
          <w:rFonts w:ascii="Arial" w:hAnsi="Arial" w:cs="Arial"/>
          <w:sz w:val="24"/>
          <w:szCs w:val="24"/>
          <w:shd w:val="clear" w:color="auto" w:fill="F6F6F6"/>
        </w:rPr>
        <w:t>kog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D15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340D1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5171D5" w:rsidRPr="00931EFC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ustupanja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korišćenja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Muzički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Gore i JU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Crnogorska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kinoteka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objekat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nekadašnjeg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Doma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vojske</w:t>
      </w:r>
      <w:proofErr w:type="spellEnd"/>
      <w:r w:rsidRPr="00E2694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2694E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</w:p>
    <w:p w:rsidR="005171D5" w:rsidRPr="00931EFC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obezbjeđivanja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nabavku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aparata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transfuziju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krvi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  <w:r w:rsidRPr="00716BDA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716BDA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171D5" w:rsidRPr="003655A7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izvršenju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Godišnjeg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zvanične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statistike</w:t>
      </w:r>
      <w:proofErr w:type="spellEnd"/>
      <w:r w:rsidRPr="00B0494D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B0494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171D5" w:rsidRPr="00114280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razvoja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zvaniče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statistike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za period 2019 - 2023.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(za 2021. </w:t>
      </w:r>
      <w:proofErr w:type="spellStart"/>
      <w:r w:rsidRPr="003655A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655A7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5171D5" w:rsidRPr="00114280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2049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urbanističko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tehničkih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Osnovne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škole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„Vladimir </w:t>
      </w:r>
      <w:proofErr w:type="spellStart"/>
      <w:proofErr w:type="gramStart"/>
      <w:r w:rsidRPr="00F20494">
        <w:rPr>
          <w:rFonts w:ascii="Arial" w:hAnsi="Arial" w:cs="Arial"/>
          <w:sz w:val="24"/>
          <w:szCs w:val="24"/>
          <w:shd w:val="clear" w:color="auto" w:fill="FFFFFF"/>
        </w:rPr>
        <w:t>Nazor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lokaciji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čini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katastarska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br. 3079 i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3078 KO Podgorica 2, u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zahvatu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Prostorno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(„</w:t>
      </w:r>
      <w:proofErr w:type="spellStart"/>
      <w:r w:rsidRPr="00F20494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F20494">
        <w:rPr>
          <w:rFonts w:ascii="Arial" w:hAnsi="Arial" w:cs="Arial"/>
          <w:sz w:val="24"/>
          <w:szCs w:val="24"/>
          <w:shd w:val="clear" w:color="auto" w:fill="FFFFFF"/>
        </w:rPr>
        <w:t xml:space="preserve"> list CG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opštinski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propisi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“ br. 6/14) </w:t>
      </w:r>
    </w:p>
    <w:p w:rsidR="005171D5" w:rsidRPr="004C275D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5448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Mladenom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Boja</w:t>
      </w:r>
      <w:r>
        <w:rPr>
          <w:rFonts w:ascii="Arial" w:hAnsi="Arial" w:cs="Arial"/>
          <w:sz w:val="24"/>
          <w:szCs w:val="24"/>
          <w:shd w:val="clear" w:color="auto" w:fill="F6F6F6"/>
        </w:rPr>
        <w:t>nićem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međunarodnom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ekspou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Intertraffic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Amsterdam </w:t>
      </w:r>
      <w:proofErr w:type="gramStart"/>
      <w:r w:rsidRPr="00054482">
        <w:rPr>
          <w:rFonts w:ascii="Arial" w:hAnsi="Arial" w:cs="Arial"/>
          <w:sz w:val="24"/>
          <w:szCs w:val="24"/>
          <w:shd w:val="clear" w:color="auto" w:fill="F6F6F6"/>
        </w:rPr>
        <w:t>2022.“</w:t>
      </w:r>
      <w:proofErr w:type="gram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od </w:t>
      </w:r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29.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do 1.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Amsterdamu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Kraljevina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Nizozemska</w:t>
      </w:r>
      <w:proofErr w:type="spellEnd"/>
    </w:p>
    <w:p w:rsidR="005171D5" w:rsidRPr="008D6AB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C275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poljoprivrede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šumarstva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vodoprivrede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Aleksandra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Stijovića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Senegalu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povodom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Devetom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svjetskom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vodama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Dakaru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Senegal, </w:t>
      </w:r>
      <w:r>
        <w:rPr>
          <w:rFonts w:ascii="Arial" w:hAnsi="Arial" w:cs="Arial"/>
          <w:sz w:val="24"/>
          <w:szCs w:val="24"/>
          <w:shd w:val="clear" w:color="auto" w:fill="F6F6F6"/>
        </w:rPr>
        <w:t>od 21. do</w:t>
      </w:r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26.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mart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4C275D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4C275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171D5" w:rsidRPr="008D6AB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predvoditi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Jakov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Milatović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ekonomskog razvoja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43.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Međunar</w:t>
      </w:r>
      <w:r>
        <w:rPr>
          <w:rFonts w:ascii="Arial" w:hAnsi="Arial" w:cs="Arial"/>
          <w:sz w:val="24"/>
          <w:szCs w:val="24"/>
          <w:shd w:val="clear" w:color="auto" w:fill="F6F6F6"/>
        </w:rPr>
        <w:t>odnom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sajmu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„ITF 2022“</w:t>
      </w:r>
      <w:r>
        <w:rPr>
          <w:rFonts w:ascii="Arial" w:hAnsi="Arial" w:cs="Arial"/>
          <w:sz w:val="24"/>
          <w:szCs w:val="24"/>
          <w:shd w:val="clear" w:color="auto" w:fill="F6F6F6"/>
        </w:rPr>
        <w:t>, 23</w:t>
      </w:r>
      <w:r w:rsidRPr="008D6ABE">
        <w:rPr>
          <w:rFonts w:ascii="Arial" w:hAnsi="Arial" w:cs="Arial"/>
          <w:sz w:val="24"/>
          <w:szCs w:val="24"/>
          <w:shd w:val="clear" w:color="auto" w:fill="F6F6F6"/>
        </w:rPr>
        <w:t>.03 - 27.03.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D6AB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D6ABE">
        <w:rPr>
          <w:rFonts w:ascii="Arial" w:hAnsi="Arial" w:cs="Arial"/>
          <w:sz w:val="24"/>
          <w:szCs w:val="24"/>
          <w:shd w:val="clear" w:color="auto" w:fill="F6F6F6"/>
        </w:rPr>
        <w:t>Beogradu</w:t>
      </w:r>
      <w:proofErr w:type="spellEnd"/>
    </w:p>
    <w:p w:rsidR="005171D5" w:rsidRPr="0058443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71D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Evropskom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humanitarnom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Briselu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Belgija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 21. do </w:t>
      </w:r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23. </w:t>
      </w:r>
      <w:proofErr w:type="spellStart"/>
      <w:r w:rsidRPr="00A71D24">
        <w:rPr>
          <w:rFonts w:ascii="Arial" w:hAnsi="Arial" w:cs="Arial"/>
          <w:sz w:val="24"/>
          <w:szCs w:val="24"/>
          <w:shd w:val="clear" w:color="auto" w:fill="FFFFFF"/>
        </w:rPr>
        <w:t>mart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A71D24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71D5" w:rsidRPr="0058443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dodatnih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Tekuće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Crnogorsku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akademiju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nauka</w:t>
      </w:r>
      <w:proofErr w:type="spellEnd"/>
      <w:r w:rsidRPr="00584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84432">
        <w:rPr>
          <w:rFonts w:ascii="Arial" w:hAnsi="Arial" w:cs="Arial"/>
          <w:sz w:val="24"/>
          <w:szCs w:val="24"/>
          <w:shd w:val="clear" w:color="auto" w:fill="FFFFFF"/>
        </w:rPr>
        <w:t>umjetnosti</w:t>
      </w:r>
      <w:proofErr w:type="spellEnd"/>
    </w:p>
    <w:p w:rsidR="005171D5" w:rsidRPr="0005448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preusmjeravanju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sa Ministarstva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poslova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troškove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službenika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upućenih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rad u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Misiji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pri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</w:p>
    <w:p w:rsidR="005171D5" w:rsidRPr="0005448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5448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5171D5" w:rsidRPr="00663BEE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5448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vode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054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4482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5171D5" w:rsidRPr="00663BEE" w:rsidRDefault="005171D5" w:rsidP="005171D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71D5" w:rsidRPr="00CC009D" w:rsidRDefault="005171D5" w:rsidP="005171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5171D5" w:rsidRPr="00033429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414D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Statuta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5414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14D3">
        <w:rPr>
          <w:rFonts w:ascii="Arial" w:hAnsi="Arial" w:cs="Arial"/>
          <w:sz w:val="24"/>
          <w:szCs w:val="24"/>
          <w:shd w:val="clear" w:color="auto" w:fill="F6F6F6"/>
        </w:rPr>
        <w:t>konkurencije</w:t>
      </w:r>
      <w:proofErr w:type="spellEnd"/>
    </w:p>
    <w:p w:rsidR="005171D5" w:rsidRPr="00461D13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61D1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u JU „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Ratkovićeve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61D13">
        <w:rPr>
          <w:rFonts w:ascii="Arial" w:hAnsi="Arial" w:cs="Arial"/>
          <w:sz w:val="24"/>
          <w:szCs w:val="24"/>
          <w:shd w:val="clear" w:color="auto" w:fill="F6F6F6"/>
        </w:rPr>
        <w:t>večeri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461D13">
        <w:rPr>
          <w:rFonts w:ascii="Arial" w:hAnsi="Arial" w:cs="Arial"/>
          <w:sz w:val="24"/>
          <w:szCs w:val="24"/>
          <w:shd w:val="clear" w:color="auto" w:fill="F6F6F6"/>
        </w:rPr>
        <w:t>poezije</w:t>
      </w:r>
      <w:proofErr w:type="spellEnd"/>
      <w:r w:rsidRPr="00461D13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</w:p>
    <w:p w:rsidR="005171D5" w:rsidRPr="004E7D8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23FD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prekršaje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Bijelom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Polju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Su.I.br. 542/21 od 20.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F23FD2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F23FD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71D5" w:rsidRPr="004E7D8F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E7D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1097/3,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47, KO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Kameno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7D8F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4E7D8F">
        <w:rPr>
          <w:rFonts w:ascii="Arial" w:hAnsi="Arial" w:cs="Arial"/>
          <w:sz w:val="24"/>
          <w:szCs w:val="24"/>
          <w:shd w:val="clear" w:color="auto" w:fill="FFFFFF"/>
        </w:rPr>
        <w:t xml:space="preserve"> Novi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kupoprodaji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5171D5" w:rsidRPr="00A46FF2" w:rsidRDefault="005171D5" w:rsidP="005171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3FD2">
        <w:rPr>
          <w:rFonts w:ascii="Arial" w:hAnsi="Arial" w:cs="Arial"/>
          <w:sz w:val="24"/>
          <w:szCs w:val="24"/>
        </w:rPr>
        <w:t>Pitanja</w:t>
      </w:r>
      <w:proofErr w:type="spellEnd"/>
      <w:r w:rsidRPr="00F23FD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3FD2">
        <w:rPr>
          <w:rFonts w:ascii="Arial" w:hAnsi="Arial" w:cs="Arial"/>
          <w:sz w:val="24"/>
          <w:szCs w:val="24"/>
        </w:rPr>
        <w:t>predlozi</w:t>
      </w:r>
      <w:proofErr w:type="spellEnd"/>
    </w:p>
    <w:p w:rsidR="005171D5" w:rsidRPr="00687992" w:rsidRDefault="005171D5" w:rsidP="005171D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71D5" w:rsidRDefault="005171D5" w:rsidP="005171D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</w:p>
    <w:p w:rsidR="004A7BE2" w:rsidRPr="00AA57D1" w:rsidRDefault="004A7BE2" w:rsidP="005171D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bookmarkStart w:id="0" w:name="_GoBack"/>
      <w:bookmarkEnd w:id="0"/>
    </w:p>
    <w:p w:rsidR="005171D5" w:rsidRPr="007C4B69" w:rsidRDefault="005171D5" w:rsidP="005171D5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17</w:t>
      </w:r>
      <w:r>
        <w:rPr>
          <w:rFonts w:ascii="Arial" w:hAnsi="Arial" w:cs="Arial"/>
          <w:sz w:val="24"/>
          <w:szCs w:val="24"/>
        </w:rPr>
        <w:t xml:space="preserve">. mart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2105A" w:rsidRDefault="00D2105A"/>
    <w:sectPr w:rsidR="00D2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95A402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D5"/>
    <w:rsid w:val="004A7BE2"/>
    <w:rsid w:val="005171D5"/>
    <w:rsid w:val="00D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4FED"/>
  <w15:chartTrackingRefBased/>
  <w15:docId w15:val="{3F642454-56D9-4D7D-B44B-81DF2555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71D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2022-03-17T09:23:00Z</dcterms:created>
  <dcterms:modified xsi:type="dcterms:W3CDTF">2022-03-17T09:25:00Z</dcterms:modified>
</cp:coreProperties>
</file>