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46B" w:rsidRPr="006F5D59" w:rsidRDefault="00C4546B" w:rsidP="002F3668">
      <w:pPr>
        <w:tabs>
          <w:tab w:val="left" w:pos="990"/>
        </w:tabs>
        <w:ind w:left="1080" w:right="70" w:hanging="1080"/>
        <w:jc w:val="both"/>
        <w:outlineLvl w:val="1"/>
        <w:rPr>
          <w:rFonts w:ascii="Arial" w:eastAsia="Calibri" w:hAnsi="Arial" w:cs="Arial"/>
        </w:rPr>
      </w:pPr>
    </w:p>
    <w:p w:rsidR="00FF0FB0" w:rsidRPr="00DB2390" w:rsidRDefault="00FF0FB0" w:rsidP="002F3668">
      <w:pPr>
        <w:tabs>
          <w:tab w:val="left" w:pos="990"/>
        </w:tabs>
        <w:ind w:left="1080" w:right="70" w:hanging="1080"/>
        <w:jc w:val="both"/>
        <w:outlineLvl w:val="1"/>
        <w:rPr>
          <w:rFonts w:ascii="Times New Roman" w:eastAsia="Calibri" w:hAnsi="Times New Roman" w:cs="Times New Roman"/>
        </w:rPr>
      </w:pPr>
    </w:p>
    <w:p w:rsidR="00DB2390" w:rsidRPr="00DB2390" w:rsidRDefault="00DB2390" w:rsidP="007400EE">
      <w:pPr>
        <w:pStyle w:val="NormalWeb"/>
        <w:jc w:val="both"/>
        <w:rPr>
          <w:rFonts w:ascii="Arial" w:hAnsi="Arial" w:cs="Arial"/>
          <w:b/>
        </w:rPr>
      </w:pPr>
      <w:r w:rsidRPr="00DB2390">
        <w:rPr>
          <w:rFonts w:ascii="Arial" w:hAnsi="Arial" w:cs="Arial"/>
          <w:b/>
        </w:rPr>
        <w:t>Izvještaj o učešću na seminaru</w:t>
      </w:r>
      <w:r w:rsidRPr="00DB2390">
        <w:rPr>
          <w:rFonts w:ascii="Arial" w:hAnsi="Arial" w:cs="Arial"/>
          <w:b/>
        </w:rPr>
        <w:t xml:space="preserve"> pod nazivom</w:t>
      </w:r>
      <w:r w:rsidRPr="00DB2390">
        <w:rPr>
          <w:rFonts w:ascii="Arial" w:hAnsi="Arial" w:cs="Arial"/>
          <w:b/>
        </w:rPr>
        <w:t xml:space="preserve"> „Seminar on Investment and Trade Cooperation for </w:t>
      </w:r>
      <w:proofErr w:type="gramStart"/>
      <w:r w:rsidRPr="00DB2390">
        <w:rPr>
          <w:rFonts w:ascii="Arial" w:hAnsi="Arial" w:cs="Arial"/>
          <w:b/>
        </w:rPr>
        <w:t>Montenegro“ u</w:t>
      </w:r>
      <w:proofErr w:type="gramEnd"/>
      <w:r w:rsidRPr="00DB2390">
        <w:rPr>
          <w:rFonts w:ascii="Arial" w:hAnsi="Arial" w:cs="Arial"/>
          <w:b/>
        </w:rPr>
        <w:t xml:space="preserve"> Narodnoj Republici Kini</w:t>
      </w:r>
    </w:p>
    <w:p w:rsidR="00F537A3" w:rsidRPr="00DB2390" w:rsidRDefault="00F537A3" w:rsidP="007400EE">
      <w:pPr>
        <w:pStyle w:val="NormalWeb"/>
        <w:jc w:val="both"/>
        <w:rPr>
          <w:rFonts w:ascii="Arial" w:hAnsi="Arial" w:cs="Arial"/>
          <w:sz w:val="22"/>
        </w:rPr>
      </w:pPr>
      <w:r w:rsidRPr="00DB2390">
        <w:rPr>
          <w:rFonts w:ascii="Arial" w:hAnsi="Arial" w:cs="Arial"/>
          <w:sz w:val="22"/>
        </w:rPr>
        <w:t>U periodu od 25. maja do 11. juna 2026. godine realizovano je službeno putovanje u Narodnu Republiku Kinu radi učešća na seminaru</w:t>
      </w:r>
      <w:r w:rsidR="00DB2390" w:rsidRPr="00DB2390">
        <w:rPr>
          <w:rFonts w:ascii="Arial" w:hAnsi="Arial" w:cs="Arial"/>
          <w:sz w:val="22"/>
        </w:rPr>
        <w:t xml:space="preserve"> pod nazivom</w:t>
      </w:r>
      <w:r w:rsidRPr="00DB2390">
        <w:rPr>
          <w:rFonts w:ascii="Arial" w:hAnsi="Arial" w:cs="Arial"/>
          <w:sz w:val="22"/>
        </w:rPr>
        <w:t xml:space="preserve"> </w:t>
      </w:r>
      <w:r w:rsidR="00DB2390" w:rsidRPr="00DB2390">
        <w:rPr>
          <w:rFonts w:ascii="Arial" w:hAnsi="Arial" w:cs="Arial"/>
          <w:b/>
          <w:sz w:val="22"/>
        </w:rPr>
        <w:t>„</w:t>
      </w:r>
      <w:r w:rsidR="00DB2390" w:rsidRPr="00DB2390">
        <w:rPr>
          <w:rFonts w:ascii="Arial" w:hAnsi="Arial" w:cs="Arial"/>
          <w:b/>
          <w:i/>
          <w:sz w:val="22"/>
        </w:rPr>
        <w:t xml:space="preserve">Seminar on Investment and Trade Cooperation for </w:t>
      </w:r>
      <w:proofErr w:type="gramStart"/>
      <w:r w:rsidR="00DB2390" w:rsidRPr="00DB2390">
        <w:rPr>
          <w:rFonts w:ascii="Arial" w:hAnsi="Arial" w:cs="Arial"/>
          <w:b/>
          <w:i/>
          <w:sz w:val="22"/>
        </w:rPr>
        <w:t>Montenegro</w:t>
      </w:r>
      <w:r w:rsidR="00DB2390" w:rsidRPr="00DB2390">
        <w:rPr>
          <w:rFonts w:ascii="Arial" w:hAnsi="Arial" w:cs="Arial"/>
          <w:b/>
          <w:sz w:val="22"/>
        </w:rPr>
        <w:t>“</w:t>
      </w:r>
      <w:r w:rsidRPr="00DB2390">
        <w:rPr>
          <w:rFonts w:ascii="Arial" w:hAnsi="Arial" w:cs="Arial"/>
          <w:sz w:val="22"/>
        </w:rPr>
        <w:t xml:space="preserve"> organizovanom</w:t>
      </w:r>
      <w:proofErr w:type="gramEnd"/>
      <w:r w:rsidRPr="00DB2390">
        <w:rPr>
          <w:rFonts w:ascii="Arial" w:hAnsi="Arial" w:cs="Arial"/>
          <w:sz w:val="22"/>
        </w:rPr>
        <w:t xml:space="preserve"> od strane Međunarodnog centra za saradnju i razmjenu pri Ministarstvu trgovine provincije Hainan. U radu seminara učestvovala je delegacija Crne Gore koju su, pored predstavnika Agencije za investicije Crne Gore kao vodeće institucije delegacije, činili i predstavnici Generalnog sekretarijata Vlade Crne Gore, Privredne komore Crne Gore, Ministarstva prosvjete nauke i inovacija, Ministarstva finansija, Ministarstva saobraćaja</w:t>
      </w:r>
      <w:r w:rsidRPr="00DB2390">
        <w:rPr>
          <w:rFonts w:ascii="Arial" w:hAnsi="Arial" w:cs="Arial"/>
          <w:sz w:val="22"/>
        </w:rPr>
        <w:t xml:space="preserve"> i pomorstva</w:t>
      </w:r>
      <w:r w:rsidRPr="00DB2390">
        <w:rPr>
          <w:rFonts w:ascii="Arial" w:hAnsi="Arial" w:cs="Arial"/>
          <w:sz w:val="22"/>
        </w:rPr>
        <w:t>, Ministarstva turizma, Ministarstva javnih radova, Ministarstva ekonomskog razvoja, kao i Ministarstva regionalno-investicionog razvoja i saradnje sa nevladinim organizacijama. Tokom službene posjete realizovane su aktivnosti u gradovima Haikou, Šangaj, Suzhou, Sanya i Qionghai, sa ciljem unapređenja institucionalne, investicione i trgovinske saradnje između Crne Gore i Narodne Republike Kine.</w:t>
      </w:r>
    </w:p>
    <w:p w:rsidR="00DD79FE" w:rsidRPr="00DD79FE" w:rsidRDefault="00DD79FE" w:rsidP="007400EE">
      <w:pPr>
        <w:spacing w:before="100" w:beforeAutospacing="1" w:after="100" w:afterAutospacing="1"/>
        <w:jc w:val="both"/>
        <w:outlineLvl w:val="2"/>
        <w:rPr>
          <w:rFonts w:ascii="Arial" w:eastAsia="Times New Roman" w:hAnsi="Arial" w:cs="Arial"/>
          <w:b/>
          <w:bCs/>
          <w:sz w:val="22"/>
          <w:lang w:val="en-US"/>
        </w:rPr>
      </w:pPr>
      <w:r w:rsidRPr="00DD79FE">
        <w:rPr>
          <w:rFonts w:ascii="Arial" w:eastAsia="Times New Roman" w:hAnsi="Arial" w:cs="Arial"/>
          <w:b/>
          <w:bCs/>
          <w:sz w:val="22"/>
          <w:lang w:val="en-US"/>
        </w:rPr>
        <w:t>Tok službene posjete</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Program službene posjete obuhvatio je sveobuhvatan niz stručnih predavanja, prezentacija, studija slučaja, poslovnih sastanaka i terenskih posjeta, osmišljenih sa ciljem upoznavanja delegacije Crne Gore sa savremenim modelima ekonomskog razvoja Narodne Republike Kine. Posebna pažnja posvećena je modelima upravljanja slobodnim trgovinskim zonama, industrijskom klasterisanju, razvoju visokotehnoloških industrija, digitalnoj transformaciji, održivom urbanom razvoju i kreiranju povoljnog poslovnog okruženja za domaće i strane investitore. Kroz direktnu komunikaciju sa predstavnicima državnih institucija, razvojnih agencija, privrednih subjekata i investicionih kompanija, članovi delegacije stekli su detaljan uvid u kineske razvojne politike i mehanizme podrške investicijama, kao i mogućnosti za uspostavljanje buduće saradnje između institucija i privrednih subjekata Crne Gore i Narodne Republike Kine.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Prvi dio programa realizovan je u gradu Haikou, administrativnom centru provincije Hainan i sjedištu inicijative Hainan Free Trade Port, jednog od najznačajnijih razvojnih i reformskih projekata Narodne Republike Kine. Tokom boravka u Haikouu delegacija je prisustvovala nizu stručnih predavanja i prezentacija posvećenih kineskom ekonomskom razvoju, trgovinskoj politici, međunarodnoj ekonomskoj saradnji, razvoju slobodnih trgovinskih zona, upravljanju industrijskim parkovima i mehanizmima privlačenja stranih investicija. Posebna pažnja posvećena je razvoju provincije Hainan kao pilot-zone za ekonomske reforme i međunarodnu trgovinu, pri čemu su predstavljene politike poreskih olakšica, investicionih podsticaja, olakšanih procedura za strane investitore i modeli razvoja poslovnog okruženja zasnovanog na inovacijama i otvorenosti prema međunarodnom tržištu. Delegacija je kroz predavanja i diskusije stekla detaljan uvid u kineski pristup planiranju ekonomskog razvoja, strateškom upravljanju investicijama i unapređenju konkurentnosti privrede.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lastRenderedPageBreak/>
        <w:t xml:space="preserve">U okviru programa organizovana je i posjeta Jiangdong New Area, jednoj od najznačajnijih razvojnih zona provincije Hainan, gdje su predstavljeni dugoročni razvojni planovi, koncept održivog urbanog razvoja, digitalizacija javnih usluga, zelena infrastruktura i modeli privlačenja domaćih i stranih investicija. Delegacija je imala priliku da se upozna sa načinom planiranja i razvoja savremenih poslovnih zona koje predstavljaju ključne pokretače regionalnog ekonomskog razvoja.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U nastavku programa delegacija je boravila u Šangaju, jednom od vodećih svjetskih finansijskih, trgovinskih i logističkih centara. Tokom posjete predstavljeni su modeli razvoja međunarodnih finansijskih tržišta, upravljanja globalnim lancima snabdijevanja i funkcionisanja savremenih logističkih sistema. Delegacija je imala priliku da se upozna sa razvojem poslovnih distrikata, integracijom finansijskog i realnog sektora, kao i ulogom Šangaja u međunarodnoj trgovini i investicijama. Poseban značaj imala je analiza iskustava ovog grada u privlačenju multinacionalnih kompanija, razvoju visokovrijednih usluga i stvaranju konkurentnog poslovnog okruženja. Kroz obilazak poslovnih i finansijskih zona delegacija je stekla uvid u razvojne politike koje su doprinijele transformaciji Šangaja u jedan od najuticajnijih ekonomskih centara svijeta.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Posebno značajna bila je posjeta gradu Suzhou i China-Singapore Suzhou Industrial Park-u, koji predstavlja jedan od najuspješnijih primjera međunarodne saradnje i razvoja industrijskih i tehnoloških parkova u Kini. Tokom prezentacija predstavljen je model upravljanja parkom, sistem podrške investitorima, razvoj visokotehnoloških kompanija, podsticanje inovacija i saradnja između akademske zajednice i privrede. Delegacija je upoznata sa politikama razvoja pametne industrije, digitalne ekonomije i tehnoloških inovacija, kao i sa mehanizmima podrške malim i srednjim preduzećima. Posebno korisna bila je razmjena iskustava u oblasti razvoja inovacionih ekosistema, tehnoloških parkova i podrške start-up zajednici, što je od posebnog interesa za dalji razvoj inovacionog i investicionog okruženja u Crnoj Gori.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Tokom boravka u gradu Sanya, jednom od najpoznatijih turističkih centara Narodne Republike Kine, delegacija se upoznala sa modelima razvoja turizma, planiranjem turističke infrastrukture i konceptom održivog upravljanja turističkim destinacijama. Predstavljeni su uspješni primjeri povezivanja turizma sa investicijama, razvojem nekretnina, uslužnim djelatnostima i infrastrukturnim projektima. Poseban fokus bio je na razvoju luksuznog, zdravstvenog i kongresnog turizma, kao i na stvaranju poslovnog ambijenta pogodnog za ulaganja u turistički sektor. Predstavnici delegacije imali su priliku da sagledaju mogućnosti primjene određenih razvojnih modela i iskustava u kontekstu daljeg unapređenja turističke ponude i investicionih potencijala Crne Gore. </w:t>
      </w:r>
    </w:p>
    <w:p w:rsidR="00CF26DE" w:rsidRPr="00DB2390"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Posjeta gradu Qionghai omogućila je delegaciji da se detaljnije upozna sa konceptima regionalnog razvoja, međunarodne saradnje i održivog ekonomskog planiranja. Posebna pažnja posvećena je obilasku područja Boao Forum for Asia, koje predstavlja jednu od najznačajnijih platformi za međunarodni dijalog i ekonomsku saradnju u azijsko-pacifičkom regionu. Tokom prezentacija predstavljeni su modeli razvoja poslovnih zona, unapređenja međunarodne trgovinske saradnje i kreiranja investicionog okruženja koje podstiče održiv privredni rast.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Delegacija je takođe upoznata sa iskustvima u povezivanju javnog i privatnog sektora</w:t>
      </w:r>
      <w:r w:rsidR="00CF26DE" w:rsidRPr="00DB2390">
        <w:rPr>
          <w:rFonts w:ascii="Arial" w:eastAsia="Times New Roman" w:hAnsi="Arial" w:cs="Arial"/>
          <w:sz w:val="22"/>
          <w:lang w:val="en-US"/>
        </w:rPr>
        <w:t xml:space="preserve"> u </w:t>
      </w:r>
      <w:r w:rsidRPr="00DD79FE">
        <w:rPr>
          <w:rFonts w:ascii="Arial" w:eastAsia="Times New Roman" w:hAnsi="Arial" w:cs="Arial"/>
          <w:sz w:val="22"/>
          <w:lang w:val="en-US"/>
        </w:rPr>
        <w:t xml:space="preserve">privlačenju međunarodnog kapitala i realizaciji razvojnih projekata od strateškog značaja za lokalnu i regionalnu ekonomiju. </w:t>
      </w:r>
    </w:p>
    <w:p w:rsidR="00DB2390"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Pored stručnih aktivnosti, delegacija je posjetila i značajne kulturne i turističke lokalitete, uključujući Muzej morskih bisera Južnog kineskog mora i Muzej svile u Suzhouu, gdje su predstavljeni istorijski razvoj pojedinih industrija i njihov značaj za kinesku privredu, kulturu i </w:t>
      </w:r>
    </w:p>
    <w:p w:rsidR="00DB2390" w:rsidRDefault="00DB2390" w:rsidP="007400EE">
      <w:pPr>
        <w:spacing w:before="100" w:beforeAutospacing="1" w:after="100" w:afterAutospacing="1"/>
        <w:jc w:val="both"/>
        <w:rPr>
          <w:rFonts w:ascii="Arial" w:eastAsia="Times New Roman" w:hAnsi="Arial" w:cs="Arial"/>
          <w:sz w:val="22"/>
          <w:lang w:val="en-US"/>
        </w:rPr>
      </w:pPr>
    </w:p>
    <w:p w:rsidR="00DD79FE" w:rsidRPr="00DD79FE" w:rsidRDefault="00DD79FE" w:rsidP="007400EE">
      <w:pPr>
        <w:spacing w:before="100" w:beforeAutospacing="1" w:after="100" w:afterAutospacing="1"/>
        <w:jc w:val="both"/>
        <w:rPr>
          <w:rFonts w:ascii="Arial" w:eastAsia="Times New Roman" w:hAnsi="Arial" w:cs="Arial"/>
          <w:sz w:val="22"/>
          <w:lang w:val="en-US"/>
        </w:rPr>
      </w:pPr>
      <w:bookmarkStart w:id="0" w:name="_GoBack"/>
      <w:bookmarkEnd w:id="0"/>
      <w:r w:rsidRPr="00DD79FE">
        <w:rPr>
          <w:rFonts w:ascii="Arial" w:eastAsia="Times New Roman" w:hAnsi="Arial" w:cs="Arial"/>
          <w:sz w:val="22"/>
          <w:lang w:val="en-US"/>
        </w:rPr>
        <w:t xml:space="preserve">međunarodnu trgovinu. Ove posjete doprinijele su boljem razumijevanju istorijskog, kulturnog i društvenog razvoja Narodne Republike Kine i dodatno osnažile međusobno razumijevanje između dvije države. </w:t>
      </w:r>
    </w:p>
    <w:p w:rsidR="00DD79FE" w:rsidRPr="00DD79FE" w:rsidRDefault="00DD79FE" w:rsidP="007400EE">
      <w:pPr>
        <w:spacing w:before="100" w:beforeAutospacing="1" w:after="100" w:afterAutospacing="1"/>
        <w:jc w:val="both"/>
        <w:outlineLvl w:val="2"/>
        <w:rPr>
          <w:rFonts w:ascii="Arial" w:eastAsia="Times New Roman" w:hAnsi="Arial" w:cs="Arial"/>
          <w:b/>
          <w:bCs/>
          <w:sz w:val="22"/>
          <w:lang w:val="en-US"/>
        </w:rPr>
      </w:pPr>
      <w:r w:rsidRPr="00DD79FE">
        <w:rPr>
          <w:rFonts w:ascii="Arial" w:eastAsia="Times New Roman" w:hAnsi="Arial" w:cs="Arial"/>
          <w:b/>
          <w:bCs/>
          <w:sz w:val="22"/>
          <w:lang w:val="en-US"/>
        </w:rPr>
        <w:t>Ostvareni kontakti i institucionalna saradnja</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Tokom cjelokupnog programa predstavnici Agencije za investicije Crne Gore aktivno su promovisali investicione potencijale države, učestvovali u stručnim predavanjima, prezentacijama i diskusijama, te ostvarivali kontakte sa predstavnicima kineskih institucija, razvojnih zona, privrednih subjekata i investitora. Poseban fokus bio je na predstavljanju mogućnosti za ulaganja u Crnu Goru, unapređenju investicione saradnje i razmjeni iskustava u oblastima ekonomskog razvoja, privlačenja stranih investicija, inovacija, turizma, infrastrukture i međunarodne trgovine.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Posebno značajan segment programa predstavljao je događaj organizovan u Jiangdong New Area Exhibition Center-u u Haikouu, posvećen promociji investicionih potencijala Crne Gore. Kao vodeća institucija delegacije, Agencija za investicije Crne Gore imala je centralnu ulogu u predstavljanju Crne Gore kao atraktivne investicione destinacije kineskoj poslovnoj i institucionalnoj zajednici. </w:t>
      </w:r>
      <w:r w:rsidR="007400EE" w:rsidRPr="00DB2390">
        <w:rPr>
          <w:rFonts w:ascii="Arial" w:eastAsia="Times New Roman" w:hAnsi="Arial" w:cs="Arial"/>
          <w:sz w:val="22"/>
          <w:lang w:val="en-US"/>
        </w:rPr>
        <w:t>O</w:t>
      </w:r>
      <w:r w:rsidRPr="00DD79FE">
        <w:rPr>
          <w:rFonts w:ascii="Arial" w:eastAsia="Times New Roman" w:hAnsi="Arial" w:cs="Arial"/>
          <w:sz w:val="22"/>
          <w:lang w:val="en-US"/>
        </w:rPr>
        <w:t xml:space="preserve">držana je prezentacija investicionih mogućnosti države, tokom koje su predstavljeni ključni razvojni projekti i potencijali u oblastima turizma, energetike, infrastrukture, saobraćaja, logistike, digitalne ekonomije, inovacija i održivog razvoja. Takođe su predstavljene pogodnosti koje Crna Gora nudi stranim investitorima, sa posebnim osvrtom na strateški geografski položaj zemlje, povoljan investicioni ambijent, raspoložive podsticaje za ulaganja i mogućnosti za realizaciju zajedničkih projekata sa kineskim partnerima. </w:t>
      </w:r>
    </w:p>
    <w:p w:rsidR="00DD79FE" w:rsidRPr="00DD79FE" w:rsidRDefault="00DD79FE" w:rsidP="007400EE">
      <w:pPr>
        <w:spacing w:before="100" w:beforeAutospacing="1" w:after="100" w:afterAutospacing="1"/>
        <w:jc w:val="both"/>
        <w:rPr>
          <w:rFonts w:ascii="Arial" w:eastAsia="Times New Roman" w:hAnsi="Arial" w:cs="Arial"/>
          <w:sz w:val="22"/>
          <w:lang w:val="en-US"/>
        </w:rPr>
      </w:pPr>
      <w:r w:rsidRPr="00DD79FE">
        <w:rPr>
          <w:rFonts w:ascii="Arial" w:eastAsia="Times New Roman" w:hAnsi="Arial" w:cs="Arial"/>
          <w:sz w:val="22"/>
          <w:lang w:val="en-US"/>
        </w:rPr>
        <w:t xml:space="preserve">Prezentaciji su prisustvovali predstavnici Međunarodnog centra za saradnju i razmjenu pri Ministarstvu trgovine provincije Hainan, Administracije Jiangdong New Area, SME Cooperation and Development Promotion Center-a, kao i predstavnici više kineskih kompanija. Događaj je predstavljao značajnu platformu za predstavljanje investicionih potencijala Crne Gore kineskoj poslovnoj zajednici, nakon čega su ostvareni direktni kontakti sa prisutnim institucijama i kompanijama, razmijenjene informacije o potencijalnim investicionim projektima i otvoren prostor za nastavak komunikacije i razmatranje konkretnih inicijativa za ulaganja u Crnu Goru. </w:t>
      </w:r>
    </w:p>
    <w:p w:rsidR="007400EE" w:rsidRPr="00DB2390" w:rsidRDefault="007400EE" w:rsidP="007400EE">
      <w:pPr>
        <w:pStyle w:val="isselectedend"/>
        <w:jc w:val="both"/>
        <w:rPr>
          <w:rFonts w:ascii="Arial" w:hAnsi="Arial" w:cs="Arial"/>
          <w:b/>
          <w:sz w:val="22"/>
        </w:rPr>
      </w:pPr>
      <w:r w:rsidRPr="00DB2390">
        <w:rPr>
          <w:rFonts w:ascii="Arial" w:hAnsi="Arial" w:cs="Arial"/>
          <w:b/>
          <w:sz w:val="22"/>
        </w:rPr>
        <w:t>Zaključak</w:t>
      </w:r>
    </w:p>
    <w:p w:rsidR="007400EE" w:rsidRPr="00DB2390" w:rsidRDefault="007400EE" w:rsidP="007400EE">
      <w:pPr>
        <w:pStyle w:val="isselectedend"/>
        <w:jc w:val="both"/>
        <w:rPr>
          <w:rFonts w:ascii="Arial" w:hAnsi="Arial" w:cs="Arial"/>
          <w:sz w:val="22"/>
        </w:rPr>
      </w:pPr>
      <w:r w:rsidRPr="00DB2390">
        <w:rPr>
          <w:rFonts w:ascii="Arial" w:hAnsi="Arial" w:cs="Arial"/>
          <w:sz w:val="22"/>
        </w:rPr>
        <w:t>Službeno putovanje u Narodnu Republiku Kinu ocjenjuje se kao veoma uspješno i sadržajno, imajući u vidu ostvarene rezultate u oblasti institucionalne, ekonomske i investicione saradnje, kao i mogućnosti koje su otvorene za dalje jačanje odnosa između Crne Gore i Narodne Republike Kine. Učešće na seminaru omogućilo je sticanje neposrednog uvida u kineska iskustva i dobre prakse u oblastima ekonomskog razvoja, međunarodne trgovine, privlačenja stranih investicija, razvoja slobodnih trgovinskih zona, industrijskih parkova, inovacionih centara, saobraćajne i logističke infrastrukture, kao i održivog razvoja i digitalne transformacije.</w:t>
      </w:r>
    </w:p>
    <w:p w:rsidR="007400EE" w:rsidRPr="00DB2390" w:rsidRDefault="007400EE" w:rsidP="007400EE">
      <w:pPr>
        <w:pStyle w:val="isselectedend"/>
        <w:jc w:val="both"/>
        <w:rPr>
          <w:rFonts w:ascii="Arial" w:hAnsi="Arial" w:cs="Arial"/>
          <w:sz w:val="22"/>
        </w:rPr>
      </w:pPr>
      <w:r w:rsidRPr="00DB2390">
        <w:rPr>
          <w:rFonts w:ascii="Arial" w:hAnsi="Arial" w:cs="Arial"/>
          <w:sz w:val="22"/>
        </w:rPr>
        <w:lastRenderedPageBreak/>
        <w:t>Kroz aktivno učešće u predavanjima, prezentacijama, stručnim diskusijama i terenskim posjetama ostvareni su značajni kontakti sa kineskim institucijama, razvojnim agencijama, poslovnim zonama, finansijskim institucijama i privrednim subjektima, čime su stvoreni kvalitetni temelji za buduću saradnju i razmjenu iskustava. Značajan doprinos uspješnosti seminara dali su predstavnici svih institucija koje su činile crnogorsku delegaciju, aktivno učestvujući u razmjeni znanja, predstavljanju svojih nadležnosti i sagledavanju mogućnosti za unapređenje saradnje u oblastima od zajedničkog interesa. Posjeta je dodatno doprinijela promociji Crne Gore kao investicione destinacije, unapređenju međusobnog razumijevanja i jačanju prijateljskih odnosa između dvije države.</w:t>
      </w:r>
    </w:p>
    <w:p w:rsidR="007400EE" w:rsidRPr="00DB2390" w:rsidRDefault="007400EE" w:rsidP="007400EE">
      <w:pPr>
        <w:pStyle w:val="NormalWeb"/>
        <w:jc w:val="both"/>
        <w:rPr>
          <w:rFonts w:ascii="Arial" w:hAnsi="Arial" w:cs="Arial"/>
          <w:sz w:val="22"/>
        </w:rPr>
      </w:pPr>
      <w:r w:rsidRPr="00DB2390">
        <w:rPr>
          <w:rFonts w:ascii="Arial" w:hAnsi="Arial" w:cs="Arial"/>
          <w:sz w:val="22"/>
        </w:rPr>
        <w:t>Preporučuje se nastavak komunikacije sa institucijama, kompanijama i organizacijama sa kojima su ostvareni kontakti tokom posjete, kao i dalje sprovođenje aktivnosti usmjerenih na promociju investicionih potencijala Crne Gore na kineskom tržištu. Takođe, preporučuje se organizovanje nastavnih sastanaka i uzvratnih posjeta zainteresovanih kineskih partnera Crnoj Gori, kako bi se dodatno unaprijedili ekonomski odnosi i stvorili uslovi za realizaciju konkretnih investicionih projekata i drugih oblika saradnje između Crne Gore i Narodne Republike Kine.</w:t>
      </w:r>
    </w:p>
    <w:p w:rsidR="00DD79FE" w:rsidRPr="00DD79FE" w:rsidRDefault="00DD79FE" w:rsidP="007400EE">
      <w:pPr>
        <w:spacing w:after="160" w:line="259" w:lineRule="auto"/>
        <w:jc w:val="both"/>
        <w:rPr>
          <w:rFonts w:ascii="Arial" w:hAnsi="Arial" w:cs="Arial"/>
          <w:sz w:val="22"/>
          <w:lang w:val="en-US"/>
        </w:rPr>
      </w:pPr>
    </w:p>
    <w:p w:rsidR="00187690" w:rsidRPr="00DB2390" w:rsidRDefault="00187690" w:rsidP="007400EE">
      <w:pPr>
        <w:tabs>
          <w:tab w:val="left" w:pos="990"/>
        </w:tabs>
        <w:ind w:left="1080" w:right="70" w:hanging="1080"/>
        <w:jc w:val="both"/>
        <w:outlineLvl w:val="1"/>
        <w:rPr>
          <w:rFonts w:ascii="Arial" w:eastAsia="Calibri" w:hAnsi="Arial" w:cs="Arial"/>
          <w:b/>
          <w:sz w:val="22"/>
        </w:rPr>
      </w:pPr>
    </w:p>
    <w:p w:rsidR="002673D4" w:rsidRPr="00DB2390" w:rsidRDefault="002673D4" w:rsidP="007400EE">
      <w:pPr>
        <w:tabs>
          <w:tab w:val="left" w:pos="990"/>
        </w:tabs>
        <w:ind w:left="1080" w:right="70" w:hanging="1080"/>
        <w:jc w:val="both"/>
        <w:outlineLvl w:val="1"/>
        <w:rPr>
          <w:rFonts w:ascii="Arial" w:hAnsi="Arial" w:cs="Arial"/>
          <w:sz w:val="22"/>
        </w:rPr>
      </w:pPr>
    </w:p>
    <w:p w:rsidR="002F3668" w:rsidRPr="00DB2390" w:rsidRDefault="002F3668" w:rsidP="007400EE">
      <w:pPr>
        <w:jc w:val="both"/>
        <w:rPr>
          <w:rFonts w:ascii="Arial" w:eastAsia="Calibri" w:hAnsi="Arial" w:cs="Arial"/>
          <w:sz w:val="22"/>
        </w:rPr>
      </w:pPr>
    </w:p>
    <w:p w:rsidR="003A3722" w:rsidRPr="00DB2390" w:rsidRDefault="003A3722" w:rsidP="007400EE">
      <w:pPr>
        <w:jc w:val="both"/>
        <w:rPr>
          <w:rFonts w:ascii="Arial" w:eastAsia="Calibri" w:hAnsi="Arial" w:cs="Arial"/>
          <w:sz w:val="22"/>
        </w:rPr>
      </w:pPr>
    </w:p>
    <w:p w:rsidR="00627785" w:rsidRPr="00DB2390" w:rsidRDefault="00D07A46" w:rsidP="007400EE">
      <w:pPr>
        <w:ind w:right="70"/>
        <w:jc w:val="both"/>
        <w:rPr>
          <w:rFonts w:ascii="Arial" w:hAnsi="Arial" w:cs="Arial"/>
          <w:sz w:val="22"/>
          <w:lang w:val="en-US"/>
        </w:rPr>
      </w:pPr>
      <w:r w:rsidRPr="00DB2390">
        <w:rPr>
          <w:rStyle w:val="Hyperlink"/>
          <w:rFonts w:ascii="Arial" w:eastAsia="Calibri" w:hAnsi="Arial" w:cs="Arial"/>
          <w:sz w:val="22"/>
        </w:rPr>
        <w:t xml:space="preserve"> </w:t>
      </w:r>
    </w:p>
    <w:sectPr w:rsidR="00627785" w:rsidRPr="00DB2390" w:rsidSect="002F3668">
      <w:headerReference w:type="default" r:id="rId7"/>
      <w:footerReference w:type="default" r:id="rId8"/>
      <w:pgSz w:w="11906" w:h="16838" w:code="9"/>
      <w:pgMar w:top="1417" w:right="1417" w:bottom="1620" w:left="1417" w:header="709" w:footer="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831" w:rsidRDefault="00026831" w:rsidP="001E1E10">
      <w:r>
        <w:separator/>
      </w:r>
    </w:p>
  </w:endnote>
  <w:endnote w:type="continuationSeparator" w:id="0">
    <w:p w:rsidR="00026831" w:rsidRDefault="00026831" w:rsidP="001E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668" w:rsidRDefault="002F3668">
    <w:pPr>
      <w:pStyle w:val="Footer"/>
      <w:jc w:val="right"/>
    </w:pPr>
  </w:p>
  <w:p w:rsidR="00FF0FB0" w:rsidRPr="00FD388A" w:rsidRDefault="00FF0FB0" w:rsidP="00FF0FB0">
    <w:pPr>
      <w:rPr>
        <w:rFonts w:ascii="Arial" w:eastAsia="Times New Roman" w:hAnsi="Arial" w:cs="Arial"/>
        <w:sz w:val="20"/>
        <w:szCs w:val="20"/>
        <w:lang w:val="en-US" w:eastAsia="en-GB"/>
      </w:rPr>
    </w:pPr>
    <w:r w:rsidRPr="00FD388A">
      <w:rPr>
        <w:rFonts w:ascii="Arial" w:eastAsia="Times New Roman" w:hAnsi="Arial" w:cs="Arial"/>
        <w:sz w:val="20"/>
        <w:szCs w:val="20"/>
        <w:lang w:val="en-US" w:eastAsia="en-GB"/>
      </w:rPr>
      <w:t>Kralja Nikole 27</w:t>
    </w:r>
    <w:r>
      <w:rPr>
        <w:rFonts w:ascii="Arial" w:eastAsia="Times New Roman" w:hAnsi="Arial" w:cs="Arial"/>
        <w:sz w:val="20"/>
        <w:szCs w:val="20"/>
        <w:lang w:val="en-US" w:eastAsia="en-GB"/>
      </w:rPr>
      <w:t>/7</w:t>
    </w:r>
  </w:p>
  <w:p w:rsidR="00FF0FB0" w:rsidRPr="00FD388A" w:rsidRDefault="00FF0FB0" w:rsidP="00FF0FB0">
    <w:pPr>
      <w:ind w:right="-18"/>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81000 </w:t>
    </w:r>
    <w:r w:rsidRPr="00FD388A">
      <w:rPr>
        <w:rFonts w:ascii="Arial" w:eastAsia="Times New Roman" w:hAnsi="Arial" w:cs="Arial"/>
        <w:sz w:val="20"/>
        <w:szCs w:val="20"/>
        <w:lang w:val="en-US" w:eastAsia="en-GB"/>
      </w:rPr>
      <w:t>Podgorica, Crna Gora</w:t>
    </w:r>
  </w:p>
  <w:p w:rsidR="00FF0FB0" w:rsidRPr="00FD388A" w:rsidRDefault="00FF0FB0" w:rsidP="00FF0FB0">
    <w:pPr>
      <w:rPr>
        <w:rFonts w:ascii="Arial" w:eastAsia="Times New Roman" w:hAnsi="Arial" w:cs="Arial"/>
        <w:sz w:val="20"/>
        <w:szCs w:val="20"/>
        <w:lang w:val="en-US" w:eastAsia="en-GB"/>
      </w:rPr>
    </w:pPr>
    <w:r w:rsidRPr="00FD388A">
      <w:rPr>
        <w:rFonts w:ascii="Arial" w:eastAsia="Times New Roman" w:hAnsi="Arial" w:cs="Arial"/>
        <w:sz w:val="20"/>
        <w:szCs w:val="20"/>
        <w:lang w:val="en-US" w:eastAsia="en-GB"/>
      </w:rPr>
      <w:t>+382 20 22 00 3</w:t>
    </w:r>
    <w:r>
      <w:rPr>
        <w:rFonts w:ascii="Arial" w:eastAsia="Times New Roman" w:hAnsi="Arial" w:cs="Arial"/>
        <w:sz w:val="20"/>
        <w:szCs w:val="20"/>
        <w:lang w:val="en-US" w:eastAsia="en-GB"/>
      </w:rPr>
      <w:t>0</w:t>
    </w:r>
  </w:p>
  <w:p w:rsidR="00FF0FB0" w:rsidRPr="00FD388A" w:rsidRDefault="00FF0FB0" w:rsidP="00FF0FB0">
    <w:pPr>
      <w:rPr>
        <w:rFonts w:ascii="Arial" w:eastAsia="Times New Roman" w:hAnsi="Arial" w:cs="Arial"/>
        <w:sz w:val="20"/>
        <w:szCs w:val="20"/>
        <w:lang w:val="en-US" w:eastAsia="en-GB"/>
      </w:rPr>
    </w:pPr>
    <w:r w:rsidRPr="00FD388A">
      <w:rPr>
        <w:rFonts w:ascii="Arial" w:eastAsia="Times New Roman" w:hAnsi="Arial" w:cs="Arial"/>
        <w:sz w:val="20"/>
        <w:szCs w:val="20"/>
        <w:lang w:val="en-US" w:eastAsia="en-GB"/>
      </w:rPr>
      <w:t>mia@mia.gov.me</w:t>
    </w:r>
  </w:p>
  <w:p w:rsidR="00FF0FB0" w:rsidRPr="009152BE" w:rsidRDefault="00026831" w:rsidP="00FF0FB0">
    <w:pPr>
      <w:rPr>
        <w:rFonts w:ascii="Arial" w:eastAsia="Times New Roman" w:hAnsi="Arial" w:cs="Arial"/>
        <w:sz w:val="20"/>
        <w:szCs w:val="20"/>
        <w:lang w:val="en-US" w:eastAsia="en-GB"/>
      </w:rPr>
    </w:pPr>
    <w:hyperlink r:id="rId1" w:history="1">
      <w:r w:rsidR="00FF0FB0" w:rsidRPr="009152BE">
        <w:rPr>
          <w:rStyle w:val="Hyperlink"/>
          <w:rFonts w:ascii="Arial" w:eastAsia="Times New Roman" w:hAnsi="Arial" w:cs="Arial"/>
          <w:color w:val="auto"/>
          <w:sz w:val="20"/>
          <w:szCs w:val="20"/>
          <w:u w:val="none"/>
          <w:lang w:val="en-US" w:eastAsia="en-GB"/>
        </w:rPr>
        <w:t>www.mia.gov.me</w:t>
      </w:r>
    </w:hyperlink>
  </w:p>
  <w:p w:rsidR="00566C33" w:rsidRDefault="00566C33" w:rsidP="00FF0F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831" w:rsidRDefault="00026831" w:rsidP="001E1E10">
      <w:r>
        <w:separator/>
      </w:r>
    </w:p>
  </w:footnote>
  <w:footnote w:type="continuationSeparator" w:id="0">
    <w:p w:rsidR="00026831" w:rsidRDefault="00026831" w:rsidP="001E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E10" w:rsidRDefault="001E1E10" w:rsidP="009B7FC5">
    <w:pPr>
      <w:ind w:right="72"/>
      <w:jc w:val="right"/>
      <w:rPr>
        <w:rFonts w:ascii="Arial" w:eastAsia="Times New Roman" w:hAnsi="Arial" w:cs="Arial"/>
        <w:sz w:val="20"/>
        <w:szCs w:val="20"/>
        <w:lang w:val="en-US" w:eastAsia="en-GB"/>
      </w:rPr>
    </w:pPr>
    <w:r w:rsidRPr="008E65CF">
      <w:rPr>
        <w:rFonts w:ascii="Arial" w:hAnsi="Arial" w:cs="Arial"/>
        <w:noProof/>
        <w:sz w:val="20"/>
        <w:szCs w:val="20"/>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499360" cy="1135380"/>
          <wp:effectExtent l="0" t="0" r="0" b="7620"/>
          <wp:wrapSquare wrapText="bothSides"/>
          <wp:docPr id="1" name="Picture 1" descr="C:\Users\andre\Desktop\logotipi varijacij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Desktop\logotipi varijacije-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174" cy="1145047"/>
                  </a:xfrm>
                  <a:prstGeom prst="rect">
                    <a:avLst/>
                  </a:prstGeom>
                  <a:noFill/>
                  <a:ln>
                    <a:noFill/>
                  </a:ln>
                </pic:spPr>
              </pic:pic>
            </a:graphicData>
          </a:graphic>
        </wp:anchor>
      </w:drawing>
    </w:r>
  </w:p>
  <w:p w:rsidR="001E1E10" w:rsidRPr="00FD388A" w:rsidRDefault="00FF0FB0" w:rsidP="001E1E10">
    <w:pPr>
      <w:jc w:val="right"/>
      <w:rPr>
        <w:rFonts w:ascii="Arial" w:eastAsia="Times New Roman" w:hAnsi="Arial" w:cs="Arial"/>
        <w:sz w:val="20"/>
        <w:szCs w:val="20"/>
        <w:lang w:val="en-US" w:eastAsia="en-GB"/>
      </w:rPr>
    </w:pPr>
    <w:r>
      <w:rPr>
        <w:rFonts w:ascii="Arial" w:eastAsia="Times New Roman" w:hAnsi="Arial" w:cs="Arial"/>
        <w:noProof/>
        <w:sz w:val="20"/>
        <w:szCs w:val="20"/>
        <w:lang w:eastAsia="en-GB"/>
      </w:rPr>
      <w:drawing>
        <wp:inline distT="0" distB="0" distL="0" distR="0">
          <wp:extent cx="1676400" cy="79868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png"/>
                  <pic:cNvPicPr/>
                </pic:nvPicPr>
                <pic:blipFill>
                  <a:blip r:embed="rId2">
                    <a:extLst>
                      <a:ext uri="{28A0092B-C50C-407E-A947-70E740481C1C}">
                        <a14:useLocalDpi xmlns:a14="http://schemas.microsoft.com/office/drawing/2010/main" val="0"/>
                      </a:ext>
                    </a:extLst>
                  </a:blip>
                  <a:stretch>
                    <a:fillRect/>
                  </a:stretch>
                </pic:blipFill>
                <pic:spPr>
                  <a:xfrm>
                    <a:off x="0" y="0"/>
                    <a:ext cx="1695689" cy="807872"/>
                  </a:xfrm>
                  <a:prstGeom prst="rect">
                    <a:avLst/>
                  </a:prstGeom>
                </pic:spPr>
              </pic:pic>
            </a:graphicData>
          </a:graphic>
        </wp:inline>
      </w:drawing>
    </w:r>
  </w:p>
  <w:p w:rsidR="001E1E10" w:rsidRDefault="001E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7A5"/>
    <w:multiLevelType w:val="hybridMultilevel"/>
    <w:tmpl w:val="574A1608"/>
    <w:lvl w:ilvl="0" w:tplc="97F05E4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230BC"/>
    <w:multiLevelType w:val="hybridMultilevel"/>
    <w:tmpl w:val="CBDA03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13165730"/>
    <w:multiLevelType w:val="hybridMultilevel"/>
    <w:tmpl w:val="222EB5CC"/>
    <w:lvl w:ilvl="0" w:tplc="01B49BE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C6988"/>
    <w:multiLevelType w:val="hybridMultilevel"/>
    <w:tmpl w:val="871EF4EA"/>
    <w:lvl w:ilvl="0" w:tplc="97F05E44">
      <w:numFmt w:val="bullet"/>
      <w:lvlText w:val="-"/>
      <w:lvlJc w:val="left"/>
      <w:pPr>
        <w:ind w:left="720" w:hanging="360"/>
      </w:pPr>
      <w:rPr>
        <w:rFonts w:ascii="Arial" w:eastAsiaTheme="minorHAnsi" w:hAnsi="Arial" w:cs="Arial"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85"/>
    <w:rsid w:val="00017EBF"/>
    <w:rsid w:val="00026831"/>
    <w:rsid w:val="00033613"/>
    <w:rsid w:val="000929E2"/>
    <w:rsid w:val="00097B2E"/>
    <w:rsid w:val="000A6E64"/>
    <w:rsid w:val="000B32C1"/>
    <w:rsid w:val="00102DC8"/>
    <w:rsid w:val="00112898"/>
    <w:rsid w:val="00126CCD"/>
    <w:rsid w:val="00187690"/>
    <w:rsid w:val="0019752D"/>
    <w:rsid w:val="001C2D46"/>
    <w:rsid w:val="001E1E10"/>
    <w:rsid w:val="001E6FDA"/>
    <w:rsid w:val="001F271B"/>
    <w:rsid w:val="00201D07"/>
    <w:rsid w:val="0023455C"/>
    <w:rsid w:val="00252F20"/>
    <w:rsid w:val="00265E91"/>
    <w:rsid w:val="002673D4"/>
    <w:rsid w:val="002B7180"/>
    <w:rsid w:val="002F3668"/>
    <w:rsid w:val="00331BE3"/>
    <w:rsid w:val="00345BA4"/>
    <w:rsid w:val="00370371"/>
    <w:rsid w:val="003860C7"/>
    <w:rsid w:val="00390039"/>
    <w:rsid w:val="003A3722"/>
    <w:rsid w:val="003A753E"/>
    <w:rsid w:val="003B3A9E"/>
    <w:rsid w:val="003C0C93"/>
    <w:rsid w:val="003C4B21"/>
    <w:rsid w:val="003E1436"/>
    <w:rsid w:val="003E44FF"/>
    <w:rsid w:val="00436AFA"/>
    <w:rsid w:val="004848C3"/>
    <w:rsid w:val="004B5167"/>
    <w:rsid w:val="0050012D"/>
    <w:rsid w:val="00503AC4"/>
    <w:rsid w:val="00527C4B"/>
    <w:rsid w:val="005455EF"/>
    <w:rsid w:val="00565E1F"/>
    <w:rsid w:val="00566C33"/>
    <w:rsid w:val="00570EA6"/>
    <w:rsid w:val="00570FEA"/>
    <w:rsid w:val="00585ABE"/>
    <w:rsid w:val="00590728"/>
    <w:rsid w:val="00594167"/>
    <w:rsid w:val="005A4625"/>
    <w:rsid w:val="006110AA"/>
    <w:rsid w:val="006159F9"/>
    <w:rsid w:val="00627785"/>
    <w:rsid w:val="00635CF3"/>
    <w:rsid w:val="0064215B"/>
    <w:rsid w:val="00646200"/>
    <w:rsid w:val="00651240"/>
    <w:rsid w:val="006774B1"/>
    <w:rsid w:val="00683535"/>
    <w:rsid w:val="00697875"/>
    <w:rsid w:val="006B4CBC"/>
    <w:rsid w:val="006D2987"/>
    <w:rsid w:val="006F1876"/>
    <w:rsid w:val="006F5D59"/>
    <w:rsid w:val="00703CEC"/>
    <w:rsid w:val="007400EE"/>
    <w:rsid w:val="00743EE0"/>
    <w:rsid w:val="007560C1"/>
    <w:rsid w:val="00777C8F"/>
    <w:rsid w:val="007A3946"/>
    <w:rsid w:val="007B29BA"/>
    <w:rsid w:val="00805DAC"/>
    <w:rsid w:val="00807A28"/>
    <w:rsid w:val="00814CD3"/>
    <w:rsid w:val="00827202"/>
    <w:rsid w:val="00832D73"/>
    <w:rsid w:val="0084284C"/>
    <w:rsid w:val="00850A81"/>
    <w:rsid w:val="00850B3D"/>
    <w:rsid w:val="00852FD8"/>
    <w:rsid w:val="008621CC"/>
    <w:rsid w:val="008B2C55"/>
    <w:rsid w:val="008E65CF"/>
    <w:rsid w:val="0091345D"/>
    <w:rsid w:val="009152BE"/>
    <w:rsid w:val="0091628A"/>
    <w:rsid w:val="00930A34"/>
    <w:rsid w:val="00933F4A"/>
    <w:rsid w:val="00976997"/>
    <w:rsid w:val="009A3AA7"/>
    <w:rsid w:val="009A5B75"/>
    <w:rsid w:val="009B7FC5"/>
    <w:rsid w:val="009D70ED"/>
    <w:rsid w:val="009F4374"/>
    <w:rsid w:val="00A24384"/>
    <w:rsid w:val="00A30C50"/>
    <w:rsid w:val="00A360B9"/>
    <w:rsid w:val="00A54FDC"/>
    <w:rsid w:val="00A6595A"/>
    <w:rsid w:val="00A73FAA"/>
    <w:rsid w:val="00A773C2"/>
    <w:rsid w:val="00AA1474"/>
    <w:rsid w:val="00AC2216"/>
    <w:rsid w:val="00AD713B"/>
    <w:rsid w:val="00B0248D"/>
    <w:rsid w:val="00B13E26"/>
    <w:rsid w:val="00B21DEA"/>
    <w:rsid w:val="00B27039"/>
    <w:rsid w:val="00B91FE0"/>
    <w:rsid w:val="00BA4F7D"/>
    <w:rsid w:val="00C05F68"/>
    <w:rsid w:val="00C110F6"/>
    <w:rsid w:val="00C23B80"/>
    <w:rsid w:val="00C4546B"/>
    <w:rsid w:val="00C571EE"/>
    <w:rsid w:val="00C65EA6"/>
    <w:rsid w:val="00C67868"/>
    <w:rsid w:val="00C938EF"/>
    <w:rsid w:val="00CA33DA"/>
    <w:rsid w:val="00CB5AD3"/>
    <w:rsid w:val="00CC33C5"/>
    <w:rsid w:val="00CD3414"/>
    <w:rsid w:val="00CF26DE"/>
    <w:rsid w:val="00D07A46"/>
    <w:rsid w:val="00D155D5"/>
    <w:rsid w:val="00D20DE3"/>
    <w:rsid w:val="00D4035D"/>
    <w:rsid w:val="00D84E0C"/>
    <w:rsid w:val="00D95855"/>
    <w:rsid w:val="00DB2390"/>
    <w:rsid w:val="00DD79FE"/>
    <w:rsid w:val="00E126F2"/>
    <w:rsid w:val="00E12A1B"/>
    <w:rsid w:val="00E137F6"/>
    <w:rsid w:val="00E3601D"/>
    <w:rsid w:val="00E41450"/>
    <w:rsid w:val="00E73B6C"/>
    <w:rsid w:val="00EA2BA1"/>
    <w:rsid w:val="00EA73AD"/>
    <w:rsid w:val="00EC028D"/>
    <w:rsid w:val="00EC7C3C"/>
    <w:rsid w:val="00ED78F9"/>
    <w:rsid w:val="00EE16B2"/>
    <w:rsid w:val="00EE3D07"/>
    <w:rsid w:val="00EF1D4B"/>
    <w:rsid w:val="00F01A60"/>
    <w:rsid w:val="00F0739E"/>
    <w:rsid w:val="00F13236"/>
    <w:rsid w:val="00F138AE"/>
    <w:rsid w:val="00F2080C"/>
    <w:rsid w:val="00F414C3"/>
    <w:rsid w:val="00F537A3"/>
    <w:rsid w:val="00F735B3"/>
    <w:rsid w:val="00F97E26"/>
    <w:rsid w:val="00FB55C5"/>
    <w:rsid w:val="00FD388A"/>
    <w:rsid w:val="00FF0FB0"/>
    <w:rsid w:val="00FF1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FB9D8"/>
  <w15:docId w15:val="{86893A48-4D80-4BC2-8DA8-5D394A7F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FEA"/>
  </w:style>
  <w:style w:type="paragraph" w:styleId="Heading2">
    <w:name w:val="heading 2"/>
    <w:basedOn w:val="Normal"/>
    <w:next w:val="Normal"/>
    <w:link w:val="Heading2Char"/>
    <w:uiPriority w:val="9"/>
    <w:semiHidden/>
    <w:unhideWhenUsed/>
    <w:qFormat/>
    <w:rsid w:val="003C4B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27785"/>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B55C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3"/>
    <w:basedOn w:val="Normal"/>
    <w:rsid w:val="0062778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27785"/>
    <w:rPr>
      <w:color w:val="0563C1" w:themeColor="hyperlink"/>
      <w:u w:val="single"/>
    </w:rPr>
  </w:style>
  <w:style w:type="character" w:customStyle="1" w:styleId="UnresolvedMention1">
    <w:name w:val="Unresolved Mention1"/>
    <w:basedOn w:val="DefaultParagraphFont"/>
    <w:uiPriority w:val="99"/>
    <w:semiHidden/>
    <w:unhideWhenUsed/>
    <w:rsid w:val="00627785"/>
    <w:rPr>
      <w:color w:val="605E5C"/>
      <w:shd w:val="clear" w:color="auto" w:fill="E1DFDD"/>
    </w:rPr>
  </w:style>
  <w:style w:type="character" w:customStyle="1" w:styleId="Heading3Char">
    <w:name w:val="Heading 3 Char"/>
    <w:basedOn w:val="DefaultParagraphFont"/>
    <w:link w:val="Heading3"/>
    <w:uiPriority w:val="9"/>
    <w:rsid w:val="0062778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27785"/>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3C4B2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E1E10"/>
    <w:pPr>
      <w:tabs>
        <w:tab w:val="center" w:pos="4536"/>
        <w:tab w:val="right" w:pos="9072"/>
      </w:tabs>
    </w:pPr>
  </w:style>
  <w:style w:type="character" w:customStyle="1" w:styleId="HeaderChar">
    <w:name w:val="Header Char"/>
    <w:basedOn w:val="DefaultParagraphFont"/>
    <w:link w:val="Header"/>
    <w:uiPriority w:val="99"/>
    <w:rsid w:val="001E1E10"/>
  </w:style>
  <w:style w:type="paragraph" w:styleId="Footer">
    <w:name w:val="footer"/>
    <w:basedOn w:val="Normal"/>
    <w:link w:val="FooterChar"/>
    <w:uiPriority w:val="99"/>
    <w:unhideWhenUsed/>
    <w:rsid w:val="001E1E10"/>
    <w:pPr>
      <w:tabs>
        <w:tab w:val="center" w:pos="4536"/>
        <w:tab w:val="right" w:pos="9072"/>
      </w:tabs>
    </w:pPr>
  </w:style>
  <w:style w:type="character" w:customStyle="1" w:styleId="FooterChar">
    <w:name w:val="Footer Char"/>
    <w:basedOn w:val="DefaultParagraphFont"/>
    <w:link w:val="Footer"/>
    <w:uiPriority w:val="99"/>
    <w:rsid w:val="001E1E10"/>
  </w:style>
  <w:style w:type="paragraph" w:styleId="ListParagraph">
    <w:name w:val="List Paragraph"/>
    <w:basedOn w:val="Normal"/>
    <w:uiPriority w:val="34"/>
    <w:qFormat/>
    <w:rsid w:val="00097B2E"/>
    <w:pPr>
      <w:ind w:left="720"/>
      <w:contextualSpacing/>
    </w:pPr>
  </w:style>
  <w:style w:type="character" w:customStyle="1" w:styleId="UnresolvedMention2">
    <w:name w:val="Unresolved Mention2"/>
    <w:basedOn w:val="DefaultParagraphFont"/>
    <w:uiPriority w:val="99"/>
    <w:semiHidden/>
    <w:unhideWhenUsed/>
    <w:rsid w:val="00D95855"/>
    <w:rPr>
      <w:color w:val="605E5C"/>
      <w:shd w:val="clear" w:color="auto" w:fill="E1DFDD"/>
    </w:rPr>
  </w:style>
  <w:style w:type="character" w:customStyle="1" w:styleId="Heading4Char">
    <w:name w:val="Heading 4 Char"/>
    <w:basedOn w:val="DefaultParagraphFont"/>
    <w:link w:val="Heading4"/>
    <w:uiPriority w:val="9"/>
    <w:semiHidden/>
    <w:rsid w:val="00FB55C5"/>
    <w:rPr>
      <w:rFonts w:asciiTheme="majorHAnsi" w:eastAsiaTheme="majorEastAsia" w:hAnsiTheme="majorHAnsi" w:cstheme="majorBidi"/>
      <w:i/>
      <w:iCs/>
      <w:color w:val="2F5496" w:themeColor="accent1" w:themeShade="BF"/>
    </w:rPr>
  </w:style>
  <w:style w:type="paragraph" w:customStyle="1" w:styleId="isselectedend">
    <w:name w:val="isselectedend"/>
    <w:basedOn w:val="Normal"/>
    <w:rsid w:val="00F537A3"/>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6112">
      <w:bodyDiv w:val="1"/>
      <w:marLeft w:val="0"/>
      <w:marRight w:val="0"/>
      <w:marTop w:val="0"/>
      <w:marBottom w:val="0"/>
      <w:divBdr>
        <w:top w:val="none" w:sz="0" w:space="0" w:color="auto"/>
        <w:left w:val="none" w:sz="0" w:space="0" w:color="auto"/>
        <w:bottom w:val="none" w:sz="0" w:space="0" w:color="auto"/>
        <w:right w:val="none" w:sz="0" w:space="0" w:color="auto"/>
      </w:divBdr>
    </w:div>
    <w:div w:id="341863036">
      <w:bodyDiv w:val="1"/>
      <w:marLeft w:val="0"/>
      <w:marRight w:val="0"/>
      <w:marTop w:val="0"/>
      <w:marBottom w:val="0"/>
      <w:divBdr>
        <w:top w:val="none" w:sz="0" w:space="0" w:color="auto"/>
        <w:left w:val="none" w:sz="0" w:space="0" w:color="auto"/>
        <w:bottom w:val="none" w:sz="0" w:space="0" w:color="auto"/>
        <w:right w:val="none" w:sz="0" w:space="0" w:color="auto"/>
      </w:divBdr>
    </w:div>
    <w:div w:id="530805404">
      <w:bodyDiv w:val="1"/>
      <w:marLeft w:val="0"/>
      <w:marRight w:val="0"/>
      <w:marTop w:val="0"/>
      <w:marBottom w:val="0"/>
      <w:divBdr>
        <w:top w:val="none" w:sz="0" w:space="0" w:color="auto"/>
        <w:left w:val="none" w:sz="0" w:space="0" w:color="auto"/>
        <w:bottom w:val="none" w:sz="0" w:space="0" w:color="auto"/>
        <w:right w:val="none" w:sz="0" w:space="0" w:color="auto"/>
      </w:divBdr>
    </w:div>
    <w:div w:id="557909208">
      <w:bodyDiv w:val="1"/>
      <w:marLeft w:val="0"/>
      <w:marRight w:val="0"/>
      <w:marTop w:val="0"/>
      <w:marBottom w:val="0"/>
      <w:divBdr>
        <w:top w:val="none" w:sz="0" w:space="0" w:color="auto"/>
        <w:left w:val="none" w:sz="0" w:space="0" w:color="auto"/>
        <w:bottom w:val="none" w:sz="0" w:space="0" w:color="auto"/>
        <w:right w:val="none" w:sz="0" w:space="0" w:color="auto"/>
      </w:divBdr>
    </w:div>
    <w:div w:id="1047755351">
      <w:bodyDiv w:val="1"/>
      <w:marLeft w:val="0"/>
      <w:marRight w:val="0"/>
      <w:marTop w:val="0"/>
      <w:marBottom w:val="0"/>
      <w:divBdr>
        <w:top w:val="none" w:sz="0" w:space="0" w:color="auto"/>
        <w:left w:val="none" w:sz="0" w:space="0" w:color="auto"/>
        <w:bottom w:val="none" w:sz="0" w:space="0" w:color="auto"/>
        <w:right w:val="none" w:sz="0" w:space="0" w:color="auto"/>
      </w:divBdr>
    </w:div>
    <w:div w:id="1079518670">
      <w:bodyDiv w:val="1"/>
      <w:marLeft w:val="0"/>
      <w:marRight w:val="0"/>
      <w:marTop w:val="0"/>
      <w:marBottom w:val="0"/>
      <w:divBdr>
        <w:top w:val="none" w:sz="0" w:space="0" w:color="auto"/>
        <w:left w:val="none" w:sz="0" w:space="0" w:color="auto"/>
        <w:bottom w:val="none" w:sz="0" w:space="0" w:color="auto"/>
        <w:right w:val="none" w:sz="0" w:space="0" w:color="auto"/>
      </w:divBdr>
    </w:div>
    <w:div w:id="1096556621">
      <w:bodyDiv w:val="1"/>
      <w:marLeft w:val="0"/>
      <w:marRight w:val="0"/>
      <w:marTop w:val="0"/>
      <w:marBottom w:val="0"/>
      <w:divBdr>
        <w:top w:val="none" w:sz="0" w:space="0" w:color="auto"/>
        <w:left w:val="none" w:sz="0" w:space="0" w:color="auto"/>
        <w:bottom w:val="none" w:sz="0" w:space="0" w:color="auto"/>
        <w:right w:val="none" w:sz="0" w:space="0" w:color="auto"/>
      </w:divBdr>
    </w:div>
    <w:div w:id="1523785759">
      <w:bodyDiv w:val="1"/>
      <w:marLeft w:val="0"/>
      <w:marRight w:val="0"/>
      <w:marTop w:val="0"/>
      <w:marBottom w:val="0"/>
      <w:divBdr>
        <w:top w:val="none" w:sz="0" w:space="0" w:color="auto"/>
        <w:left w:val="none" w:sz="0" w:space="0" w:color="auto"/>
        <w:bottom w:val="none" w:sz="0" w:space="0" w:color="auto"/>
        <w:right w:val="none" w:sz="0" w:space="0" w:color="auto"/>
      </w:divBdr>
    </w:div>
    <w:div w:id="1756783013">
      <w:bodyDiv w:val="1"/>
      <w:marLeft w:val="0"/>
      <w:marRight w:val="0"/>
      <w:marTop w:val="0"/>
      <w:marBottom w:val="0"/>
      <w:divBdr>
        <w:top w:val="none" w:sz="0" w:space="0" w:color="auto"/>
        <w:left w:val="none" w:sz="0" w:space="0" w:color="auto"/>
        <w:bottom w:val="none" w:sz="0" w:space="0" w:color="auto"/>
        <w:right w:val="none" w:sz="0" w:space="0" w:color="auto"/>
      </w:divBdr>
    </w:div>
    <w:div w:id="20856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a.gov.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mijuskovic</dc:creator>
  <cp:lastModifiedBy>Kristina Vukovic</cp:lastModifiedBy>
  <cp:revision>2</cp:revision>
  <cp:lastPrinted>2024-05-13T08:52:00Z</cp:lastPrinted>
  <dcterms:created xsi:type="dcterms:W3CDTF">2026-06-22T12:41:00Z</dcterms:created>
  <dcterms:modified xsi:type="dcterms:W3CDTF">2026-06-22T12:41:00Z</dcterms:modified>
</cp:coreProperties>
</file>