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5D9" w:rsidRPr="00A903FA" w:rsidRDefault="00AC4B01" w:rsidP="00682E4D">
      <w:pPr>
        <w:pStyle w:val="T30X"/>
        <w:spacing w:before="0" w:after="0"/>
        <w:ind w:left="567" w:hanging="283"/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A903FA">
        <w:rPr>
          <w:rFonts w:ascii="Arial" w:hAnsi="Arial" w:cs="Arial"/>
          <w:b/>
          <w:sz w:val="24"/>
          <w:szCs w:val="24"/>
          <w:u w:val="single"/>
        </w:rPr>
        <w:t xml:space="preserve">NACRT </w:t>
      </w:r>
    </w:p>
    <w:p w:rsidR="00D375D9" w:rsidRPr="00A903FA" w:rsidRDefault="00D375D9" w:rsidP="00682E4D">
      <w:pPr>
        <w:pStyle w:val="T30X"/>
        <w:spacing w:before="0" w:after="0"/>
        <w:ind w:left="567" w:hanging="283"/>
        <w:rPr>
          <w:rFonts w:ascii="Arial" w:hAnsi="Arial" w:cs="Arial"/>
          <w:sz w:val="24"/>
          <w:szCs w:val="24"/>
        </w:rPr>
      </w:pPr>
    </w:p>
    <w:p w:rsidR="00D375D9" w:rsidRPr="00A903FA" w:rsidRDefault="00D375D9" w:rsidP="00682E4D">
      <w:pPr>
        <w:pStyle w:val="T30X"/>
        <w:spacing w:before="0" w:after="0"/>
        <w:ind w:left="567" w:hanging="283"/>
        <w:jc w:val="center"/>
        <w:rPr>
          <w:rFonts w:ascii="Arial" w:hAnsi="Arial" w:cs="Arial"/>
          <w:b/>
          <w:sz w:val="24"/>
          <w:szCs w:val="24"/>
        </w:rPr>
      </w:pPr>
      <w:r w:rsidRPr="00A903FA">
        <w:rPr>
          <w:rFonts w:ascii="Arial" w:hAnsi="Arial" w:cs="Arial"/>
          <w:b/>
          <w:sz w:val="24"/>
          <w:szCs w:val="24"/>
        </w:rPr>
        <w:t>ZAKON O DOPUNAMA ZAKONA O DRŽAVNOM TUŽILAŠTVU</w:t>
      </w:r>
    </w:p>
    <w:p w:rsidR="00D375D9" w:rsidRPr="00A903FA" w:rsidRDefault="00D375D9" w:rsidP="00682E4D">
      <w:pPr>
        <w:pStyle w:val="T30X"/>
        <w:spacing w:before="0" w:after="0"/>
        <w:ind w:left="567" w:hanging="283"/>
        <w:rPr>
          <w:rFonts w:ascii="Arial" w:hAnsi="Arial" w:cs="Arial"/>
          <w:b/>
          <w:sz w:val="24"/>
          <w:szCs w:val="24"/>
        </w:rPr>
      </w:pPr>
    </w:p>
    <w:p w:rsidR="00D375D9" w:rsidRDefault="00D375D9" w:rsidP="00682E4D">
      <w:pPr>
        <w:pStyle w:val="T30X"/>
        <w:spacing w:before="0" w:after="0"/>
        <w:ind w:left="567" w:hanging="283"/>
        <w:jc w:val="center"/>
        <w:rPr>
          <w:rFonts w:ascii="Arial" w:hAnsi="Arial" w:cs="Arial"/>
          <w:b/>
          <w:sz w:val="24"/>
          <w:szCs w:val="24"/>
        </w:rPr>
      </w:pPr>
      <w:r w:rsidRPr="00A903FA">
        <w:rPr>
          <w:rFonts w:ascii="Arial" w:hAnsi="Arial" w:cs="Arial"/>
          <w:b/>
          <w:sz w:val="24"/>
          <w:szCs w:val="24"/>
        </w:rPr>
        <w:t>Član 1</w:t>
      </w:r>
    </w:p>
    <w:p w:rsidR="00F67E14" w:rsidRPr="00A903FA" w:rsidRDefault="00F67E14" w:rsidP="00682E4D">
      <w:pPr>
        <w:pStyle w:val="T30X"/>
        <w:spacing w:before="0" w:after="0"/>
        <w:ind w:left="567" w:hanging="283"/>
        <w:jc w:val="center"/>
        <w:rPr>
          <w:rFonts w:ascii="Arial" w:hAnsi="Arial" w:cs="Arial"/>
          <w:b/>
          <w:sz w:val="24"/>
          <w:szCs w:val="24"/>
        </w:rPr>
      </w:pPr>
    </w:p>
    <w:p w:rsidR="00A16A41" w:rsidRPr="00A903FA" w:rsidRDefault="00D375D9" w:rsidP="00682E4D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A903FA">
        <w:rPr>
          <w:rFonts w:ascii="Arial" w:hAnsi="Arial" w:cs="Arial"/>
          <w:sz w:val="24"/>
          <w:szCs w:val="24"/>
        </w:rPr>
        <w:t xml:space="preserve">U Zakonu o </w:t>
      </w:r>
      <w:r w:rsidR="00F67E14">
        <w:rPr>
          <w:rFonts w:ascii="Arial" w:hAnsi="Arial" w:cs="Arial"/>
          <w:sz w:val="24"/>
          <w:szCs w:val="24"/>
        </w:rPr>
        <w:t>D</w:t>
      </w:r>
      <w:r w:rsidRPr="00A903FA">
        <w:rPr>
          <w:rFonts w:ascii="Arial" w:hAnsi="Arial" w:cs="Arial"/>
          <w:sz w:val="24"/>
          <w:szCs w:val="24"/>
        </w:rPr>
        <w:t>ržavnom tužilaštvu (</w:t>
      </w:r>
      <w:r w:rsidR="002917DD">
        <w:rPr>
          <w:rFonts w:ascii="Arial" w:hAnsi="Arial" w:cs="Arial"/>
          <w:sz w:val="24"/>
          <w:szCs w:val="24"/>
        </w:rPr>
        <w:t xml:space="preserve">"Službeni list Crne Gore", br. </w:t>
      </w:r>
      <w:r w:rsidRPr="00A903FA">
        <w:rPr>
          <w:rFonts w:ascii="Arial" w:hAnsi="Arial" w:cs="Arial"/>
          <w:sz w:val="24"/>
          <w:szCs w:val="24"/>
        </w:rPr>
        <w:t>11/15</w:t>
      </w:r>
      <w:r w:rsidR="002917DD">
        <w:rPr>
          <w:rFonts w:ascii="Arial" w:hAnsi="Arial" w:cs="Arial"/>
          <w:sz w:val="24"/>
          <w:szCs w:val="24"/>
        </w:rPr>
        <w:t xml:space="preserve">, </w:t>
      </w:r>
      <w:r w:rsidRPr="00A903FA">
        <w:rPr>
          <w:rFonts w:ascii="Arial" w:hAnsi="Arial" w:cs="Arial"/>
          <w:sz w:val="24"/>
          <w:szCs w:val="24"/>
        </w:rPr>
        <w:t>42/15</w:t>
      </w:r>
      <w:r w:rsidR="002917DD">
        <w:rPr>
          <w:rFonts w:ascii="Arial" w:hAnsi="Arial" w:cs="Arial"/>
          <w:sz w:val="24"/>
          <w:szCs w:val="24"/>
        </w:rPr>
        <w:t xml:space="preserve">, </w:t>
      </w:r>
      <w:r w:rsidRPr="00A903FA">
        <w:rPr>
          <w:rFonts w:ascii="Arial" w:hAnsi="Arial" w:cs="Arial"/>
          <w:sz w:val="24"/>
          <w:szCs w:val="24"/>
        </w:rPr>
        <w:t xml:space="preserve">80/17 </w:t>
      </w:r>
      <w:r w:rsidR="002917DD">
        <w:rPr>
          <w:rFonts w:ascii="Arial" w:hAnsi="Arial" w:cs="Arial"/>
          <w:sz w:val="24"/>
          <w:szCs w:val="24"/>
        </w:rPr>
        <w:t xml:space="preserve">i </w:t>
      </w:r>
      <w:r w:rsidRPr="00A903FA">
        <w:rPr>
          <w:rFonts w:ascii="Arial" w:hAnsi="Arial" w:cs="Arial"/>
          <w:sz w:val="24"/>
          <w:szCs w:val="24"/>
        </w:rPr>
        <w:t xml:space="preserve">10/18) </w:t>
      </w:r>
      <w:r w:rsidR="00A16A41" w:rsidRPr="00A903FA">
        <w:rPr>
          <w:rFonts w:ascii="Arial" w:hAnsi="Arial" w:cs="Arial"/>
          <w:sz w:val="24"/>
          <w:szCs w:val="24"/>
        </w:rPr>
        <w:t xml:space="preserve">u članu </w:t>
      </w:r>
      <w:r w:rsidR="00CA2D60">
        <w:rPr>
          <w:rFonts w:ascii="Arial" w:hAnsi="Arial" w:cs="Arial"/>
          <w:sz w:val="24"/>
          <w:szCs w:val="24"/>
        </w:rPr>
        <w:t>16</w:t>
      </w:r>
      <w:r w:rsidR="00A16A41" w:rsidRPr="00A903FA">
        <w:rPr>
          <w:rFonts w:ascii="Arial" w:hAnsi="Arial" w:cs="Arial"/>
          <w:sz w:val="24"/>
          <w:szCs w:val="24"/>
        </w:rPr>
        <w:t xml:space="preserve"> poslije stava 2 dodaje se novi stav koji glasi:</w:t>
      </w:r>
    </w:p>
    <w:p w:rsidR="00A16A41" w:rsidRPr="00A903FA" w:rsidRDefault="00A16A41" w:rsidP="00682E4D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</w:p>
    <w:p w:rsidR="00CA2D60" w:rsidRPr="00821567" w:rsidRDefault="00A16A41" w:rsidP="00CA2D60">
      <w:pPr>
        <w:pStyle w:val="T30X"/>
        <w:spacing w:before="0" w:after="0"/>
        <w:ind w:firstLine="0"/>
        <w:rPr>
          <w:rFonts w:ascii="Arial" w:hAnsi="Arial" w:cs="Arial"/>
          <w:color w:val="auto"/>
          <w:sz w:val="24"/>
          <w:szCs w:val="24"/>
        </w:rPr>
      </w:pPr>
      <w:r w:rsidRPr="00821567">
        <w:rPr>
          <w:rFonts w:ascii="Arial" w:hAnsi="Arial" w:cs="Arial"/>
          <w:color w:val="auto"/>
          <w:sz w:val="24"/>
          <w:szCs w:val="24"/>
        </w:rPr>
        <w:t>„</w:t>
      </w:r>
      <w:r w:rsidR="00CA2D60" w:rsidRPr="00821567">
        <w:rPr>
          <w:rFonts w:ascii="Arial" w:hAnsi="Arial" w:cs="Arial"/>
          <w:color w:val="auto"/>
          <w:sz w:val="24"/>
          <w:szCs w:val="24"/>
        </w:rPr>
        <w:t xml:space="preserve">Državno tužilaštvo nadležno je za podnošenje zahtjeva za </w:t>
      </w:r>
      <w:r w:rsidR="00C20C32" w:rsidRPr="00821567">
        <w:rPr>
          <w:rFonts w:ascii="Arial" w:hAnsi="Arial" w:cs="Arial"/>
          <w:color w:val="auto"/>
          <w:sz w:val="24"/>
          <w:szCs w:val="24"/>
        </w:rPr>
        <w:t xml:space="preserve">izdavanje evropskog naloga za hapšenje i </w:t>
      </w:r>
      <w:r w:rsidR="00595BA2" w:rsidRPr="00821567">
        <w:rPr>
          <w:rFonts w:ascii="Arial" w:hAnsi="Arial" w:cs="Arial"/>
          <w:color w:val="auto"/>
          <w:sz w:val="24"/>
          <w:szCs w:val="24"/>
        </w:rPr>
        <w:t xml:space="preserve">zahtjeva za izdavanje evropskog istražnog naloga </w:t>
      </w:r>
      <w:r w:rsidR="00CA2D60" w:rsidRPr="00821567">
        <w:rPr>
          <w:rFonts w:ascii="Arial" w:hAnsi="Arial" w:cs="Arial"/>
          <w:color w:val="auto"/>
          <w:sz w:val="24"/>
          <w:szCs w:val="24"/>
        </w:rPr>
        <w:t xml:space="preserve">pred nadležnim organima, </w:t>
      </w:r>
      <w:r w:rsidR="00C20C32" w:rsidRPr="00821567">
        <w:rPr>
          <w:rFonts w:ascii="Arial" w:hAnsi="Arial" w:cs="Arial"/>
          <w:color w:val="auto"/>
          <w:sz w:val="24"/>
          <w:szCs w:val="24"/>
        </w:rPr>
        <w:t>u skladu sa zakonom kojim se uređuje</w:t>
      </w:r>
      <w:r w:rsidR="00CA2D60" w:rsidRPr="00821567">
        <w:rPr>
          <w:rFonts w:ascii="Arial" w:hAnsi="Arial" w:cs="Arial"/>
          <w:color w:val="auto"/>
          <w:sz w:val="24"/>
          <w:szCs w:val="24"/>
        </w:rPr>
        <w:t xml:space="preserve"> pravosudna saradnja u krivičnim stvarima između Crne Gore i država članica Evropske unije koje su u svoje pravne sisteme prenijele pravna akta Evropske unije kojima se uređuje pravosudna saradnja u krivičnim stvarima</w:t>
      </w:r>
      <w:r w:rsidR="00595BA2" w:rsidRPr="00821567">
        <w:rPr>
          <w:rFonts w:ascii="Arial" w:hAnsi="Arial" w:cs="Arial"/>
          <w:color w:val="auto"/>
          <w:sz w:val="24"/>
          <w:szCs w:val="24"/>
        </w:rPr>
        <w:t>.</w:t>
      </w:r>
      <w:r w:rsidR="00CA2D60" w:rsidRPr="00821567">
        <w:rPr>
          <w:rFonts w:ascii="Arial" w:hAnsi="Arial" w:cs="Arial"/>
          <w:color w:val="auto"/>
          <w:sz w:val="24"/>
          <w:szCs w:val="24"/>
        </w:rPr>
        <w:t>“</w:t>
      </w:r>
    </w:p>
    <w:p w:rsidR="00A16A41" w:rsidRPr="00A903FA" w:rsidRDefault="00A16A41" w:rsidP="00682E4D">
      <w:pPr>
        <w:pStyle w:val="T30X"/>
        <w:spacing w:before="0" w:after="0"/>
        <w:ind w:firstLine="0"/>
        <w:rPr>
          <w:rFonts w:ascii="Arial" w:hAnsi="Arial" w:cs="Arial"/>
          <w:b/>
          <w:sz w:val="24"/>
          <w:szCs w:val="24"/>
        </w:rPr>
      </w:pPr>
    </w:p>
    <w:p w:rsidR="00A16A41" w:rsidRPr="00A903FA" w:rsidRDefault="00A16A41" w:rsidP="00662794">
      <w:pPr>
        <w:pStyle w:val="T30X"/>
        <w:spacing w:before="0" w:after="0"/>
        <w:ind w:firstLine="0"/>
        <w:jc w:val="center"/>
        <w:rPr>
          <w:rFonts w:ascii="Arial" w:hAnsi="Arial" w:cs="Arial"/>
        </w:rPr>
      </w:pPr>
      <w:r w:rsidRPr="00A903FA">
        <w:rPr>
          <w:rFonts w:ascii="Arial" w:hAnsi="Arial" w:cs="Arial"/>
          <w:b/>
          <w:sz w:val="24"/>
          <w:szCs w:val="24"/>
        </w:rPr>
        <w:t>Član 3</w:t>
      </w:r>
      <w:r w:rsidRPr="00A903FA">
        <w:rPr>
          <w:rFonts w:ascii="Arial" w:hAnsi="Arial" w:cs="Arial"/>
        </w:rPr>
        <w:t xml:space="preserve">       </w:t>
      </w:r>
    </w:p>
    <w:p w:rsidR="00682E4D" w:rsidRPr="00A903FA" w:rsidRDefault="00682E4D" w:rsidP="00682E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B2A51" w:rsidRPr="00A903FA" w:rsidRDefault="00A16A41" w:rsidP="00CA2D6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903FA">
        <w:rPr>
          <w:rFonts w:ascii="Arial" w:hAnsi="Arial" w:cs="Arial"/>
          <w:sz w:val="24"/>
          <w:szCs w:val="24"/>
        </w:rPr>
        <w:t>Ovaj zakon stupa na snagu osmog dana od dana objavljivanja</w:t>
      </w:r>
      <w:r w:rsidR="00CA2D60">
        <w:rPr>
          <w:rFonts w:ascii="Arial" w:hAnsi="Arial" w:cs="Arial"/>
          <w:sz w:val="24"/>
          <w:szCs w:val="24"/>
        </w:rPr>
        <w:t xml:space="preserve"> u "Službenom listu Crne Gore", </w:t>
      </w:r>
      <w:r w:rsidR="00CA2D60" w:rsidRPr="00CA2D60">
        <w:rPr>
          <w:rFonts w:ascii="Arial" w:hAnsi="Arial" w:cs="Arial"/>
          <w:sz w:val="24"/>
          <w:szCs w:val="24"/>
        </w:rPr>
        <w:t>a primjenjivaće se od dana pristupanja Crne Gore Evropskoj uniji.</w:t>
      </w:r>
    </w:p>
    <w:p w:rsidR="00EB2A51" w:rsidRPr="00A903FA" w:rsidRDefault="00EB2A51" w:rsidP="00EB2A51">
      <w:pPr>
        <w:rPr>
          <w:rFonts w:ascii="Arial" w:hAnsi="Arial" w:cs="Arial"/>
          <w:sz w:val="24"/>
          <w:szCs w:val="24"/>
        </w:rPr>
      </w:pPr>
    </w:p>
    <w:p w:rsidR="00EB2A51" w:rsidRPr="00A903FA" w:rsidRDefault="00EB2A51" w:rsidP="00EB2A51">
      <w:pPr>
        <w:rPr>
          <w:rFonts w:ascii="Arial" w:hAnsi="Arial" w:cs="Arial"/>
          <w:sz w:val="24"/>
          <w:szCs w:val="24"/>
        </w:rPr>
      </w:pPr>
    </w:p>
    <w:p w:rsidR="00EB2A51" w:rsidRPr="00A903FA" w:rsidRDefault="00EB2A51" w:rsidP="00EB2A51">
      <w:pPr>
        <w:rPr>
          <w:rFonts w:ascii="Arial" w:hAnsi="Arial" w:cs="Arial"/>
          <w:sz w:val="24"/>
          <w:szCs w:val="24"/>
        </w:rPr>
      </w:pPr>
    </w:p>
    <w:p w:rsidR="00EB2A51" w:rsidRPr="00A903FA" w:rsidRDefault="00EB2A51" w:rsidP="00EB2A51">
      <w:pPr>
        <w:rPr>
          <w:rFonts w:ascii="Arial" w:hAnsi="Arial" w:cs="Arial"/>
          <w:sz w:val="24"/>
          <w:szCs w:val="24"/>
        </w:rPr>
      </w:pPr>
    </w:p>
    <w:p w:rsidR="00EB2A51" w:rsidRPr="00A903FA" w:rsidRDefault="00EB2A51" w:rsidP="00EB2A51">
      <w:pPr>
        <w:rPr>
          <w:rFonts w:ascii="Arial" w:hAnsi="Arial" w:cs="Arial"/>
          <w:sz w:val="24"/>
          <w:szCs w:val="24"/>
        </w:rPr>
      </w:pPr>
    </w:p>
    <w:p w:rsidR="00EB2A51" w:rsidRPr="00A903FA" w:rsidRDefault="00EB2A51" w:rsidP="00EB2A51">
      <w:pPr>
        <w:rPr>
          <w:rFonts w:ascii="Arial" w:hAnsi="Arial" w:cs="Arial"/>
          <w:sz w:val="24"/>
          <w:szCs w:val="24"/>
        </w:rPr>
      </w:pPr>
    </w:p>
    <w:p w:rsidR="00EB2A51" w:rsidRDefault="00EB2A51" w:rsidP="00EB2A51">
      <w:pPr>
        <w:rPr>
          <w:rFonts w:ascii="Arial" w:hAnsi="Arial" w:cs="Arial"/>
          <w:sz w:val="24"/>
          <w:szCs w:val="24"/>
        </w:rPr>
      </w:pPr>
    </w:p>
    <w:p w:rsidR="00662794" w:rsidRDefault="00662794" w:rsidP="00EB2A51">
      <w:pPr>
        <w:rPr>
          <w:rFonts w:ascii="Arial" w:hAnsi="Arial" w:cs="Arial"/>
          <w:sz w:val="24"/>
          <w:szCs w:val="24"/>
        </w:rPr>
      </w:pPr>
    </w:p>
    <w:p w:rsidR="00662794" w:rsidRDefault="00662794" w:rsidP="00EB2A51">
      <w:pPr>
        <w:rPr>
          <w:rFonts w:ascii="Arial" w:hAnsi="Arial" w:cs="Arial"/>
          <w:sz w:val="24"/>
          <w:szCs w:val="24"/>
        </w:rPr>
      </w:pPr>
    </w:p>
    <w:p w:rsidR="00662794" w:rsidRDefault="00662794" w:rsidP="00EB2A51">
      <w:pPr>
        <w:rPr>
          <w:rFonts w:ascii="Arial" w:hAnsi="Arial" w:cs="Arial"/>
          <w:sz w:val="24"/>
          <w:szCs w:val="24"/>
        </w:rPr>
      </w:pPr>
    </w:p>
    <w:p w:rsidR="00662794" w:rsidRDefault="00662794" w:rsidP="00EB2A51">
      <w:pPr>
        <w:rPr>
          <w:rFonts w:ascii="Arial" w:hAnsi="Arial" w:cs="Arial"/>
          <w:sz w:val="24"/>
          <w:szCs w:val="24"/>
        </w:rPr>
      </w:pPr>
    </w:p>
    <w:p w:rsidR="00662794" w:rsidRDefault="00662794" w:rsidP="00EB2A51">
      <w:pPr>
        <w:rPr>
          <w:rFonts w:ascii="Arial" w:hAnsi="Arial" w:cs="Arial"/>
          <w:sz w:val="24"/>
          <w:szCs w:val="24"/>
        </w:rPr>
      </w:pPr>
    </w:p>
    <w:p w:rsidR="00662794" w:rsidRPr="00A903FA" w:rsidRDefault="00662794" w:rsidP="00EB2A51">
      <w:pPr>
        <w:rPr>
          <w:rFonts w:ascii="Arial" w:hAnsi="Arial" w:cs="Arial"/>
          <w:sz w:val="24"/>
          <w:szCs w:val="24"/>
        </w:rPr>
      </w:pPr>
    </w:p>
    <w:p w:rsidR="00EB2A51" w:rsidRDefault="00EB2A51" w:rsidP="00EB2A51">
      <w:pPr>
        <w:rPr>
          <w:rFonts w:ascii="Arial" w:hAnsi="Arial" w:cs="Arial"/>
          <w:sz w:val="24"/>
          <w:szCs w:val="24"/>
        </w:rPr>
      </w:pPr>
    </w:p>
    <w:p w:rsidR="001B473C" w:rsidRDefault="001B473C" w:rsidP="00EB2A51">
      <w:pPr>
        <w:rPr>
          <w:rFonts w:ascii="Arial" w:hAnsi="Arial" w:cs="Arial"/>
          <w:sz w:val="24"/>
          <w:szCs w:val="24"/>
        </w:rPr>
      </w:pPr>
    </w:p>
    <w:p w:rsidR="00554379" w:rsidRDefault="00554379" w:rsidP="00EB2A51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EB2A51" w:rsidRPr="00A903FA" w:rsidRDefault="00EB2A51" w:rsidP="00EB2A51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A903FA">
        <w:rPr>
          <w:rFonts w:ascii="Arial" w:hAnsi="Arial" w:cs="Arial"/>
          <w:b/>
          <w:sz w:val="24"/>
          <w:szCs w:val="24"/>
          <w:lang w:val="sr-Latn-ME"/>
        </w:rPr>
        <w:lastRenderedPageBreak/>
        <w:t>O B R A Z L O Ž E NJ E</w:t>
      </w:r>
    </w:p>
    <w:p w:rsidR="00EB2A51" w:rsidRPr="00A903FA" w:rsidRDefault="00EB2A51" w:rsidP="00EB2A51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EB2A51" w:rsidRPr="00A903FA" w:rsidRDefault="00EB2A51" w:rsidP="00EB2A51">
      <w:p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A903FA">
        <w:rPr>
          <w:rFonts w:ascii="Arial" w:hAnsi="Arial" w:cs="Arial"/>
          <w:b/>
          <w:sz w:val="24"/>
          <w:szCs w:val="24"/>
          <w:lang w:val="sr-Latn-ME"/>
        </w:rPr>
        <w:t>I. USTAVNI OSNOV ZA DONOŠENJE ZAKONA</w:t>
      </w:r>
    </w:p>
    <w:p w:rsidR="00EB2A51" w:rsidRDefault="00EB2A51" w:rsidP="00EB2A51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A903FA">
        <w:rPr>
          <w:rFonts w:ascii="Arial" w:hAnsi="Arial" w:cs="Arial"/>
          <w:sz w:val="24"/>
          <w:szCs w:val="24"/>
          <w:lang w:val="sr-Latn-ME"/>
        </w:rPr>
        <w:t xml:space="preserve">Ustavni osnov za donošenje Zakona o dopunama Zakona o </w:t>
      </w:r>
      <w:r w:rsidR="00B615F1">
        <w:rPr>
          <w:rFonts w:ascii="Arial" w:hAnsi="Arial" w:cs="Arial"/>
          <w:sz w:val="24"/>
          <w:szCs w:val="24"/>
          <w:lang w:val="sr-Latn-ME"/>
        </w:rPr>
        <w:t>Državnom tužilaštvu</w:t>
      </w:r>
      <w:r w:rsidRPr="00A903FA">
        <w:rPr>
          <w:rFonts w:ascii="Arial" w:hAnsi="Arial" w:cs="Arial"/>
          <w:color w:val="FF0000"/>
          <w:sz w:val="24"/>
          <w:szCs w:val="24"/>
          <w:lang w:val="sr-Latn-ME"/>
        </w:rPr>
        <w:t xml:space="preserve"> </w:t>
      </w:r>
      <w:r w:rsidRPr="00A903FA">
        <w:rPr>
          <w:rFonts w:ascii="Arial" w:hAnsi="Arial" w:cs="Arial"/>
          <w:sz w:val="24"/>
          <w:szCs w:val="24"/>
          <w:lang w:val="sr-Latn-ME"/>
        </w:rPr>
        <w:t>sadržan je u članu 16 tačka 3 Ustava Crne Gore, kojim je propisano da se zakonom, u skladu sa Ustavom, uređuju način osnivanja, organizacija i nadležnost organa vlasti i postupak pred tim organima, ako je to neophodno za njihovo funkcionisanje.</w:t>
      </w:r>
    </w:p>
    <w:p w:rsidR="00554379" w:rsidRPr="00A903FA" w:rsidRDefault="00554379" w:rsidP="00EB2A51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:rsidR="00EB2A51" w:rsidRPr="00A903FA" w:rsidRDefault="00EB2A51" w:rsidP="00EB2A51">
      <w:p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A903FA">
        <w:rPr>
          <w:rFonts w:ascii="Arial" w:hAnsi="Arial" w:cs="Arial"/>
          <w:b/>
          <w:sz w:val="24"/>
          <w:szCs w:val="24"/>
          <w:lang w:val="sr-Latn-ME"/>
        </w:rPr>
        <w:t>II. RAZLOZI ZA DONOŠENJE ZAKONA</w:t>
      </w:r>
    </w:p>
    <w:p w:rsidR="00D12DC5" w:rsidRDefault="009106C0" w:rsidP="00662794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Izradi Predl</w:t>
      </w:r>
      <w:r w:rsidR="002E5535">
        <w:rPr>
          <w:rFonts w:ascii="Arial" w:hAnsi="Arial" w:cs="Arial"/>
          <w:sz w:val="24"/>
          <w:szCs w:val="24"/>
          <w:lang w:val="sr-Latn-ME"/>
        </w:rPr>
        <w:t>o</w:t>
      </w:r>
      <w:r>
        <w:rPr>
          <w:rFonts w:ascii="Arial" w:hAnsi="Arial" w:cs="Arial"/>
          <w:sz w:val="24"/>
          <w:szCs w:val="24"/>
          <w:lang w:val="sr-Latn-ME"/>
        </w:rPr>
        <w:t>ga</w:t>
      </w:r>
      <w:r w:rsidR="00EB2A51" w:rsidRPr="00FD58BE">
        <w:rPr>
          <w:rFonts w:ascii="Arial" w:hAnsi="Arial" w:cs="Arial"/>
          <w:sz w:val="24"/>
          <w:szCs w:val="24"/>
          <w:lang w:val="sr-Latn-ME"/>
        </w:rPr>
        <w:t xml:space="preserve"> Zakona o dopunama Zakona o Državnom tužilaštvu pristupilo se radi usaglašavanja Zakona o </w:t>
      </w:r>
      <w:r w:rsidR="00F67E14" w:rsidRPr="00FD58BE">
        <w:rPr>
          <w:rFonts w:ascii="Arial" w:hAnsi="Arial" w:cs="Arial"/>
          <w:sz w:val="24"/>
          <w:szCs w:val="24"/>
          <w:lang w:val="sr-Latn-ME"/>
        </w:rPr>
        <w:t>Državnom tužilaštvu</w:t>
      </w:r>
      <w:r w:rsidR="00EB2A51" w:rsidRPr="00FD58BE">
        <w:rPr>
          <w:rFonts w:ascii="Arial" w:hAnsi="Arial" w:cs="Arial"/>
          <w:sz w:val="24"/>
          <w:szCs w:val="24"/>
          <w:lang w:val="sr-Latn-ME"/>
        </w:rPr>
        <w:t xml:space="preserve"> sa Zakonom pravosudnoj saradnji u krivičnim stvarima sa državama članicama Evropske unije. Naime, u cilju omogućavanja pune i efikasne primjene Zakona pravosudnoj saradnji u krivičnim stvarima sa državama članicama Evropske unije, </w:t>
      </w:r>
      <w:r w:rsidR="00A903FA" w:rsidRPr="00FD58BE">
        <w:rPr>
          <w:rFonts w:ascii="Arial" w:hAnsi="Arial" w:cs="Arial"/>
          <w:sz w:val="24"/>
          <w:szCs w:val="24"/>
          <w:lang w:val="sr-Latn-ME"/>
        </w:rPr>
        <w:t xml:space="preserve">čijim odredbama je, između ostalog, propisana i nadležnost </w:t>
      </w:r>
      <w:r w:rsidR="00B615F1" w:rsidRPr="00FD58BE">
        <w:rPr>
          <w:rFonts w:ascii="Arial" w:hAnsi="Arial" w:cs="Arial"/>
          <w:sz w:val="24"/>
          <w:szCs w:val="24"/>
          <w:lang w:val="sr-Latn-ME"/>
        </w:rPr>
        <w:t xml:space="preserve">Državnog </w:t>
      </w:r>
      <w:r>
        <w:rPr>
          <w:rFonts w:ascii="Arial" w:hAnsi="Arial" w:cs="Arial"/>
          <w:sz w:val="24"/>
          <w:szCs w:val="24"/>
          <w:lang w:val="sr-Latn-ME"/>
        </w:rPr>
        <w:t>tužilaštva da podnosi</w:t>
      </w:r>
      <w:r w:rsidR="00A903FA" w:rsidRPr="00FD58BE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</w:rPr>
        <w:t>zahtjeve</w:t>
      </w:r>
      <w:r w:rsidR="00764524" w:rsidRPr="00FD58BE">
        <w:rPr>
          <w:rFonts w:ascii="Arial" w:hAnsi="Arial" w:cs="Arial"/>
          <w:sz w:val="24"/>
          <w:szCs w:val="24"/>
        </w:rPr>
        <w:t xml:space="preserve"> za izdavanje evropskog naloga za hapšenje</w:t>
      </w:r>
      <w:r w:rsidR="00764524" w:rsidRPr="00FD58BE">
        <w:rPr>
          <w:rFonts w:ascii="Arial" w:hAnsi="Arial" w:cs="Arial"/>
          <w:sz w:val="24"/>
          <w:szCs w:val="24"/>
          <w:lang w:val="sr-Latn-ME"/>
        </w:rPr>
        <w:t xml:space="preserve"> i </w:t>
      </w:r>
      <w:r w:rsidR="00A903FA" w:rsidRPr="00FD58BE">
        <w:rPr>
          <w:rFonts w:ascii="Arial" w:hAnsi="Arial" w:cs="Arial"/>
          <w:sz w:val="24"/>
          <w:szCs w:val="24"/>
          <w:lang w:val="sr-Latn-ME"/>
        </w:rPr>
        <w:t>zahtjev</w:t>
      </w:r>
      <w:r>
        <w:rPr>
          <w:rFonts w:ascii="Arial" w:hAnsi="Arial" w:cs="Arial"/>
          <w:sz w:val="24"/>
          <w:szCs w:val="24"/>
          <w:lang w:val="sr-Latn-ME"/>
        </w:rPr>
        <w:t>e</w:t>
      </w:r>
      <w:r w:rsidR="00A903FA" w:rsidRPr="00FD58BE">
        <w:rPr>
          <w:rFonts w:ascii="Arial" w:hAnsi="Arial" w:cs="Arial"/>
          <w:sz w:val="24"/>
          <w:szCs w:val="24"/>
          <w:lang w:val="sr-Latn-ME"/>
        </w:rPr>
        <w:t xml:space="preserve"> za izdavanje evropskog istražnog naloga, </w:t>
      </w:r>
      <w:r w:rsidR="00D12DC5" w:rsidRPr="00D12DC5">
        <w:rPr>
          <w:rFonts w:ascii="Arial" w:hAnsi="Arial" w:cs="Arial"/>
          <w:sz w:val="24"/>
          <w:szCs w:val="24"/>
          <w:lang w:val="sr-Latn-ME"/>
        </w:rPr>
        <w:t>neophodno je izvršti dopunu odredbi Zakona o Državnom tužilaštvu kojima se propisuje nadležnost Državnog tužilaštva</w:t>
      </w:r>
    </w:p>
    <w:p w:rsidR="00EB2A51" w:rsidRPr="00A903FA" w:rsidRDefault="00EB2A51" w:rsidP="00EB2A51">
      <w:pPr>
        <w:spacing w:after="0"/>
        <w:ind w:firstLine="720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bookmarkStart w:id="0" w:name="_GoBack"/>
      <w:bookmarkEnd w:id="0"/>
    </w:p>
    <w:p w:rsidR="00554379" w:rsidRDefault="00EB2A51" w:rsidP="00554379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A903FA">
        <w:rPr>
          <w:rFonts w:ascii="Arial" w:hAnsi="Arial" w:cs="Arial"/>
          <w:b/>
          <w:sz w:val="24"/>
          <w:szCs w:val="24"/>
          <w:lang w:val="sr-Latn-ME"/>
        </w:rPr>
        <w:t>III. USAGLAŠENOST SA PRAVNOM TEKOVINOM EVROPSKE UNIJE I POTVRĐENIM MEĐUNARODNIM KONVENCIJAMA</w:t>
      </w:r>
    </w:p>
    <w:p w:rsidR="009106C0" w:rsidRPr="00135A3A" w:rsidRDefault="009106C0" w:rsidP="00910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135A3A">
        <w:rPr>
          <w:rFonts w:ascii="Arial" w:hAnsi="Arial" w:cs="Arial"/>
          <w:sz w:val="24"/>
          <w:szCs w:val="24"/>
          <w:lang w:val="sr-Latn-ME"/>
        </w:rPr>
        <w:t>Zakon o dopunama Zakona o Državnom tužilaštvu sadrži odredbu koja je u skladu sa sljedećim dokumentom Evropske unije:</w:t>
      </w:r>
    </w:p>
    <w:p w:rsidR="009106C0" w:rsidRPr="00135A3A" w:rsidRDefault="009106C0" w:rsidP="00910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:rsidR="009106C0" w:rsidRPr="00135A3A" w:rsidRDefault="009106C0" w:rsidP="009106C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135A3A">
        <w:rPr>
          <w:rFonts w:ascii="Arial" w:hAnsi="Arial" w:cs="Arial"/>
          <w:sz w:val="24"/>
          <w:szCs w:val="24"/>
          <w:lang w:val="sr-Latn-ME"/>
        </w:rPr>
        <w:t xml:space="preserve">Okvirna odiuka Savjeta 2002/584/PUP od 13. </w:t>
      </w:r>
      <w:r w:rsidR="00135A3A" w:rsidRPr="00135A3A">
        <w:rPr>
          <w:rFonts w:ascii="Arial" w:hAnsi="Arial" w:cs="Arial"/>
          <w:sz w:val="24"/>
          <w:szCs w:val="24"/>
          <w:lang w:val="sr-Latn-ME"/>
        </w:rPr>
        <w:t>j</w:t>
      </w:r>
      <w:r w:rsidRPr="00135A3A">
        <w:rPr>
          <w:rFonts w:ascii="Arial" w:hAnsi="Arial" w:cs="Arial"/>
          <w:sz w:val="24"/>
          <w:szCs w:val="24"/>
          <w:lang w:val="sr-Latn-ME"/>
        </w:rPr>
        <w:t>una 2002. o Evropskom nalogu za hapšenje i postupcima predaje izmedu država članica.</w:t>
      </w:r>
    </w:p>
    <w:p w:rsidR="00EB2A51" w:rsidRPr="00A903FA" w:rsidRDefault="00EB2A51" w:rsidP="00EB2A51">
      <w:pPr>
        <w:spacing w:after="0"/>
        <w:ind w:firstLine="720"/>
        <w:rPr>
          <w:rFonts w:ascii="Arial" w:hAnsi="Arial" w:cs="Arial"/>
          <w:sz w:val="24"/>
          <w:szCs w:val="24"/>
          <w:lang w:val="sr-Latn-ME"/>
        </w:rPr>
      </w:pPr>
    </w:p>
    <w:p w:rsidR="00EB2A51" w:rsidRPr="003A7D99" w:rsidRDefault="00EB2A51" w:rsidP="00EB2A51">
      <w:p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A903FA">
        <w:rPr>
          <w:rFonts w:ascii="Arial" w:hAnsi="Arial" w:cs="Arial"/>
          <w:b/>
          <w:sz w:val="24"/>
          <w:szCs w:val="24"/>
          <w:lang w:val="sr-Latn-ME"/>
        </w:rPr>
        <w:t xml:space="preserve">IV. </w:t>
      </w:r>
      <w:r w:rsidRPr="003A7D99">
        <w:rPr>
          <w:rFonts w:ascii="Arial" w:hAnsi="Arial" w:cs="Arial"/>
          <w:b/>
          <w:sz w:val="24"/>
          <w:szCs w:val="24"/>
          <w:lang w:val="sr-Latn-ME"/>
        </w:rPr>
        <w:t>OBJAŠNJENJE OSNOVNIH PRAVNIH INSTITUTA</w:t>
      </w:r>
    </w:p>
    <w:p w:rsidR="00EB2A51" w:rsidRPr="003A7D99" w:rsidRDefault="00FD58BE" w:rsidP="00EB2A51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3A7D99">
        <w:rPr>
          <w:rFonts w:ascii="Arial" w:hAnsi="Arial" w:cs="Arial"/>
          <w:sz w:val="24"/>
          <w:szCs w:val="24"/>
          <w:lang w:val="sr-Latn-ME"/>
        </w:rPr>
        <w:t xml:space="preserve">Članom 1 </w:t>
      </w:r>
      <w:r w:rsidR="00EB2A51" w:rsidRPr="003A7D99">
        <w:rPr>
          <w:rFonts w:ascii="Arial" w:hAnsi="Arial" w:cs="Arial"/>
          <w:sz w:val="24"/>
          <w:szCs w:val="24"/>
          <w:lang w:val="sr-Latn-ME"/>
        </w:rPr>
        <w:t xml:space="preserve">Predloga zakona o dopunama Zakona o </w:t>
      </w:r>
      <w:r w:rsidR="0073207F" w:rsidRPr="003A7D99">
        <w:rPr>
          <w:rFonts w:ascii="Arial" w:hAnsi="Arial" w:cs="Arial"/>
          <w:sz w:val="24"/>
          <w:szCs w:val="24"/>
          <w:lang w:val="sr-Latn-ME"/>
        </w:rPr>
        <w:t>Državnom tužilaštvu</w:t>
      </w:r>
      <w:r w:rsidR="00EB2A51" w:rsidRPr="003A7D99">
        <w:rPr>
          <w:rFonts w:ascii="Arial" w:hAnsi="Arial" w:cs="Arial"/>
          <w:sz w:val="24"/>
          <w:szCs w:val="24"/>
          <w:lang w:val="sr-Latn-ME"/>
        </w:rPr>
        <w:t xml:space="preserve"> predloženo je usklađivanje sa </w:t>
      </w:r>
      <w:r w:rsidR="0073207F" w:rsidRPr="003A7D99">
        <w:rPr>
          <w:rFonts w:ascii="Arial" w:hAnsi="Arial" w:cs="Arial"/>
          <w:sz w:val="24"/>
          <w:szCs w:val="24"/>
          <w:lang w:val="sr-Latn-ME"/>
        </w:rPr>
        <w:t>Z</w:t>
      </w:r>
      <w:r w:rsidR="00EB2A51" w:rsidRPr="003A7D99">
        <w:rPr>
          <w:rFonts w:ascii="Arial" w:hAnsi="Arial" w:cs="Arial"/>
          <w:sz w:val="24"/>
          <w:szCs w:val="24"/>
          <w:lang w:val="sr-Latn-ME"/>
        </w:rPr>
        <w:t xml:space="preserve">akona o pravosudnoj saradnji u krivičnim stvarima sa državama članicama Evropske unije. S tim u vezi propisuje se nadležnost </w:t>
      </w:r>
      <w:r w:rsidRPr="003A7D99">
        <w:rPr>
          <w:rFonts w:ascii="Arial" w:hAnsi="Arial" w:cs="Arial"/>
          <w:sz w:val="24"/>
          <w:szCs w:val="24"/>
          <w:lang w:val="sr-Latn-ME"/>
        </w:rPr>
        <w:t>Dražavnog tužilaštva</w:t>
      </w:r>
      <w:r w:rsidR="00EB2A51" w:rsidRPr="003A7D99">
        <w:rPr>
          <w:rFonts w:ascii="Arial" w:hAnsi="Arial" w:cs="Arial"/>
          <w:sz w:val="24"/>
          <w:szCs w:val="24"/>
          <w:lang w:val="sr-Latn-ME"/>
        </w:rPr>
        <w:t xml:space="preserve"> da </w:t>
      </w:r>
      <w:r w:rsidRPr="003A7D99">
        <w:rPr>
          <w:rFonts w:ascii="Arial" w:hAnsi="Arial" w:cs="Arial"/>
          <w:sz w:val="24"/>
          <w:szCs w:val="24"/>
          <w:lang w:val="sr-Latn-ME"/>
        </w:rPr>
        <w:t xml:space="preserve">podnose </w:t>
      </w:r>
      <w:r w:rsidRPr="003A7D99">
        <w:rPr>
          <w:rFonts w:ascii="Arial" w:hAnsi="Arial" w:cs="Arial"/>
          <w:sz w:val="24"/>
          <w:szCs w:val="24"/>
        </w:rPr>
        <w:t>zahtjeva za izdavanje evropskog naloga za hapšenje</w:t>
      </w:r>
      <w:r w:rsidRPr="003A7D99">
        <w:rPr>
          <w:rFonts w:ascii="Arial" w:hAnsi="Arial" w:cs="Arial"/>
          <w:sz w:val="24"/>
          <w:szCs w:val="24"/>
          <w:lang w:val="sr-Latn-ME"/>
        </w:rPr>
        <w:t xml:space="preserve"> i zahtjev za izdavanje evropskog istražnog naloga pred nadležnim organima </w:t>
      </w:r>
      <w:r w:rsidRPr="003A7D99">
        <w:rPr>
          <w:rFonts w:ascii="Arial" w:hAnsi="Arial" w:cs="Arial"/>
          <w:sz w:val="24"/>
          <w:szCs w:val="24"/>
        </w:rPr>
        <w:t>u skladu sa zakonom kojim se uređuje se pravosudna saradnja u krivičnim stvarima između Crne Gore i država članica Evropske unije koje su u svoje pravne sisteme prenijele pravna akta Evropske unije kojima se uređuje pravosudna saradnja u krivičnim stvarima.</w:t>
      </w:r>
    </w:p>
    <w:p w:rsidR="00D104C3" w:rsidRPr="00A903FA" w:rsidRDefault="00CA16B1" w:rsidP="00D104C3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Članom </w:t>
      </w:r>
      <w:r w:rsidR="003A7D99">
        <w:rPr>
          <w:rFonts w:ascii="Arial" w:hAnsi="Arial" w:cs="Arial"/>
          <w:sz w:val="24"/>
          <w:szCs w:val="24"/>
          <w:lang w:val="sr-Latn-ME"/>
        </w:rPr>
        <w:t>2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="00D104C3" w:rsidRPr="00D104C3">
        <w:rPr>
          <w:rFonts w:ascii="Arial" w:hAnsi="Arial" w:cs="Arial"/>
          <w:sz w:val="24"/>
          <w:szCs w:val="24"/>
          <w:lang w:val="sr-Latn-ME"/>
        </w:rPr>
        <w:t>propisano je da zakon stupa na snagu osmog dana od dana objavljivanja u</w:t>
      </w:r>
      <w:r w:rsidR="00D104C3">
        <w:rPr>
          <w:rFonts w:ascii="Arial" w:hAnsi="Arial" w:cs="Arial"/>
          <w:sz w:val="24"/>
          <w:szCs w:val="24"/>
          <w:lang w:val="sr-Latn-ME"/>
        </w:rPr>
        <w:t xml:space="preserve"> </w:t>
      </w:r>
      <w:r w:rsidR="00D104C3" w:rsidRPr="00D104C3">
        <w:rPr>
          <w:rFonts w:ascii="Arial" w:hAnsi="Arial" w:cs="Arial"/>
          <w:sz w:val="24"/>
          <w:szCs w:val="24"/>
          <w:lang w:val="sr-Latn-ME"/>
        </w:rPr>
        <w:t>„Službenom listu Crne Gore“</w:t>
      </w:r>
      <w:r w:rsidR="003A7D99">
        <w:rPr>
          <w:rFonts w:ascii="Arial" w:hAnsi="Arial" w:cs="Arial"/>
          <w:sz w:val="24"/>
          <w:szCs w:val="24"/>
          <w:lang w:val="sr-Latn-ME"/>
        </w:rPr>
        <w:t xml:space="preserve">, </w:t>
      </w:r>
      <w:r w:rsidR="003A7D99" w:rsidRPr="00CA2D60">
        <w:rPr>
          <w:rFonts w:ascii="Arial" w:hAnsi="Arial" w:cs="Arial"/>
          <w:sz w:val="24"/>
          <w:szCs w:val="24"/>
        </w:rPr>
        <w:t>a primjenjivaće se od dana pristupanja Crne Gore Evropskoj uniji.</w:t>
      </w:r>
    </w:p>
    <w:p w:rsidR="00EB2A51" w:rsidRPr="00A903FA" w:rsidRDefault="00EB2A51" w:rsidP="00EB2A51">
      <w:pPr>
        <w:spacing w:after="0"/>
        <w:rPr>
          <w:rFonts w:ascii="Arial" w:hAnsi="Arial" w:cs="Arial"/>
          <w:b/>
          <w:sz w:val="24"/>
          <w:szCs w:val="24"/>
          <w:lang w:val="sr-Latn-ME"/>
        </w:rPr>
      </w:pPr>
    </w:p>
    <w:p w:rsidR="00EB2A51" w:rsidRPr="00A903FA" w:rsidRDefault="00EB2A51" w:rsidP="00EB2A51">
      <w:p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A903FA">
        <w:rPr>
          <w:rFonts w:ascii="Arial" w:hAnsi="Arial" w:cs="Arial"/>
          <w:b/>
          <w:sz w:val="24"/>
          <w:szCs w:val="24"/>
          <w:lang w:val="sr-Latn-ME"/>
        </w:rPr>
        <w:t>V. SREDSTVA POTREBNA ZA SPROVOĐENJE OVOG ZAKONA</w:t>
      </w:r>
    </w:p>
    <w:p w:rsidR="00EB2A51" w:rsidRDefault="00EB2A51" w:rsidP="00A9279D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A903FA">
        <w:rPr>
          <w:rFonts w:ascii="Arial" w:hAnsi="Arial" w:cs="Arial"/>
          <w:sz w:val="24"/>
          <w:szCs w:val="24"/>
          <w:lang w:val="sr-Latn-ME"/>
        </w:rPr>
        <w:t xml:space="preserve">Za sprovođenje ovog zakona nije potrebno obezbijediti dodatna </w:t>
      </w:r>
      <w:r w:rsidR="00E212DB">
        <w:rPr>
          <w:rFonts w:ascii="Arial" w:hAnsi="Arial" w:cs="Arial"/>
          <w:sz w:val="24"/>
          <w:szCs w:val="24"/>
          <w:lang w:val="sr-Latn-ME"/>
        </w:rPr>
        <w:t xml:space="preserve">sredstva u Budžetu Crne Gore. </w:t>
      </w:r>
    </w:p>
    <w:p w:rsidR="003A7D99" w:rsidRPr="00554379" w:rsidRDefault="003A7D99" w:rsidP="00A9279D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:rsidR="003A7D99" w:rsidRPr="00554379" w:rsidRDefault="003A7D99" w:rsidP="003A7D9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54379">
        <w:rPr>
          <w:rFonts w:ascii="Arial" w:hAnsi="Arial" w:cs="Arial"/>
          <w:b/>
          <w:sz w:val="24"/>
          <w:szCs w:val="24"/>
        </w:rPr>
        <w:t>PREGLED ODREDBE ZAKONA O DRŽAVNOM TUŽILAŠTVU KOJE SE MIJENJA</w:t>
      </w:r>
    </w:p>
    <w:p w:rsidR="003A7D99" w:rsidRPr="00554379" w:rsidRDefault="003A7D99" w:rsidP="003A7D9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A7D99" w:rsidRPr="00554379" w:rsidRDefault="003A7D99" w:rsidP="003A7D99">
      <w:pPr>
        <w:pStyle w:val="N01X"/>
        <w:rPr>
          <w:rFonts w:ascii="Arial" w:hAnsi="Arial" w:cs="Arial"/>
        </w:rPr>
      </w:pPr>
      <w:r w:rsidRPr="00554379">
        <w:rPr>
          <w:rFonts w:ascii="Arial" w:hAnsi="Arial" w:cs="Arial"/>
        </w:rPr>
        <w:t>Stvarna i mjesna nadležnost</w:t>
      </w:r>
    </w:p>
    <w:p w:rsidR="003A7D99" w:rsidRPr="00554379" w:rsidRDefault="003A7D99" w:rsidP="003A7D99">
      <w:pPr>
        <w:pStyle w:val="C30X"/>
        <w:rPr>
          <w:rFonts w:ascii="Arial" w:hAnsi="Arial" w:cs="Arial"/>
        </w:rPr>
      </w:pPr>
      <w:r w:rsidRPr="00554379">
        <w:rPr>
          <w:rFonts w:ascii="Arial" w:hAnsi="Arial" w:cs="Arial"/>
        </w:rPr>
        <w:t>Član 16</w:t>
      </w:r>
    </w:p>
    <w:p w:rsidR="003A7D99" w:rsidRPr="00554379" w:rsidRDefault="003A7D99" w:rsidP="003A7D99">
      <w:pPr>
        <w:pStyle w:val="T30X"/>
        <w:rPr>
          <w:rFonts w:ascii="Arial" w:hAnsi="Arial" w:cs="Arial"/>
          <w:sz w:val="24"/>
          <w:szCs w:val="24"/>
        </w:rPr>
      </w:pPr>
      <w:r w:rsidRPr="00554379">
        <w:rPr>
          <w:rFonts w:ascii="Arial" w:hAnsi="Arial" w:cs="Arial"/>
          <w:sz w:val="24"/>
          <w:szCs w:val="24"/>
        </w:rPr>
        <w:t>Državno tužilaštvo postupa u skladu sa svojom stvarnom i mjesnom nadležnošću, ako zakonom nije drukčije propisano.</w:t>
      </w:r>
    </w:p>
    <w:p w:rsidR="003A7D99" w:rsidRPr="00554379" w:rsidRDefault="003A7D99" w:rsidP="003A7D99">
      <w:pPr>
        <w:pStyle w:val="T30X"/>
        <w:rPr>
          <w:rFonts w:ascii="Arial" w:hAnsi="Arial" w:cs="Arial"/>
          <w:sz w:val="24"/>
          <w:szCs w:val="24"/>
        </w:rPr>
      </w:pPr>
      <w:r w:rsidRPr="00554379">
        <w:rPr>
          <w:rFonts w:ascii="Arial" w:hAnsi="Arial" w:cs="Arial"/>
          <w:sz w:val="24"/>
          <w:szCs w:val="24"/>
        </w:rPr>
        <w:t>Radi ostvarivanja funkcije gonjenja učinilaca krivičnih djela i prekršaja Državno tužilaštvo je ovlašćeno da sa nadležnim organima utvrđuje i preduzima potrebne mjere na otkrivanju krivičnih i drugih zakonom utvrđenih kažnjivih djela i njihovih učinilaca.</w:t>
      </w:r>
    </w:p>
    <w:p w:rsidR="003A7D99" w:rsidRPr="00554379" w:rsidRDefault="003A7D99" w:rsidP="003A7D9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A7D99" w:rsidRPr="00554379" w:rsidRDefault="003A7D99" w:rsidP="00A9279D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sectPr w:rsidR="003A7D99" w:rsidRPr="00554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00699"/>
    <w:multiLevelType w:val="hybridMultilevel"/>
    <w:tmpl w:val="91FC12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5D9"/>
    <w:rsid w:val="00014442"/>
    <w:rsid w:val="00064C5A"/>
    <w:rsid w:val="000B02AB"/>
    <w:rsid w:val="000C777E"/>
    <w:rsid w:val="000D1C3A"/>
    <w:rsid w:val="000E1E82"/>
    <w:rsid w:val="00135A3A"/>
    <w:rsid w:val="001B473C"/>
    <w:rsid w:val="001C43B4"/>
    <w:rsid w:val="0028392E"/>
    <w:rsid w:val="002917DD"/>
    <w:rsid w:val="002E5535"/>
    <w:rsid w:val="00310481"/>
    <w:rsid w:val="00343E21"/>
    <w:rsid w:val="003A7D99"/>
    <w:rsid w:val="003F3E70"/>
    <w:rsid w:val="004239AF"/>
    <w:rsid w:val="00450ED8"/>
    <w:rsid w:val="00504C97"/>
    <w:rsid w:val="00554379"/>
    <w:rsid w:val="00595BA2"/>
    <w:rsid w:val="005B31D2"/>
    <w:rsid w:val="006309C5"/>
    <w:rsid w:val="00662794"/>
    <w:rsid w:val="00682E4D"/>
    <w:rsid w:val="006A78A5"/>
    <w:rsid w:val="006F1D85"/>
    <w:rsid w:val="0073207F"/>
    <w:rsid w:val="00764524"/>
    <w:rsid w:val="007F0F86"/>
    <w:rsid w:val="00821567"/>
    <w:rsid w:val="009106C0"/>
    <w:rsid w:val="00A16A41"/>
    <w:rsid w:val="00A903FA"/>
    <w:rsid w:val="00A9279D"/>
    <w:rsid w:val="00AB2059"/>
    <w:rsid w:val="00AC4B01"/>
    <w:rsid w:val="00B615F1"/>
    <w:rsid w:val="00B805F0"/>
    <w:rsid w:val="00BD0CF9"/>
    <w:rsid w:val="00C20C32"/>
    <w:rsid w:val="00C55C5D"/>
    <w:rsid w:val="00CA16B1"/>
    <w:rsid w:val="00CA2D60"/>
    <w:rsid w:val="00D104C3"/>
    <w:rsid w:val="00D12DC5"/>
    <w:rsid w:val="00D13544"/>
    <w:rsid w:val="00D375D9"/>
    <w:rsid w:val="00DB7B0F"/>
    <w:rsid w:val="00DF23F6"/>
    <w:rsid w:val="00E212DB"/>
    <w:rsid w:val="00EA3230"/>
    <w:rsid w:val="00EB2A51"/>
    <w:rsid w:val="00F6377B"/>
    <w:rsid w:val="00F67E14"/>
    <w:rsid w:val="00F97C5B"/>
    <w:rsid w:val="00F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30X">
    <w:name w:val="T30X"/>
    <w:basedOn w:val="Normal"/>
    <w:uiPriority w:val="99"/>
    <w:rsid w:val="00D375D9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eastAsia="sr-Latn-RS"/>
    </w:rPr>
  </w:style>
  <w:style w:type="paragraph" w:customStyle="1" w:styleId="stil1tekst">
    <w:name w:val="stil_1tekst"/>
    <w:basedOn w:val="Normal"/>
    <w:rsid w:val="00A16A41"/>
    <w:pPr>
      <w:spacing w:after="0" w:line="240" w:lineRule="auto"/>
      <w:ind w:left="525" w:right="525" w:firstLine="240"/>
      <w:jc w:val="both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1tekst">
    <w:name w:val="_1tekst"/>
    <w:basedOn w:val="Normal"/>
    <w:rsid w:val="00A16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544"/>
    <w:rPr>
      <w:rFonts w:ascii="Tahoma" w:hAnsi="Tahoma" w:cs="Tahoma"/>
      <w:sz w:val="16"/>
      <w:szCs w:val="16"/>
    </w:rPr>
  </w:style>
  <w:style w:type="paragraph" w:customStyle="1" w:styleId="N01X">
    <w:name w:val="N01X"/>
    <w:basedOn w:val="Normal"/>
    <w:uiPriority w:val="99"/>
    <w:rsid w:val="003A7D99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eastAsia="sr-Latn-RS"/>
    </w:rPr>
  </w:style>
  <w:style w:type="paragraph" w:customStyle="1" w:styleId="C30X">
    <w:name w:val="C30X"/>
    <w:basedOn w:val="Normal"/>
    <w:uiPriority w:val="99"/>
    <w:rsid w:val="003A7D99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eastAsia="sr-Latn-RS"/>
    </w:rPr>
  </w:style>
  <w:style w:type="paragraph" w:customStyle="1" w:styleId="CM1">
    <w:name w:val="CM1"/>
    <w:basedOn w:val="Normal"/>
    <w:next w:val="Normal"/>
    <w:uiPriority w:val="99"/>
    <w:rsid w:val="009106C0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106C0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30X">
    <w:name w:val="T30X"/>
    <w:basedOn w:val="Normal"/>
    <w:uiPriority w:val="99"/>
    <w:rsid w:val="00D375D9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eastAsia="sr-Latn-RS"/>
    </w:rPr>
  </w:style>
  <w:style w:type="paragraph" w:customStyle="1" w:styleId="stil1tekst">
    <w:name w:val="stil_1tekst"/>
    <w:basedOn w:val="Normal"/>
    <w:rsid w:val="00A16A41"/>
    <w:pPr>
      <w:spacing w:after="0" w:line="240" w:lineRule="auto"/>
      <w:ind w:left="525" w:right="525" w:firstLine="240"/>
      <w:jc w:val="both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1tekst">
    <w:name w:val="_1tekst"/>
    <w:basedOn w:val="Normal"/>
    <w:rsid w:val="00A16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544"/>
    <w:rPr>
      <w:rFonts w:ascii="Tahoma" w:hAnsi="Tahoma" w:cs="Tahoma"/>
      <w:sz w:val="16"/>
      <w:szCs w:val="16"/>
    </w:rPr>
  </w:style>
  <w:style w:type="paragraph" w:customStyle="1" w:styleId="N01X">
    <w:name w:val="N01X"/>
    <w:basedOn w:val="Normal"/>
    <w:uiPriority w:val="99"/>
    <w:rsid w:val="003A7D99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eastAsia="sr-Latn-RS"/>
    </w:rPr>
  </w:style>
  <w:style w:type="paragraph" w:customStyle="1" w:styleId="C30X">
    <w:name w:val="C30X"/>
    <w:basedOn w:val="Normal"/>
    <w:uiPriority w:val="99"/>
    <w:rsid w:val="003A7D99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eastAsia="sr-Latn-RS"/>
    </w:rPr>
  </w:style>
  <w:style w:type="paragraph" w:customStyle="1" w:styleId="CM1">
    <w:name w:val="CM1"/>
    <w:basedOn w:val="Normal"/>
    <w:next w:val="Normal"/>
    <w:uiPriority w:val="99"/>
    <w:rsid w:val="009106C0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106C0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Masanovic</dc:creator>
  <cp:lastModifiedBy>Ivana Masanovic</cp:lastModifiedBy>
  <cp:revision>27</cp:revision>
  <cp:lastPrinted>2019-04-05T05:51:00Z</cp:lastPrinted>
  <dcterms:created xsi:type="dcterms:W3CDTF">2019-05-30T11:19:00Z</dcterms:created>
  <dcterms:modified xsi:type="dcterms:W3CDTF">2019-06-18T07:33:00Z</dcterms:modified>
</cp:coreProperties>
</file>