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0F1DCE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FB6C857" wp14:editId="5230B4BB">
                      <wp:extent cx="6715125" cy="80412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CB1D57" w:rsidP="000F1DC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B6C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" filled="f" stroked="f">
                      <v:textbox>
                        <w:txbxContent>
                          <w:p w:rsidR="000F1DCE" w:rsidRPr="00CB1D57" w:rsidRDefault="00CB1D57" w:rsidP="000F1DC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1DCE" w:rsidTr="00CB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1924D37" wp14:editId="54A9044E">
                      <wp:extent cx="5284520" cy="439387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AE4A01" w:rsidP="000F1DC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MAJ</w:t>
                                  </w:r>
                                  <w:r w:rsidR="00CB1D57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24D37" id="Text Box 13" o:spid="_x0000_s1027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DREVSJ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0F1DCE" w:rsidRPr="00CB1D57" w:rsidRDefault="00AE4A01" w:rsidP="000F1DC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MAJ</w:t>
                            </w:r>
                            <w:r w:rsidR="00CB1D57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B4A4D" w:rsidRPr="00616989" w:rsidRDefault="001734F0" w:rsidP="00CB4A4D">
            <w:pPr>
              <w:spacing w:after="200"/>
              <w:rPr>
                <w:smallCaps/>
              </w:rPr>
            </w:pPr>
            <w:r w:rsidRPr="001734F0"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5.4pt;margin-top:87.4pt;width:97.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500DFCFF" wp14:editId="43AFAF35">
                  <wp:extent cx="876300" cy="10152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1D5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F428E5" wp14:editId="7ED19CC6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-984884</wp:posOffset>
                  </wp:positionV>
                  <wp:extent cx="8219281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/>
      <w:sdtContent>
        <w:p w:rsidR="00FD71E8" w:rsidRDefault="00CB4A4D">
          <w:pPr>
            <w:spacing w:after="200"/>
            <w:rPr>
              <w:b/>
              <w:noProof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A260B62" wp14:editId="408F6B12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-961696</wp:posOffset>
                    </wp:positionV>
                    <wp:extent cx="7776210" cy="1119352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6A0B7A3" id="Rectangle 10" o:spid="_x0000_s1026" alt="rectangle" style="position:absolute;margin-left:-70.75pt;margin-top:-75.7pt;width:612.3pt;height:88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590B5B6B" wp14:editId="23BEF575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4872530</wp:posOffset>
                    </wp:positionV>
                    <wp:extent cx="7776210" cy="4272762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D041BC" id="Rectangle 8" o:spid="_x0000_s1026" alt="rectangle" style="position:absolute;margin-left:-70.75pt;margin-top:383.65pt;width:612.3pt;height:336.4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" fillcolor="#404040 [2429]" stroked="f" strokeweight="1pt"/>
                </w:pict>
              </mc:Fallback>
            </mc:AlternateContent>
          </w:r>
          <w:r w:rsidR="00616989">
            <w:rPr>
              <w:b/>
            </w:rPr>
            <w:br w:type="page"/>
          </w:r>
        </w:p>
        <w:p w:rsidR="00D908A7" w:rsidRDefault="009C54B0">
          <w:pPr>
            <w:spacing w:after="200"/>
            <w:rPr>
              <w:b/>
            </w:rPr>
          </w:pPr>
        </w:p>
      </w:sdtContent>
    </w:sdt>
    <w:p w:rsidR="00F8732A" w:rsidRDefault="00D908A7" w:rsidP="0008362B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AE4A0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160B42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:rsidR="006410EE" w:rsidRPr="006410EE" w:rsidRDefault="006410EE" w:rsidP="0008362B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10EE" w:rsidRPr="006410EE" w:rsidRDefault="006410EE" w:rsidP="006410EE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</w:pPr>
      <w:r w:rsidRPr="006410EE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</w:t>
      </w:r>
      <w:bookmarkStart w:id="0" w:name="_Hlk171580505"/>
      <w:r w:rsidRPr="006410EE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za pet mjeseci 2025. godine iznosili su 1.097,0 mil. € ili 13,8% BDP-a, što je za 8,5 mil. € ili 0,8% veće u odnosu na isti period prethodne godine</w:t>
      </w:r>
      <w:bookmarkEnd w:id="0"/>
      <w:r w:rsidRPr="006410EE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. Važno je istaći da se </w:t>
      </w:r>
      <w:r w:rsidRPr="006410E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  <w:t>Izvještaj o izvršenju prihoda budžeta odnosi na period januar-maj, zaključno sa 28.05.2025. godine. Naime, preostali radni dan (29.05) proknjižen je kao prihod za jun</w:t>
      </w:r>
      <w:r w:rsidR="008C717A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  <w:t>,</w:t>
      </w:r>
      <w:bookmarkStart w:id="1" w:name="_GoBack"/>
      <w:bookmarkEnd w:id="1"/>
      <w:r w:rsidRPr="006410E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  <w:t xml:space="preserve"> </w:t>
      </w:r>
      <w:r w:rsidR="00F85F53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  <w:t xml:space="preserve">imajući u vidu da je Centralna banka Crne Gore uspostavila novi platni sistem, za čije je usklađivanje sa informacionim sistemom Poreske uprave bilo potrebno određeno vrijeme. </w:t>
      </w:r>
    </w:p>
    <w:p w:rsidR="006410EE" w:rsidRPr="006410EE" w:rsidRDefault="006410EE" w:rsidP="006410EE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</w:pPr>
      <w:r w:rsidRPr="006410EE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  <w:t>Sve ključne kategorije poreza bilježe rast naplate, kako u odnosu na isti period prethodne godine, tako i u odnosu na plan</w:t>
      </w:r>
      <w:r w:rsidR="00F85F53"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  <w:t>.</w:t>
      </w:r>
    </w:p>
    <w:p w:rsidR="006410EE" w:rsidRPr="006410EE" w:rsidRDefault="006410EE" w:rsidP="006410EE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</w:pPr>
    </w:p>
    <w:p w:rsidR="006410EE" w:rsidRPr="006410EE" w:rsidRDefault="006410EE" w:rsidP="006410EE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val="sr-Latn-ME" w:eastAsia="en-GB"/>
        </w:rPr>
      </w:pPr>
      <w:r w:rsidRPr="006410EE">
        <w:rPr>
          <w:noProof/>
          <w:sz w:val="24"/>
          <w:szCs w:val="24"/>
          <w:lang w:val="sr-Latn-ME"/>
        </w:rPr>
        <w:drawing>
          <wp:inline distT="0" distB="0" distL="0" distR="0" wp14:anchorId="205D3C0E" wp14:editId="33D595CA">
            <wp:extent cx="572262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8072549-4F5E-4B6E-94A4-ECE584180F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10EE" w:rsidRPr="006410EE" w:rsidRDefault="006410EE" w:rsidP="006410EE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b/>
          <w:sz w:val="24"/>
          <w:szCs w:val="24"/>
          <w:lang w:val="sr-Latn-ME" w:eastAsia="en-GB"/>
        </w:rPr>
        <w:t>Porez na dobit pravnih lica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199,8 mil. €, što predstavlja značajan rast, i to za 14,1 mil. € ili 7,6% u odnosu na isti period 2024. godine, odnosno 6,9 mil. € ili 3,6% iznad plana za posmatrani period.</w:t>
      </w: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b/>
          <w:sz w:val="24"/>
          <w:szCs w:val="24"/>
          <w:lang w:val="sr-Latn-ME" w:eastAsia="en-GB"/>
        </w:rPr>
        <w:lastRenderedPageBreak/>
        <w:t>Porez na dohodak fizičkih lica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38,7 mil. €, što je za 6,7 mil. € ili 20,9% veće u odnosu na isti period 2024. godine i na nivou je plana za posmatrani period.</w:t>
      </w: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b/>
          <w:sz w:val="24"/>
          <w:szCs w:val="24"/>
          <w:lang w:val="sr-Latn-ME" w:eastAsia="en-GB"/>
        </w:rPr>
        <w:t>Porez na dodatu vrijednost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487,2 mil. €, što je za čak 52,1 mil. € ili 12% veće u odnosu na isti period 2024. godine i za 1,7 mil. € ili 0,4% u odnosu na plan, kao rezultat dinamične ekonomske aktivnosti i smanjenja neformalne ekonomije. U istom periodu, povraćaj PDV-a iznosio je 55,4 mil. €, odnosno veći je u odnosu na isti period 2024. godine za 5,6 mil. € ili 11,3%.</w:t>
      </w: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b/>
          <w:sz w:val="24"/>
          <w:szCs w:val="24"/>
          <w:lang w:val="sr-Latn-ME" w:eastAsia="en-GB"/>
        </w:rPr>
        <w:t>Naplata akciza je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 ostvarena u iznosu od 135,8 mil. €, što je za 10,3 mil. € ili 8,2% veće u odnosu na isti period 2024. godine i iznad planiranog nivoa za 5,2 mil. € ili 4%. </w:t>
      </w: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19,6 mil. €, što je za 7,8 mil. € ili 66,1% veće u odnosu na plan, dok je navedena kategorija prihoda </w:t>
      </w:r>
      <w:r w:rsidR="004C48A4">
        <w:rPr>
          <w:rFonts w:eastAsia="Times New Roman" w:cstheme="minorHAnsi"/>
          <w:sz w:val="24"/>
          <w:szCs w:val="24"/>
          <w:lang w:val="sr-Latn-ME" w:eastAsia="en-GB"/>
        </w:rPr>
        <w:t>odstupa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u odnosu na posmatrani period 2024. godine za 9,6 mil. € ili 32,8%. Razlog odstupanja je prvenstveno izvršenje ove kategorije prihoda budžeta u prvih pet mjeseci 2024. godine, i to po osnovu uplata dobiti CBCG (za 2022. i 2023. godinu), kao i programa ekonomskog državljanstva. U aprilu ove godine je CBCG uplatila dobit u iznosu od 4,9 mil. € i to za 2024. godinu. </w:t>
      </w:r>
    </w:p>
    <w:p w:rsidR="006410EE" w:rsidRPr="006410EE" w:rsidRDefault="006410EE" w:rsidP="006410EE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Sa druge strane, </w:t>
      </w:r>
      <w:r w:rsidRPr="006410EE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149,9 mil. € što je za 67,5 mil. € ili 31% </w:t>
      </w:r>
      <w:r w:rsidR="004C48A4">
        <w:rPr>
          <w:rFonts w:eastAsia="Times New Roman" w:cstheme="minorHAnsi"/>
          <w:sz w:val="24"/>
          <w:szCs w:val="24"/>
          <w:lang w:val="sr-Latn-ME" w:eastAsia="en-GB"/>
        </w:rPr>
        <w:t>odstupanje</w:t>
      </w:r>
      <w:r w:rsidRPr="006410EE">
        <w:rPr>
          <w:rFonts w:eastAsia="Times New Roman" w:cstheme="minorHAnsi"/>
          <w:sz w:val="24"/>
          <w:szCs w:val="24"/>
          <w:lang w:val="sr-Latn-ME" w:eastAsia="en-GB"/>
        </w:rPr>
        <w:t xml:space="preserve"> posmatrano u odnosu na isti period 2024. godine</w:t>
      </w:r>
      <w:r w:rsidR="004C48A4">
        <w:rPr>
          <w:rFonts w:eastAsia="Times New Roman" w:cstheme="minorHAnsi"/>
          <w:sz w:val="24"/>
          <w:szCs w:val="24"/>
          <w:lang w:val="sr-Latn-ME" w:eastAsia="en-GB"/>
        </w:rPr>
        <w:t>.</w:t>
      </w:r>
    </w:p>
    <w:p w:rsidR="006410EE" w:rsidRPr="006410EE" w:rsidRDefault="006410EE" w:rsidP="006410EE">
      <w:pPr>
        <w:shd w:val="clear" w:color="auto" w:fill="FFFFFF"/>
        <w:spacing w:line="259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6410EE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Samo u maju 2025. godine, naplaćeno je ukupno 199,5 mil. € prihoda budžeta, što je za 4,3 mil. € ili 2,2% veće u odnosu na isti mjesec 2024. godine. </w:t>
      </w:r>
    </w:p>
    <w:p w:rsidR="003C0235" w:rsidRDefault="003C0235" w:rsidP="0008362B">
      <w:pPr>
        <w:shd w:val="clear" w:color="auto" w:fill="FFFFFF"/>
        <w:jc w:val="both"/>
        <w:rPr>
          <w:rFonts w:eastAsia="Times New Roman" w:cstheme="minorHAnsi"/>
          <w:color w:val="000000"/>
          <w:lang w:val="sr-Latn-ME" w:eastAsia="en-GB"/>
        </w:rPr>
      </w:pPr>
    </w:p>
    <w:p w:rsidR="005064AE" w:rsidRPr="00160B42" w:rsidRDefault="00B15613" w:rsidP="00B15613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AE4A0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maj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5064AE" w:rsidRPr="00B15613" w:rsidRDefault="005064AE" w:rsidP="00844CF4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622E" w:rsidRDefault="00C6469F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="00963A77">
        <w:rPr>
          <w:rFonts w:cstheme="minorHAnsi"/>
          <w:sz w:val="24"/>
          <w:szCs w:val="24"/>
          <w:lang w:val="sr-Latn-ME"/>
        </w:rPr>
        <w:t xml:space="preserve">za </w:t>
      </w:r>
      <w:r w:rsidR="00114F1F">
        <w:rPr>
          <w:rFonts w:cstheme="minorHAnsi"/>
          <w:sz w:val="24"/>
          <w:szCs w:val="24"/>
          <w:lang w:val="sr-Latn-ME"/>
        </w:rPr>
        <w:t>prvih pet</w:t>
      </w:r>
      <w:r w:rsidR="00963A77">
        <w:rPr>
          <w:rFonts w:cstheme="minorHAnsi"/>
          <w:sz w:val="24"/>
          <w:szCs w:val="24"/>
          <w:lang w:val="sr-Latn-ME"/>
        </w:rPr>
        <w:t xml:space="preserve"> mjesec</w:t>
      </w:r>
      <w:r w:rsidR="00114F1F">
        <w:rPr>
          <w:rFonts w:cstheme="minorHAnsi"/>
          <w:sz w:val="24"/>
          <w:szCs w:val="24"/>
          <w:lang w:val="sr-Latn-ME"/>
        </w:rPr>
        <w:t>i</w:t>
      </w:r>
      <w:r>
        <w:rPr>
          <w:rFonts w:cstheme="minorHAnsi"/>
          <w:sz w:val="24"/>
          <w:szCs w:val="24"/>
          <w:lang w:val="sr-Latn-ME"/>
        </w:rPr>
        <w:t xml:space="preserve"> 2025. godine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4C1C5C">
        <w:rPr>
          <w:rFonts w:cstheme="minorHAnsi"/>
          <w:bCs/>
          <w:sz w:val="24"/>
          <w:szCs w:val="24"/>
          <w:lang w:val="sr-Latn-ME"/>
        </w:rPr>
        <w:t>1.142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4C1C5C">
        <w:rPr>
          <w:rFonts w:cstheme="minorHAnsi"/>
          <w:bCs/>
          <w:sz w:val="24"/>
          <w:szCs w:val="24"/>
          <w:lang w:val="sr-Latn-ME"/>
        </w:rPr>
        <w:t>0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</w:t>
      </w:r>
      <w:r w:rsidR="003C0235">
        <w:rPr>
          <w:rFonts w:cstheme="minorHAnsi"/>
          <w:bCs/>
          <w:sz w:val="24"/>
          <w:szCs w:val="24"/>
          <w:lang w:val="sr-Latn-ME"/>
        </w:rPr>
        <w:t xml:space="preserve"> 1</w:t>
      </w:r>
      <w:r w:rsidR="004C1C5C">
        <w:rPr>
          <w:rFonts w:cstheme="minorHAnsi"/>
          <w:bCs/>
          <w:sz w:val="24"/>
          <w:szCs w:val="24"/>
          <w:lang w:val="sr-Latn-ME"/>
        </w:rPr>
        <w:t>4</w:t>
      </w:r>
      <w:r w:rsidR="007E6E06">
        <w:rPr>
          <w:rFonts w:cstheme="minorHAnsi"/>
          <w:bCs/>
          <w:sz w:val="24"/>
          <w:szCs w:val="24"/>
          <w:lang w:val="sr-Latn-ME"/>
        </w:rPr>
        <w:t>,</w:t>
      </w:r>
      <w:r w:rsidR="004C1C5C"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procijenjenog BDP-a. </w:t>
      </w:r>
    </w:p>
    <w:p w:rsidR="00FC4C61" w:rsidRDefault="008C0452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lastRenderedPageBreak/>
        <w:drawing>
          <wp:inline distT="0" distB="0" distL="0" distR="0" wp14:anchorId="41C87041">
            <wp:extent cx="1876425" cy="3196913"/>
            <wp:effectExtent l="19050" t="19050" r="9525" b="228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58" cy="322014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prstDash val="lgDash"/>
                    </a:ln>
                  </pic:spPr>
                </pic:pic>
              </a:graphicData>
            </a:graphic>
          </wp:inline>
        </w:drawing>
      </w:r>
      <w:r w:rsidR="00FC4C61"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043D88D8">
            <wp:extent cx="4002499" cy="3201670"/>
            <wp:effectExtent l="19050" t="19050" r="17145" b="177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705" cy="3208234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prstDash val="dashDot"/>
                    </a:ln>
                  </pic:spPr>
                </pic:pic>
              </a:graphicData>
            </a:graphic>
          </wp:inline>
        </w:drawing>
      </w:r>
    </w:p>
    <w:p w:rsidR="00B8622E" w:rsidRDefault="00B8622E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DC3A5D" w:rsidRDefault="00DC3A5D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Pr="00141318" w:rsidRDefault="005064AE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805737">
        <w:rPr>
          <w:rFonts w:cstheme="minorHAnsi"/>
          <w:b/>
          <w:bCs/>
          <w:sz w:val="24"/>
          <w:szCs w:val="24"/>
          <w:lang w:val="sr-Latn-ME"/>
        </w:rPr>
        <w:t>Tekući izdaci u tekućem budžetu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u </w:t>
      </w:r>
      <w:r w:rsidR="008E6939" w:rsidRPr="00805737">
        <w:rPr>
          <w:rFonts w:cstheme="minorHAnsi"/>
          <w:bCs/>
          <w:sz w:val="24"/>
          <w:szCs w:val="24"/>
          <w:lang w:val="sr-Latn-ME"/>
        </w:rPr>
        <w:t>posmatranom periodu</w:t>
      </w:r>
      <w:r w:rsidR="00084539" w:rsidRPr="00805737">
        <w:rPr>
          <w:rFonts w:cstheme="minorHAnsi"/>
          <w:bCs/>
          <w:sz w:val="24"/>
          <w:szCs w:val="24"/>
          <w:lang w:val="sr-Latn-ME"/>
        </w:rPr>
        <w:t xml:space="preserve"> 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ostvareni su u iznosu od </w:t>
      </w:r>
      <w:r w:rsidR="00DD09D7" w:rsidRPr="00805737">
        <w:rPr>
          <w:rFonts w:cstheme="minorHAnsi"/>
          <w:bCs/>
          <w:sz w:val="24"/>
          <w:szCs w:val="24"/>
          <w:lang w:val="sr-Latn-ME"/>
        </w:rPr>
        <w:t>459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DD09D7" w:rsidRPr="00805737">
        <w:rPr>
          <w:rFonts w:cstheme="minorHAnsi"/>
          <w:bCs/>
          <w:sz w:val="24"/>
          <w:szCs w:val="24"/>
          <w:lang w:val="sr-Latn-ME"/>
        </w:rPr>
        <w:t xml:space="preserve">03 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mil. €, što predstavlja </w:t>
      </w:r>
      <w:r w:rsidR="008E6939" w:rsidRPr="00805737">
        <w:rPr>
          <w:rFonts w:cstheme="minorHAnsi"/>
          <w:bCs/>
          <w:sz w:val="24"/>
          <w:szCs w:val="24"/>
          <w:lang w:val="sr-Latn-ME"/>
        </w:rPr>
        <w:t>9</w:t>
      </w:r>
      <w:r w:rsidR="002D5234" w:rsidRPr="00805737">
        <w:rPr>
          <w:rFonts w:cstheme="minorHAnsi"/>
          <w:bCs/>
          <w:sz w:val="24"/>
          <w:szCs w:val="24"/>
          <w:lang w:val="sr-Latn-ME"/>
        </w:rPr>
        <w:t>4</w:t>
      </w:r>
      <w:r w:rsidRPr="00805737">
        <w:rPr>
          <w:rFonts w:cstheme="minorHAnsi"/>
          <w:bCs/>
          <w:sz w:val="24"/>
          <w:szCs w:val="24"/>
          <w:lang w:val="sr-Latn-ME"/>
        </w:rPr>
        <w:t>% plana</w:t>
      </w:r>
      <w:r w:rsidR="008E6939" w:rsidRPr="00805737">
        <w:rPr>
          <w:rFonts w:cstheme="minorHAnsi"/>
          <w:bCs/>
          <w:sz w:val="24"/>
          <w:szCs w:val="24"/>
          <w:lang w:val="sr-Latn-ME"/>
        </w:rPr>
        <w:t xml:space="preserve">. </w:t>
      </w:r>
      <w:r w:rsidR="00A00EB5" w:rsidRPr="00141318">
        <w:rPr>
          <w:rFonts w:cstheme="minorHAnsi"/>
          <w:bCs/>
          <w:sz w:val="24"/>
          <w:szCs w:val="24"/>
          <w:lang w:val="sr-Latn-ME"/>
        </w:rPr>
        <w:t xml:space="preserve">Veće ostvarenje je zabilježeno kod kamata </w:t>
      </w:r>
      <w:r w:rsidR="00A00EB5" w:rsidRPr="00D135CF">
        <w:rPr>
          <w:rFonts w:cstheme="minorHAnsi"/>
          <w:bCs/>
          <w:sz w:val="24"/>
          <w:szCs w:val="24"/>
          <w:lang w:val="sr-Latn-ME"/>
        </w:rPr>
        <w:t>na poziciji Kamate nerezidentima</w:t>
      </w:r>
      <w:r w:rsidR="00C253B6" w:rsidRPr="00D135CF">
        <w:rPr>
          <w:rFonts w:cstheme="minorHAnsi"/>
          <w:bCs/>
          <w:sz w:val="24"/>
          <w:szCs w:val="24"/>
          <w:lang w:val="sr-Latn-ME"/>
        </w:rPr>
        <w:t xml:space="preserve">, </w:t>
      </w:r>
      <w:r w:rsidR="00A00EB5" w:rsidRPr="00141318">
        <w:rPr>
          <w:rFonts w:cstheme="minorHAnsi"/>
          <w:bCs/>
          <w:sz w:val="24"/>
          <w:szCs w:val="24"/>
          <w:lang w:val="sr-Latn-ME"/>
        </w:rPr>
        <w:t xml:space="preserve">dok je manje ostvarenje zabilježeno dominantno kod rashoda za </w:t>
      </w:r>
      <w:r w:rsidR="00C253B6" w:rsidRPr="00141318">
        <w:rPr>
          <w:rFonts w:cstheme="minorHAnsi"/>
          <w:bCs/>
          <w:sz w:val="24"/>
          <w:szCs w:val="24"/>
          <w:lang w:val="sr-Latn-ME"/>
        </w:rPr>
        <w:t>tekuće održavanje</w:t>
      </w:r>
      <w:r w:rsidR="00A00EB5" w:rsidRPr="00141318">
        <w:rPr>
          <w:rFonts w:cstheme="minorHAnsi"/>
          <w:bCs/>
          <w:sz w:val="24"/>
          <w:szCs w:val="24"/>
          <w:lang w:val="sr-Latn-ME"/>
        </w:rPr>
        <w:t xml:space="preserve"> i ostalih izdataka.</w:t>
      </w:r>
    </w:p>
    <w:p w:rsidR="006A27D3" w:rsidRPr="004C1C5C" w:rsidRDefault="006A27D3" w:rsidP="002D43C7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BB4EA3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805737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ost</w:t>
      </w:r>
      <w:r w:rsidR="00D161F4" w:rsidRPr="00805737">
        <w:rPr>
          <w:rFonts w:cstheme="minorHAnsi"/>
          <w:bCs/>
          <w:sz w:val="24"/>
          <w:szCs w:val="24"/>
          <w:lang w:val="sr-Latn-ME"/>
        </w:rPr>
        <w:t>v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areni su u iznosu od 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450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20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mil. € što predstavlja ostvarenje </w:t>
      </w:r>
      <w:r w:rsidR="0008362B" w:rsidRPr="00805737">
        <w:rPr>
          <w:rFonts w:cstheme="minorHAnsi"/>
          <w:bCs/>
          <w:sz w:val="24"/>
          <w:szCs w:val="24"/>
          <w:lang w:val="sr-Latn-ME"/>
        </w:rPr>
        <w:t>101</w:t>
      </w:r>
      <w:r w:rsidR="003A3017"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7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% plana i u odnosu na isti </w:t>
      </w:r>
      <w:r w:rsidR="00084539" w:rsidRPr="00805737">
        <w:rPr>
          <w:rFonts w:cstheme="minorHAnsi"/>
          <w:bCs/>
          <w:sz w:val="24"/>
          <w:szCs w:val="24"/>
          <w:lang w:val="sr-Latn-ME"/>
        </w:rPr>
        <w:t>period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prethodne godine veći su za 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51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24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4539" w:rsidRPr="00805737">
        <w:rPr>
          <w:rFonts w:cstheme="minorHAnsi"/>
          <w:bCs/>
          <w:sz w:val="24"/>
          <w:szCs w:val="24"/>
          <w:lang w:val="sr-Latn-ME"/>
        </w:rPr>
        <w:t>1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2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8</w:t>
      </w:r>
      <w:r w:rsidRPr="00805737">
        <w:rPr>
          <w:rFonts w:cstheme="minorHAnsi"/>
          <w:bCs/>
          <w:sz w:val="24"/>
          <w:szCs w:val="24"/>
          <w:lang w:val="sr-Latn-ME"/>
        </w:rPr>
        <w:t>%.</w:t>
      </w:r>
      <w:r w:rsidR="00C55F88" w:rsidRPr="00805737">
        <w:rPr>
          <w:rFonts w:cstheme="minorHAnsi"/>
          <w:bCs/>
          <w:sz w:val="24"/>
          <w:szCs w:val="24"/>
          <w:lang w:val="sr-Latn-ME"/>
        </w:rPr>
        <w:t xml:space="preserve"> </w:t>
      </w:r>
      <w:r w:rsidRPr="00805737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su 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160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84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mil. € i </w:t>
      </w:r>
      <w:r w:rsidR="003A3017" w:rsidRPr="00805737">
        <w:rPr>
          <w:rFonts w:cstheme="minorHAnsi"/>
          <w:bCs/>
          <w:sz w:val="24"/>
          <w:szCs w:val="24"/>
          <w:lang w:val="sr-Latn-ME"/>
        </w:rPr>
        <w:t>manji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su od plana za 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5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86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3</w:t>
      </w:r>
      <w:r w:rsidRPr="00805737">
        <w:rPr>
          <w:rFonts w:cstheme="minorHAnsi"/>
          <w:bCs/>
          <w:sz w:val="24"/>
          <w:szCs w:val="24"/>
          <w:lang w:val="sr-Latn-ME"/>
        </w:rPr>
        <w:t>,</w:t>
      </w:r>
      <w:r w:rsidR="00805737" w:rsidRPr="00805737">
        <w:rPr>
          <w:rFonts w:cstheme="minorHAnsi"/>
          <w:bCs/>
          <w:sz w:val="24"/>
          <w:szCs w:val="24"/>
          <w:lang w:val="sr-Latn-ME"/>
        </w:rPr>
        <w:t>5</w:t>
      </w:r>
      <w:r w:rsidRPr="00805737">
        <w:rPr>
          <w:rFonts w:cstheme="minorHAnsi"/>
          <w:bCs/>
          <w:sz w:val="24"/>
          <w:szCs w:val="24"/>
          <w:lang w:val="sr-Latn-ME"/>
        </w:rPr>
        <w:t xml:space="preserve">%. </w:t>
      </w:r>
    </w:p>
    <w:p w:rsidR="00805737" w:rsidRPr="0093329C" w:rsidRDefault="00805737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D6185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93329C">
        <w:rPr>
          <w:rFonts w:cstheme="minorHAnsi"/>
          <w:b/>
          <w:sz w:val="24"/>
          <w:szCs w:val="24"/>
          <w:lang w:val="sr-Latn-ME"/>
        </w:rPr>
        <w:t>Kapitalni budžet</w:t>
      </w:r>
      <w:r w:rsidRPr="0093329C">
        <w:rPr>
          <w:rFonts w:cstheme="minorHAnsi"/>
          <w:bCs/>
          <w:sz w:val="24"/>
          <w:szCs w:val="24"/>
          <w:lang w:val="sr-Latn-ME"/>
        </w:rPr>
        <w:t xml:space="preserve">, koji uključuje budžetske pozicije kapitalnih izdataka, </w:t>
      </w:r>
      <w:r w:rsidR="003A3017" w:rsidRPr="0093329C">
        <w:rPr>
          <w:rFonts w:cstheme="minorHAnsi"/>
          <w:bCs/>
          <w:sz w:val="24"/>
          <w:szCs w:val="24"/>
          <w:lang w:val="sr-Latn-ME"/>
        </w:rPr>
        <w:t xml:space="preserve">u </w:t>
      </w:r>
      <w:r w:rsidR="00084539" w:rsidRPr="0093329C">
        <w:rPr>
          <w:rFonts w:cstheme="minorHAnsi"/>
          <w:bCs/>
          <w:sz w:val="24"/>
          <w:szCs w:val="24"/>
          <w:lang w:val="sr-Latn-ME"/>
        </w:rPr>
        <w:t>posmatranom periodu</w:t>
      </w:r>
      <w:r w:rsidR="003A3017" w:rsidRPr="0093329C">
        <w:rPr>
          <w:rFonts w:cstheme="minorHAnsi"/>
          <w:bCs/>
          <w:sz w:val="24"/>
          <w:szCs w:val="24"/>
          <w:lang w:val="sr-Latn-ME"/>
        </w:rPr>
        <w:t xml:space="preserve"> ostvaren je na ni</w:t>
      </w:r>
      <w:r w:rsidR="002867C0" w:rsidRPr="0093329C">
        <w:rPr>
          <w:rFonts w:cstheme="minorHAnsi"/>
          <w:bCs/>
          <w:sz w:val="24"/>
          <w:szCs w:val="24"/>
          <w:lang w:val="sr-Latn-ME"/>
        </w:rPr>
        <w:t>vo</w:t>
      </w:r>
      <w:r w:rsidR="003A3017" w:rsidRPr="0093329C">
        <w:rPr>
          <w:rFonts w:cstheme="minorHAnsi"/>
          <w:bCs/>
          <w:sz w:val="24"/>
          <w:szCs w:val="24"/>
          <w:lang w:val="sr-Latn-ME"/>
        </w:rPr>
        <w:t xml:space="preserve">u od </w:t>
      </w:r>
      <w:r w:rsidR="0093329C" w:rsidRPr="0093329C">
        <w:rPr>
          <w:rFonts w:cstheme="minorHAnsi"/>
          <w:bCs/>
          <w:sz w:val="24"/>
          <w:szCs w:val="24"/>
          <w:lang w:val="sr-Latn-ME"/>
        </w:rPr>
        <w:t>40</w:t>
      </w:r>
      <w:r w:rsidR="003A3017" w:rsidRPr="0093329C">
        <w:rPr>
          <w:rFonts w:cstheme="minorHAnsi"/>
          <w:bCs/>
          <w:sz w:val="24"/>
          <w:szCs w:val="24"/>
          <w:lang w:val="sr-Latn-ME"/>
        </w:rPr>
        <w:t>,</w:t>
      </w:r>
      <w:r w:rsidR="0093329C" w:rsidRPr="0093329C">
        <w:rPr>
          <w:rFonts w:cstheme="minorHAnsi"/>
          <w:bCs/>
          <w:sz w:val="24"/>
          <w:szCs w:val="24"/>
          <w:lang w:val="sr-Latn-ME"/>
        </w:rPr>
        <w:t>15</w:t>
      </w:r>
      <w:r w:rsidR="003A3017" w:rsidRPr="0093329C">
        <w:rPr>
          <w:rFonts w:cstheme="minorHAnsi"/>
          <w:bCs/>
          <w:sz w:val="24"/>
          <w:szCs w:val="24"/>
          <w:lang w:val="sr-Latn-ME"/>
        </w:rPr>
        <w:t xml:space="preserve"> mil. €</w:t>
      </w:r>
      <w:r w:rsidR="0008362B" w:rsidRPr="0093329C">
        <w:rPr>
          <w:rFonts w:cstheme="minorHAnsi"/>
          <w:bCs/>
          <w:sz w:val="24"/>
          <w:szCs w:val="24"/>
          <w:lang w:val="sr-Latn-ME"/>
        </w:rPr>
        <w:t xml:space="preserve">. </w:t>
      </w:r>
      <w:r w:rsidR="0093329C" w:rsidRPr="0093329C">
        <w:rPr>
          <w:rFonts w:cstheme="minorHAnsi"/>
          <w:bCs/>
          <w:sz w:val="24"/>
          <w:szCs w:val="24"/>
          <w:lang w:val="sr-Latn-ME"/>
        </w:rPr>
        <w:t>U maju mjesecu ostvaren je na nivou od 8,32 mil. € što je u odnosu na isti mjesec prethodne godine veće za 1,21 mil. € ili 14,5%.</w:t>
      </w:r>
    </w:p>
    <w:p w:rsidR="00BB4EA3" w:rsidRPr="007616AE" w:rsidRDefault="00BB4EA3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BB4EA3" w:rsidRDefault="00C6469F" w:rsidP="00BB4EA3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  <w:r w:rsidRPr="00C6469F">
        <w:rPr>
          <w:rFonts w:cstheme="minorHAnsi"/>
          <w:sz w:val="24"/>
          <w:szCs w:val="24"/>
          <w:lang w:val="sr-Latn-ME"/>
        </w:rPr>
        <w:t xml:space="preserve">Posmatrajući </w:t>
      </w:r>
      <w:r w:rsidR="004C1C5C">
        <w:rPr>
          <w:rFonts w:cstheme="minorHAnsi"/>
          <w:b/>
          <w:sz w:val="24"/>
          <w:szCs w:val="24"/>
          <w:lang w:val="sr-Latn-ME"/>
        </w:rPr>
        <w:t>maj</w:t>
      </w:r>
      <w:r w:rsidRPr="00C6469F">
        <w:rPr>
          <w:rFonts w:cstheme="minorHAnsi"/>
          <w:sz w:val="24"/>
          <w:szCs w:val="24"/>
          <w:lang w:val="sr-Latn-ME"/>
        </w:rPr>
        <w:t>, izdaci iznose 2</w:t>
      </w:r>
      <w:r w:rsidR="004C1C5C">
        <w:rPr>
          <w:rFonts w:cstheme="minorHAnsi"/>
          <w:sz w:val="24"/>
          <w:szCs w:val="24"/>
          <w:lang w:val="sr-Latn-ME"/>
        </w:rPr>
        <w:t>35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4C1C5C">
        <w:rPr>
          <w:rFonts w:cstheme="minorHAnsi"/>
          <w:sz w:val="24"/>
          <w:szCs w:val="24"/>
          <w:lang w:val="sr-Latn-ME"/>
        </w:rPr>
        <w:t>3</w:t>
      </w:r>
      <w:r w:rsidR="00F65DA0">
        <w:rPr>
          <w:rFonts w:cstheme="minorHAnsi"/>
          <w:sz w:val="24"/>
          <w:szCs w:val="24"/>
          <w:lang w:val="sr-Latn-ME"/>
        </w:rPr>
        <w:t xml:space="preserve"> </w:t>
      </w:r>
      <w:r w:rsidRPr="00C6469F">
        <w:rPr>
          <w:rFonts w:cstheme="minorHAnsi"/>
          <w:sz w:val="24"/>
          <w:szCs w:val="24"/>
          <w:lang w:val="sr-Latn-ME"/>
        </w:rPr>
        <w:t xml:space="preserve">mil. € i </w:t>
      </w:r>
      <w:r w:rsidR="004E0C6B">
        <w:rPr>
          <w:rFonts w:cstheme="minorHAnsi"/>
          <w:sz w:val="24"/>
          <w:szCs w:val="24"/>
          <w:lang w:val="sr-Latn-ME"/>
        </w:rPr>
        <w:t>manj</w:t>
      </w:r>
      <w:r w:rsidR="00F25B79">
        <w:rPr>
          <w:rFonts w:cstheme="minorHAnsi"/>
          <w:sz w:val="24"/>
          <w:szCs w:val="24"/>
          <w:lang w:val="sr-Latn-ME"/>
        </w:rPr>
        <w:t>i</w:t>
      </w:r>
      <w:r w:rsidRPr="00C6469F">
        <w:rPr>
          <w:rFonts w:cstheme="minorHAnsi"/>
          <w:sz w:val="24"/>
          <w:szCs w:val="24"/>
          <w:lang w:val="sr-Latn-ME"/>
        </w:rPr>
        <w:t xml:space="preserve"> su za </w:t>
      </w:r>
      <w:r w:rsidR="004C1C5C">
        <w:rPr>
          <w:rFonts w:cstheme="minorHAnsi"/>
          <w:sz w:val="24"/>
          <w:szCs w:val="24"/>
          <w:lang w:val="sr-Latn-ME"/>
        </w:rPr>
        <w:t>3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4C1C5C">
        <w:rPr>
          <w:rFonts w:cstheme="minorHAnsi"/>
          <w:sz w:val="24"/>
          <w:szCs w:val="24"/>
          <w:lang w:val="sr-Latn-ME"/>
        </w:rPr>
        <w:t>9</w:t>
      </w:r>
      <w:r w:rsidR="00F25B79">
        <w:rPr>
          <w:rFonts w:cstheme="minorHAnsi"/>
          <w:sz w:val="24"/>
          <w:szCs w:val="24"/>
          <w:lang w:val="sr-Latn-ME"/>
        </w:rPr>
        <w:t xml:space="preserve"> </w:t>
      </w:r>
      <w:r w:rsidRPr="00C6469F">
        <w:rPr>
          <w:rFonts w:cstheme="minorHAnsi"/>
          <w:sz w:val="24"/>
          <w:szCs w:val="24"/>
          <w:lang w:val="sr-Latn-ME"/>
        </w:rPr>
        <w:t xml:space="preserve">mil. € ili </w:t>
      </w:r>
      <w:r w:rsidR="004C1C5C">
        <w:rPr>
          <w:rFonts w:cstheme="minorHAnsi"/>
          <w:sz w:val="24"/>
          <w:szCs w:val="24"/>
          <w:lang w:val="sr-Latn-ME"/>
        </w:rPr>
        <w:t>1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4E0C6B">
        <w:rPr>
          <w:rFonts w:cstheme="minorHAnsi"/>
          <w:sz w:val="24"/>
          <w:szCs w:val="24"/>
          <w:lang w:val="sr-Latn-ME"/>
        </w:rPr>
        <w:t>6</w:t>
      </w:r>
      <w:r w:rsidRPr="00C6469F">
        <w:rPr>
          <w:rFonts w:cstheme="minorHAnsi"/>
          <w:sz w:val="24"/>
          <w:szCs w:val="24"/>
          <w:lang w:val="sr-Latn-ME"/>
        </w:rPr>
        <w:t>% od plana</w:t>
      </w:r>
      <w:r w:rsidR="00F25B79">
        <w:rPr>
          <w:rFonts w:cstheme="minorHAnsi"/>
          <w:sz w:val="24"/>
          <w:szCs w:val="24"/>
          <w:lang w:val="sr-Latn-ME"/>
        </w:rPr>
        <w:t>, dok su u</w:t>
      </w:r>
      <w:r w:rsidR="00F0184E">
        <w:rPr>
          <w:rFonts w:cstheme="minorHAnsi"/>
          <w:sz w:val="24"/>
          <w:szCs w:val="24"/>
          <w:lang w:val="sr-Latn-ME"/>
        </w:rPr>
        <w:t xml:space="preserve"> odnosnu na</w:t>
      </w:r>
      <w:r w:rsidR="00F25B79">
        <w:rPr>
          <w:rFonts w:cstheme="minorHAnsi"/>
          <w:sz w:val="24"/>
          <w:szCs w:val="24"/>
          <w:lang w:val="sr-Latn-ME"/>
        </w:rPr>
        <w:t xml:space="preserve"> posmatrani period prethodne godine </w:t>
      </w:r>
      <w:r w:rsidR="002D1103">
        <w:rPr>
          <w:rFonts w:cstheme="minorHAnsi"/>
          <w:sz w:val="24"/>
          <w:szCs w:val="24"/>
          <w:lang w:val="sr-Latn-ME"/>
        </w:rPr>
        <w:t>veći</w:t>
      </w:r>
      <w:r w:rsidR="00F25B79">
        <w:rPr>
          <w:rFonts w:cstheme="minorHAnsi"/>
          <w:sz w:val="24"/>
          <w:szCs w:val="24"/>
          <w:lang w:val="sr-Latn-ME"/>
        </w:rPr>
        <w:t xml:space="preserve"> za </w:t>
      </w:r>
      <w:r w:rsidR="004C1C5C">
        <w:rPr>
          <w:rFonts w:cstheme="minorHAnsi"/>
          <w:sz w:val="24"/>
          <w:szCs w:val="24"/>
          <w:lang w:val="sr-Latn-ME"/>
        </w:rPr>
        <w:t>21</w:t>
      </w:r>
      <w:r w:rsidR="00F25B79">
        <w:rPr>
          <w:rFonts w:cstheme="minorHAnsi"/>
          <w:sz w:val="24"/>
          <w:szCs w:val="24"/>
          <w:lang w:val="sr-Latn-ME"/>
        </w:rPr>
        <w:t>,</w:t>
      </w:r>
      <w:r w:rsidR="001457B6">
        <w:rPr>
          <w:rFonts w:cstheme="minorHAnsi"/>
          <w:sz w:val="24"/>
          <w:szCs w:val="24"/>
          <w:lang w:val="sr-Latn-ME"/>
        </w:rPr>
        <w:t>3</w:t>
      </w:r>
      <w:r w:rsidR="00F25B79">
        <w:rPr>
          <w:rFonts w:cstheme="minorHAnsi"/>
          <w:sz w:val="24"/>
          <w:szCs w:val="24"/>
          <w:lang w:val="sr-Latn-ME"/>
        </w:rPr>
        <w:t xml:space="preserve"> mil. € ili 1</w:t>
      </w:r>
      <w:r w:rsidR="004C1C5C">
        <w:rPr>
          <w:rFonts w:cstheme="minorHAnsi"/>
          <w:sz w:val="24"/>
          <w:szCs w:val="24"/>
          <w:lang w:val="sr-Latn-ME"/>
        </w:rPr>
        <w:t>0</w:t>
      </w:r>
      <w:r w:rsidR="00F25B79">
        <w:rPr>
          <w:rFonts w:cstheme="minorHAnsi"/>
          <w:sz w:val="24"/>
          <w:szCs w:val="24"/>
          <w:lang w:val="sr-Latn-ME"/>
        </w:rPr>
        <w:t xml:space="preserve">%. 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Odstupanje od plana se dominantno odnosi na </w:t>
      </w:r>
      <w:r w:rsidR="00DB7E8C" w:rsidRPr="000C54CF">
        <w:rPr>
          <w:rFonts w:cstheme="minorHAnsi"/>
          <w:sz w:val="24"/>
          <w:szCs w:val="24"/>
          <w:lang w:val="sr-Latn-ME"/>
        </w:rPr>
        <w:t>manje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 ostvarenje na </w:t>
      </w:r>
      <w:r w:rsidR="00DB7E8C" w:rsidRPr="000C54CF">
        <w:rPr>
          <w:rFonts w:cstheme="minorHAnsi"/>
          <w:sz w:val="24"/>
          <w:szCs w:val="24"/>
          <w:lang w:val="sr-Latn-ME"/>
        </w:rPr>
        <w:t>većini pozicija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 Tekućih izdataka koji su ostvareni u iznosu od </w:t>
      </w:r>
      <w:r w:rsidR="00DB7E8C" w:rsidRPr="000C54CF">
        <w:rPr>
          <w:rFonts w:cstheme="minorHAnsi"/>
          <w:sz w:val="24"/>
          <w:szCs w:val="24"/>
          <w:lang w:val="sr-Latn-ME"/>
        </w:rPr>
        <w:t>90,09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 mil. € ili </w:t>
      </w:r>
      <w:r w:rsidR="00DB7E8C" w:rsidRPr="000C54CF">
        <w:rPr>
          <w:rFonts w:cstheme="minorHAnsi"/>
          <w:sz w:val="24"/>
          <w:szCs w:val="24"/>
          <w:lang w:val="sr-Latn-ME"/>
        </w:rPr>
        <w:t>91</w:t>
      </w:r>
      <w:r w:rsidR="00EA2BE8" w:rsidRPr="000C54CF">
        <w:rPr>
          <w:rFonts w:cstheme="minorHAnsi"/>
          <w:sz w:val="24"/>
          <w:szCs w:val="24"/>
          <w:lang w:val="sr-Latn-ME"/>
        </w:rPr>
        <w:t>,3% plana</w:t>
      </w:r>
      <w:r w:rsidR="00D403E8">
        <w:rPr>
          <w:rFonts w:cstheme="minorHAnsi"/>
          <w:sz w:val="24"/>
          <w:szCs w:val="24"/>
          <w:lang w:val="sr-Latn-ME"/>
        </w:rPr>
        <w:t>, kao i manje ostvarenje Rezerve koja je ostvarena u iznosu od 0</w:t>
      </w:r>
      <w:r w:rsidR="00D403E8" w:rsidRPr="00D403E8">
        <w:rPr>
          <w:rFonts w:cstheme="minorHAnsi"/>
          <w:sz w:val="24"/>
          <w:szCs w:val="24"/>
          <w:lang w:val="sr-Latn-ME"/>
        </w:rPr>
        <w:t>,0</w:t>
      </w:r>
      <w:r w:rsidR="00D403E8">
        <w:rPr>
          <w:rFonts w:cstheme="minorHAnsi"/>
          <w:sz w:val="24"/>
          <w:szCs w:val="24"/>
          <w:lang w:val="sr-Latn-ME"/>
        </w:rPr>
        <w:t>2</w:t>
      </w:r>
      <w:r w:rsidR="00D403E8" w:rsidRPr="00D403E8">
        <w:rPr>
          <w:rFonts w:cstheme="minorHAnsi"/>
          <w:sz w:val="24"/>
          <w:szCs w:val="24"/>
          <w:lang w:val="sr-Latn-ME"/>
        </w:rPr>
        <w:t xml:space="preserve"> mil. € ili </w:t>
      </w:r>
      <w:r w:rsidR="00D403E8">
        <w:rPr>
          <w:rFonts w:cstheme="minorHAnsi"/>
          <w:sz w:val="24"/>
          <w:szCs w:val="24"/>
          <w:lang w:val="sr-Latn-ME"/>
        </w:rPr>
        <w:t>0</w:t>
      </w:r>
      <w:r w:rsidR="00D403E8" w:rsidRPr="00D403E8">
        <w:rPr>
          <w:rFonts w:cstheme="minorHAnsi"/>
          <w:sz w:val="24"/>
          <w:szCs w:val="24"/>
          <w:lang w:val="sr-Latn-ME"/>
        </w:rPr>
        <w:t>,</w:t>
      </w:r>
      <w:r w:rsidR="00D403E8">
        <w:rPr>
          <w:rFonts w:cstheme="minorHAnsi"/>
          <w:sz w:val="24"/>
          <w:szCs w:val="24"/>
          <w:lang w:val="sr-Latn-ME"/>
        </w:rPr>
        <w:t>8</w:t>
      </w:r>
      <w:r w:rsidR="00D403E8" w:rsidRPr="00D403E8">
        <w:rPr>
          <w:rFonts w:cstheme="minorHAnsi"/>
          <w:sz w:val="24"/>
          <w:szCs w:val="24"/>
          <w:lang w:val="sr-Latn-ME"/>
        </w:rPr>
        <w:t>% plana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, </w:t>
      </w:r>
      <w:r w:rsidR="00DB7E8C" w:rsidRPr="000C54CF">
        <w:rPr>
          <w:rFonts w:cstheme="minorHAnsi"/>
          <w:sz w:val="24"/>
          <w:szCs w:val="24"/>
          <w:lang w:val="sr-Latn-ME"/>
        </w:rPr>
        <w:t xml:space="preserve">dok je veće ostvarenje od plana dominantno kod 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Transfera </w:t>
      </w:r>
      <w:r w:rsidR="00DB7E8C" w:rsidRPr="000C54CF">
        <w:rPr>
          <w:rFonts w:cstheme="minorHAnsi"/>
          <w:sz w:val="24"/>
          <w:szCs w:val="24"/>
          <w:lang w:val="sr-Latn-ME"/>
        </w:rPr>
        <w:t>institucijama, pojedincima, nevladinom i javnom sektoru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 koji su ostvareni u iznosu od </w:t>
      </w:r>
      <w:r w:rsidR="00DB7E8C" w:rsidRPr="000C54CF">
        <w:rPr>
          <w:rFonts w:cstheme="minorHAnsi"/>
          <w:sz w:val="24"/>
          <w:szCs w:val="24"/>
          <w:lang w:val="sr-Latn-ME"/>
        </w:rPr>
        <w:t>42</w:t>
      </w:r>
      <w:r w:rsidR="00EA2BE8" w:rsidRPr="000C54CF">
        <w:rPr>
          <w:rFonts w:cstheme="minorHAnsi"/>
          <w:sz w:val="24"/>
          <w:szCs w:val="24"/>
          <w:lang w:val="sr-Latn-ME"/>
        </w:rPr>
        <w:t>,</w:t>
      </w:r>
      <w:r w:rsidR="00DB7E8C" w:rsidRPr="000C54CF">
        <w:rPr>
          <w:rFonts w:cstheme="minorHAnsi"/>
          <w:sz w:val="24"/>
          <w:szCs w:val="24"/>
          <w:lang w:val="sr-Latn-ME"/>
        </w:rPr>
        <w:t>18</w:t>
      </w:r>
      <w:r w:rsidR="00EA2BE8" w:rsidRPr="000C54CF">
        <w:rPr>
          <w:rFonts w:cstheme="minorHAnsi"/>
          <w:sz w:val="24"/>
          <w:szCs w:val="24"/>
          <w:lang w:val="sr-Latn-ME"/>
        </w:rPr>
        <w:t xml:space="preserve"> mil. € ili </w:t>
      </w:r>
      <w:r w:rsidR="00DB7E8C" w:rsidRPr="000C54CF">
        <w:rPr>
          <w:rFonts w:cstheme="minorHAnsi"/>
          <w:sz w:val="24"/>
          <w:szCs w:val="24"/>
          <w:lang w:val="sr-Latn-ME"/>
        </w:rPr>
        <w:t>140</w:t>
      </w:r>
      <w:r w:rsidR="00EA2BE8" w:rsidRPr="000C54CF">
        <w:rPr>
          <w:rFonts w:cstheme="minorHAnsi"/>
          <w:sz w:val="24"/>
          <w:szCs w:val="24"/>
          <w:lang w:val="sr-Latn-ME"/>
        </w:rPr>
        <w:t>,6% plana.</w:t>
      </w:r>
    </w:p>
    <w:p w:rsidR="00EA2BE8" w:rsidRPr="004C1C5C" w:rsidRDefault="00EA2BE8" w:rsidP="00BB4EA3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p w:rsidR="00A04707" w:rsidRDefault="00EA2BE8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C54CF">
        <w:rPr>
          <w:rFonts w:cstheme="minorHAnsi"/>
          <w:sz w:val="24"/>
          <w:szCs w:val="24"/>
          <w:lang w:val="sr-Latn-ME"/>
        </w:rPr>
        <w:t xml:space="preserve">Kod Tekućih izdataka izdvaja se veće ostvarenje u odnosu na plan kod </w:t>
      </w:r>
      <w:r w:rsidR="00C6686F" w:rsidRPr="000C54CF">
        <w:rPr>
          <w:rFonts w:cstheme="minorHAnsi"/>
          <w:sz w:val="24"/>
          <w:szCs w:val="24"/>
          <w:lang w:val="sr-Latn-ME"/>
        </w:rPr>
        <w:t>S</w:t>
      </w:r>
      <w:r w:rsidRPr="000C54CF">
        <w:rPr>
          <w:rFonts w:cstheme="minorHAnsi"/>
          <w:sz w:val="24"/>
          <w:szCs w:val="24"/>
          <w:lang w:val="sr-Latn-ME"/>
        </w:rPr>
        <w:t>ubvencija</w:t>
      </w:r>
      <w:r w:rsidR="002961AE" w:rsidRPr="000C54CF">
        <w:rPr>
          <w:rFonts w:cstheme="minorHAnsi"/>
          <w:sz w:val="24"/>
          <w:szCs w:val="24"/>
          <w:lang w:val="sr-Latn-ME"/>
        </w:rPr>
        <w:t xml:space="preserve"> </w:t>
      </w:r>
      <w:r w:rsidR="002961AE" w:rsidRPr="008D03EF">
        <w:rPr>
          <w:rFonts w:cstheme="minorHAnsi"/>
          <w:sz w:val="24"/>
          <w:szCs w:val="24"/>
          <w:lang w:val="sr-Latn-ME"/>
        </w:rPr>
        <w:t xml:space="preserve">koje su ostvarene u iznosu od </w:t>
      </w:r>
      <w:r w:rsidR="008D03EF" w:rsidRPr="008D03EF">
        <w:rPr>
          <w:rFonts w:cstheme="minorHAnsi"/>
          <w:sz w:val="24"/>
          <w:szCs w:val="24"/>
          <w:lang w:val="sr-Latn-ME"/>
        </w:rPr>
        <w:t>4</w:t>
      </w:r>
      <w:r w:rsidR="002961AE" w:rsidRPr="008D03EF">
        <w:rPr>
          <w:rFonts w:cstheme="minorHAnsi"/>
          <w:sz w:val="24"/>
          <w:szCs w:val="24"/>
          <w:lang w:val="sr-Latn-ME"/>
        </w:rPr>
        <w:t>,</w:t>
      </w:r>
      <w:r w:rsidR="008D03EF" w:rsidRPr="008D03EF">
        <w:rPr>
          <w:rFonts w:cstheme="minorHAnsi"/>
          <w:sz w:val="24"/>
          <w:szCs w:val="24"/>
          <w:lang w:val="sr-Latn-ME"/>
        </w:rPr>
        <w:t>65</w:t>
      </w:r>
      <w:r w:rsidR="002961AE" w:rsidRPr="008D03EF">
        <w:rPr>
          <w:rFonts w:cstheme="minorHAnsi"/>
          <w:sz w:val="24"/>
          <w:szCs w:val="24"/>
          <w:lang w:val="sr-Latn-ME"/>
        </w:rPr>
        <w:t xml:space="preserve"> mil. € što je </w:t>
      </w:r>
      <w:r w:rsidR="008D03EF" w:rsidRPr="008D03EF">
        <w:rPr>
          <w:rFonts w:cstheme="minorHAnsi"/>
          <w:sz w:val="24"/>
          <w:szCs w:val="24"/>
          <w:lang w:val="sr-Latn-ME"/>
        </w:rPr>
        <w:t>27</w:t>
      </w:r>
      <w:r w:rsidR="002961AE" w:rsidRPr="008D03EF">
        <w:rPr>
          <w:rFonts w:cstheme="minorHAnsi"/>
          <w:sz w:val="24"/>
          <w:szCs w:val="24"/>
          <w:lang w:val="sr-Latn-ME"/>
        </w:rPr>
        <w:t>,</w:t>
      </w:r>
      <w:r w:rsidR="008D03EF" w:rsidRPr="008D03EF">
        <w:rPr>
          <w:rFonts w:cstheme="minorHAnsi"/>
          <w:sz w:val="24"/>
          <w:szCs w:val="24"/>
          <w:lang w:val="sr-Latn-ME"/>
        </w:rPr>
        <w:t>4</w:t>
      </w:r>
      <w:r w:rsidR="002961AE" w:rsidRPr="008D03EF">
        <w:rPr>
          <w:rFonts w:cstheme="minorHAnsi"/>
          <w:sz w:val="24"/>
          <w:szCs w:val="24"/>
          <w:lang w:val="sr-Latn-ME"/>
        </w:rPr>
        <w:t xml:space="preserve">% veće u odnosu na plan </w:t>
      </w:r>
      <w:r w:rsidRPr="008D03EF">
        <w:rPr>
          <w:rFonts w:cstheme="minorHAnsi"/>
          <w:sz w:val="24"/>
          <w:szCs w:val="24"/>
          <w:lang w:val="sr-Latn-ME"/>
        </w:rPr>
        <w:t xml:space="preserve">dominantno </w:t>
      </w:r>
      <w:r w:rsidR="002961AE" w:rsidRPr="008D03EF">
        <w:rPr>
          <w:rFonts w:cstheme="minorHAnsi"/>
          <w:sz w:val="24"/>
          <w:szCs w:val="24"/>
          <w:lang w:val="sr-Latn-ME"/>
        </w:rPr>
        <w:t>kod</w:t>
      </w:r>
      <w:r w:rsidRPr="008D03EF">
        <w:rPr>
          <w:rFonts w:cstheme="minorHAnsi"/>
          <w:sz w:val="24"/>
          <w:szCs w:val="24"/>
          <w:lang w:val="sr-Latn-ME"/>
        </w:rPr>
        <w:t xml:space="preserve"> </w:t>
      </w:r>
      <w:r w:rsidR="005D6AE7" w:rsidRPr="008D03EF">
        <w:rPr>
          <w:rFonts w:cstheme="minorHAnsi"/>
          <w:sz w:val="24"/>
          <w:szCs w:val="24"/>
          <w:lang w:val="sr-Latn-ME"/>
        </w:rPr>
        <w:t>Subvencij</w:t>
      </w:r>
      <w:r w:rsidR="002961AE" w:rsidRPr="008D03EF">
        <w:rPr>
          <w:rFonts w:cstheme="minorHAnsi"/>
          <w:sz w:val="24"/>
          <w:szCs w:val="24"/>
          <w:lang w:val="sr-Latn-ME"/>
        </w:rPr>
        <w:t>a</w:t>
      </w:r>
      <w:r w:rsidR="005D6AE7" w:rsidRPr="008D03EF">
        <w:rPr>
          <w:rFonts w:cstheme="minorHAnsi"/>
          <w:sz w:val="24"/>
          <w:szCs w:val="24"/>
          <w:lang w:val="sr-Latn-ME"/>
        </w:rPr>
        <w:t xml:space="preserve"> poslodavcima koji zaposle lica sa invaliditetom </w:t>
      </w:r>
      <w:r w:rsidRPr="008D03EF">
        <w:rPr>
          <w:rFonts w:cstheme="minorHAnsi"/>
          <w:sz w:val="24"/>
          <w:szCs w:val="24"/>
          <w:lang w:val="sr-Latn-ME"/>
        </w:rPr>
        <w:t xml:space="preserve">kod </w:t>
      </w:r>
      <w:r w:rsidR="005D6AE7" w:rsidRPr="008D03EF">
        <w:rPr>
          <w:rFonts w:cstheme="minorHAnsi"/>
          <w:sz w:val="24"/>
          <w:szCs w:val="24"/>
          <w:lang w:val="sr-Latn-ME"/>
        </w:rPr>
        <w:t>Zavoda za zapošljavanje</w:t>
      </w:r>
      <w:r w:rsidR="008D03EF" w:rsidRPr="008D03EF">
        <w:rPr>
          <w:rFonts w:cstheme="minorHAnsi"/>
          <w:sz w:val="24"/>
          <w:szCs w:val="24"/>
          <w:lang w:val="sr-Latn-ME"/>
        </w:rPr>
        <w:t>.</w:t>
      </w:r>
      <w:r w:rsidR="00400D66">
        <w:rPr>
          <w:rFonts w:cstheme="minorHAnsi"/>
          <w:sz w:val="24"/>
          <w:szCs w:val="24"/>
          <w:lang w:val="sr-Latn-ME"/>
        </w:rPr>
        <w:t xml:space="preserve"> </w:t>
      </w:r>
      <w:r w:rsidRPr="000C54CF">
        <w:rPr>
          <w:rFonts w:cstheme="minorHAnsi"/>
          <w:sz w:val="24"/>
          <w:szCs w:val="24"/>
          <w:lang w:val="sr-Latn-ME"/>
        </w:rPr>
        <w:t xml:space="preserve">Takođe, nešto veće ostvarenje u odnosu na plan je zabilježeno i kod Transfera za socijalnu zaštitu </w:t>
      </w:r>
      <w:r w:rsidR="000C54CF" w:rsidRPr="000C54CF">
        <w:rPr>
          <w:rFonts w:cstheme="minorHAnsi"/>
          <w:sz w:val="24"/>
          <w:szCs w:val="24"/>
          <w:lang w:val="sr-Latn-ME"/>
        </w:rPr>
        <w:t>koj</w:t>
      </w:r>
      <w:r w:rsidR="000C54CF">
        <w:rPr>
          <w:rFonts w:cstheme="minorHAnsi"/>
          <w:sz w:val="24"/>
          <w:szCs w:val="24"/>
          <w:lang w:val="sr-Latn-ME"/>
        </w:rPr>
        <w:t>i</w:t>
      </w:r>
      <w:r w:rsidR="000C54CF" w:rsidRPr="000C54CF">
        <w:rPr>
          <w:rFonts w:cstheme="minorHAnsi"/>
          <w:sz w:val="24"/>
          <w:szCs w:val="24"/>
          <w:lang w:val="sr-Latn-ME"/>
        </w:rPr>
        <w:t xml:space="preserve"> su ostvaren</w:t>
      </w:r>
      <w:r w:rsidR="000C54CF">
        <w:rPr>
          <w:rFonts w:cstheme="minorHAnsi"/>
          <w:sz w:val="24"/>
          <w:szCs w:val="24"/>
          <w:lang w:val="sr-Latn-ME"/>
        </w:rPr>
        <w:t>i</w:t>
      </w:r>
      <w:r w:rsidR="000C54CF" w:rsidRPr="000C54CF">
        <w:rPr>
          <w:rFonts w:cstheme="minorHAnsi"/>
          <w:sz w:val="24"/>
          <w:szCs w:val="24"/>
          <w:lang w:val="sr-Latn-ME"/>
        </w:rPr>
        <w:t xml:space="preserve"> u iznosu od </w:t>
      </w:r>
      <w:r w:rsidR="000C54CF">
        <w:rPr>
          <w:rFonts w:cstheme="minorHAnsi"/>
          <w:sz w:val="24"/>
          <w:szCs w:val="24"/>
          <w:lang w:val="sr-Latn-ME"/>
        </w:rPr>
        <w:t>90,67</w:t>
      </w:r>
      <w:r w:rsidR="000C54CF" w:rsidRPr="000C54CF">
        <w:rPr>
          <w:rFonts w:cstheme="minorHAnsi"/>
          <w:sz w:val="24"/>
          <w:szCs w:val="24"/>
          <w:lang w:val="sr-Latn-ME"/>
        </w:rPr>
        <w:t xml:space="preserve"> mil. € što je </w:t>
      </w:r>
      <w:r w:rsidR="000C54CF">
        <w:rPr>
          <w:rFonts w:cstheme="minorHAnsi"/>
          <w:sz w:val="24"/>
          <w:szCs w:val="24"/>
          <w:lang w:val="sr-Latn-ME"/>
        </w:rPr>
        <w:t>2</w:t>
      </w:r>
      <w:r w:rsidR="000C54CF" w:rsidRPr="000C54CF">
        <w:rPr>
          <w:rFonts w:cstheme="minorHAnsi"/>
          <w:sz w:val="24"/>
          <w:szCs w:val="24"/>
          <w:lang w:val="sr-Latn-ME"/>
        </w:rPr>
        <w:t>,</w:t>
      </w:r>
      <w:r w:rsidR="000C54CF">
        <w:rPr>
          <w:rFonts w:cstheme="minorHAnsi"/>
          <w:sz w:val="24"/>
          <w:szCs w:val="24"/>
          <w:lang w:val="sr-Latn-ME"/>
        </w:rPr>
        <w:t>6</w:t>
      </w:r>
      <w:r w:rsidR="000C54CF" w:rsidRPr="000C54CF">
        <w:rPr>
          <w:rFonts w:cstheme="minorHAnsi"/>
          <w:sz w:val="24"/>
          <w:szCs w:val="24"/>
          <w:lang w:val="sr-Latn-ME"/>
        </w:rPr>
        <w:t xml:space="preserve">% veće u odnosu na plan </w:t>
      </w:r>
      <w:r w:rsidRPr="00F61D4C">
        <w:rPr>
          <w:rFonts w:cstheme="minorHAnsi"/>
          <w:sz w:val="24"/>
          <w:szCs w:val="24"/>
          <w:lang w:val="sr-Latn-ME"/>
        </w:rPr>
        <w:t xml:space="preserve">dominantno kod </w:t>
      </w:r>
      <w:r w:rsidR="00F61D4C" w:rsidRPr="00F61D4C">
        <w:rPr>
          <w:rFonts w:cstheme="minorHAnsi"/>
          <w:sz w:val="24"/>
          <w:szCs w:val="24"/>
          <w:lang w:val="sr-Latn-ME"/>
        </w:rPr>
        <w:t>Fonda za zdravstveno osiguranje</w:t>
      </w:r>
      <w:r w:rsidR="003C2FD0" w:rsidRPr="00F61D4C">
        <w:rPr>
          <w:rFonts w:cstheme="minorHAnsi"/>
          <w:sz w:val="24"/>
          <w:szCs w:val="24"/>
          <w:lang w:val="sr-Latn-ME"/>
        </w:rPr>
        <w:t xml:space="preserve"> za </w:t>
      </w:r>
      <w:r w:rsidR="00F61D4C" w:rsidRPr="00F61D4C">
        <w:rPr>
          <w:rFonts w:cstheme="minorHAnsi"/>
          <w:sz w:val="24"/>
          <w:szCs w:val="24"/>
          <w:lang w:val="sr-Latn-ME"/>
        </w:rPr>
        <w:t>Ostvarivanje ostalih prava iz oblasti zdravstvene zaštite i osiguranja</w:t>
      </w:r>
      <w:r w:rsidR="003C2FD0" w:rsidRPr="00F61D4C">
        <w:rPr>
          <w:rFonts w:cstheme="minorHAnsi"/>
          <w:sz w:val="24"/>
          <w:szCs w:val="24"/>
          <w:lang w:val="sr-Latn-ME"/>
        </w:rPr>
        <w:t xml:space="preserve">, kao i </w:t>
      </w:r>
      <w:r w:rsidR="00F61D4C" w:rsidRPr="00F61D4C">
        <w:rPr>
          <w:rFonts w:cstheme="minorHAnsi"/>
          <w:sz w:val="24"/>
          <w:szCs w:val="24"/>
          <w:lang w:val="sr-Latn-ME"/>
        </w:rPr>
        <w:t>kod Ministarstva socijalnog staranja, brige o porodici i demografije za Regulisanje prava iz oblasti socijalne, boračke i invalidske zaštite</w:t>
      </w:r>
      <w:r w:rsidR="00D512C6">
        <w:rPr>
          <w:rFonts w:cstheme="minorHAnsi"/>
          <w:sz w:val="24"/>
          <w:szCs w:val="24"/>
          <w:lang w:val="sr-Latn-ME"/>
        </w:rPr>
        <w:t>. Veće ostvarenje</w:t>
      </w:r>
      <w:r w:rsidR="00FB44D6">
        <w:rPr>
          <w:rFonts w:cstheme="minorHAnsi"/>
          <w:sz w:val="24"/>
          <w:szCs w:val="24"/>
          <w:lang w:val="sr-Latn-ME"/>
        </w:rPr>
        <w:t xml:space="preserve"> u odnosu na plan</w:t>
      </w:r>
      <w:r w:rsidR="00D512C6">
        <w:rPr>
          <w:rFonts w:cstheme="minorHAnsi"/>
          <w:sz w:val="24"/>
          <w:szCs w:val="24"/>
          <w:lang w:val="sr-Latn-ME"/>
        </w:rPr>
        <w:t xml:space="preserve"> je i kod </w:t>
      </w:r>
      <w:r w:rsidR="000C54CF" w:rsidRPr="00F61D4C">
        <w:rPr>
          <w:rFonts w:cstheme="minorHAnsi"/>
          <w:sz w:val="24"/>
          <w:szCs w:val="24"/>
          <w:lang w:val="sr-Latn-ME"/>
        </w:rPr>
        <w:t>Transfera</w:t>
      </w:r>
      <w:r w:rsidR="000C54CF" w:rsidRPr="000C54CF">
        <w:t xml:space="preserve"> </w:t>
      </w:r>
      <w:r w:rsidR="000C54CF" w:rsidRPr="000C54CF">
        <w:rPr>
          <w:rFonts w:cstheme="minorHAnsi"/>
          <w:sz w:val="24"/>
          <w:szCs w:val="24"/>
          <w:lang w:val="sr-Latn-ME"/>
        </w:rPr>
        <w:t>institucijama, pojedincima, nevladinom i javnom sektoru</w:t>
      </w:r>
      <w:r w:rsidR="000C54CF">
        <w:rPr>
          <w:rFonts w:cstheme="minorHAnsi"/>
          <w:sz w:val="24"/>
          <w:szCs w:val="24"/>
          <w:lang w:val="sr-Latn-ME"/>
        </w:rPr>
        <w:t xml:space="preserve"> dominantno kod</w:t>
      </w:r>
      <w:r w:rsidR="003D75FC">
        <w:rPr>
          <w:rFonts w:cstheme="minorHAnsi"/>
          <w:sz w:val="24"/>
          <w:szCs w:val="24"/>
          <w:lang w:val="sr-Latn-ME"/>
        </w:rPr>
        <w:t xml:space="preserve"> Transfera za zdravstvenu zaštitu</w:t>
      </w:r>
      <w:r w:rsidR="00E16ECA">
        <w:rPr>
          <w:rFonts w:cstheme="minorHAnsi"/>
          <w:sz w:val="24"/>
          <w:szCs w:val="24"/>
          <w:lang w:val="sr-Latn-ME"/>
        </w:rPr>
        <w:t xml:space="preserve"> kod Fonda za zdravstveno osiguranje.</w:t>
      </w:r>
    </w:p>
    <w:p w:rsidR="00EA2BE8" w:rsidRPr="00B911D7" w:rsidRDefault="00EA2BE8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693645" w:rsidRDefault="005064AE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Uzimajući u obzir ostvarene prihode i rashode, u </w:t>
      </w:r>
      <w:r w:rsidR="00B911D7">
        <w:rPr>
          <w:rFonts w:cstheme="minorHAnsi"/>
          <w:b/>
          <w:sz w:val="24"/>
          <w:szCs w:val="24"/>
          <w:lang w:val="sr-Latn-ME"/>
        </w:rPr>
        <w:t>prv</w:t>
      </w:r>
      <w:r w:rsidR="004C1C5C">
        <w:rPr>
          <w:rFonts w:cstheme="minorHAnsi"/>
          <w:b/>
          <w:sz w:val="24"/>
          <w:szCs w:val="24"/>
          <w:lang w:val="sr-Latn-ME"/>
        </w:rPr>
        <w:t>ih</w:t>
      </w:r>
      <w:r w:rsidR="00B911D7">
        <w:rPr>
          <w:rFonts w:cstheme="minorHAnsi"/>
          <w:b/>
          <w:sz w:val="24"/>
          <w:szCs w:val="24"/>
          <w:lang w:val="sr-Latn-ME"/>
        </w:rPr>
        <w:t xml:space="preserve"> </w:t>
      </w:r>
      <w:r w:rsidR="004C1C5C">
        <w:rPr>
          <w:rFonts w:cstheme="minorHAnsi"/>
          <w:b/>
          <w:sz w:val="24"/>
          <w:szCs w:val="24"/>
          <w:lang w:val="sr-Latn-ME"/>
        </w:rPr>
        <w:t>pet</w:t>
      </w:r>
      <w:r w:rsidR="00B911D7">
        <w:rPr>
          <w:rFonts w:cstheme="minorHAnsi"/>
          <w:b/>
          <w:sz w:val="24"/>
          <w:szCs w:val="24"/>
          <w:lang w:val="sr-Latn-ME"/>
        </w:rPr>
        <w:t xml:space="preserve"> mjesec</w:t>
      </w:r>
      <w:r w:rsidR="004C1C5C">
        <w:rPr>
          <w:rFonts w:cstheme="minorHAnsi"/>
          <w:b/>
          <w:sz w:val="24"/>
          <w:szCs w:val="24"/>
          <w:lang w:val="sr-Latn-ME"/>
        </w:rPr>
        <w:t>i</w:t>
      </w:r>
      <w:r w:rsidR="00B911D7">
        <w:rPr>
          <w:rFonts w:cstheme="minorHAnsi"/>
          <w:b/>
          <w:sz w:val="24"/>
          <w:szCs w:val="24"/>
          <w:lang w:val="sr-Latn-ME"/>
        </w:rPr>
        <w:t xml:space="preserve"> 2025. godine 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ostvaren je </w:t>
      </w:r>
      <w:r w:rsidR="00B911D7">
        <w:rPr>
          <w:rFonts w:cstheme="minorHAnsi"/>
          <w:b/>
          <w:sz w:val="24"/>
          <w:szCs w:val="24"/>
          <w:lang w:val="sr-Latn-ME"/>
        </w:rPr>
        <w:t>deficit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budžeta u iznosu od </w:t>
      </w:r>
      <w:r w:rsidR="004C1C5C">
        <w:rPr>
          <w:rFonts w:cstheme="minorHAnsi"/>
          <w:b/>
          <w:sz w:val="24"/>
          <w:szCs w:val="24"/>
          <w:lang w:val="sr-Latn-ME"/>
        </w:rPr>
        <w:t>45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4E0C6B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mil. €, odnosno na nivou od </w:t>
      </w:r>
      <w:r w:rsidR="003A3017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4C1C5C">
        <w:rPr>
          <w:rFonts w:cstheme="minorHAnsi"/>
          <w:b/>
          <w:sz w:val="24"/>
          <w:szCs w:val="24"/>
          <w:lang w:val="sr-Latn-ME"/>
        </w:rPr>
        <w:t>6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% procijenjenog BDP-a, što je za </w:t>
      </w:r>
      <w:r w:rsidR="001457B6">
        <w:rPr>
          <w:rFonts w:cstheme="minorHAnsi"/>
          <w:b/>
          <w:sz w:val="24"/>
          <w:szCs w:val="24"/>
          <w:lang w:val="sr-Latn-ME"/>
        </w:rPr>
        <w:t>6</w:t>
      </w:r>
      <w:r w:rsidR="004C1C5C">
        <w:rPr>
          <w:rFonts w:cstheme="minorHAnsi"/>
          <w:b/>
          <w:sz w:val="24"/>
          <w:szCs w:val="24"/>
          <w:lang w:val="sr-Latn-ME"/>
        </w:rPr>
        <w:t>1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3417D5">
        <w:rPr>
          <w:rFonts w:cstheme="minorHAnsi"/>
          <w:b/>
          <w:sz w:val="24"/>
          <w:szCs w:val="24"/>
          <w:lang w:val="sr-Latn-ME"/>
        </w:rPr>
        <w:t>2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€ </w:t>
      </w:r>
      <w:r w:rsidR="003A3017">
        <w:rPr>
          <w:rFonts w:cstheme="minorHAnsi"/>
          <w:b/>
          <w:sz w:val="24"/>
          <w:szCs w:val="24"/>
          <w:lang w:val="sr-Latn-ME"/>
        </w:rPr>
        <w:t xml:space="preserve">bolje ostvarenje od plana koji predviđa ostvarenje deficita od </w:t>
      </w:r>
      <w:r w:rsidR="003A12F8">
        <w:rPr>
          <w:rFonts w:cstheme="minorHAnsi"/>
          <w:b/>
          <w:sz w:val="24"/>
          <w:szCs w:val="24"/>
          <w:lang w:val="sr-Latn-ME"/>
        </w:rPr>
        <w:t>106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3A12F8">
        <w:rPr>
          <w:rFonts w:cstheme="minorHAnsi"/>
          <w:b/>
          <w:sz w:val="24"/>
          <w:szCs w:val="24"/>
          <w:lang w:val="sr-Latn-ME"/>
        </w:rPr>
        <w:t>1</w:t>
      </w:r>
      <w:r w:rsidR="003A3017">
        <w:rPr>
          <w:rFonts w:cstheme="minorHAnsi"/>
          <w:b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/>
          <w:sz w:val="24"/>
          <w:szCs w:val="24"/>
          <w:lang w:val="sr-Latn-ME"/>
        </w:rPr>
        <w:t>mil. €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</w:t>
      </w:r>
      <w:r w:rsidR="00DB75FE">
        <w:rPr>
          <w:rFonts w:cstheme="minorHAnsi"/>
          <w:b/>
          <w:sz w:val="24"/>
          <w:szCs w:val="24"/>
          <w:lang w:val="sr-Latn-ME"/>
        </w:rPr>
        <w:t>Takođe, za prvih 5 mjeseci ove godine, ostvaren je suficit tekuće potrošnje u iznosu od 8.4 mil €</w:t>
      </w:r>
    </w:p>
    <w:p w:rsidR="005C3444" w:rsidRDefault="005C3444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5C3444" w:rsidRDefault="005C3444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5C3444" w:rsidRDefault="005C3444" w:rsidP="00C7170F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6410EE" w:rsidRDefault="006410EE" w:rsidP="00C7170F">
      <w:pPr>
        <w:spacing w:after="0"/>
        <w:jc w:val="both"/>
        <w:rPr>
          <w:rFonts w:cstheme="minorHAnsi"/>
          <w:lang w:val="sr-Latn-ME"/>
        </w:rPr>
      </w:pPr>
    </w:p>
    <w:p w:rsidR="006410EE" w:rsidRDefault="006410EE" w:rsidP="00C7170F">
      <w:pPr>
        <w:spacing w:after="0"/>
        <w:jc w:val="both"/>
        <w:rPr>
          <w:rFonts w:cstheme="minorHAnsi"/>
          <w:lang w:val="sr-Latn-ME"/>
        </w:rPr>
      </w:pPr>
    </w:p>
    <w:p w:rsidR="00C7170F" w:rsidRPr="009768B2" w:rsidRDefault="00C7170F" w:rsidP="00C7170F">
      <w:pPr>
        <w:spacing w:after="0"/>
        <w:jc w:val="both"/>
        <w:rPr>
          <w:rFonts w:cstheme="minorHAnsi"/>
          <w:lang w:val="sr-Latn-ME"/>
        </w:rPr>
      </w:pPr>
    </w:p>
    <w:p w:rsidR="009768B2" w:rsidRPr="009768B2" w:rsidRDefault="009768B2" w:rsidP="009768B2">
      <w:pPr>
        <w:spacing w:after="0"/>
        <w:jc w:val="both"/>
        <w:rPr>
          <w:rFonts w:cstheme="minorHAnsi"/>
          <w:lang w:val="sr-Latn-ME"/>
        </w:rPr>
      </w:pPr>
    </w:p>
    <w:sectPr w:rsidR="009768B2" w:rsidRPr="009768B2" w:rsidSect="00037F19">
      <w:headerReference w:type="even" r:id="rId14"/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4B0" w:rsidRDefault="009C54B0">
      <w:pPr>
        <w:spacing w:after="0" w:line="240" w:lineRule="auto"/>
      </w:pPr>
      <w:r>
        <w:separator/>
      </w:r>
    </w:p>
  </w:endnote>
  <w:endnote w:type="continuationSeparator" w:id="0">
    <w:p w:rsidR="009C54B0" w:rsidRDefault="009C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Page Numbers (Bottom of Page)"/>
        <w:docPartUnique/>
      </w:docPartObj>
    </w:sdtPr>
    <w:sdtEndPr/>
    <w:sdtContent>
      <w:p w:rsidR="00AA1F13" w:rsidRDefault="00037F19">
        <w:pPr>
          <w:pStyle w:val="Footer"/>
          <w:rPr>
            <w:sz w:val="2"/>
            <w:szCs w:val="2"/>
          </w:rPr>
        </w:pPr>
        <w:r w:rsidRPr="00037F19"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F19" w:rsidRDefault="00037F1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A8F" w:rsidRPr="00DE4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K0OlraMCAABIBQAADgAAAAAAAAAAAAAAAAAuAgAA&#10;ZHJzL2Uyb0RvYy54bWxQSwECLQAUAAYACAAAACEAWSTRB9wAAAAFAQAADwAAAAAAAAAAAAAAAAD9&#10;BAAAZHJzL2Rvd25yZXYueG1sUEsFBgAAAAAEAAQA8wAAAAYGAAAAAA==&#10;" adj="21600" fillcolor="#d2eaf1" stroked="f">
                  <v:textbox>
                    <w:txbxContent>
                      <w:p w:rsidR="00037F19" w:rsidRDefault="00037F1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DE4A8F" w:rsidRPr="00DE4A8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4B0" w:rsidRDefault="009C54B0">
      <w:pPr>
        <w:spacing w:after="0" w:line="240" w:lineRule="auto"/>
      </w:pPr>
      <w:r>
        <w:separator/>
      </w:r>
    </w:p>
  </w:footnote>
  <w:footnote w:type="continuationSeparator" w:id="0">
    <w:p w:rsidR="009C54B0" w:rsidRDefault="009C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7D9" w:rsidRDefault="003427D9">
    <w:pPr>
      <w:pStyle w:val="Header"/>
    </w:pPr>
    <w:r w:rsidRPr="003427D9"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2A9EFD21" wp14:editId="3061A3F8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427D9" w:rsidRPr="00B97819" w:rsidRDefault="003427D9" w:rsidP="003427D9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3427D9" w:rsidRPr="00B97819" w:rsidRDefault="003427D9" w:rsidP="003427D9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D21" id="Rectangle 3" o:spid="_x0000_s1029" style="position:absolute;margin-left:560.05pt;margin-top:27.75pt;width:611.25pt;height:58.5pt;z-index:-251643904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427D9" w:rsidRPr="00B97819" w:rsidRDefault="003427D9" w:rsidP="003427D9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3427D9" w:rsidRPr="00B97819" w:rsidRDefault="003427D9" w:rsidP="003427D9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E3" w:rsidRDefault="00FD11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0528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D1162" w:rsidRPr="00B97819" w:rsidRDefault="00FD1162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B97819"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FD1162" w:rsidRPr="00B97819" w:rsidRDefault="00AE4A01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MAJ</w:t>
                          </w:r>
                          <w:r w:rsidR="00FD1162"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0" style="position:absolute;margin-left:560.05pt;margin-top:0;width:611.25pt;height:58.5pt;z-index:-251645952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D1162" w:rsidRPr="00B97819" w:rsidRDefault="00FD1162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 w:rsidRPr="00B97819"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FD1162" w:rsidRPr="00B97819" w:rsidRDefault="00AE4A01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MAJ</w:t>
                    </w:r>
                    <w:r w:rsidR="00FD1162"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59C8"/>
    <w:rsid w:val="00037F19"/>
    <w:rsid w:val="00054237"/>
    <w:rsid w:val="00074E8B"/>
    <w:rsid w:val="0008362B"/>
    <w:rsid w:val="00084539"/>
    <w:rsid w:val="00094AD0"/>
    <w:rsid w:val="000C54CF"/>
    <w:rsid w:val="000F1291"/>
    <w:rsid w:val="000F1DCE"/>
    <w:rsid w:val="00114F1F"/>
    <w:rsid w:val="00141318"/>
    <w:rsid w:val="00141324"/>
    <w:rsid w:val="001457B6"/>
    <w:rsid w:val="00157C41"/>
    <w:rsid w:val="00160B42"/>
    <w:rsid w:val="0016270C"/>
    <w:rsid w:val="001707D3"/>
    <w:rsid w:val="001734F0"/>
    <w:rsid w:val="001739F9"/>
    <w:rsid w:val="00184B29"/>
    <w:rsid w:val="001B0742"/>
    <w:rsid w:val="001D1B11"/>
    <w:rsid w:val="00203C63"/>
    <w:rsid w:val="00216841"/>
    <w:rsid w:val="0027008F"/>
    <w:rsid w:val="00275FCC"/>
    <w:rsid w:val="0028471D"/>
    <w:rsid w:val="002867C0"/>
    <w:rsid w:val="0028778C"/>
    <w:rsid w:val="002930A4"/>
    <w:rsid w:val="002961AE"/>
    <w:rsid w:val="002D1103"/>
    <w:rsid w:val="002D43C7"/>
    <w:rsid w:val="002D5234"/>
    <w:rsid w:val="002E4B84"/>
    <w:rsid w:val="0033156F"/>
    <w:rsid w:val="003417D5"/>
    <w:rsid w:val="003427D9"/>
    <w:rsid w:val="00345A42"/>
    <w:rsid w:val="00352C50"/>
    <w:rsid w:val="003A12F8"/>
    <w:rsid w:val="003A3017"/>
    <w:rsid w:val="003B3056"/>
    <w:rsid w:val="003B30B2"/>
    <w:rsid w:val="003C0235"/>
    <w:rsid w:val="003C2FD0"/>
    <w:rsid w:val="003D2F00"/>
    <w:rsid w:val="003D75FC"/>
    <w:rsid w:val="00400D66"/>
    <w:rsid w:val="00403B65"/>
    <w:rsid w:val="004154B5"/>
    <w:rsid w:val="00425990"/>
    <w:rsid w:val="00432129"/>
    <w:rsid w:val="00432DAB"/>
    <w:rsid w:val="004517F1"/>
    <w:rsid w:val="00460B3F"/>
    <w:rsid w:val="00475CD6"/>
    <w:rsid w:val="004C1C5C"/>
    <w:rsid w:val="004C48A4"/>
    <w:rsid w:val="004D5303"/>
    <w:rsid w:val="004E0C6B"/>
    <w:rsid w:val="004E4D8D"/>
    <w:rsid w:val="004E62A9"/>
    <w:rsid w:val="005064AE"/>
    <w:rsid w:val="0051615D"/>
    <w:rsid w:val="00517792"/>
    <w:rsid w:val="00524BAA"/>
    <w:rsid w:val="0054001F"/>
    <w:rsid w:val="00543F4D"/>
    <w:rsid w:val="005467F7"/>
    <w:rsid w:val="00557C32"/>
    <w:rsid w:val="00580701"/>
    <w:rsid w:val="00583963"/>
    <w:rsid w:val="005C3444"/>
    <w:rsid w:val="005C445C"/>
    <w:rsid w:val="005C532A"/>
    <w:rsid w:val="005C5BDA"/>
    <w:rsid w:val="005D5F51"/>
    <w:rsid w:val="005D6185"/>
    <w:rsid w:val="005D6AE7"/>
    <w:rsid w:val="005F4A5E"/>
    <w:rsid w:val="00604FB4"/>
    <w:rsid w:val="00616989"/>
    <w:rsid w:val="006312C8"/>
    <w:rsid w:val="006410EE"/>
    <w:rsid w:val="00677F51"/>
    <w:rsid w:val="006863D1"/>
    <w:rsid w:val="00693645"/>
    <w:rsid w:val="006942FF"/>
    <w:rsid w:val="006A27D3"/>
    <w:rsid w:val="006C44A8"/>
    <w:rsid w:val="006F05F8"/>
    <w:rsid w:val="007066E2"/>
    <w:rsid w:val="00711406"/>
    <w:rsid w:val="00727CEE"/>
    <w:rsid w:val="00735186"/>
    <w:rsid w:val="0075756D"/>
    <w:rsid w:val="00757B0E"/>
    <w:rsid w:val="007616AE"/>
    <w:rsid w:val="00761844"/>
    <w:rsid w:val="007637C9"/>
    <w:rsid w:val="0076531B"/>
    <w:rsid w:val="0078166D"/>
    <w:rsid w:val="00787292"/>
    <w:rsid w:val="007A3DFA"/>
    <w:rsid w:val="007B346A"/>
    <w:rsid w:val="007C75C6"/>
    <w:rsid w:val="007E1D31"/>
    <w:rsid w:val="007E31E3"/>
    <w:rsid w:val="007E6E06"/>
    <w:rsid w:val="007F5D4F"/>
    <w:rsid w:val="00805737"/>
    <w:rsid w:val="00820F57"/>
    <w:rsid w:val="0083277A"/>
    <w:rsid w:val="00844CF4"/>
    <w:rsid w:val="00877911"/>
    <w:rsid w:val="0089200B"/>
    <w:rsid w:val="008C0452"/>
    <w:rsid w:val="008C717A"/>
    <w:rsid w:val="008D03EF"/>
    <w:rsid w:val="008D3D29"/>
    <w:rsid w:val="008D638C"/>
    <w:rsid w:val="008E6939"/>
    <w:rsid w:val="009168BB"/>
    <w:rsid w:val="0093329C"/>
    <w:rsid w:val="00942CE0"/>
    <w:rsid w:val="0095115D"/>
    <w:rsid w:val="0095315D"/>
    <w:rsid w:val="0095581E"/>
    <w:rsid w:val="00962160"/>
    <w:rsid w:val="00963A77"/>
    <w:rsid w:val="009768B2"/>
    <w:rsid w:val="00991CAE"/>
    <w:rsid w:val="00996D0B"/>
    <w:rsid w:val="009A18AC"/>
    <w:rsid w:val="009C354E"/>
    <w:rsid w:val="009C54B0"/>
    <w:rsid w:val="009D4F36"/>
    <w:rsid w:val="009F13BB"/>
    <w:rsid w:val="00A00EB5"/>
    <w:rsid w:val="00A04707"/>
    <w:rsid w:val="00A241D5"/>
    <w:rsid w:val="00A362E1"/>
    <w:rsid w:val="00A50BF2"/>
    <w:rsid w:val="00A66AC6"/>
    <w:rsid w:val="00A72F5A"/>
    <w:rsid w:val="00A93FD0"/>
    <w:rsid w:val="00AA1F13"/>
    <w:rsid w:val="00AA77F2"/>
    <w:rsid w:val="00AB662A"/>
    <w:rsid w:val="00AC3403"/>
    <w:rsid w:val="00AD2DDA"/>
    <w:rsid w:val="00AE23D1"/>
    <w:rsid w:val="00AE36E6"/>
    <w:rsid w:val="00AE4A01"/>
    <w:rsid w:val="00AF6A8A"/>
    <w:rsid w:val="00B15613"/>
    <w:rsid w:val="00B30D61"/>
    <w:rsid w:val="00B70300"/>
    <w:rsid w:val="00B74778"/>
    <w:rsid w:val="00B74D8B"/>
    <w:rsid w:val="00B74FD5"/>
    <w:rsid w:val="00B8201F"/>
    <w:rsid w:val="00B8622E"/>
    <w:rsid w:val="00B86BF9"/>
    <w:rsid w:val="00B911D7"/>
    <w:rsid w:val="00B93FDF"/>
    <w:rsid w:val="00B96EC1"/>
    <w:rsid w:val="00B97819"/>
    <w:rsid w:val="00BB0743"/>
    <w:rsid w:val="00BB4D5B"/>
    <w:rsid w:val="00BB4EA3"/>
    <w:rsid w:val="00BC5723"/>
    <w:rsid w:val="00BD274F"/>
    <w:rsid w:val="00C253B6"/>
    <w:rsid w:val="00C34D86"/>
    <w:rsid w:val="00C55F88"/>
    <w:rsid w:val="00C6469F"/>
    <w:rsid w:val="00C6686F"/>
    <w:rsid w:val="00C7170F"/>
    <w:rsid w:val="00C77D65"/>
    <w:rsid w:val="00C80AFE"/>
    <w:rsid w:val="00C93DA3"/>
    <w:rsid w:val="00CB1D57"/>
    <w:rsid w:val="00CB4A4D"/>
    <w:rsid w:val="00CC1FA4"/>
    <w:rsid w:val="00CC6C38"/>
    <w:rsid w:val="00CC7A96"/>
    <w:rsid w:val="00CD08E1"/>
    <w:rsid w:val="00D000CB"/>
    <w:rsid w:val="00D135CF"/>
    <w:rsid w:val="00D15D40"/>
    <w:rsid w:val="00D161F4"/>
    <w:rsid w:val="00D219FA"/>
    <w:rsid w:val="00D26C67"/>
    <w:rsid w:val="00D403E8"/>
    <w:rsid w:val="00D512C6"/>
    <w:rsid w:val="00D61BD3"/>
    <w:rsid w:val="00D65569"/>
    <w:rsid w:val="00D7221C"/>
    <w:rsid w:val="00D73345"/>
    <w:rsid w:val="00D908A7"/>
    <w:rsid w:val="00D92D06"/>
    <w:rsid w:val="00DA7C93"/>
    <w:rsid w:val="00DB75FE"/>
    <w:rsid w:val="00DB7E8C"/>
    <w:rsid w:val="00DC3A5D"/>
    <w:rsid w:val="00DD09D7"/>
    <w:rsid w:val="00DE4A8F"/>
    <w:rsid w:val="00DE6F3F"/>
    <w:rsid w:val="00DF4546"/>
    <w:rsid w:val="00E0736E"/>
    <w:rsid w:val="00E16ECA"/>
    <w:rsid w:val="00E3725A"/>
    <w:rsid w:val="00E707C0"/>
    <w:rsid w:val="00E82B50"/>
    <w:rsid w:val="00EA2BE8"/>
    <w:rsid w:val="00EC31F1"/>
    <w:rsid w:val="00EC5127"/>
    <w:rsid w:val="00EF0E81"/>
    <w:rsid w:val="00F0184E"/>
    <w:rsid w:val="00F03D88"/>
    <w:rsid w:val="00F07B0B"/>
    <w:rsid w:val="00F07EB5"/>
    <w:rsid w:val="00F202E2"/>
    <w:rsid w:val="00F25B79"/>
    <w:rsid w:val="00F358B2"/>
    <w:rsid w:val="00F61D4C"/>
    <w:rsid w:val="00F65DA0"/>
    <w:rsid w:val="00F66AC9"/>
    <w:rsid w:val="00F760B5"/>
    <w:rsid w:val="00F85F53"/>
    <w:rsid w:val="00F8732A"/>
    <w:rsid w:val="00F90454"/>
    <w:rsid w:val="00FA1966"/>
    <w:rsid w:val="00FA2D0E"/>
    <w:rsid w:val="00FA6245"/>
    <w:rsid w:val="00FA7359"/>
    <w:rsid w:val="00FA7F52"/>
    <w:rsid w:val="00FB1138"/>
    <w:rsid w:val="00FB1EFC"/>
    <w:rsid w:val="00FB2EA1"/>
    <w:rsid w:val="00FB44D6"/>
    <w:rsid w:val="00FC097D"/>
    <w:rsid w:val="00FC4C61"/>
    <w:rsid w:val="00FC7DDE"/>
    <w:rsid w:val="00FD1162"/>
    <w:rsid w:val="00FD36E3"/>
    <w:rsid w:val="00FD6922"/>
    <w:rsid w:val="00FD71E8"/>
    <w:rsid w:val="00FD73F1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66036A"/>
  <w15:docId w15:val="{601A04BF-BCE5-4CFD-BF61-9AAA830A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D6D17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D6D17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CE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346A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46A"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paragraph" w:styleId="Subtitle">
    <w:name w:val="Subtitle"/>
    <w:basedOn w:val="Normal"/>
    <w:link w:val="Subtitle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D6D17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D6D17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table" w:styleId="PlainTable4">
    <w:name w:val="Plain Table 4"/>
    <w:basedOn w:val="Table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  <w:rsid w:val="00B15613"/>
  </w:style>
  <w:style w:type="character" w:customStyle="1" w:styleId="PrihodiChar">
    <w:name w:val="Prihodi Char"/>
    <w:basedOn w:val="Heading2Char"/>
    <w:link w:val="Prihodi"/>
    <w:rsid w:val="00B15613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rsid w:val="000836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GDDS%205\GDDS%20maj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/>
              <a:t>Kretanje glavnih kategorija prihoda budžeta   </a:t>
            </a:r>
          </a:p>
          <a:p>
            <a:pPr>
              <a:defRPr/>
            </a:pPr>
            <a:r>
              <a:rPr lang="sr-Latn-ME"/>
              <a:t> (mil. €)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4"/>
          <c:order val="4"/>
          <c:tx>
            <c:strRef>
              <c:f>'Analitika 2025'!$G$7:$G$9</c:f>
              <c:strCache>
                <c:ptCount val="3"/>
                <c:pt idx="1">
                  <c:v>Ostvarenje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tint val="50000"/>
                    <a:satMod val="300000"/>
                  </a:schemeClr>
                </a:gs>
                <a:gs pos="35000">
                  <a:schemeClr val="accent5">
                    <a:tint val="37000"/>
                    <a:satMod val="300000"/>
                  </a:schemeClr>
                </a:gs>
                <a:gs pos="100000">
                  <a:schemeClr val="accent5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5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2025'!$G$10:$G$19</c:f>
              <c:numCache>
                <c:formatCode>#,##0.0,,</c:formatCode>
                <c:ptCount val="6"/>
                <c:pt idx="0">
                  <c:v>1097011684.8299999</c:v>
                </c:pt>
                <c:pt idx="1">
                  <c:v>38741513.350000001</c:v>
                </c:pt>
                <c:pt idx="2">
                  <c:v>199803176.50999999</c:v>
                </c:pt>
                <c:pt idx="3">
                  <c:v>487206701.44000006</c:v>
                </c:pt>
                <c:pt idx="4">
                  <c:v>135841562.37</c:v>
                </c:pt>
                <c:pt idx="5">
                  <c:v>149927682.32999998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DD-406A-8BF9-4C55C6E80866}"/>
            </c:ext>
          </c:extLst>
        </c:ser>
        <c:ser>
          <c:idx val="5"/>
          <c:order val="5"/>
          <c:tx>
            <c:strRef>
              <c:f>'Analitika 2025'!$H$7:$H$9</c:f>
              <c:strCache>
                <c:ptCount val="3"/>
                <c:pt idx="1">
                  <c:v>Plan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50000"/>
                    <a:satMod val="300000"/>
                  </a:schemeClr>
                </a:gs>
                <a:gs pos="35000">
                  <a:schemeClr val="accent6">
                    <a:tint val="37000"/>
                    <a:satMod val="300000"/>
                  </a:schemeClr>
                </a:gs>
                <a:gs pos="100000">
                  <a:schemeClr val="accent6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6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2025'!$H$10:$H$19</c:f>
              <c:numCache>
                <c:formatCode>#,##0.0,,</c:formatCode>
                <c:ptCount val="6"/>
                <c:pt idx="0">
                  <c:v>1119244198.2344313</c:v>
                </c:pt>
                <c:pt idx="1">
                  <c:v>38822793.439009763</c:v>
                </c:pt>
                <c:pt idx="2">
                  <c:v>192936277.35931402</c:v>
                </c:pt>
                <c:pt idx="3">
                  <c:v>485484887.77606678</c:v>
                </c:pt>
                <c:pt idx="4">
                  <c:v>130651764.84999999</c:v>
                </c:pt>
                <c:pt idx="5">
                  <c:v>165030624.29160517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DD-406A-8BF9-4C55C6E80866}"/>
            </c:ext>
          </c:extLst>
        </c:ser>
        <c:ser>
          <c:idx val="10"/>
          <c:order val="10"/>
          <c:tx>
            <c:strRef>
              <c:f>'Analitika 2025'!$M$7:$M$9</c:f>
              <c:strCache>
                <c:ptCount val="3"/>
                <c:pt idx="1">
                  <c:v>Odstupanje</c:v>
                </c:pt>
                <c:pt idx="2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lumMod val="60000"/>
                    <a:tint val="50000"/>
                    <a:satMod val="300000"/>
                  </a:schemeClr>
                </a:gs>
                <a:gs pos="35000">
                  <a:schemeClr val="accent5">
                    <a:lumMod val="60000"/>
                    <a:tint val="37000"/>
                    <a:satMod val="300000"/>
                  </a:schemeClr>
                </a:gs>
                <a:gs pos="100000">
                  <a:schemeClr val="accent5">
                    <a:lumMod val="60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5">
                  <a:lumMod val="60000"/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2025'!$M$10:$M$19</c:f>
            </c:numRef>
          </c:val>
          <c:extLst>
            <c:ext xmlns:c16="http://schemas.microsoft.com/office/drawing/2014/chart" uri="{C3380CC4-5D6E-409C-BE32-E72D297353CC}">
              <c16:uniqueId val="{00000002-42DD-406A-8BF9-4C55C6E80866}"/>
            </c:ext>
          </c:extLst>
        </c:ser>
        <c:ser>
          <c:idx val="6"/>
          <c:order val="6"/>
          <c:tx>
            <c:strRef>
              <c:f>'Analitika 2025'!$I$7:$I$9</c:f>
              <c:strCache>
                <c:ptCount val="3"/>
                <c:pt idx="1">
                  <c:v>Odstupanje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tint val="50000"/>
                    <a:satMod val="300000"/>
                  </a:schemeClr>
                </a:gs>
                <a:gs pos="35000">
                  <a:schemeClr val="accent1">
                    <a:lumMod val="60000"/>
                    <a:tint val="37000"/>
                    <a:satMod val="300000"/>
                  </a:schemeClr>
                </a:gs>
                <a:gs pos="100000">
                  <a:schemeClr val="accent1">
                    <a:lumMod val="60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lumMod val="60000"/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2025'!$I$10:$I$19</c:f>
            </c:numRef>
          </c:val>
          <c:extLst>
            <c:ext xmlns:c16="http://schemas.microsoft.com/office/drawing/2014/chart" uri="{C3380CC4-5D6E-409C-BE32-E72D297353CC}">
              <c16:uniqueId val="{00000003-42DD-406A-8BF9-4C55C6E80866}"/>
            </c:ext>
          </c:extLst>
        </c:ser>
        <c:ser>
          <c:idx val="7"/>
          <c:order val="7"/>
          <c:tx>
            <c:strRef>
              <c:f>'Analitika 2025'!$J$7:$J$9</c:f>
              <c:strCache>
                <c:ptCount val="3"/>
                <c:pt idx="1">
                  <c:v>Odstupanje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tint val="50000"/>
                    <a:satMod val="300000"/>
                  </a:schemeClr>
                </a:gs>
                <a:gs pos="35000">
                  <a:schemeClr val="accent2">
                    <a:lumMod val="60000"/>
                    <a:tint val="37000"/>
                    <a:satMod val="300000"/>
                  </a:schemeClr>
                </a:gs>
                <a:gs pos="100000">
                  <a:schemeClr val="accent2">
                    <a:lumMod val="60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lumMod val="60000"/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2025'!$J$10:$J$19</c:f>
            </c:numRef>
          </c:val>
          <c:extLst>
            <c:ext xmlns:c16="http://schemas.microsoft.com/office/drawing/2014/chart" uri="{C3380CC4-5D6E-409C-BE32-E72D297353CC}">
              <c16:uniqueId val="{00000004-42DD-406A-8BF9-4C55C6E80866}"/>
            </c:ext>
          </c:extLst>
        </c:ser>
        <c:ser>
          <c:idx val="8"/>
          <c:order val="8"/>
          <c:tx>
            <c:strRef>
              <c:f>'Analitika 2025'!$K$7:$K$9</c:f>
              <c:strCache>
                <c:ptCount val="3"/>
                <c:pt idx="1">
                  <c:v>Jan - Maj 2024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tint val="50000"/>
                    <a:satMod val="300000"/>
                  </a:schemeClr>
                </a:gs>
                <a:gs pos="35000">
                  <a:schemeClr val="accent3">
                    <a:lumMod val="60000"/>
                    <a:tint val="37000"/>
                    <a:satMod val="300000"/>
                  </a:schemeClr>
                </a:gs>
                <a:gs pos="100000">
                  <a:schemeClr val="accent3">
                    <a:lumMod val="60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lumMod val="60000"/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2025'!$K$10:$K$19</c:f>
              <c:numCache>
                <c:formatCode>#,##0.0,,</c:formatCode>
                <c:ptCount val="6"/>
                <c:pt idx="0">
                  <c:v>1088500253.0900002</c:v>
                </c:pt>
                <c:pt idx="1">
                  <c:v>32055338.420000002</c:v>
                </c:pt>
                <c:pt idx="2">
                  <c:v>185737706.34</c:v>
                </c:pt>
                <c:pt idx="3">
                  <c:v>435076277.85000002</c:v>
                </c:pt>
                <c:pt idx="4">
                  <c:v>125574411.84</c:v>
                </c:pt>
                <c:pt idx="5">
                  <c:v>217388191.43000001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2DD-406A-8BF9-4C55C6E80866}"/>
            </c:ext>
          </c:extLst>
        </c:ser>
        <c:ser>
          <c:idx val="9"/>
          <c:order val="9"/>
          <c:tx>
            <c:strRef>
              <c:f>'Analitika 2025'!$L$7:$L$9</c:f>
              <c:strCache>
                <c:ptCount val="3"/>
                <c:pt idx="1">
                  <c:v>Odstupanje</c:v>
                </c:pt>
                <c:pt idx="2">
                  <c:v>mil. €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lumMod val="60000"/>
                    <a:tint val="50000"/>
                    <a:satMod val="300000"/>
                  </a:schemeClr>
                </a:gs>
                <a:gs pos="35000">
                  <a:schemeClr val="accent4">
                    <a:lumMod val="60000"/>
                    <a:tint val="37000"/>
                    <a:satMod val="300000"/>
                  </a:schemeClr>
                </a:gs>
                <a:gs pos="100000">
                  <a:schemeClr val="accent4">
                    <a:lumMod val="60000"/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4">
                  <a:lumMod val="60000"/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'Analitika 2025'!$B$10:$B$19</c:f>
              <c:strCache>
                <c:ptCount val="6"/>
                <c:pt idx="0">
                  <c:v>Ukupno</c:v>
                </c:pt>
                <c:pt idx="1">
                  <c:v>Porez na dohodak fizičkih lica</c:v>
                </c:pt>
                <c:pt idx="2">
                  <c:v>Porez na dobit pravnih lica</c:v>
                </c:pt>
                <c:pt idx="3">
                  <c:v>Porez na dodatu vrijednost</c:v>
                </c:pt>
                <c:pt idx="4">
                  <c:v>Akcize</c:v>
                </c:pt>
                <c:pt idx="5">
                  <c:v>Doprinosi</c:v>
                </c:pt>
              </c:strCache>
            </c:strRef>
          </c:cat>
          <c:val>
            <c:numRef>
              <c:f>'Analitika 2025'!$L$10:$L$19</c:f>
            </c:numRef>
          </c:val>
          <c:extLst>
            <c:ext xmlns:c16="http://schemas.microsoft.com/office/drawing/2014/chart" uri="{C3380CC4-5D6E-409C-BE32-E72D297353CC}">
              <c16:uniqueId val="{00000006-42DD-406A-8BF9-4C55C6E808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817260016"/>
        <c:axId val="82357080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'Analitika 2025'!$C$7:$C$9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1">
                          <a:tint val="50000"/>
                          <a:satMod val="300000"/>
                        </a:schemeClr>
                      </a:gs>
                      <a:gs pos="35000">
                        <a:schemeClr val="accent1">
                          <a:tint val="37000"/>
                          <a:satMod val="300000"/>
                        </a:schemeClr>
                      </a:gs>
                      <a:gs pos="100000">
                        <a:schemeClr val="accent1">
                          <a:tint val="15000"/>
                          <a:satMod val="350000"/>
                        </a:schemeClr>
                      </a:gs>
                    </a:gsLst>
                    <a:lin ang="16200000" scaled="1"/>
                  </a:gradFill>
                  <a:ln w="9525" cap="flat" cmpd="sng" algn="ctr">
                    <a:solidFill>
                      <a:schemeClr val="accent1">
                        <a:shade val="95000"/>
                      </a:schemeClr>
                    </a:solidFill>
                    <a:round/>
                  </a:ln>
                  <a:effectLst>
                    <a:outerShdw blurRad="40000" dist="20000" dir="5400000" rotWithShape="0">
                      <a:srgbClr val="000000">
                        <a:alpha val="38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'Analitika 2025'!$B$10:$B$19</c15:sqref>
                        </c15:formulaRef>
                      </c:ext>
                    </c:extLst>
                    <c:strCache>
                      <c:ptCount val="6"/>
                      <c:pt idx="0">
                        <c:v>Ukupno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'Analitika 2025'!$C$10:$C$19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7-42DD-406A-8BF9-4C55C6E80866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2025'!$D$7:$D$9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2">
                          <a:tint val="50000"/>
                          <a:satMod val="300000"/>
                        </a:schemeClr>
                      </a:gs>
                      <a:gs pos="35000">
                        <a:schemeClr val="accent2">
                          <a:tint val="37000"/>
                          <a:satMod val="300000"/>
                        </a:schemeClr>
                      </a:gs>
                      <a:gs pos="100000">
                        <a:schemeClr val="accent2">
                          <a:tint val="15000"/>
                          <a:satMod val="350000"/>
                        </a:schemeClr>
                      </a:gs>
                    </a:gsLst>
                    <a:lin ang="16200000" scaled="1"/>
                  </a:gradFill>
                  <a:ln w="9525" cap="flat" cmpd="sng" algn="ctr">
                    <a:solidFill>
                      <a:schemeClr val="accent2">
                        <a:shade val="95000"/>
                      </a:schemeClr>
                    </a:solidFill>
                    <a:round/>
                  </a:ln>
                  <a:effectLst>
                    <a:outerShdw blurRad="40000" dist="20000" dir="5400000" rotWithShape="0">
                      <a:srgbClr val="000000">
                        <a:alpha val="38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2025'!$B$10:$B$19</c15:sqref>
                        </c15:formulaRef>
                      </c:ext>
                    </c:extLst>
                    <c:strCache>
                      <c:ptCount val="6"/>
                      <c:pt idx="0">
                        <c:v>Ukupno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2025'!$D$10:$D$19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42DD-406A-8BF9-4C55C6E80866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2025'!$E$7:$E$9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tint val="50000"/>
                          <a:satMod val="300000"/>
                        </a:schemeClr>
                      </a:gs>
                      <a:gs pos="35000">
                        <a:schemeClr val="accent3">
                          <a:tint val="37000"/>
                          <a:satMod val="300000"/>
                        </a:schemeClr>
                      </a:gs>
                      <a:gs pos="100000">
                        <a:schemeClr val="accent3">
                          <a:tint val="15000"/>
                          <a:satMod val="350000"/>
                        </a:schemeClr>
                      </a:gs>
                    </a:gsLst>
                    <a:lin ang="16200000" scaled="1"/>
                  </a:gradFill>
                  <a:ln w="9525" cap="flat" cmpd="sng" algn="ctr">
                    <a:solidFill>
                      <a:schemeClr val="accent3">
                        <a:shade val="95000"/>
                      </a:schemeClr>
                    </a:solidFill>
                    <a:round/>
                  </a:ln>
                  <a:effectLst>
                    <a:outerShdw blurRad="40000" dist="20000" dir="5400000" rotWithShape="0">
                      <a:srgbClr val="000000">
                        <a:alpha val="38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2025'!$B$10:$B$19</c15:sqref>
                        </c15:formulaRef>
                      </c:ext>
                    </c:extLst>
                    <c:strCache>
                      <c:ptCount val="6"/>
                      <c:pt idx="0">
                        <c:v>Ukupno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2025'!$E$10:$E$19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42DD-406A-8BF9-4C55C6E80866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2025'!$F$7:$F$9</c15:sqref>
                        </c15:formulaRef>
                      </c:ext>
                    </c:extLst>
                    <c:strCache>
                      <c:ptCount val="3"/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tint val="50000"/>
                          <a:satMod val="300000"/>
                        </a:schemeClr>
                      </a:gs>
                      <a:gs pos="35000">
                        <a:schemeClr val="accent4">
                          <a:tint val="37000"/>
                          <a:satMod val="300000"/>
                        </a:schemeClr>
                      </a:gs>
                      <a:gs pos="100000">
                        <a:schemeClr val="accent4">
                          <a:tint val="15000"/>
                          <a:satMod val="350000"/>
                        </a:schemeClr>
                      </a:gs>
                    </a:gsLst>
                    <a:lin ang="16200000" scaled="1"/>
                  </a:gradFill>
                  <a:ln w="9525" cap="flat" cmpd="sng" algn="ctr">
                    <a:solidFill>
                      <a:schemeClr val="accent4">
                        <a:shade val="95000"/>
                      </a:schemeClr>
                    </a:solidFill>
                    <a:round/>
                  </a:ln>
                  <a:effectLst>
                    <a:outerShdw blurRad="40000" dist="20000" dir="5400000" rotWithShape="0">
                      <a:srgbClr val="000000">
                        <a:alpha val="38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2025'!$B$10:$B$19</c15:sqref>
                        </c15:formulaRef>
                      </c:ext>
                    </c:extLst>
                    <c:strCache>
                      <c:ptCount val="6"/>
                      <c:pt idx="0">
                        <c:v>Ukupno</c:v>
                      </c:pt>
                      <c:pt idx="1">
                        <c:v>Porez na dohodak fizičkih lica</c:v>
                      </c:pt>
                      <c:pt idx="2">
                        <c:v>Porez na dobit pravnih lica</c:v>
                      </c:pt>
                      <c:pt idx="3">
                        <c:v>Porez na dodatu vrijednost</c:v>
                      </c:pt>
                      <c:pt idx="4">
                        <c:v>Akcize</c:v>
                      </c:pt>
                      <c:pt idx="5">
                        <c:v>Doprinosi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'Analitika 2025'!$F$10:$F$19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2DD-406A-8BF9-4C55C6E80866}"/>
                  </c:ext>
                </c:extLst>
              </c15:ser>
            </c15:filteredBarSeries>
          </c:ext>
        </c:extLst>
      </c:barChart>
      <c:catAx>
        <c:axId val="817260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3570800"/>
        <c:crosses val="autoZero"/>
        <c:auto val="1"/>
        <c:lblAlgn val="ctr"/>
        <c:lblOffset val="100"/>
        <c:noMultiLvlLbl val="0"/>
      </c:catAx>
      <c:valAx>
        <c:axId val="82357080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" sourceLinked="1"/>
        <c:majorTickMark val="none"/>
        <c:minorTickMark val="none"/>
        <c:tickLblPos val="nextTo"/>
        <c:crossAx val="81726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63D51-A76E-4579-8ADC-1ED1453D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16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001_MIF</cp:lastModifiedBy>
  <cp:revision>8</cp:revision>
  <cp:lastPrinted>2025-03-25T06:34:00Z</cp:lastPrinted>
  <dcterms:created xsi:type="dcterms:W3CDTF">2025-06-30T12:40:00Z</dcterms:created>
  <dcterms:modified xsi:type="dcterms:W3CDTF">2025-06-30T17:25:00Z</dcterms:modified>
</cp:coreProperties>
</file>