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9F812" w14:textId="77777777" w:rsidR="001B6104" w:rsidRPr="00D80558" w:rsidRDefault="001B6104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RS"/>
        </w:rPr>
      </w:pPr>
    </w:p>
    <w:p w14:paraId="420E9A43" w14:textId="059B7F3C" w:rsidR="00047461" w:rsidRPr="00337D38" w:rsidRDefault="00A6627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RS"/>
        </w:rPr>
      </w:pPr>
      <w:r w:rsidRPr="00337D38">
        <w:rPr>
          <w:rFonts w:asciiTheme="majorHAnsi" w:eastAsia="Calibri" w:hAnsiTheme="majorHAnsi" w:cs="Arial"/>
          <w:color w:val="000000" w:themeColor="text1"/>
          <w:sz w:val="30"/>
          <w:szCs w:val="30"/>
          <w:lang w:val="sr-Latn-RS"/>
        </w:rPr>
        <w:t xml:space="preserve">Broj: </w:t>
      </w:r>
      <w:r w:rsidR="00337D38">
        <w:rPr>
          <w:rFonts w:asciiTheme="majorHAnsi" w:eastAsia="Calibri" w:hAnsiTheme="majorHAnsi" w:cs="Arial"/>
          <w:color w:val="000000" w:themeColor="text1"/>
          <w:sz w:val="30"/>
          <w:szCs w:val="30"/>
          <w:lang w:val="sr-Latn-RS"/>
        </w:rPr>
        <w:t>01-076/25-5875/2</w:t>
      </w:r>
    </w:p>
    <w:p w14:paraId="4540E05E" w14:textId="4BE8649B" w:rsidR="00A66276" w:rsidRPr="00337D38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RS"/>
        </w:rPr>
      </w:pPr>
      <w:r w:rsidRPr="00337D38">
        <w:rPr>
          <w:rFonts w:asciiTheme="majorHAnsi" w:eastAsia="Calibri" w:hAnsiTheme="majorHAnsi" w:cs="Arial"/>
          <w:color w:val="000000" w:themeColor="text1"/>
          <w:sz w:val="30"/>
          <w:szCs w:val="30"/>
          <w:lang w:val="sr-Latn-RS"/>
        </w:rPr>
        <w:t xml:space="preserve">Podgorica, </w:t>
      </w:r>
      <w:r w:rsidR="005E785D">
        <w:rPr>
          <w:rFonts w:asciiTheme="majorHAnsi" w:eastAsia="Calibri" w:hAnsiTheme="majorHAnsi" w:cs="Arial"/>
          <w:color w:val="000000" w:themeColor="text1"/>
          <w:sz w:val="30"/>
          <w:szCs w:val="30"/>
          <w:lang w:val="sr-Latn-RS"/>
        </w:rPr>
        <w:t>30</w:t>
      </w:r>
      <w:r w:rsidR="00337D38">
        <w:rPr>
          <w:rFonts w:asciiTheme="majorHAnsi" w:eastAsia="Calibri" w:hAnsiTheme="majorHAnsi" w:cs="Arial"/>
          <w:color w:val="000000" w:themeColor="text1"/>
          <w:sz w:val="30"/>
          <w:szCs w:val="30"/>
          <w:lang w:val="sr-Latn-RS"/>
        </w:rPr>
        <w:t>.12.2025. godine</w:t>
      </w:r>
    </w:p>
    <w:p w14:paraId="64EC62CB" w14:textId="77777777" w:rsidR="00F536EC" w:rsidRPr="00337D38" w:rsidRDefault="00046C86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color w:val="000000" w:themeColor="text1"/>
          <w:sz w:val="30"/>
          <w:szCs w:val="30"/>
          <w:lang w:val="sr-Latn-RS"/>
        </w:rPr>
        <w:t xml:space="preserve">                                                                                     </w:t>
      </w:r>
    </w:p>
    <w:p w14:paraId="5B96EE1F" w14:textId="22DE5C1B" w:rsidR="006756E9" w:rsidRPr="00337D38" w:rsidRDefault="003031BE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Klub poslanika</w:t>
      </w:r>
      <w:r w:rsid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: </w:t>
      </w:r>
      <w:r w:rsidR="00592F0A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Demokratska partija socijalista</w:t>
      </w:r>
    </w:p>
    <w:p w14:paraId="72A2166F" w14:textId="036C6A52" w:rsidR="006756E9" w:rsidRDefault="00047461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P</w:t>
      </w:r>
      <w:r w:rsidR="00AF72B6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oslani</w:t>
      </w:r>
      <w:r w:rsidR="003031BE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k</w:t>
      </w:r>
      <w:r w:rsid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, g-din </w:t>
      </w:r>
      <w:r w:rsidR="00592F0A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Mihailo Anđušić</w:t>
      </w:r>
    </w:p>
    <w:p w14:paraId="71378854" w14:textId="77777777" w:rsidR="00337D38" w:rsidRPr="00337D38" w:rsidRDefault="00337D38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4F4390DE" w14:textId="77777777" w:rsidR="00C059F7" w:rsidRPr="00337D38" w:rsidRDefault="00C059F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6E1967E4" w14:textId="7A75F5B9" w:rsidR="00F536EC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RS"/>
        </w:rPr>
        <w:t>POSLANIČKO PITANJE</w:t>
      </w:r>
    </w:p>
    <w:p w14:paraId="1A60BA1D" w14:textId="77777777" w:rsidR="00337D38" w:rsidRPr="00337D38" w:rsidRDefault="00337D38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5FB38E76" w14:textId="77777777" w:rsidR="003C17AA" w:rsidRPr="00D80558" w:rsidRDefault="003C17AA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</w:pPr>
    </w:p>
    <w:p w14:paraId="066D2FCB" w14:textId="17841D90" w:rsidR="002D374C" w:rsidRPr="00337D38" w:rsidRDefault="00592F0A" w:rsidP="00AF72B6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P</w:t>
      </w:r>
      <w:r w:rsidR="00400120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redsjedniče Vlade,</w:t>
      </w:r>
    </w:p>
    <w:p w14:paraId="5CEAB37D" w14:textId="77777777" w:rsidR="00400120" w:rsidRPr="00337D38" w:rsidRDefault="00400120" w:rsidP="00AF72B6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571B09D9" w14:textId="32B1B0ED" w:rsidR="00592F0A" w:rsidRPr="00337D38" w:rsidRDefault="00592F0A" w:rsidP="00592F0A">
      <w:pPr>
        <w:spacing w:before="0" w:after="0" w:line="240" w:lineRule="auto"/>
        <w:ind w:firstLine="284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Da li na tragu upoz</w:t>
      </w:r>
      <w:r w:rsid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o</w:t>
      </w: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renja iz Brisela, javnu upravu u Crnoj Gori očekuju reforme i racionalizacija i kako gledate na analizu Ministartsva finansija da je u Crnoj Gori za četirti godine broj zaposlenih u državnim kompanijama uveden za gotovo 30%?</w:t>
      </w:r>
    </w:p>
    <w:p w14:paraId="30CD3595" w14:textId="0BD0A06A" w:rsidR="00592F0A" w:rsidRDefault="00592F0A" w:rsidP="00592F0A">
      <w:pPr>
        <w:spacing w:before="0" w:after="0" w:line="240" w:lineRule="auto"/>
        <w:ind w:firstLine="284"/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</w:pPr>
    </w:p>
    <w:p w14:paraId="5DA6A69F" w14:textId="77777777" w:rsidR="00337D38" w:rsidRPr="00D80558" w:rsidRDefault="00337D38" w:rsidP="00592F0A">
      <w:pPr>
        <w:spacing w:before="0" w:after="0" w:line="240" w:lineRule="auto"/>
        <w:ind w:firstLine="284"/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</w:pPr>
    </w:p>
    <w:p w14:paraId="4207E551" w14:textId="6615F757" w:rsidR="00F536EC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RS"/>
        </w:rPr>
        <w:t>ODGOVOR</w:t>
      </w:r>
    </w:p>
    <w:p w14:paraId="73BEB55F" w14:textId="77777777" w:rsidR="00337D38" w:rsidRPr="00337D38" w:rsidRDefault="00337D38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5889C65D" w14:textId="79BBBFCB" w:rsidR="00F536EC" w:rsidRPr="00337D38" w:rsidRDefault="00046C86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Uvaženi poslani</w:t>
      </w:r>
      <w:r w:rsidR="005878EC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če</w:t>
      </w:r>
      <w:r w:rsidR="005A7DD3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 </w:t>
      </w:r>
      <w:r w:rsidR="00D80558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Anđušiću</w:t>
      </w:r>
      <w:r w:rsidR="00594579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,</w:t>
      </w:r>
    </w:p>
    <w:p w14:paraId="6524424A" w14:textId="77777777" w:rsidR="00936B82" w:rsidRPr="00337D38" w:rsidRDefault="00936B82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61798703" w14:textId="77777777" w:rsidR="0010557E" w:rsidRPr="00337D38" w:rsidRDefault="0010557E" w:rsidP="0010557E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Reforma javne uprave nije kratkoročna obaveza prema Evropskoj uniji, već dugoročna obaveza prema građanima Crne Gore. Ona predstavlja osnov za ekonomski razvoj, jačanje povjerenja u institucije i izgradnju države koja funkcioniše efikasno — u procesu pristupanja EU, nakon ulaska u EU i u interesu društva u cjelini.</w:t>
      </w:r>
    </w:p>
    <w:p w14:paraId="668D8727" w14:textId="77777777" w:rsidR="0010557E" w:rsidRPr="00337D38" w:rsidRDefault="0010557E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0FA798D8" w14:textId="4A546EAE" w:rsidR="00D80558" w:rsidRPr="00337D38" w:rsidRDefault="0010557E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Upravo zato, r</w:t>
      </w:r>
      <w:r w:rsidR="00D80558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eforma javne uprave predstavlja jedan od ključnih i dugoročnih prioriteta Vlade Crne Gore</w:t>
      </w: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 </w:t>
      </w:r>
      <w:r w:rsidR="00D80558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a to je da su pravi ljudi na pravom mjestu, da zapošljavanje i napredovanje bude zasnovano na znanju, kompetencijama i rezultatima, te odgovorno i racionalno upravljanje ljudskim resursima.</w:t>
      </w:r>
    </w:p>
    <w:p w14:paraId="5E4441CA" w14:textId="77777777" w:rsidR="00464F41" w:rsidRDefault="00464F41" w:rsidP="00D8055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</w:pPr>
    </w:p>
    <w:p w14:paraId="2B9F3E55" w14:textId="48757CDF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lang w:val="sr-Latn-RS"/>
        </w:rPr>
      </w:pPr>
      <w:r w:rsidRPr="00337D38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lang w:val="sr-Latn-RS"/>
        </w:rPr>
        <w:lastRenderedPageBreak/>
        <w:t>Normativna i institucionalna reforma — kraj neplanskog zapošljavanja</w:t>
      </w:r>
    </w:p>
    <w:p w14:paraId="17270EA2" w14:textId="77777777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Vlada Crne Gore i Ministarstvo javne uprave sproveli su niz sistemskih reformi usmjerenih na sprječavanje neplanskog zapošljavanja, jačanje merit sistema i profesionalizaciju državne uprave.</w:t>
      </w:r>
    </w:p>
    <w:p w14:paraId="4885D604" w14:textId="77777777" w:rsidR="00464F41" w:rsidRPr="00337D38" w:rsidRDefault="00464F41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506928D4" w14:textId="4C27B7A4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Usvajanjem novog Zakona o državnim službenicima i namještenicima obezbije</w:t>
      </w:r>
      <w:r w:rsidR="000111CD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đ</w:t>
      </w: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ena je puna primjena principa zapošljavanja na osnovu zasluga. Zakonom je, između ostalog, previđeno:</w:t>
      </w:r>
    </w:p>
    <w:p w14:paraId="5698ED81" w14:textId="77777777" w:rsidR="00464F41" w:rsidRPr="00337D38" w:rsidRDefault="00464F41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6D502DE5" w14:textId="6A15FD0E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• </w:t>
      </w:r>
      <w:r w:rsidR="00464F41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 </w:t>
      </w: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ograničen institut vršilaca dužnosti na maksimalno godinu dana, nakon čega se osigurava da se rukovodeć</w:t>
      </w:r>
      <w:r w:rsidR="00464F41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a mjesta</w:t>
      </w: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 popunjavaju isključivo kroz transparentne i konkurentske procedure;</w:t>
      </w:r>
    </w:p>
    <w:p w14:paraId="776AC1A5" w14:textId="77777777" w:rsidR="00464F41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•  izbor prvorangiranog kandidata;  </w:t>
      </w:r>
    </w:p>
    <w:p w14:paraId="37FDA513" w14:textId="09A1D6B3" w:rsidR="00D80558" w:rsidRPr="00337D38" w:rsidRDefault="00464F41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• </w:t>
      </w:r>
      <w:r w:rsidR="00D80558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omogućena interna mobilnost i trajno preuzimanje zaposlenih između organa bez javnog oglašavanja;</w:t>
      </w:r>
    </w:p>
    <w:p w14:paraId="18B29F8C" w14:textId="5DBD2684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• jača se pozicija zaposlenih na rukovodećim radnim mjestima.</w:t>
      </w:r>
    </w:p>
    <w:p w14:paraId="0ABCA28F" w14:textId="77777777" w:rsidR="00464F41" w:rsidRPr="00337D38" w:rsidRDefault="00464F41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179F88F1" w14:textId="19121FEE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Novom uredbom o zasnivanju radnog odnosa u državnim organima uspostavljen je i novi model zapošljavanja, koji će se primjenjivati od 1. januara 2026.</w:t>
      </w:r>
      <w:r w:rsidR="00464F41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 </w:t>
      </w: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godine, čime se uvodi provjera kompetencija za sve kategorije službenika i jača p</w:t>
      </w:r>
      <w:r w:rsidR="000111CD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rof</w:t>
      </w: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esionalizacija državne uprave.</w:t>
      </w:r>
    </w:p>
    <w:p w14:paraId="785DFA23" w14:textId="77777777" w:rsidR="00464F41" w:rsidRPr="00337D38" w:rsidRDefault="00464F41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5E55392D" w14:textId="1518ED8D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lang w:val="sr-Latn-RS"/>
        </w:rPr>
      </w:pPr>
      <w:r w:rsidRPr="00337D38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lang w:val="sr-Latn-RS"/>
        </w:rPr>
        <w:t>Jačanje kapaciteta — ključni izazov EU integracija</w:t>
      </w:r>
    </w:p>
    <w:p w14:paraId="0CB977A4" w14:textId="77777777" w:rsidR="00464F41" w:rsidRPr="00337D38" w:rsidRDefault="00464F41" w:rsidP="00D80558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lang w:val="sr-Latn-RS"/>
        </w:rPr>
      </w:pPr>
    </w:p>
    <w:p w14:paraId="067F52F6" w14:textId="4851FF3C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U kontekstu predpristupnih pregovora Crnoj Gori je potrebna moderna, efikasna, digitalizovana, transparentna i odgovorna javna uprava, i to u kratkom roku.</w:t>
      </w:r>
    </w:p>
    <w:p w14:paraId="5D9E5226" w14:textId="77777777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Suprotno čestim percepcijama, u državnoj upravi je konstatovan nedostatak administrativnih kapaciteta u ključnim oblastima, naročito u ključnim pregovaračkim poglavljima. Više od 40 završnih mjerila direktno se odnosi na jačanje administrativnih kapaciteta, što je potvrđeno i Analizom Ministarstva evropskih poslova i u posljednjem Izvještaju Evropske komisije o napretku.</w:t>
      </w:r>
    </w:p>
    <w:p w14:paraId="369CA23B" w14:textId="77777777" w:rsidR="00464F41" w:rsidRPr="00337D38" w:rsidRDefault="00464F41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1DC27125" w14:textId="422F960F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Dodatno, značaj jačanja administrativnih kapaciteta je potvrđen i finansijskom podrškom od strane Evropske Komisije kroz zapošljavanje u oblastima zaštite životne sredine i socijalne politike, te obuke koje su neophodne za državne službenike.</w:t>
      </w:r>
    </w:p>
    <w:p w14:paraId="08D75C04" w14:textId="77777777" w:rsidR="00464F41" w:rsidRDefault="00464F41" w:rsidP="00D8055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</w:pPr>
    </w:p>
    <w:p w14:paraId="477B5D27" w14:textId="320870AD" w:rsidR="00D80558" w:rsidRPr="00D80558" w:rsidRDefault="00D80558" w:rsidP="00D8055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Zbog toga je fokus reforme na kvalitetu kadra, pravilnom kadrovskom planiranju, raspoređivanju službenika gdje ima viška na radna mjesta gdje je popuna neophodna</w:t>
      </w:r>
      <w:r w:rsidRPr="00D80558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.</w:t>
      </w:r>
    </w:p>
    <w:p w14:paraId="7D056BFB" w14:textId="77777777" w:rsidR="00464F41" w:rsidRDefault="00464F41" w:rsidP="00D8055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</w:pPr>
    </w:p>
    <w:p w14:paraId="62B16A4C" w14:textId="2F25D9F2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lang w:val="sr-Latn-RS"/>
        </w:rPr>
      </w:pPr>
      <w:r w:rsidRPr="00337D38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lang w:val="sr-Latn-RS"/>
        </w:rPr>
        <w:t>Transparentnost i suzbijanje neformalnog zapo</w:t>
      </w:r>
      <w:r w:rsidR="00337D38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lang w:val="sr-Latn-RS"/>
        </w:rPr>
        <w:t>š</w:t>
      </w:r>
      <w:r w:rsidRPr="00337D38"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lang w:val="sr-Latn-RS"/>
        </w:rPr>
        <w:t>ljavanja</w:t>
      </w:r>
    </w:p>
    <w:p w14:paraId="7F518505" w14:textId="77777777" w:rsidR="00464F41" w:rsidRPr="00337D38" w:rsidRDefault="00464F41" w:rsidP="00D80558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lang w:val="sr-Latn-RS"/>
        </w:rPr>
      </w:pPr>
    </w:p>
    <w:p w14:paraId="4B47CA3D" w14:textId="5B6E8031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Prema podacima iz godišnjih izvještaja o implementaciji St</w:t>
      </w:r>
      <w:r w:rsidR="000111CD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r</w:t>
      </w: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a</w:t>
      </w:r>
      <w:bookmarkStart w:id="0" w:name="_GoBack"/>
      <w:bookmarkEnd w:id="0"/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tegije, udio zaposlenih na centralnom i lokalnom nivou u ukupnoj zaposlenosti smanjen je sa 26% u 2021. godini na 21,1% u 2024. godini, čime su već sada premašene projektovane vrijednosti za 2026. godinu. Ovaj rezultat je postignut zahvaljujući kvalitetno definisanom setu mjera Vlade, uključujući:</w:t>
      </w:r>
    </w:p>
    <w:p w14:paraId="20E1BFE0" w14:textId="77777777" w:rsidR="00464F41" w:rsidRPr="00337D38" w:rsidRDefault="00464F41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1C265DD4" w14:textId="1C04E0F5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•  sprovođenje ekonomskih reformi „Evropa sad" i unapređenje poslovnog ambijenta;  fiskalnu konsolidaciju i kontrolu javne potrošnje;  strožiji nadzor nad primjenom ugovora o privremenim i povremenim poslovima;</w:t>
      </w:r>
    </w:p>
    <w:p w14:paraId="06EA556D" w14:textId="495E986D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•  unapređenje planiranja ljudskih resursa i jedinstvenu kadrovsku politiku u sistemu javne uprave.</w:t>
      </w:r>
    </w:p>
    <w:p w14:paraId="66DBEE0B" w14:textId="77777777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Ove mjere nijesu bile samo prateće okolnosti, već ključni instrumenti kroz koje je Vlada direktno doprinijela stabilizaciji i racionalizaciji broja zaposlenih, čime se broj izvršilaca sve više približava evropskom prosjeku.</w:t>
      </w:r>
    </w:p>
    <w:p w14:paraId="55648738" w14:textId="77777777" w:rsidR="00464F41" w:rsidRPr="00337D38" w:rsidRDefault="00464F41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1E4805B9" w14:textId="0F8AA83B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Posebna pažnja posvećena je kontroli i smanjenju ugovora o djelu i ugovora o privremenim i povremenim poslovima. U periodu od decembra 2024. do oktobra 2025. godine.</w:t>
      </w:r>
    </w:p>
    <w:p w14:paraId="57F8E03A" w14:textId="77777777" w:rsidR="003A3205" w:rsidRPr="00337D38" w:rsidRDefault="003A3205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4C1048FF" w14:textId="2DB050B8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•  broj ugovora o djelu smanjen je sa 1.885 na 1.610 (</w:t>
      </w:r>
      <w:r w:rsidR="003A3205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- </w:t>
      </w: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14,58%),</w:t>
      </w:r>
    </w:p>
    <w:p w14:paraId="27CD40B8" w14:textId="60157543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•  broj ugovora o PVP poslovima smanjen je sa 63 na 18 (-</w:t>
      </w:r>
      <w:r w:rsidR="003A3205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 </w:t>
      </w: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71 ,42%).</w:t>
      </w:r>
    </w:p>
    <w:p w14:paraId="7785C14E" w14:textId="77777777" w:rsidR="00464F41" w:rsidRPr="00337D38" w:rsidRDefault="00464F41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7FEF76A2" w14:textId="4A13E003" w:rsidR="00D80558" w:rsidRPr="00337D38" w:rsidRDefault="00D80558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Dodatno, po prvi put je uspostavljena online platforma, u saradnji Ministarstva javne uprave i Ministarstva finansija, na kojoj se kvartalno objavljuju podaci o broju zaposlenih na centralnom i lokalnom nivou.</w:t>
      </w:r>
    </w:p>
    <w:p w14:paraId="0317D8F1" w14:textId="77777777" w:rsidR="0010557E" w:rsidRPr="00337D38" w:rsidRDefault="0010557E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33352573" w14:textId="4B2A4F59" w:rsidR="00A97B7F" w:rsidRPr="00337D38" w:rsidRDefault="003A3205" w:rsidP="00337D3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Kada je u pitanju upravljanje </w:t>
      </w:r>
      <w:r w:rsidR="006B42F9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državnim kompanijama, i u tom dijelu je upravo ova Vlada pripremila ključni sistemski zakon – Zakon o upravljanju privrednim društvimam u državno</w:t>
      </w:r>
      <w:r w:rsidR="00A97B7F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j svojini</w:t>
      </w:r>
      <w:r w:rsidR="006B42F9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, kojim se po prvi </w:t>
      </w:r>
      <w:r w:rsidR="006B42F9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lastRenderedPageBreak/>
        <w:t xml:space="preserve">put uvode kriterijumi za izbor članova organa upravljanja </w:t>
      </w:r>
      <w:r w:rsidR="00A97B7F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čime će se obezbijediti profesionalizacija organa upravljanja državnih kompanija. Takođe, ovim zakonom </w:t>
      </w:r>
      <w:r w:rsidR="00A65212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prepoznati su </w:t>
      </w:r>
      <w:r w:rsidR="00A97B7F"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važni mehanizmi koji po prvi put uvode periodičnu analizu portfolija državnih preduzeća, čime će se omogućiti sveobuhvatna procjena njihove finansijske održivosti, vlasničke opravdanosti i fiskalnih rizika. Takođe, kroz jasno definisanje i praćenje indikatora uspjeha u okviru pisma očekivanja, uspostaviće se transparentan odnos između države kao vlasnika i upravljačkih struktura, sa mjerljivim ciljevima, rokovima i odgovornošću menadžmenta za ostvarene rezultate.</w:t>
      </w:r>
    </w:p>
    <w:p w14:paraId="6AB2C6B5" w14:textId="199E0468" w:rsidR="0010557E" w:rsidRPr="00337D38" w:rsidRDefault="0010557E" w:rsidP="00D80558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>Sve navedene mjere imaju zajednički cilj: profesionalnu, racionalnu i depolitizovanu javnu upravu koja građanima i privredi obezbjeduje brze, kvalitetne i pouzdane usluge.</w:t>
      </w:r>
    </w:p>
    <w:p w14:paraId="09861DEC" w14:textId="77777777" w:rsidR="002B270B" w:rsidRPr="00337D38" w:rsidRDefault="002B270B" w:rsidP="002E724B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</w:p>
    <w:p w14:paraId="477FDC0D" w14:textId="77777777" w:rsidR="00F536EC" w:rsidRPr="00337D38" w:rsidRDefault="00047461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</w:pPr>
      <w:r w:rsidRPr="00337D38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RS"/>
        </w:rPr>
        <w:t xml:space="preserve">S poštovanjem, </w:t>
      </w:r>
    </w:p>
    <w:p w14:paraId="0F29BC03" w14:textId="77777777" w:rsidR="00047461" w:rsidRPr="00D80558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</w:pPr>
    </w:p>
    <w:p w14:paraId="4F1E7809" w14:textId="77777777" w:rsidR="00047461" w:rsidRPr="00D80558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</w:pPr>
    </w:p>
    <w:p w14:paraId="558C9F3C" w14:textId="04170D78" w:rsidR="00F536EC" w:rsidRPr="00337D38" w:rsidRDefault="00046C86" w:rsidP="0010557E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RS"/>
        </w:rPr>
      </w:pPr>
      <w:r w:rsidRPr="00337D38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RS"/>
        </w:rPr>
        <w:t>PREDSJEDNIK</w:t>
      </w:r>
      <w:r w:rsidR="00337D38" w:rsidRPr="00337D38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RS"/>
        </w:rPr>
        <w:t xml:space="preserve"> VLADE</w:t>
      </w:r>
    </w:p>
    <w:p w14:paraId="0EC59804" w14:textId="5EFAB17B" w:rsidR="00F536EC" w:rsidRPr="00337D38" w:rsidRDefault="00046C86" w:rsidP="0010557E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RS"/>
        </w:rPr>
      </w:pPr>
      <w:r w:rsidRPr="00337D38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RS"/>
        </w:rPr>
        <w:tab/>
      </w:r>
      <w:r w:rsidRPr="00337D38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RS"/>
        </w:rPr>
        <w:tab/>
        <w:t xml:space="preserve">                                                                          </w:t>
      </w:r>
      <w:r w:rsidR="006673E9" w:rsidRPr="00337D38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RS"/>
        </w:rPr>
        <w:t>m</w:t>
      </w:r>
      <w:r w:rsidR="009A2F73" w:rsidRPr="00337D38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RS"/>
        </w:rPr>
        <w:t>r Milojko Spajić</w:t>
      </w:r>
    </w:p>
    <w:p w14:paraId="4D65956A" w14:textId="77777777" w:rsidR="00F536EC" w:rsidRPr="00D80558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Arial" w:eastAsia="Calibri" w:hAnsi="Arial" w:cs="Arial"/>
          <w:color w:val="000000" w:themeColor="text1"/>
          <w:szCs w:val="24"/>
          <w:lang w:val="sr-Latn-RS"/>
        </w:rPr>
      </w:pPr>
    </w:p>
    <w:sectPr w:rsidR="00F536EC" w:rsidRPr="00D80558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EA297" w14:textId="77777777" w:rsidR="000A648B" w:rsidRDefault="000A648B">
      <w:pPr>
        <w:spacing w:line="240" w:lineRule="auto"/>
      </w:pPr>
      <w:r>
        <w:separator/>
      </w:r>
    </w:p>
  </w:endnote>
  <w:endnote w:type="continuationSeparator" w:id="0">
    <w:p w14:paraId="655547C4" w14:textId="77777777" w:rsidR="000A648B" w:rsidRDefault="000A6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E7A827" w14:textId="77777777"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ADD98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99FD2" w14:textId="77777777" w:rsidR="000A648B" w:rsidRDefault="000A648B">
      <w:pPr>
        <w:spacing w:before="0" w:after="0"/>
      </w:pPr>
      <w:r>
        <w:separator/>
      </w:r>
    </w:p>
  </w:footnote>
  <w:footnote w:type="continuationSeparator" w:id="0">
    <w:p w14:paraId="699068AF" w14:textId="77777777" w:rsidR="000A648B" w:rsidRDefault="000A64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537CE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68229" w14:textId="77777777"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2011BC" wp14:editId="42553502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9368F1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482DA46A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A095F8F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74A3BDBF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48B34F8F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201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0E9368F1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482DA46A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A095F8F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74A3BDBF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48B34F8F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59DF7427" wp14:editId="6C77E19E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17685A" wp14:editId="730B2B9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4F2C19DD" w14:textId="77777777" w:rsidR="00F536EC" w:rsidRDefault="00046C86">
    <w:pPr>
      <w:pStyle w:val="Title"/>
      <w:spacing w:after="0"/>
    </w:pPr>
    <w:proofErr w:type="spellStart"/>
    <w:r>
      <w:t>Vlada</w:t>
    </w:r>
    <w:proofErr w:type="spellEnd"/>
    <w:r>
      <w:t xml:space="preserve"> Crne Gore </w:t>
    </w:r>
  </w:p>
  <w:p w14:paraId="69E90B40" w14:textId="77777777"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14:paraId="2C617988" w14:textId="77777777"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703CD"/>
    <w:multiLevelType w:val="hybridMultilevel"/>
    <w:tmpl w:val="3DC8A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01696"/>
    <w:multiLevelType w:val="hybridMultilevel"/>
    <w:tmpl w:val="1736E7EA"/>
    <w:lvl w:ilvl="0" w:tplc="4A9827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11CD"/>
    <w:rsid w:val="00020673"/>
    <w:rsid w:val="00020E38"/>
    <w:rsid w:val="00046C86"/>
    <w:rsid w:val="00047461"/>
    <w:rsid w:val="00051FC2"/>
    <w:rsid w:val="00055EAA"/>
    <w:rsid w:val="000602D4"/>
    <w:rsid w:val="00060D02"/>
    <w:rsid w:val="0007533D"/>
    <w:rsid w:val="00091A0A"/>
    <w:rsid w:val="00094558"/>
    <w:rsid w:val="00094746"/>
    <w:rsid w:val="00095D7A"/>
    <w:rsid w:val="000A3E3F"/>
    <w:rsid w:val="000A648B"/>
    <w:rsid w:val="000B3C47"/>
    <w:rsid w:val="000C1724"/>
    <w:rsid w:val="000D0880"/>
    <w:rsid w:val="000D1843"/>
    <w:rsid w:val="000D3100"/>
    <w:rsid w:val="000D7C1D"/>
    <w:rsid w:val="000F2AA0"/>
    <w:rsid w:val="000F2B95"/>
    <w:rsid w:val="000F2BFC"/>
    <w:rsid w:val="00101C1A"/>
    <w:rsid w:val="00102E8D"/>
    <w:rsid w:val="001038A7"/>
    <w:rsid w:val="00103D63"/>
    <w:rsid w:val="001053EE"/>
    <w:rsid w:val="0010557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5AED"/>
    <w:rsid w:val="001F6FBD"/>
    <w:rsid w:val="001F75D5"/>
    <w:rsid w:val="00202237"/>
    <w:rsid w:val="00205759"/>
    <w:rsid w:val="002148DC"/>
    <w:rsid w:val="002232E6"/>
    <w:rsid w:val="002249FB"/>
    <w:rsid w:val="002259BA"/>
    <w:rsid w:val="00226B74"/>
    <w:rsid w:val="00233D09"/>
    <w:rsid w:val="00237A68"/>
    <w:rsid w:val="002511E4"/>
    <w:rsid w:val="00252A36"/>
    <w:rsid w:val="002551CB"/>
    <w:rsid w:val="00257977"/>
    <w:rsid w:val="00264C96"/>
    <w:rsid w:val="002662A8"/>
    <w:rsid w:val="002779F6"/>
    <w:rsid w:val="002928CE"/>
    <w:rsid w:val="00292D5E"/>
    <w:rsid w:val="00293894"/>
    <w:rsid w:val="00295F95"/>
    <w:rsid w:val="002A6076"/>
    <w:rsid w:val="002A69DB"/>
    <w:rsid w:val="002A7CB3"/>
    <w:rsid w:val="002B1369"/>
    <w:rsid w:val="002B270B"/>
    <w:rsid w:val="002C3A6E"/>
    <w:rsid w:val="002D374C"/>
    <w:rsid w:val="002D3B3C"/>
    <w:rsid w:val="002D58C8"/>
    <w:rsid w:val="002E724B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37D38"/>
    <w:rsid w:val="003417B8"/>
    <w:rsid w:val="0035044F"/>
    <w:rsid w:val="00350578"/>
    <w:rsid w:val="00354D08"/>
    <w:rsid w:val="00357FF2"/>
    <w:rsid w:val="00375D08"/>
    <w:rsid w:val="003816E5"/>
    <w:rsid w:val="003846D9"/>
    <w:rsid w:val="003A0E6B"/>
    <w:rsid w:val="003A3205"/>
    <w:rsid w:val="003A6DB5"/>
    <w:rsid w:val="003A7926"/>
    <w:rsid w:val="003B1FC3"/>
    <w:rsid w:val="003B45D4"/>
    <w:rsid w:val="003C06F2"/>
    <w:rsid w:val="003C17AA"/>
    <w:rsid w:val="003C29ED"/>
    <w:rsid w:val="003C3C88"/>
    <w:rsid w:val="003D409B"/>
    <w:rsid w:val="003D7C6C"/>
    <w:rsid w:val="003E157A"/>
    <w:rsid w:val="003E5335"/>
    <w:rsid w:val="003E5E34"/>
    <w:rsid w:val="003F1754"/>
    <w:rsid w:val="003F416A"/>
    <w:rsid w:val="00400120"/>
    <w:rsid w:val="004044E0"/>
    <w:rsid w:val="00405BF5"/>
    <w:rsid w:val="004112D5"/>
    <w:rsid w:val="00424835"/>
    <w:rsid w:val="004378E1"/>
    <w:rsid w:val="00442266"/>
    <w:rsid w:val="00451F6C"/>
    <w:rsid w:val="00451FF9"/>
    <w:rsid w:val="00464F41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000CA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1CE"/>
    <w:rsid w:val="00547368"/>
    <w:rsid w:val="00556F13"/>
    <w:rsid w:val="00563762"/>
    <w:rsid w:val="005644CC"/>
    <w:rsid w:val="005723C7"/>
    <w:rsid w:val="00577C09"/>
    <w:rsid w:val="005878EC"/>
    <w:rsid w:val="00592F0A"/>
    <w:rsid w:val="00594579"/>
    <w:rsid w:val="0059534E"/>
    <w:rsid w:val="005955EE"/>
    <w:rsid w:val="005A1F18"/>
    <w:rsid w:val="005A24B5"/>
    <w:rsid w:val="005A4E7E"/>
    <w:rsid w:val="005A7DD3"/>
    <w:rsid w:val="005B44BF"/>
    <w:rsid w:val="005C6F24"/>
    <w:rsid w:val="005C798F"/>
    <w:rsid w:val="005D0E96"/>
    <w:rsid w:val="005D2F9C"/>
    <w:rsid w:val="005D4495"/>
    <w:rsid w:val="005E66A4"/>
    <w:rsid w:val="005E785D"/>
    <w:rsid w:val="005F07F2"/>
    <w:rsid w:val="005F56D9"/>
    <w:rsid w:val="005F67DC"/>
    <w:rsid w:val="006018BD"/>
    <w:rsid w:val="00602734"/>
    <w:rsid w:val="0060585B"/>
    <w:rsid w:val="00612213"/>
    <w:rsid w:val="006148F7"/>
    <w:rsid w:val="00615D0A"/>
    <w:rsid w:val="006278D8"/>
    <w:rsid w:val="00630A76"/>
    <w:rsid w:val="00637E91"/>
    <w:rsid w:val="006407E6"/>
    <w:rsid w:val="00640AAB"/>
    <w:rsid w:val="00644985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A5098"/>
    <w:rsid w:val="006B0CEE"/>
    <w:rsid w:val="006B42F9"/>
    <w:rsid w:val="006C3633"/>
    <w:rsid w:val="006C6F1A"/>
    <w:rsid w:val="006D711E"/>
    <w:rsid w:val="006E262C"/>
    <w:rsid w:val="006E4299"/>
    <w:rsid w:val="006E7D71"/>
    <w:rsid w:val="006F6F1F"/>
    <w:rsid w:val="00700D6B"/>
    <w:rsid w:val="00705067"/>
    <w:rsid w:val="0070668A"/>
    <w:rsid w:val="00722040"/>
    <w:rsid w:val="007307D4"/>
    <w:rsid w:val="0073561A"/>
    <w:rsid w:val="00743FBC"/>
    <w:rsid w:val="007461A7"/>
    <w:rsid w:val="00760EB4"/>
    <w:rsid w:val="0077100B"/>
    <w:rsid w:val="00773B7D"/>
    <w:rsid w:val="007741A7"/>
    <w:rsid w:val="007803D6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D5829"/>
    <w:rsid w:val="007E1DE1"/>
    <w:rsid w:val="007E50D3"/>
    <w:rsid w:val="007E526F"/>
    <w:rsid w:val="007F4FBF"/>
    <w:rsid w:val="008040DC"/>
    <w:rsid w:val="0080599C"/>
    <w:rsid w:val="00805BCC"/>
    <w:rsid w:val="00810444"/>
    <w:rsid w:val="0081425B"/>
    <w:rsid w:val="00825944"/>
    <w:rsid w:val="00832EC8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CCD"/>
    <w:rsid w:val="008C7F82"/>
    <w:rsid w:val="008D2635"/>
    <w:rsid w:val="008D62B3"/>
    <w:rsid w:val="008E162F"/>
    <w:rsid w:val="008E1C01"/>
    <w:rsid w:val="008E58B8"/>
    <w:rsid w:val="008E66CA"/>
    <w:rsid w:val="008F4A87"/>
    <w:rsid w:val="00902E6C"/>
    <w:rsid w:val="009051EE"/>
    <w:rsid w:val="00907170"/>
    <w:rsid w:val="00910BD5"/>
    <w:rsid w:val="00911B2D"/>
    <w:rsid w:val="009130A0"/>
    <w:rsid w:val="0091443E"/>
    <w:rsid w:val="0091542B"/>
    <w:rsid w:val="00917A2A"/>
    <w:rsid w:val="00922A8D"/>
    <w:rsid w:val="00927968"/>
    <w:rsid w:val="00930020"/>
    <w:rsid w:val="00936B82"/>
    <w:rsid w:val="00937A65"/>
    <w:rsid w:val="009410BE"/>
    <w:rsid w:val="00943F04"/>
    <w:rsid w:val="0094566F"/>
    <w:rsid w:val="00946A67"/>
    <w:rsid w:val="00946D0F"/>
    <w:rsid w:val="009529EA"/>
    <w:rsid w:val="009531A9"/>
    <w:rsid w:val="009567CD"/>
    <w:rsid w:val="0096107C"/>
    <w:rsid w:val="009660EB"/>
    <w:rsid w:val="009723BF"/>
    <w:rsid w:val="00991AE4"/>
    <w:rsid w:val="00994041"/>
    <w:rsid w:val="00997C04"/>
    <w:rsid w:val="009A2F73"/>
    <w:rsid w:val="009A748D"/>
    <w:rsid w:val="009B2229"/>
    <w:rsid w:val="009B54B8"/>
    <w:rsid w:val="009B687F"/>
    <w:rsid w:val="009C5B9C"/>
    <w:rsid w:val="009C7B63"/>
    <w:rsid w:val="009D23C4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0762"/>
    <w:rsid w:val="00A6505B"/>
    <w:rsid w:val="00A65212"/>
    <w:rsid w:val="00A66276"/>
    <w:rsid w:val="00A77847"/>
    <w:rsid w:val="00A84545"/>
    <w:rsid w:val="00A95855"/>
    <w:rsid w:val="00A97B7F"/>
    <w:rsid w:val="00AA3400"/>
    <w:rsid w:val="00AA44B6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2CB5"/>
    <w:rsid w:val="00B473C2"/>
    <w:rsid w:val="00B47D2C"/>
    <w:rsid w:val="00B65A84"/>
    <w:rsid w:val="00B83F7A"/>
    <w:rsid w:val="00B84F08"/>
    <w:rsid w:val="00B869CC"/>
    <w:rsid w:val="00BA50BD"/>
    <w:rsid w:val="00BB1145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1D7D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4608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B74D5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0473D"/>
    <w:rsid w:val="00D117C9"/>
    <w:rsid w:val="00D11A64"/>
    <w:rsid w:val="00D17AAE"/>
    <w:rsid w:val="00D23B4D"/>
    <w:rsid w:val="00D2455F"/>
    <w:rsid w:val="00D355D3"/>
    <w:rsid w:val="00D440BC"/>
    <w:rsid w:val="00D46178"/>
    <w:rsid w:val="00D4688C"/>
    <w:rsid w:val="00D4764A"/>
    <w:rsid w:val="00D510D0"/>
    <w:rsid w:val="00D53264"/>
    <w:rsid w:val="00D732B3"/>
    <w:rsid w:val="00D80558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E7935"/>
    <w:rsid w:val="00DF60F7"/>
    <w:rsid w:val="00E12359"/>
    <w:rsid w:val="00E1735E"/>
    <w:rsid w:val="00E17842"/>
    <w:rsid w:val="00E21B53"/>
    <w:rsid w:val="00E22082"/>
    <w:rsid w:val="00E31C46"/>
    <w:rsid w:val="00E462E1"/>
    <w:rsid w:val="00E57BE9"/>
    <w:rsid w:val="00E674BF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1451"/>
    <w:rsid w:val="00F01569"/>
    <w:rsid w:val="00F030EC"/>
    <w:rsid w:val="00F0363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C6B49"/>
    <w:rsid w:val="00FD18E3"/>
    <w:rsid w:val="00FD6D51"/>
    <w:rsid w:val="00FD7192"/>
    <w:rsid w:val="00FE4CFA"/>
    <w:rsid w:val="00FE7FED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905F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Mihaljevic</cp:lastModifiedBy>
  <cp:revision>69</cp:revision>
  <cp:lastPrinted>2022-06-16T12:02:00Z</cp:lastPrinted>
  <dcterms:created xsi:type="dcterms:W3CDTF">2025-03-25T07:23:00Z</dcterms:created>
  <dcterms:modified xsi:type="dcterms:W3CDTF">2025-12-30T09:16:00Z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