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214" w:rsidRPr="00755B40" w:rsidRDefault="00076214" w:rsidP="00076214">
      <w:pPr>
        <w:spacing w:after="200" w:line="276" w:lineRule="auto"/>
        <w:rPr>
          <w:lang w:val="sr-Latn-ME"/>
        </w:rPr>
      </w:pPr>
      <w:bookmarkStart w:id="0" w:name="_Hlk185500927"/>
    </w:p>
    <w:p w:rsidR="00076214" w:rsidRPr="006203D4" w:rsidRDefault="00076214" w:rsidP="000762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076214" w:rsidRPr="006203D4" w:rsidRDefault="00076214" w:rsidP="000762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94.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076214" w:rsidRPr="006203D4" w:rsidRDefault="00076214" w:rsidP="0007621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11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septembar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</w:t>
      </w:r>
      <w:r>
        <w:rPr>
          <w:rFonts w:ascii="Arial" w:hAnsi="Arial" w:cs="Arial"/>
          <w:sz w:val="24"/>
          <w:szCs w:val="24"/>
          <w:lang w:val="sl-SI"/>
        </w:rPr>
        <w:t>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godine, s početkom u </w:t>
      </w:r>
      <w:r w:rsidRPr="005B6E6E">
        <w:rPr>
          <w:rFonts w:ascii="Arial" w:hAnsi="Arial" w:cs="Arial"/>
          <w:sz w:val="24"/>
          <w:szCs w:val="24"/>
          <w:lang w:val="sl-SI"/>
        </w:rPr>
        <w:t>1</w:t>
      </w:r>
      <w:r>
        <w:rPr>
          <w:rFonts w:ascii="Arial" w:hAnsi="Arial" w:cs="Arial"/>
          <w:sz w:val="24"/>
          <w:szCs w:val="24"/>
          <w:lang w:val="sl-SI"/>
        </w:rPr>
        <w:t>1</w:t>
      </w:r>
      <w:r w:rsidRPr="005B6E6E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00</w:t>
      </w:r>
      <w:r w:rsidRPr="005B6E6E">
        <w:rPr>
          <w:rFonts w:ascii="Arial" w:hAnsi="Arial" w:cs="Arial"/>
          <w:sz w:val="24"/>
          <w:szCs w:val="24"/>
          <w:lang w:val="sl-SI"/>
        </w:rPr>
        <w:t xml:space="preserve"> sati</w:t>
      </w:r>
    </w:p>
    <w:p w:rsidR="00076214" w:rsidRPr="006203D4" w:rsidRDefault="00076214" w:rsidP="00076214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076214" w:rsidRPr="00246060" w:rsidRDefault="00076214" w:rsidP="00076214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 xml:space="preserve">93. 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sjednice Vlade, održane </w:t>
      </w:r>
      <w:r>
        <w:rPr>
          <w:rFonts w:ascii="Arial" w:hAnsi="Arial" w:cs="Arial"/>
          <w:sz w:val="24"/>
          <w:szCs w:val="24"/>
          <w:lang w:val="sr-Latn-ME"/>
        </w:rPr>
        <w:t>4.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septembra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6203D4">
        <w:rPr>
          <w:rFonts w:ascii="Arial" w:hAnsi="Arial" w:cs="Arial"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8. septembra 2025. godine</w:t>
      </w:r>
    </w:p>
    <w:p w:rsidR="00076214" w:rsidRDefault="00076214" w:rsidP="00076214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</w:t>
      </w:r>
    </w:p>
    <w:p w:rsidR="00076214" w:rsidRPr="00A57816" w:rsidRDefault="00076214" w:rsidP="00076214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</w:t>
      </w:r>
    </w:p>
    <w:p w:rsidR="00076214" w:rsidRPr="006203D4" w:rsidRDefault="00076214" w:rsidP="000762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076214" w:rsidRPr="00DC26A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636FC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36FC6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076214" w:rsidRPr="008F66A9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potvrđivanju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Ljubljansko-haške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međunarodnoj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istra</w:t>
      </w:r>
      <w:r>
        <w:rPr>
          <w:rFonts w:ascii="Arial" w:hAnsi="Arial" w:cs="Arial"/>
          <w:sz w:val="24"/>
          <w:szCs w:val="24"/>
          <w:shd w:val="clear" w:color="auto" w:fill="F6F6F6"/>
        </w:rPr>
        <w:t>gama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krivično</w:t>
      </w:r>
      <w:r>
        <w:rPr>
          <w:rFonts w:ascii="Arial" w:hAnsi="Arial" w:cs="Arial"/>
          <w:sz w:val="24"/>
          <w:szCs w:val="24"/>
          <w:shd w:val="clear" w:color="auto" w:fill="F6F6F6"/>
        </w:rPr>
        <w:t>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gonjenju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zločina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genocida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zločina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čovječnosti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ratnih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zločina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drugih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međunarodnih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6F6F6"/>
        </w:rPr>
        <w:t>zločina</w:t>
      </w:r>
      <w:proofErr w:type="spellEnd"/>
    </w:p>
    <w:p w:rsidR="00076214" w:rsidRPr="008F66A9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8F66A9">
        <w:rPr>
          <w:rFonts w:ascii="Arial" w:hAnsi="Arial" w:cs="Arial"/>
          <w:sz w:val="24"/>
          <w:szCs w:val="24"/>
        </w:rPr>
        <w:t>Kadrovska</w:t>
      </w:r>
      <w:proofErr w:type="spellEnd"/>
      <w:r w:rsidRPr="008F6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</w:rPr>
        <w:t>pitanja</w:t>
      </w:r>
      <w:proofErr w:type="spellEnd"/>
    </w:p>
    <w:p w:rsidR="00076214" w:rsidRPr="006203D4" w:rsidRDefault="00076214" w:rsidP="000762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214" w:rsidRPr="00480EAC" w:rsidRDefault="00076214" w:rsidP="000762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076214" w:rsidRPr="00773F46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potvrđivanju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Dodatnog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protokola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7 o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rješavanju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sporova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Sporazum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8F66A9">
        <w:rPr>
          <w:rFonts w:ascii="Arial" w:hAnsi="Arial" w:cs="Arial"/>
          <w:sz w:val="24"/>
          <w:szCs w:val="24"/>
          <w:shd w:val="clear" w:color="auto" w:fill="FFFFFF"/>
        </w:rPr>
        <w:t>entralnoevropskom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sporazumu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slobodnoj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66A9">
        <w:rPr>
          <w:rFonts w:ascii="Arial" w:hAnsi="Arial" w:cs="Arial"/>
          <w:sz w:val="24"/>
          <w:szCs w:val="24"/>
          <w:shd w:val="clear" w:color="auto" w:fill="FFFFFF"/>
        </w:rPr>
        <w:t>trgovini</w:t>
      </w:r>
      <w:proofErr w:type="spellEnd"/>
      <w:r w:rsidRPr="008F66A9">
        <w:rPr>
          <w:rFonts w:ascii="Arial" w:hAnsi="Arial" w:cs="Arial"/>
          <w:sz w:val="24"/>
          <w:szCs w:val="24"/>
          <w:shd w:val="clear" w:color="auto" w:fill="FFFFFF"/>
        </w:rPr>
        <w:t xml:space="preserve"> (CEFTA)</w:t>
      </w:r>
    </w:p>
    <w:p w:rsidR="00076214" w:rsidRPr="00AE46A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osnivanju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odbora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traganja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spašavanja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moru</w:t>
      </w:r>
      <w:proofErr w:type="spellEnd"/>
    </w:p>
    <w:p w:rsidR="00076214" w:rsidRPr="00AE46A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Kotor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otuđenja</w:t>
      </w:r>
      <w:proofErr w:type="spellEnd"/>
      <w:r w:rsidRPr="00AE46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46A7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naučnom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dijasporom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GoBack"/>
      <w:bookmarkEnd w:id="1"/>
      <w:r w:rsidRPr="00080027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076214" w:rsidRPr="00B532F9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532F9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B532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532F9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B532F9">
        <w:rPr>
          <w:rFonts w:ascii="Arial" w:hAnsi="Arial" w:cs="Arial"/>
          <w:sz w:val="24"/>
          <w:szCs w:val="24"/>
        </w:rPr>
        <w:t>potpisivanju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nota o </w:t>
      </w:r>
      <w:proofErr w:type="spellStart"/>
      <w:r w:rsidRPr="00B532F9">
        <w:rPr>
          <w:rFonts w:ascii="Arial" w:hAnsi="Arial" w:cs="Arial"/>
          <w:sz w:val="24"/>
          <w:szCs w:val="24"/>
        </w:rPr>
        <w:t>pristupanju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Finske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Memorandumu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2F9">
        <w:rPr>
          <w:rFonts w:ascii="Arial" w:hAnsi="Arial" w:cs="Arial"/>
          <w:sz w:val="24"/>
          <w:szCs w:val="24"/>
        </w:rPr>
        <w:t>razumijevanju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između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Estonije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Belgije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Bugarske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Sekretarijata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nacionalnu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Kanade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kanadskih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Oružanih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snaga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Hrvatske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Agencije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nacionalnu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sajber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informacionu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bezbjednost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Češke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Danske,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Francuske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Saveznog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ministarstva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Savezne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Njemačke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Grčke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Mađarske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vanjskih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B532F9">
        <w:rPr>
          <w:rFonts w:ascii="Arial" w:hAnsi="Arial" w:cs="Arial"/>
          <w:sz w:val="24"/>
          <w:szCs w:val="24"/>
        </w:rPr>
        <w:t>Islanda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Italije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Letonije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Litvanije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Velikog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Vojvodstva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Luksemburga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Crne Gore,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Nizozemske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Norveške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Poljske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Portugal,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Rumunije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Slovačke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Slovenije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Španije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Generalštaba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Turske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532F9">
        <w:rPr>
          <w:rFonts w:ascii="Arial" w:hAnsi="Arial" w:cs="Arial"/>
          <w:sz w:val="24"/>
          <w:szCs w:val="24"/>
        </w:rPr>
        <w:t>postupa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532F9">
        <w:rPr>
          <w:rFonts w:ascii="Arial" w:hAnsi="Arial" w:cs="Arial"/>
          <w:sz w:val="24"/>
          <w:szCs w:val="24"/>
        </w:rPr>
        <w:t>ime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Vlade </w:t>
      </w:r>
      <w:proofErr w:type="spellStart"/>
      <w:r w:rsidRPr="00B532F9">
        <w:rPr>
          <w:rFonts w:ascii="Arial" w:hAnsi="Arial" w:cs="Arial"/>
          <w:sz w:val="24"/>
          <w:szCs w:val="24"/>
        </w:rPr>
        <w:lastRenderedPageBreak/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Turske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),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Ujedinjenog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Kraljevstva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Velike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Britanije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Sjeverne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Sekretarijata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odbranu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Sjedinjenih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Američkih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Država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Vrhovnog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Savezničkog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Komandanta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transformaciju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B532F9">
        <w:rPr>
          <w:rFonts w:ascii="Arial" w:hAnsi="Arial" w:cs="Arial"/>
          <w:sz w:val="24"/>
          <w:szCs w:val="24"/>
        </w:rPr>
        <w:t>pitanju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funkcionalnog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odnosa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B532F9">
        <w:rPr>
          <w:rFonts w:ascii="Arial" w:hAnsi="Arial" w:cs="Arial"/>
          <w:sz w:val="24"/>
          <w:szCs w:val="24"/>
        </w:rPr>
        <w:t>vezi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sa NATO </w:t>
      </w:r>
      <w:proofErr w:type="spellStart"/>
      <w:r w:rsidRPr="00B532F9">
        <w:rPr>
          <w:rFonts w:ascii="Arial" w:hAnsi="Arial" w:cs="Arial"/>
          <w:sz w:val="24"/>
          <w:szCs w:val="24"/>
        </w:rPr>
        <w:t>Centrom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izvrsnosti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kooperativnu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sajber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B532F9">
        <w:rPr>
          <w:rFonts w:ascii="Arial" w:hAnsi="Arial" w:cs="Arial"/>
          <w:sz w:val="24"/>
          <w:szCs w:val="24"/>
        </w:rPr>
        <w:t>Memorandumu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32F9">
        <w:rPr>
          <w:rFonts w:ascii="Arial" w:hAnsi="Arial" w:cs="Arial"/>
          <w:sz w:val="24"/>
          <w:szCs w:val="24"/>
        </w:rPr>
        <w:t>razumijevanju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između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Estonije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Belgije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Bugarske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Sekretarijata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nacionalnu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Kanade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kanadskih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Oružanih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snaga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Hrvatske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Agencije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nacionalnu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sajber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informacionu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bezbjednost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Češke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Danske,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Francuske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Saveznog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ministarstva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Savezne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Njemačke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Grčke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Mađarske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vanjskih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B532F9">
        <w:rPr>
          <w:rFonts w:ascii="Arial" w:hAnsi="Arial" w:cs="Arial"/>
          <w:sz w:val="24"/>
          <w:szCs w:val="24"/>
        </w:rPr>
        <w:t>Islanda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Italije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Letonije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Litvanije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Velikog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Vojvodstva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Luksemburga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Crne Gore, Ministra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Nizozemske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Norveške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Poljske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Ministra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Portugal,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nacionalne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Rumunije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Slovačke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Slovenije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Kraljevine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Španije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Generalštaba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Turske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532F9">
        <w:rPr>
          <w:rFonts w:ascii="Arial" w:hAnsi="Arial" w:cs="Arial"/>
          <w:sz w:val="24"/>
          <w:szCs w:val="24"/>
        </w:rPr>
        <w:t>postupa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532F9">
        <w:rPr>
          <w:rFonts w:ascii="Arial" w:hAnsi="Arial" w:cs="Arial"/>
          <w:sz w:val="24"/>
          <w:szCs w:val="24"/>
        </w:rPr>
        <w:t>ime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Vlade </w:t>
      </w:r>
      <w:proofErr w:type="spellStart"/>
      <w:r w:rsidRPr="00B532F9">
        <w:rPr>
          <w:rFonts w:ascii="Arial" w:hAnsi="Arial" w:cs="Arial"/>
          <w:sz w:val="24"/>
          <w:szCs w:val="24"/>
        </w:rPr>
        <w:t>Republike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Turske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), Ministarstva </w:t>
      </w:r>
      <w:proofErr w:type="spellStart"/>
      <w:r w:rsidRPr="00B532F9">
        <w:rPr>
          <w:rFonts w:ascii="Arial" w:hAnsi="Arial" w:cs="Arial"/>
          <w:sz w:val="24"/>
          <w:szCs w:val="24"/>
        </w:rPr>
        <w:t>odbrane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Ujedinjenog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Kraljevstva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Velike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Britanije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Sjeverne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Irske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Sekretarijata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odbranu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Sjedinjenih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Američkih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Država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B532F9">
        <w:rPr>
          <w:rFonts w:ascii="Arial" w:hAnsi="Arial" w:cs="Arial"/>
          <w:sz w:val="24"/>
          <w:szCs w:val="24"/>
        </w:rPr>
        <w:t>vezi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532F9">
        <w:rPr>
          <w:rFonts w:ascii="Arial" w:hAnsi="Arial" w:cs="Arial"/>
          <w:sz w:val="24"/>
          <w:szCs w:val="24"/>
        </w:rPr>
        <w:t>osnivanjem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32F9">
        <w:rPr>
          <w:rFonts w:ascii="Arial" w:hAnsi="Arial" w:cs="Arial"/>
          <w:sz w:val="24"/>
          <w:szCs w:val="24"/>
        </w:rPr>
        <w:t>upravljanjem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32F9">
        <w:rPr>
          <w:rFonts w:ascii="Arial" w:hAnsi="Arial" w:cs="Arial"/>
          <w:sz w:val="24"/>
          <w:szCs w:val="24"/>
        </w:rPr>
        <w:t>radom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NATO </w:t>
      </w:r>
      <w:proofErr w:type="spellStart"/>
      <w:r w:rsidRPr="00B532F9">
        <w:rPr>
          <w:rFonts w:ascii="Arial" w:hAnsi="Arial" w:cs="Arial"/>
          <w:sz w:val="24"/>
          <w:szCs w:val="24"/>
        </w:rPr>
        <w:t>Centra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izvrsnosti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32F9">
        <w:rPr>
          <w:rFonts w:ascii="Arial" w:hAnsi="Arial" w:cs="Arial"/>
          <w:sz w:val="24"/>
          <w:szCs w:val="24"/>
        </w:rPr>
        <w:t>kooperativnu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sajber</w:t>
      </w:r>
      <w:proofErr w:type="spellEnd"/>
      <w:r w:rsidRPr="00B532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2F9">
        <w:rPr>
          <w:rFonts w:ascii="Arial" w:hAnsi="Arial" w:cs="Arial"/>
          <w:sz w:val="24"/>
          <w:szCs w:val="24"/>
        </w:rPr>
        <w:t>odbranu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predlozima</w:t>
      </w:r>
      <w:proofErr w:type="spellEnd"/>
      <w:r>
        <w:rPr>
          <w:rFonts w:ascii="Arial" w:hAnsi="Arial" w:cs="Arial"/>
          <w:sz w:val="24"/>
          <w:szCs w:val="24"/>
        </w:rPr>
        <w:t xml:space="preserve"> nota</w:t>
      </w:r>
    </w:p>
    <w:p w:rsidR="00076214" w:rsidRPr="00990AC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i Ministarstva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Slovenije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donaciji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samohodnog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nišanećeg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radara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SNAR-10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076214" w:rsidRPr="00B92895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poslova Crne Gore i Ministarstva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990AC7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990AC7">
        <w:rPr>
          <w:rFonts w:ascii="Arial" w:hAnsi="Arial" w:cs="Arial"/>
          <w:sz w:val="24"/>
          <w:szCs w:val="24"/>
          <w:shd w:val="clear" w:color="auto" w:fill="F6F6F6"/>
        </w:rPr>
        <w:t>Mongolije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076214" w:rsidRPr="00B92895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potpisivanju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borbu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korupcije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sprečavanje</w:t>
      </w:r>
      <w:proofErr w:type="spellEnd"/>
      <w:r w:rsidRPr="00B928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92895">
        <w:rPr>
          <w:rFonts w:ascii="Arial" w:hAnsi="Arial" w:cs="Arial"/>
          <w:sz w:val="24"/>
          <w:szCs w:val="24"/>
          <w:shd w:val="clear" w:color="auto" w:fill="F6F6F6"/>
        </w:rPr>
        <w:t>korupcije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kupovini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povećanja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smještajnih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kapaciteta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Podgorici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povezivanja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elektroenergetskih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Crne Gore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Italije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podmorskim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kablom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korišćenju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zajmu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zaključenog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Crne Gore,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predstavlja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Ministarstvo finansija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obnovu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(IBRD)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realizaciju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modernizacije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finansijske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Crne Gore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njeno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usklađivanje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sa SEPA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standardima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Ministarstva finansija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Centralne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Crne Gore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potpisivanja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Multilateralne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konvencije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primjenu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se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sprečavanja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erozije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poreske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osnovice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premještanja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dobiti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odnose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poreske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ugovore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multilateralne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konvencije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primjenu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statusom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poreskih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inspektora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kojima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ističe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period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privremenog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obavljanja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inspekcijskog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nadzora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svim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ovlašćenjima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inspektora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poreske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inspektore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istekao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period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postavljenja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tokom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2021, 2022, 2023, 2024. i 2025.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Informaci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080027"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obezbjeđenju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međunarodnog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događaja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The Ocean Race Europe 2025 -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Boka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Bay </w:t>
      </w:r>
      <w:proofErr w:type="gramStart"/>
      <w:r w:rsidRPr="00080027">
        <w:rPr>
          <w:rFonts w:ascii="Arial" w:hAnsi="Arial" w:cs="Arial"/>
          <w:sz w:val="24"/>
          <w:szCs w:val="24"/>
          <w:shd w:val="clear" w:color="auto" w:fill="F6F6F6"/>
        </w:rPr>
        <w:t>Finale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Posebnog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ulaganja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posebnog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značaja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privredni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ekonomski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interes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dan 31.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jul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finansijski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aspekt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076214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ulaganja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značaja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privredni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ekonomski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interes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dan 29.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avgust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finansijski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aspekt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Odluci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Upravnog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preduzeća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upravljanje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morskim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dobrom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Crne Gore,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0203-3224/9 od 02.06.2025.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kojom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usvojen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korisnika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gram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KRUŠO“ d.o.o.</w:t>
      </w:r>
      <w:proofErr w:type="gram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odobreno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produženje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roka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investicije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dugoročnog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zakupu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korišćenju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morskog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dobra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0210-151/5 od 01.03.2018.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dana od dana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dobijanja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Odluci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Upravnog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odbora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preduzeća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morskim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dobrom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Crne Gore,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0203-3224/7 od 02. 06.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kojom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usvojen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Sportsko-rekreativnog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vaterpolo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plivačkog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Kumbor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>“ za</w:t>
      </w:r>
      <w:proofErr w:type="gram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ustupanje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besplatno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dijela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morskog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dobra,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plivališta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oznake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16E,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predviđenog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privremenih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zoni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morskog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dobra za period 2024-2028.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opštinu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Novi od dana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zaključenja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do 31.12.2028.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Upravnog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odbora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plana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2023-2026, za 2023. i 2024.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sa</w:t>
      </w:r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</w:t>
      </w:r>
      <w:r>
        <w:rPr>
          <w:rFonts w:ascii="Arial" w:hAnsi="Arial" w:cs="Arial"/>
          <w:sz w:val="24"/>
          <w:szCs w:val="24"/>
          <w:shd w:val="clear" w:color="auto" w:fill="FFFFFF"/>
        </w:rPr>
        <w:t>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plana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2023-2026, za period 2025-2026.</w:t>
      </w:r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Kapitalnog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drugi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kvartal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konkursa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odobrenih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sa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Zakonom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nevladinim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organizacijama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u 2024.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Kancelarije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zastupnika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Evropskim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sudom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ljudska prava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Strazburu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period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januar-jun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76214" w:rsidRPr="000A06E2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Fonda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obeštećenje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080027">
        <w:rPr>
          <w:rFonts w:ascii="Arial" w:hAnsi="Arial" w:cs="Arial"/>
          <w:sz w:val="24"/>
          <w:szCs w:val="24"/>
          <w:shd w:val="clear" w:color="auto" w:fill="F6F6F6"/>
        </w:rPr>
        <w:t>zvještajem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prikupljenim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sredstvima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raspoloživim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akcijama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izdatim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obveznicama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2024.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76214" w:rsidRPr="000A06E2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A06E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A06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06E2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0A06E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06E2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0A06E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06E2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0A06E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A06E2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0A06E2">
        <w:rPr>
          <w:rFonts w:ascii="Arial" w:hAnsi="Arial" w:cs="Arial"/>
          <w:sz w:val="24"/>
          <w:szCs w:val="24"/>
          <w:shd w:val="clear" w:color="auto" w:fill="FFFFFF"/>
        </w:rPr>
        <w:t xml:space="preserve"> Ministarstva energetike i rudarstva</w:t>
      </w:r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potpredsjednika Vlade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politički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pravosuđe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antikorupciju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Moma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Koprivice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Izraelu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14 - 17.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septembar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evropskih poslova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Maide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Gorčević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Savjetu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opšte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poslove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EU, 16.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septembar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Brisel</w:t>
      </w:r>
      <w:proofErr w:type="spellEnd"/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ministra pravde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Bojana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Božovića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pravde, pod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nazivom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Prekogranična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saradnja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uzajamna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pomoć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lastRenderedPageBreak/>
        <w:t>Jačanje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borbi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transnacionalnog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kriminala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18-19.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septembar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Valeta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>, Malta</w:t>
      </w:r>
    </w:p>
    <w:p w:rsidR="00076214" w:rsidRPr="00080027" w:rsidRDefault="00076214" w:rsidP="000762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ministra ekologije,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održivog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razvoja i razvoja sjevera,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Damjana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Ćulafića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MED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Ministarskoj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mjerama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suočavanje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porastom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nivoa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mora, 16.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septembar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Valeta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>, Malta</w:t>
      </w:r>
    </w:p>
    <w:p w:rsidR="00076214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Simonida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Kordić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ministarka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turizma,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investicijama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turizmu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Transformacija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ekonomija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kroz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strateške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investicije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turizmu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održava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17.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Dušanbe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Tadžikistan</w:t>
      </w:r>
      <w:proofErr w:type="spellEnd"/>
    </w:p>
    <w:p w:rsidR="00076214" w:rsidRPr="00D2357B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ministra ekologije,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održivog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razvoja i razvoja sjevera,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Damjana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Ćulafića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Drugoj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kineskoj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ruralnoj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turi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zvaničnike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zemalja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Jugoistočne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2357B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, 21-29.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septembar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, Peking,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Narodna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2357B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D2357B">
        <w:rPr>
          <w:rFonts w:ascii="Arial" w:hAnsi="Arial" w:cs="Arial"/>
          <w:sz w:val="24"/>
          <w:szCs w:val="24"/>
          <w:shd w:val="clear" w:color="auto" w:fill="FFFFFF"/>
        </w:rPr>
        <w:t xml:space="preserve"> Kina</w:t>
      </w:r>
    </w:p>
    <w:p w:rsidR="00076214" w:rsidRPr="00080027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budžetskih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Ministarstvo javne uprave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poslova</w:t>
      </w:r>
    </w:p>
    <w:p w:rsidR="00076214" w:rsidRPr="00080027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preusmjeravanje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Ministarstvo evropskih poslova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Ministarstvo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6F6F6"/>
        </w:rPr>
        <w:t xml:space="preserve"> poslova</w:t>
      </w:r>
    </w:p>
    <w:p w:rsidR="00076214" w:rsidRPr="00066970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Ministarstvo poljoprivrede, šumarstva i vodoprivrede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Ministarstvo </w:t>
      </w:r>
      <w:proofErr w:type="spellStart"/>
      <w:r w:rsidRPr="00080027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080027">
        <w:rPr>
          <w:rFonts w:ascii="Arial" w:hAnsi="Arial" w:cs="Arial"/>
          <w:sz w:val="24"/>
          <w:szCs w:val="24"/>
          <w:shd w:val="clear" w:color="auto" w:fill="FFFFFF"/>
        </w:rPr>
        <w:t xml:space="preserve"> poslova</w:t>
      </w:r>
      <w:r w:rsidRPr="00066970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076214" w:rsidRPr="002C638B" w:rsidRDefault="00076214" w:rsidP="00076214">
      <w:p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076214" w:rsidRPr="00D563A4" w:rsidRDefault="00076214" w:rsidP="00076214">
      <w:pPr>
        <w:pStyle w:val="ListParagraph"/>
        <w:numPr>
          <w:ilvl w:val="0"/>
          <w:numId w:val="1"/>
        </w:num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  <w:r w:rsidRPr="00FD79F6">
        <w:rPr>
          <w:rFonts w:ascii="Arial" w:hAnsi="Arial" w:cs="Arial"/>
          <w:sz w:val="24"/>
          <w:szCs w:val="24"/>
          <w:lang w:val="sl-SI"/>
        </w:rPr>
        <w:tab/>
      </w:r>
    </w:p>
    <w:p w:rsidR="00076214" w:rsidRPr="003B0681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54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stav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1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tačka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2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Ustavnom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sudu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Crne Gore (</w:t>
      </w:r>
      <w:r w:rsidRPr="003B0681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</w:t>
      </w:r>
      <w:proofErr w:type="gramStart"/>
      <w:r w:rsidRPr="003B068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CG“</w:t>
      </w:r>
      <w:proofErr w:type="gramEnd"/>
      <w:r w:rsidRPr="003B068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broj 11/15</w:t>
      </w:r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),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podnio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Jakov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Milatović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3B0681">
        <w:rPr>
          <w:rFonts w:ascii="Arial" w:hAnsi="Arial" w:cs="Arial"/>
          <w:sz w:val="24"/>
          <w:szCs w:val="24"/>
          <w:shd w:val="clear" w:color="auto" w:fill="F6F6F6"/>
        </w:rPr>
        <w:t>redsjednik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076214" w:rsidRPr="003B0681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Inicijativu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ocjenu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ustavnosti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odredbe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140b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Sudskom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savjetu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sudijama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3B0681"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„Službeni list </w:t>
      </w:r>
      <w:proofErr w:type="gramStart"/>
      <w:r w:rsidRPr="003B068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CG“</w:t>
      </w:r>
      <w:proofErr w:type="gramEnd"/>
      <w:r w:rsidRPr="003B068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br. 11/15, 28/15, 42/18 i 60/24</w:t>
      </w:r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),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podnio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Aleksandar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Stojanović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</w:p>
    <w:p w:rsidR="00076214" w:rsidRPr="003B0681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Inicijativu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odredbe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57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socijalnoj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dječjoj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3B0681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42/17),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podnijela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Inicijativa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mladih sa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invaliditetom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Boke,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Kotora</w:t>
      </w:r>
      <w:proofErr w:type="spellEnd"/>
    </w:p>
    <w:p w:rsidR="00076214" w:rsidRPr="003B0681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Odluka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Crne Gore AD Podgorica,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>: 00010-20250221-1/2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od 24.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poslovnih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Crne Gore AD Podgorica</w:t>
      </w:r>
    </w:p>
    <w:p w:rsidR="00076214" w:rsidRPr="003B0681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Crne Gore, i to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3B0681">
        <w:rPr>
          <w:rFonts w:ascii="Arial" w:hAnsi="Arial" w:cs="Arial"/>
          <w:sz w:val="24"/>
          <w:szCs w:val="24"/>
          <w:shd w:val="clear" w:color="auto" w:fill="FFFFFF"/>
        </w:rPr>
        <w:t>5403 ,</w:t>
      </w:r>
      <w:proofErr w:type="gram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površine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1033 m²,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745, KO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Ubli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grad Podgorica sa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kupoprodaji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</w:p>
    <w:p w:rsidR="00076214" w:rsidRPr="003B0681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Odbora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primjenu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tumačenje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Granskog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kolektivnog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socijalnu</w:t>
      </w:r>
      <w:proofErr w:type="spellEnd"/>
      <w:r w:rsidRPr="003B068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0681">
        <w:rPr>
          <w:rFonts w:ascii="Arial" w:hAnsi="Arial" w:cs="Arial"/>
          <w:sz w:val="24"/>
          <w:szCs w:val="24"/>
          <w:shd w:val="clear" w:color="auto" w:fill="F6F6F6"/>
        </w:rPr>
        <w:t>djelatnost</w:t>
      </w:r>
      <w:proofErr w:type="spellEnd"/>
    </w:p>
    <w:p w:rsidR="00076214" w:rsidRPr="003B0681" w:rsidRDefault="00076214" w:rsidP="000762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B0681">
        <w:rPr>
          <w:rFonts w:ascii="Arial" w:hAnsi="Arial" w:cs="Arial"/>
          <w:sz w:val="24"/>
          <w:szCs w:val="24"/>
        </w:rPr>
        <w:t>Pitanja</w:t>
      </w:r>
      <w:proofErr w:type="spellEnd"/>
      <w:r w:rsidRPr="003B06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B0681">
        <w:rPr>
          <w:rFonts w:ascii="Arial" w:hAnsi="Arial" w:cs="Arial"/>
          <w:sz w:val="24"/>
          <w:szCs w:val="24"/>
        </w:rPr>
        <w:t>predlozi</w:t>
      </w:r>
      <w:proofErr w:type="spellEnd"/>
    </w:p>
    <w:p w:rsidR="00076214" w:rsidRDefault="00076214" w:rsidP="000762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076214" w:rsidRDefault="00076214" w:rsidP="000762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076214" w:rsidRDefault="00076214" w:rsidP="000762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076214" w:rsidRPr="00E35BF3" w:rsidRDefault="00076214" w:rsidP="00076214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076214" w:rsidRPr="00320438" w:rsidRDefault="00076214" w:rsidP="000762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lastRenderedPageBreak/>
        <w:t>NA UVID:</w:t>
      </w:r>
      <w:r w:rsidRPr="00FD79F6">
        <w:rPr>
          <w:rFonts w:ascii="Arial" w:hAnsi="Arial" w:cs="Arial"/>
          <w:sz w:val="24"/>
          <w:szCs w:val="24"/>
        </w:rPr>
        <w:tab/>
      </w:r>
    </w:p>
    <w:p w:rsidR="00076214" w:rsidRPr="00CA66C9" w:rsidRDefault="00076214" w:rsidP="000762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evropskih poslova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Maide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Gorčević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neformalnom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evropskih poslova (GAC), 1-2.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septembar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 2025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Kopenhagen</w:t>
      </w:r>
      <w:proofErr w:type="spellEnd"/>
      <w:r w:rsidRPr="00CA66C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A66C9">
        <w:rPr>
          <w:rFonts w:ascii="Arial" w:hAnsi="Arial" w:cs="Arial"/>
          <w:sz w:val="24"/>
          <w:szCs w:val="24"/>
          <w:shd w:val="clear" w:color="auto" w:fill="FFFFFF"/>
        </w:rPr>
        <w:t>Danska</w:t>
      </w:r>
      <w:proofErr w:type="spellEnd"/>
    </w:p>
    <w:p w:rsidR="00076214" w:rsidRDefault="00076214" w:rsidP="0007621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076214" w:rsidRDefault="00076214" w:rsidP="0007621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076214" w:rsidRPr="00D56037" w:rsidRDefault="00076214" w:rsidP="00076214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D56037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11</w:t>
      </w:r>
      <w:r w:rsidRPr="00D56037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 w:rsidRPr="00D56037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D56037">
        <w:rPr>
          <w:rFonts w:ascii="Arial" w:hAnsi="Arial" w:cs="Arial"/>
          <w:sz w:val="24"/>
          <w:szCs w:val="24"/>
        </w:rPr>
        <w:t>godine</w:t>
      </w:r>
      <w:bookmarkEnd w:id="0"/>
      <w:proofErr w:type="spellEnd"/>
    </w:p>
    <w:p w:rsidR="00076214" w:rsidRDefault="00076214" w:rsidP="00076214">
      <w:pPr>
        <w:jc w:val="right"/>
      </w:pPr>
    </w:p>
    <w:p w:rsidR="00076214" w:rsidRDefault="00076214" w:rsidP="00076214"/>
    <w:p w:rsidR="00076214" w:rsidRDefault="00076214" w:rsidP="00076214"/>
    <w:p w:rsidR="00A66C9E" w:rsidRDefault="00A66C9E"/>
    <w:sectPr w:rsidR="00A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D30ABA3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4BF6"/>
    <w:multiLevelType w:val="hybridMultilevel"/>
    <w:tmpl w:val="59F2261C"/>
    <w:lvl w:ilvl="0" w:tplc="B838DD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14"/>
    <w:rsid w:val="00076214"/>
    <w:rsid w:val="006F61F3"/>
    <w:rsid w:val="00A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70AF"/>
  <w15:chartTrackingRefBased/>
  <w15:docId w15:val="{1902B5B3-7E9A-4D0E-A237-463D99F0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07621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07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9773</Characters>
  <Application>Microsoft Office Word</Application>
  <DocSecurity>0</DocSecurity>
  <Lines>81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2025-09-11T07:53:00Z</dcterms:created>
  <dcterms:modified xsi:type="dcterms:W3CDTF">2025-09-11T07:53:00Z</dcterms:modified>
</cp:coreProperties>
</file>