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51298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alt="02KOLORB" style="width:66pt;height:80.25pt;visibility:visible">
            <v:imagedata r:id="rId5" o:title=""/>
          </v:shape>
        </w:pict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</w:p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</w:pP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       </w:t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CRN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A</w:t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 GOR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A</w:t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                       </w:t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ab/>
        <w:t xml:space="preserve">                      </w:t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Obrazac 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6</w:t>
      </w:r>
    </w:p>
    <w:p w:rsidR="00476EE5" w:rsidRDefault="00476EE5" w:rsidP="001E15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  <w:t xml:space="preserve">   Ministarstvo finansija</w:t>
      </w:r>
      <w:r w:rsidRPr="00C40274"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  <w:t xml:space="preserve">             </w:t>
      </w:r>
      <w:r w:rsidRPr="00C40274"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  <w:tab/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  <w:t xml:space="preserve">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  <w:tab/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Član 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63</w:t>
      </w:r>
      <w:r w:rsidRPr="00C40274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 Zakona o javnim nabavkama</w:t>
      </w:r>
    </w:p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</w:pPr>
      <w:r w:rsidRPr="00C40274">
        <w:rPr>
          <w:rFonts w:ascii="Times New Roman" w:hAnsi="Times New Roman" w:cs="Times New Roman"/>
          <w:b/>
          <w:bCs/>
          <w:noProof/>
          <w:sz w:val="24"/>
          <w:szCs w:val="24"/>
          <w:lang w:val="sr-Latn-CS" w:eastAsia="sr-Latn-CS"/>
        </w:rPr>
        <w:t>Uprava za javne nabavke</w:t>
      </w:r>
    </w:p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476EE5" w:rsidRDefault="00476EE5" w:rsidP="001E15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C40274" w:rsidRDefault="00476EE5" w:rsidP="001E15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Naručilac </w:t>
      </w:r>
      <w:r>
        <w:rPr>
          <w:rFonts w:ascii="Times New Roman" w:hAnsi="Times New Roman" w:cs="Times New Roman"/>
          <w:sz w:val="24"/>
          <w:szCs w:val="24"/>
          <w:lang w:val="pl-PL"/>
        </w:rPr>
        <w:t>Direkcija javnih radova</w:t>
      </w: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76EE5" w:rsidRPr="00C40274" w:rsidRDefault="00476EE5" w:rsidP="001E15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Broj       </w:t>
      </w:r>
    </w:p>
    <w:p w:rsidR="00476EE5" w:rsidRDefault="00476EE5" w:rsidP="00A9424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Mjesto i datum, 31.01.2013.godine</w:t>
      </w:r>
    </w:p>
    <w:p w:rsidR="00476EE5" w:rsidRDefault="00476EE5" w:rsidP="00A9424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1A36EE" w:rsidRDefault="00476EE5" w:rsidP="00A9424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a osnovu čl. 25 i 63 Zakona o javnim nabavkama (»Službeni list CG«, broj 42/11) i saglasnosti Uprave za javne nabavke broj </w:t>
      </w:r>
      <w:r>
        <w:rPr>
          <w:rFonts w:ascii="Times New Roman" w:hAnsi="Times New Roman" w:cs="Times New Roman"/>
          <w:sz w:val="24"/>
          <w:szCs w:val="24"/>
          <w:lang w:val="pl-PL"/>
        </w:rPr>
        <w:t>01-718/13-1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-PL"/>
        </w:rPr>
        <w:t>30.01.2013. godine, Direkcija javnih radova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dostavlja</w:t>
      </w:r>
    </w:p>
    <w:p w:rsidR="00476EE5" w:rsidRPr="001A36EE" w:rsidRDefault="00476EE5" w:rsidP="001E156D">
      <w:pPr>
        <w:pStyle w:val="Heading1"/>
        <w:rPr>
          <w:rFonts w:eastAsia="Arial Unicode MS"/>
          <w:sz w:val="24"/>
          <w:szCs w:val="24"/>
          <w:lang w:val="pl-PL"/>
        </w:rPr>
      </w:pPr>
      <w:r w:rsidRPr="001A36EE">
        <w:rPr>
          <w:sz w:val="24"/>
          <w:szCs w:val="24"/>
          <w:lang w:val="pl-PL"/>
        </w:rPr>
        <w:t>P  O  Z  I  V</w:t>
      </w:r>
    </w:p>
    <w:p w:rsidR="00476EE5" w:rsidRPr="00A86D53" w:rsidRDefault="00476EE5" w:rsidP="001E1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>
        <w:rPr>
          <w:rFonts w:ascii="Times New Roman" w:hAnsi="Times New Roman" w:cs="Times New Roman"/>
          <w:sz w:val="24"/>
          <w:szCs w:val="24"/>
          <w:lang w:val="pl-PL"/>
        </w:rPr>
        <w:t>04-1/13</w:t>
      </w:r>
    </w:p>
    <w:p w:rsidR="00476EE5" w:rsidRPr="00A86D53" w:rsidRDefault="00476EE5" w:rsidP="00F12BB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12BBD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pregovaračkom postupku bez prethodnog objavljivanja </w:t>
      </w:r>
    </w:p>
    <w:p w:rsidR="00476EE5" w:rsidRPr="00A86D53" w:rsidRDefault="00476EE5" w:rsidP="001E156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>poziva za javno nadmetanje</w:t>
      </w:r>
    </w:p>
    <w:p w:rsidR="00476EE5" w:rsidRPr="00A86D53" w:rsidRDefault="00476EE5" w:rsidP="001E1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  <w:lang w:val="pl-PL"/>
        </w:rPr>
      </w:pPr>
    </w:p>
    <w:p w:rsidR="00476EE5" w:rsidRPr="00A86D53" w:rsidRDefault="00476EE5" w:rsidP="001E1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  <w:lang w:val="pl-PL"/>
        </w:rPr>
      </w:pPr>
    </w:p>
    <w:p w:rsidR="00476EE5" w:rsidRPr="00A86D53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>I  Podaci o naručiocu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6"/>
        <w:gridCol w:w="3587"/>
      </w:tblGrid>
      <w:tr w:rsidR="00476EE5" w:rsidRPr="003F45E5">
        <w:trPr>
          <w:trHeight w:val="657"/>
          <w:jc w:val="center"/>
        </w:trPr>
        <w:tc>
          <w:tcPr>
            <w:tcW w:w="4586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>Naručilac: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  <w:b/>
                <w:bCs/>
              </w:rPr>
            </w:pPr>
            <w:r w:rsidRPr="00872A3E">
              <w:rPr>
                <w:rFonts w:ascii="Times New Roman" w:hAnsi="Times New Roman" w:cs="Times New Roman"/>
                <w:b/>
                <w:bCs/>
              </w:rPr>
              <w:t>DIREKCIJA JAVNIH RADOVA</w:t>
            </w:r>
          </w:p>
        </w:tc>
        <w:tc>
          <w:tcPr>
            <w:tcW w:w="3587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>Kontakt osoba :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Vojislav Roganović</w:t>
            </w:r>
            <w:r w:rsidRPr="00872A3E">
              <w:rPr>
                <w:rFonts w:ascii="Times New Roman" w:hAnsi="Times New Roman" w:cs="Times New Roman"/>
                <w:lang w:val="sr-Latn-CS"/>
              </w:rPr>
              <w:t>, dipl.ing.</w:t>
            </w:r>
            <w:r>
              <w:rPr>
                <w:rFonts w:ascii="Times New Roman" w:hAnsi="Times New Roman" w:cs="Times New Roman"/>
                <w:lang w:val="sr-Latn-CS"/>
              </w:rPr>
              <w:t xml:space="preserve">el. </w:t>
            </w:r>
          </w:p>
        </w:tc>
      </w:tr>
      <w:tr w:rsidR="00476EE5" w:rsidRPr="00E5484C">
        <w:trPr>
          <w:trHeight w:val="737"/>
          <w:jc w:val="center"/>
        </w:trPr>
        <w:tc>
          <w:tcPr>
            <w:tcW w:w="4586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 xml:space="preserve">Adresa: </w:t>
            </w:r>
          </w:p>
          <w:p w:rsidR="00476EE5" w:rsidRPr="00872A3E" w:rsidRDefault="00476EE5" w:rsidP="005A782E">
            <w:pPr>
              <w:pStyle w:val="BodyText"/>
              <w:rPr>
                <w:rFonts w:ascii="Times New Roman" w:hAnsi="Times New Roman" w:cs="Times New Roman"/>
                <w:lang w:val="sl-SI"/>
              </w:rPr>
            </w:pPr>
            <w:r w:rsidRPr="00872A3E">
              <w:rPr>
                <w:rFonts w:ascii="Times New Roman" w:hAnsi="Times New Roman" w:cs="Times New Roman"/>
                <w:lang w:val="sl-SI"/>
              </w:rPr>
              <w:t>ul. Novaka Miloševa br.18.</w:t>
            </w:r>
          </w:p>
        </w:tc>
        <w:tc>
          <w:tcPr>
            <w:tcW w:w="3587" w:type="dxa"/>
          </w:tcPr>
          <w:p w:rsidR="00476EE5" w:rsidRPr="00872A3E" w:rsidRDefault="00476EE5" w:rsidP="005A782E">
            <w:pPr>
              <w:pStyle w:val="BodyText"/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>Poštanski broj :</w:t>
            </w:r>
          </w:p>
          <w:p w:rsidR="00476EE5" w:rsidRPr="00872A3E" w:rsidRDefault="00476EE5" w:rsidP="005A782E">
            <w:pPr>
              <w:pStyle w:val="BodyText"/>
              <w:rPr>
                <w:rFonts w:ascii="Times New Roman" w:hAnsi="Times New Roman" w:cs="Times New Roman"/>
                <w:lang w:val="sl-SI"/>
              </w:rPr>
            </w:pPr>
            <w:r w:rsidRPr="00872A3E">
              <w:rPr>
                <w:rFonts w:ascii="Times New Roman" w:hAnsi="Times New Roman" w:cs="Times New Roman"/>
                <w:lang w:val="sl-SI"/>
              </w:rPr>
              <w:t xml:space="preserve">81 000 </w:t>
            </w:r>
          </w:p>
        </w:tc>
      </w:tr>
      <w:tr w:rsidR="00476EE5" w:rsidRPr="00E5484C">
        <w:trPr>
          <w:trHeight w:val="631"/>
          <w:jc w:val="center"/>
        </w:trPr>
        <w:tc>
          <w:tcPr>
            <w:tcW w:w="4586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  <w:lang w:val="sl-SI"/>
              </w:rPr>
            </w:pPr>
            <w:r w:rsidRPr="00872A3E">
              <w:rPr>
                <w:rFonts w:ascii="Times New Roman" w:hAnsi="Times New Roman" w:cs="Times New Roman"/>
              </w:rPr>
              <w:t>Grad:</w:t>
            </w:r>
            <w:r w:rsidRPr="00872A3E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  <w:lang w:val="sl-SI"/>
              </w:rPr>
              <w:t>Podgorica</w:t>
            </w:r>
          </w:p>
        </w:tc>
        <w:tc>
          <w:tcPr>
            <w:tcW w:w="3587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 xml:space="preserve">Identifikacioni broj:  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>02131056</w:t>
            </w:r>
          </w:p>
        </w:tc>
      </w:tr>
      <w:tr w:rsidR="00476EE5" w:rsidRPr="00E5484C">
        <w:trPr>
          <w:trHeight w:val="737"/>
          <w:jc w:val="center"/>
        </w:trPr>
        <w:tc>
          <w:tcPr>
            <w:tcW w:w="4586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>Telefon: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  <w:lang w:val="sl-SI"/>
              </w:rPr>
              <w:t>020- 230-207</w:t>
            </w:r>
          </w:p>
        </w:tc>
        <w:tc>
          <w:tcPr>
            <w:tcW w:w="3587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</w:rPr>
              <w:t>Faks: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</w:rPr>
            </w:pPr>
            <w:r w:rsidRPr="00872A3E">
              <w:rPr>
                <w:rFonts w:ascii="Times New Roman" w:hAnsi="Times New Roman" w:cs="Times New Roman"/>
                <w:lang w:val="sl-SI"/>
              </w:rPr>
              <w:t>020- 230-228</w:t>
            </w:r>
          </w:p>
        </w:tc>
      </w:tr>
      <w:tr w:rsidR="00476EE5" w:rsidRPr="00E5484C">
        <w:trPr>
          <w:trHeight w:val="609"/>
          <w:jc w:val="center"/>
        </w:trPr>
        <w:tc>
          <w:tcPr>
            <w:tcW w:w="4586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  <w:lang w:val="sv-SE"/>
              </w:rPr>
            </w:pPr>
            <w:r w:rsidRPr="00872A3E">
              <w:rPr>
                <w:rFonts w:ascii="Times New Roman" w:hAnsi="Times New Roman" w:cs="Times New Roman"/>
                <w:lang w:val="sv-SE"/>
              </w:rPr>
              <w:t>Elektronska pošta (e-mail)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  <w:lang w:val="sv-SE"/>
              </w:rPr>
            </w:pPr>
            <w:r w:rsidRPr="00872A3E">
              <w:rPr>
                <w:rFonts w:ascii="Times New Roman" w:hAnsi="Times New Roman" w:cs="Times New Roman"/>
                <w:lang w:val="sl-SI"/>
              </w:rPr>
              <w:t>djr@gov.me</w:t>
            </w:r>
          </w:p>
        </w:tc>
        <w:tc>
          <w:tcPr>
            <w:tcW w:w="3587" w:type="dxa"/>
          </w:tcPr>
          <w:p w:rsidR="00476EE5" w:rsidRPr="00872A3E" w:rsidRDefault="00476EE5" w:rsidP="005A782E">
            <w:pPr>
              <w:rPr>
                <w:rFonts w:ascii="Times New Roman" w:hAnsi="Times New Roman" w:cs="Times New Roman"/>
                <w:lang w:val="sv-SE"/>
              </w:rPr>
            </w:pPr>
            <w:r w:rsidRPr="00872A3E">
              <w:rPr>
                <w:rFonts w:ascii="Times New Roman" w:hAnsi="Times New Roman" w:cs="Times New Roman"/>
                <w:lang w:val="sv-SE"/>
              </w:rPr>
              <w:t xml:space="preserve">Internet stranica (web) </w:t>
            </w:r>
          </w:p>
          <w:p w:rsidR="00476EE5" w:rsidRPr="00872A3E" w:rsidRDefault="00476EE5" w:rsidP="005A782E">
            <w:pPr>
              <w:rPr>
                <w:rFonts w:ascii="Times New Roman" w:hAnsi="Times New Roman" w:cs="Times New Roman"/>
                <w:lang w:val="sv-SE"/>
              </w:rPr>
            </w:pPr>
            <w:r w:rsidRPr="00872A3E">
              <w:rPr>
                <w:rFonts w:ascii="Times New Roman" w:hAnsi="Times New Roman" w:cs="Times New Roman"/>
                <w:lang w:val="sl-SI"/>
              </w:rPr>
              <w:t>www.djr.gov.me/direkcija</w:t>
            </w:r>
          </w:p>
        </w:tc>
      </w:tr>
    </w:tbl>
    <w:p w:rsidR="00476EE5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C40274">
        <w:rPr>
          <w:rFonts w:ascii="Times New Roman" w:hAnsi="Times New Roman" w:cs="Times New Roman"/>
          <w:sz w:val="24"/>
          <w:szCs w:val="24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Predmet javne nabavke</w:t>
      </w:r>
    </w:p>
    <w:p w:rsidR="00476EE5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6EE5" w:rsidRPr="00A86D53" w:rsidRDefault="00476EE5" w:rsidP="001E156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4027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E5E8C">
        <w:rPr>
          <w:rFonts w:ascii="Times New Roman" w:hAnsi="Times New Roman" w:cs="Times New Roman"/>
          <w:sz w:val="24"/>
          <w:szCs w:val="24"/>
          <w:lang w:val="da-DK"/>
        </w:rPr>
        <w:t xml:space="preserve"> Robe </w:t>
      </w:r>
    </w:p>
    <w:p w:rsidR="00476EE5" w:rsidRPr="00C40274" w:rsidRDefault="00476EE5" w:rsidP="001E156D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027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40274">
        <w:rPr>
          <w:rFonts w:ascii="Times New Roman" w:hAnsi="Times New Roman" w:cs="Times New Roman"/>
          <w:sz w:val="24"/>
          <w:szCs w:val="24"/>
        </w:rPr>
        <w:t xml:space="preserve"> Usluge </w:t>
      </w:r>
    </w:p>
    <w:p w:rsidR="00476EE5" w:rsidRPr="00C40274" w:rsidRDefault="00476EE5" w:rsidP="001E156D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C40274">
        <w:rPr>
          <w:rFonts w:ascii="Times New Roman" w:hAnsi="Times New Roman" w:cs="Times New Roman"/>
          <w:sz w:val="24"/>
          <w:szCs w:val="24"/>
        </w:rPr>
        <w:t xml:space="preserve"> Radovi</w:t>
      </w:r>
    </w:p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622"/>
      </w:tblGrid>
      <w:tr w:rsidR="00476EE5" w:rsidRPr="001A7A33"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476EE5" w:rsidRPr="001A7A33" w:rsidRDefault="00476EE5" w:rsidP="0069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5" w:rsidRPr="00C72CE4" w:rsidRDefault="00476EE5" w:rsidP="003F4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72CE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Predmet javne nabavke je izvođenje radova na uvo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</w:t>
            </w:r>
            <w:r w:rsidRPr="00C72CE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enju individualnih brojila za evidenciju utrošene električne energije u kontejnerima za privremeni smještaj raseljenih lica u kampu Konik u Podgorici.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(CPV </w:t>
            </w:r>
            <w:r w:rsidRPr="00C72CE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45231400-9 radovi na izgradn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ji elektro energetskih vodova) .</w:t>
            </w:r>
          </w:p>
          <w:p w:rsidR="00476EE5" w:rsidRPr="001A7A33" w:rsidRDefault="00476EE5" w:rsidP="0069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0274">
        <w:rPr>
          <w:rFonts w:ascii="Times New Roman" w:hAnsi="Times New Roman" w:cs="Times New Roman"/>
          <w:sz w:val="24"/>
          <w:szCs w:val="24"/>
        </w:rPr>
        <w:t xml:space="preserve">redmet javne nabavke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C40274">
        <w:rPr>
          <w:rFonts w:ascii="Times New Roman" w:hAnsi="Times New Roman" w:cs="Times New Roman"/>
          <w:sz w:val="24"/>
          <w:szCs w:val="24"/>
        </w:rPr>
        <w:t>nabavlja kao</w:t>
      </w:r>
      <w:r>
        <w:rPr>
          <w:rFonts w:ascii="Times New Roman" w:hAnsi="Times New Roman" w:cs="Times New Roman"/>
          <w:sz w:val="24"/>
          <w:szCs w:val="24"/>
        </w:rPr>
        <w:t xml:space="preserve"> cjelina.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C40274">
        <w:rPr>
          <w:rFonts w:ascii="Times New Roman" w:hAnsi="Times New Roman" w:cs="Times New Roman"/>
          <w:sz w:val="24"/>
          <w:szCs w:val="24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Procijenjena vrijednost javne nabavke</w:t>
      </w:r>
      <w:r w:rsidRPr="00C402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74">
        <w:rPr>
          <w:rFonts w:ascii="Times New Roman" w:hAnsi="Times New Roman" w:cs="Times New Roman"/>
          <w:sz w:val="24"/>
          <w:szCs w:val="24"/>
        </w:rPr>
        <w:t>Iskazati procijenjenu vrijednost javne nabavke u eurima sa uračunatim PDV-om: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38.600,00</w:t>
      </w:r>
      <w:r w:rsidRPr="00C40274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EE5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C40274">
        <w:rPr>
          <w:rFonts w:ascii="Times New Roman" w:hAnsi="Times New Roman" w:cs="Times New Roman"/>
          <w:sz w:val="24"/>
          <w:szCs w:val="24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Uslovi i podobnost ponuđača</w:t>
      </w:r>
    </w:p>
    <w:p w:rsidR="00476EE5" w:rsidRPr="00C40274" w:rsidRDefault="00476EE5" w:rsidP="001E1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EE5" w:rsidRPr="00C40274" w:rsidRDefault="00476EE5" w:rsidP="001E156D">
      <w:pPr>
        <w:pStyle w:val="t-98-2"/>
        <w:spacing w:before="0" w:beforeAutospacing="0" w:after="0" w:afterAutospacing="0"/>
        <w:jc w:val="both"/>
        <w:rPr>
          <w:i/>
          <w:iCs/>
          <w:u w:val="single"/>
          <w:lang w:val="sl-SI"/>
        </w:rPr>
      </w:pPr>
      <w:r w:rsidRPr="00C40274">
        <w:rPr>
          <w:i/>
          <w:iCs/>
          <w:u w:val="single"/>
          <w:lang w:val="sl-SI"/>
        </w:rPr>
        <w:t>Obavezni uslovi za učešće u postupku javnog nadmetanja</w:t>
      </w:r>
    </w:p>
    <w:p w:rsidR="00476EE5" w:rsidRDefault="00476EE5" w:rsidP="001E15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C40274">
        <w:rPr>
          <w:rFonts w:ascii="Times New Roman" w:hAnsi="Times New Roman" w:cs="Times New Roman"/>
          <w:sz w:val="24"/>
          <w:szCs w:val="24"/>
          <w:lang w:val="sl-SI"/>
        </w:rPr>
        <w:t>U postupku javne nabavke može da učestvuje samo ponuđač koji:</w:t>
      </w: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476EE5" w:rsidRPr="00A86D53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>1) je registrovan za obavljanje djelatnosti koja je predmet javne nabavke;</w:t>
      </w:r>
    </w:p>
    <w:p w:rsidR="00476EE5" w:rsidRPr="00A86D53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2) ima dozvolu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>licencu ili drugi akt) za obavljanje djelatnosti koja je predmet javne nabavke, u skladu sa zakonom;</w:t>
      </w:r>
    </w:p>
    <w:p w:rsidR="00476EE5" w:rsidRPr="00A86D53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>3) je uredno izvršio sve obaveze po osnovu poreza i doprinosa u skladu sa zakonom, odnosno propisima države u kojoj ima sjedište;</w:t>
      </w:r>
    </w:p>
    <w:p w:rsidR="00476EE5" w:rsidRPr="00C40274" w:rsidRDefault="00476EE5" w:rsidP="001E156D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  <w:r w:rsidRPr="00C40274">
        <w:rPr>
          <w:rFonts w:ascii="Times New Roman" w:hAnsi="Times New Roman" w:cs="Times New Roman"/>
          <w:sz w:val="24"/>
          <w:szCs w:val="24"/>
          <w:lang w:val="sl-SI"/>
        </w:rPr>
        <w:t>4) u periodu od dvije godine prije objavljivanja poziva za javno nadmetanje, odnosno dostavljanja poziva za nadmetanje nije osuđen za krivično djelo i da mu nije izrečena mjera zabrane obavljanja djelatnosti u vezi sa krivičnim djelom.</w:t>
      </w:r>
    </w:p>
    <w:p w:rsidR="00476EE5" w:rsidRPr="00C40274" w:rsidRDefault="00476EE5" w:rsidP="001E156D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C40274">
        <w:rPr>
          <w:rFonts w:ascii="Times New Roman" w:hAnsi="Times New Roman" w:cs="Times New Roman"/>
          <w:sz w:val="24"/>
          <w:szCs w:val="24"/>
          <w:lang w:val="sl-SI"/>
        </w:rPr>
        <w:t>Dokazi o ispunjenosti obaveznih uslova iz ove tačke podnose se u skladu sa čl. 66 i 74 Zakona o javnim nabavkama, i to:</w:t>
      </w: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>1) dokaz o registraciji kod organa nadležnog za registraciju;</w:t>
      </w: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2) dozvole, licence, odobrenja, odnosno drugi akti u skladu sa zakonom. </w:t>
      </w: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>(</w:t>
      </w:r>
      <w:r w:rsidRPr="00C40274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U skladu sa članom 4 stav 2 Pravilnika o metodologiji iskazivanja podkriterijuma u odgovarajući broj bodova, o načinu ocjene i upoređivanja ponuda, naručilac se obratio nadležnom organu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Inženjerskoj komori Crne Gore</w:t>
      </w:r>
      <w:r w:rsidRPr="00C40274">
        <w:rPr>
          <w:rFonts w:ascii="Times New Roman" w:hAnsi="Times New Roman" w:cs="Times New Roman"/>
          <w:i/>
          <w:iCs/>
          <w:sz w:val="24"/>
          <w:szCs w:val="24"/>
          <w:lang w:val="pl-PL"/>
        </w:rPr>
        <w:t>,</w:t>
      </w:r>
      <w:r w:rsidRPr="006D3AD6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Pr="00C40274">
        <w:rPr>
          <w:rFonts w:ascii="Times New Roman" w:hAnsi="Times New Roman" w:cs="Times New Roman"/>
          <w:i/>
          <w:iCs/>
          <w:sz w:val="24"/>
          <w:szCs w:val="24"/>
          <w:lang w:val="pl-PL"/>
        </w:rPr>
        <w:t>aktom broj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19/2-01-208/1 od 31.01.2013.godine,</w:t>
      </w:r>
      <w:r w:rsidRPr="00C40274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koji organ se aktom </w:t>
      </w:r>
      <w:r w:rsidRPr="00AD0F3E">
        <w:rPr>
          <w:rFonts w:ascii="Times New Roman" w:hAnsi="Times New Roman" w:cs="Times New Roman"/>
          <w:i/>
          <w:iCs/>
          <w:sz w:val="24"/>
          <w:szCs w:val="24"/>
          <w:lang w:val="pl-PL"/>
        </w:rPr>
        <w:t>broj  02-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284/1</w:t>
      </w:r>
      <w:r w:rsidRPr="00AD0F3E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od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31.01.2013</w:t>
      </w:r>
      <w:r w:rsidRPr="00AD0F3E">
        <w:rPr>
          <w:rFonts w:ascii="Times New Roman" w:hAnsi="Times New Roman" w:cs="Times New Roman"/>
          <w:i/>
          <w:iCs/>
          <w:sz w:val="24"/>
          <w:szCs w:val="24"/>
          <w:lang w:val="pl-PL"/>
        </w:rPr>
        <w:t>. godine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Pr="00C40274">
        <w:rPr>
          <w:rFonts w:ascii="Times New Roman" w:hAnsi="Times New Roman" w:cs="Times New Roman"/>
          <w:i/>
          <w:iCs/>
          <w:sz w:val="24"/>
          <w:szCs w:val="24"/>
          <w:lang w:val="pl-PL"/>
        </w:rPr>
        <w:t>izjasnio da su ponuđači, u predmetnom postupku javne</w:t>
      </w: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0274">
        <w:rPr>
          <w:rFonts w:ascii="Times New Roman" w:hAnsi="Times New Roman" w:cs="Times New Roman"/>
          <w:i/>
          <w:iCs/>
          <w:sz w:val="24"/>
          <w:szCs w:val="24"/>
          <w:lang w:val="pl-PL"/>
        </w:rPr>
        <w:t>nabavke, dužni da dostave  slijedeće dokaze (dozvole, licence, odobrenja</w:t>
      </w: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0274">
        <w:rPr>
          <w:rFonts w:ascii="Times New Roman" w:hAnsi="Times New Roman" w:cs="Times New Roman"/>
          <w:i/>
          <w:iCs/>
          <w:sz w:val="24"/>
          <w:szCs w:val="24"/>
          <w:lang w:val="pl-PL"/>
        </w:rPr>
        <w:t>odnosno drugi akt u skladu sa zakonom):</w:t>
      </w:r>
    </w:p>
    <w:p w:rsidR="00476EE5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:rsidR="00476EE5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-Licenca za izvođenje radova na elektroinstalacijama  jake struje</w:t>
      </w:r>
    </w:p>
    <w:p w:rsidR="00476EE5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>3) potvrde organa uprave nadležnog za poslove poreza da su uredno izvršene sve</w:t>
      </w:r>
      <w:r w:rsidRPr="00C4027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obaveze po osnovu plaćanja poreza i doprinosa za period do 90 dana prije javnog otvaranja ponuda; </w:t>
      </w: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>4) potvrda, odnosno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drugi</w:t>
      </w: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 akt</w:t>
      </w:r>
      <w:r w:rsidRPr="00AC6499">
        <w:rPr>
          <w:rFonts w:ascii="Times New Roman" w:hAnsi="Times New Roman" w:cs="Times New Roman"/>
          <w:sz w:val="24"/>
          <w:szCs w:val="24"/>
          <w:lang w:val="pl-PL"/>
        </w:rPr>
        <w:t xml:space="preserve"> nadležnog organa na osnovu podataka iz kaznene evidencije</w:t>
      </w:r>
      <w:r w:rsidRPr="00C40274">
        <w:rPr>
          <w:rFonts w:ascii="Times New Roman" w:hAnsi="Times New Roman" w:cs="Times New Roman"/>
          <w:sz w:val="24"/>
          <w:szCs w:val="24"/>
          <w:lang w:val="pl-PL"/>
        </w:rPr>
        <w:t xml:space="preserve"> -  dokazi o ispunjavanju ovog uslova ne smiju da budu stariji od šest mjeseci do dana javnog otvaranja ponuda. </w:t>
      </w: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sz w:val="24"/>
          <w:szCs w:val="24"/>
          <w:lang w:val="pl-PL"/>
        </w:rPr>
        <w:t>Dokazi o ispunjenosti uslova za učešće u postupku javne nabavke dostavljaju se u originalu, ovjerenoj kopiji ili elektronskoj formi u skladu sa pozivom za javno nadmetanje, pozivom za nadmetanje i tenderskom dokumentacijom.</w:t>
      </w:r>
    </w:p>
    <w:p w:rsidR="00476EE5" w:rsidRPr="00C40274" w:rsidRDefault="00476EE5" w:rsidP="001E156D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A86D53" w:rsidRDefault="00476EE5" w:rsidP="001E156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pl-PL"/>
        </w:rPr>
      </w:pPr>
      <w:r w:rsidRPr="000E5E8C">
        <w:rPr>
          <w:rFonts w:ascii="Times New Roman" w:hAnsi="Times New Roman" w:cs="Times New Roman"/>
          <w:i/>
          <w:iCs/>
          <w:sz w:val="24"/>
          <w:szCs w:val="24"/>
          <w:u w:val="single"/>
          <w:lang w:val="pl-PL"/>
        </w:rPr>
        <w:t>Fakultativni uslovi za učešće u postupku javnog nadmetanja</w:t>
      </w:r>
    </w:p>
    <w:p w:rsidR="00476EE5" w:rsidRPr="00A86D53" w:rsidRDefault="00476EE5" w:rsidP="001E156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pl-PL"/>
        </w:rPr>
      </w:pPr>
    </w:p>
    <w:p w:rsidR="00476EE5" w:rsidRPr="0091731B" w:rsidRDefault="00476EE5" w:rsidP="001E1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731B">
        <w:rPr>
          <w:rFonts w:ascii="Times New Roman" w:hAnsi="Times New Roman" w:cs="Times New Roman"/>
          <w:sz w:val="24"/>
          <w:szCs w:val="24"/>
          <w:lang w:val="pl-PL"/>
        </w:rPr>
        <w:t>Pored obaveznih uslova  za učešće u postupku javne nabavke ponuđač mora da dokaže da ispunjava i fakultativne uslove koji se odnose na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76EE5" w:rsidRPr="00A86D53" w:rsidRDefault="00476EE5" w:rsidP="001E1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C40274" w:rsidRDefault="00476EE5" w:rsidP="001E156D">
      <w:pPr>
        <w:pStyle w:val="t-98-2"/>
        <w:spacing w:before="0" w:beforeAutospacing="0" w:after="0" w:afterAutospacing="0"/>
        <w:jc w:val="both"/>
        <w:rPr>
          <w:lang w:val="sl-SI"/>
        </w:rPr>
      </w:pPr>
      <w:r w:rsidRPr="00C40274">
        <w:rPr>
          <w:u w:val="single"/>
          <w:lang w:val="sl-SI"/>
        </w:rPr>
        <w:t>stručno-tehničku i kadrovsku osposobljenost</w:t>
      </w:r>
      <w:r w:rsidRPr="00C40274">
        <w:rPr>
          <w:lang w:val="sl-SI"/>
        </w:rPr>
        <w:t xml:space="preserve"> (</w:t>
      </w:r>
      <w:r w:rsidRPr="00C40274">
        <w:rPr>
          <w:i/>
          <w:iCs/>
          <w:lang w:val="sl-SI"/>
        </w:rPr>
        <w:t>član 67 Zakona o javnim nabavkama</w:t>
      </w:r>
      <w:r w:rsidRPr="00C40274">
        <w:rPr>
          <w:lang w:val="sl-SI"/>
        </w:rPr>
        <w:t>)</w:t>
      </w:r>
    </w:p>
    <w:p w:rsidR="00476EE5" w:rsidRPr="00C40274" w:rsidRDefault="00476EE5" w:rsidP="001E15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40274">
        <w:rPr>
          <w:rFonts w:ascii="Times New Roman" w:hAnsi="Times New Roman" w:cs="Times New Roman"/>
          <w:sz w:val="24"/>
          <w:szCs w:val="24"/>
          <w:lang w:val="sr-Latn-CS"/>
        </w:rPr>
        <w:t>Ispunjenost uslova stručno - tehničke i kadrovske osposobljenosti u postupku javne nabavke radova dokaz</w:t>
      </w:r>
      <w:r>
        <w:rPr>
          <w:rFonts w:ascii="Times New Roman" w:hAnsi="Times New Roman" w:cs="Times New Roman"/>
          <w:sz w:val="24"/>
          <w:szCs w:val="24"/>
          <w:lang w:val="sr-Latn-CS"/>
        </w:rPr>
        <w:t>uje se dostavljanjem sledećih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 xml:space="preserve"> dokaza, i to:</w:t>
      </w: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CS"/>
        </w:rPr>
      </w:pPr>
    </w:p>
    <w:p w:rsidR="00476EE5" w:rsidRPr="00C40274" w:rsidRDefault="00476EE5" w:rsidP="001E156D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r-Latn-CS"/>
        </w:rPr>
      </w:pPr>
      <w:r w:rsidRPr="00C40274">
        <w:rPr>
          <w:rFonts w:ascii="Times New Roman" w:hAnsi="Times New Roman" w:cs="Times New Roman"/>
          <w:sz w:val="24"/>
          <w:szCs w:val="24"/>
          <w:lang w:val="sr-Latn-CS"/>
        </w:rPr>
        <w:t xml:space="preserve">1) liste radova koji su izvedeni u posljednjih pet godina, sa rokovima izvođenja radova, uključujući vrijednost, vrijeme i lokaciju izvođenja, </w:t>
      </w:r>
    </w:p>
    <w:p w:rsidR="00476EE5" w:rsidRDefault="00476EE5" w:rsidP="001E156D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r-Latn-CS"/>
        </w:rPr>
      </w:pPr>
      <w:r w:rsidRPr="00C40274">
        <w:rPr>
          <w:rFonts w:ascii="Times New Roman" w:hAnsi="Times New Roman" w:cs="Times New Roman"/>
          <w:sz w:val="24"/>
          <w:szCs w:val="24"/>
          <w:lang w:val="sr-Latn-CS"/>
        </w:rPr>
        <w:t xml:space="preserve">2) </w:t>
      </w:r>
      <w:r w:rsidRPr="00410A76">
        <w:rPr>
          <w:rFonts w:ascii="Times New Roman" w:hAnsi="Times New Roman" w:cs="Times New Roman"/>
          <w:sz w:val="24"/>
          <w:szCs w:val="24"/>
          <w:lang w:val="sr-Latn-CS"/>
        </w:rPr>
        <w:t xml:space="preserve">izjave o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kvalifikacijama rukovodećih lica i posebno kvalifikacijama lica koja su odgovorna za izvođenje konkretnih radova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uz dostavljanje fotokopije radnih knjižica i sledećih licenci za glavnog i odgovorne inženjere  i to:</w:t>
      </w:r>
    </w:p>
    <w:p w:rsidR="00476EE5" w:rsidRDefault="00476EE5" w:rsidP="001E156D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76EE5" w:rsidRDefault="00476EE5" w:rsidP="003F45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-Licenca za izvođenje radova na elektroinstalacijama  jake struje</w:t>
      </w:r>
    </w:p>
    <w:p w:rsidR="00476EE5" w:rsidRPr="0006766C" w:rsidRDefault="00476EE5" w:rsidP="001E156D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i/>
          <w:iCs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-</w:t>
      </w:r>
      <w:r w:rsidRPr="0006766C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Uz licen</w:t>
      </w:r>
      <w:r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cu</w:t>
      </w:r>
      <w:r w:rsidRPr="0006766C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sr-Latn-CS"/>
        </w:rPr>
        <w:t xml:space="preserve">glavnog </w:t>
      </w:r>
      <w:r w:rsidRPr="0006766C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inženjera potrebno je dostaviti potvrdu o članstvu u Inženjerskoj komori Crne Gore</w:t>
      </w:r>
    </w:p>
    <w:p w:rsidR="00476EE5" w:rsidRPr="00C40274" w:rsidRDefault="00476EE5" w:rsidP="001E156D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76EE5" w:rsidRPr="00C40274" w:rsidRDefault="00476EE5" w:rsidP="001E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0274">
        <w:rPr>
          <w:rFonts w:ascii="Times New Roman" w:hAnsi="Times New Roman" w:cs="Times New Roman"/>
          <w:sz w:val="24"/>
          <w:szCs w:val="24"/>
          <w:lang w:val="sr-Latn-CS"/>
        </w:rPr>
        <w:t>Ukoliko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ponu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č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ne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dostavi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neki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od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dokaza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podobnosti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predvi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enih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pozivom za nadmetanje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tenderskom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dokumentacijom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njegova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ponuda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bi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odbijena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kao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  <w:lang w:val="sr-Latn-CS"/>
        </w:rPr>
        <w:t>neispravna</w:t>
      </w:r>
      <w:r w:rsidRPr="00C4027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1731B">
        <w:rPr>
          <w:rFonts w:ascii="Times New Roman" w:hAnsi="Times New Roman" w:cs="Times New Roman"/>
          <w:b/>
          <w:bCs/>
          <w:sz w:val="24"/>
          <w:szCs w:val="24"/>
          <w:lang w:val="de-DE"/>
        </w:rPr>
        <w:t>V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5DB3"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Pr="0091731B">
        <w:rPr>
          <w:rFonts w:ascii="Times New Roman" w:hAnsi="Times New Roman" w:cs="Times New Roman"/>
          <w:b/>
          <w:bCs/>
          <w:sz w:val="24"/>
          <w:szCs w:val="24"/>
          <w:lang w:val="de-DE"/>
        </w:rPr>
        <w:t>ogu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91731B">
        <w:rPr>
          <w:rFonts w:ascii="Times New Roman" w:hAnsi="Times New Roman" w:cs="Times New Roman"/>
          <w:b/>
          <w:bCs/>
          <w:sz w:val="24"/>
          <w:szCs w:val="24"/>
          <w:lang w:val="de-DE"/>
        </w:rPr>
        <w:t>nost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1731B">
        <w:rPr>
          <w:rFonts w:ascii="Times New Roman" w:hAnsi="Times New Roman" w:cs="Times New Roman"/>
          <w:b/>
          <w:bCs/>
          <w:sz w:val="24"/>
          <w:szCs w:val="24"/>
          <w:lang w:val="de-DE"/>
        </w:rPr>
        <w:t>dostavljanja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1731B">
        <w:rPr>
          <w:rFonts w:ascii="Times New Roman" w:hAnsi="Times New Roman" w:cs="Times New Roman"/>
          <w:b/>
          <w:bCs/>
          <w:sz w:val="24"/>
          <w:szCs w:val="24"/>
          <w:lang w:val="de-DE"/>
        </w:rPr>
        <w:t>alternativnih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1731B">
        <w:rPr>
          <w:rFonts w:ascii="Times New Roman" w:hAnsi="Times New Roman" w:cs="Times New Roman"/>
          <w:b/>
          <w:bCs/>
          <w:sz w:val="24"/>
          <w:szCs w:val="24"/>
          <w:lang w:val="de-DE"/>
        </w:rPr>
        <w:t>ponuda</w:t>
      </w:r>
    </w:p>
    <w:p w:rsidR="00476EE5" w:rsidRPr="001A36EE" w:rsidRDefault="00476EE5" w:rsidP="001E156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76EE5" w:rsidRPr="00A86D53" w:rsidRDefault="00476EE5" w:rsidP="001E156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027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1731B">
        <w:rPr>
          <w:rFonts w:ascii="Times New Roman" w:hAnsi="Times New Roman" w:cs="Times New Roman"/>
          <w:sz w:val="24"/>
          <w:szCs w:val="24"/>
          <w:lang w:val="de-DE"/>
        </w:rPr>
        <w:t>da</w:t>
      </w:r>
    </w:p>
    <w:p w:rsidR="00476EE5" w:rsidRPr="00A86D53" w:rsidRDefault="00476EE5" w:rsidP="001E156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ne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Naru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ilac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ć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ponu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>đ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č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ije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ponude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budu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ocijenjene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ka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D5D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potpune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uputiti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pisani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poziv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nadmetanje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pregovaranjem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navo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>đ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enjem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termina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etka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pregovora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predmeta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pregovora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dinamike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toka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pregovora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 xml:space="preserve">VII  Predmet pregovora: 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Opisati jasno predmet pregovora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23"/>
      </w:tblGrid>
      <w:tr w:rsidR="00476EE5" w:rsidRPr="001A7A33">
        <w:trPr>
          <w:trHeight w:val="652"/>
        </w:trPr>
        <w:tc>
          <w:tcPr>
            <w:tcW w:w="9023" w:type="dxa"/>
          </w:tcPr>
          <w:p w:rsidR="00476EE5" w:rsidRDefault="00476EE5" w:rsidP="00693BB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Rok završetka radova</w:t>
            </w:r>
          </w:p>
          <w:p w:rsidR="00476EE5" w:rsidRPr="001A7A33" w:rsidRDefault="00476EE5" w:rsidP="00693BB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Ponuđena cijena</w:t>
            </w:r>
          </w:p>
        </w:tc>
      </w:tr>
    </w:tbl>
    <w:p w:rsidR="00476EE5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>VIII  Dinamika toka pregovora: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Opisati dinamiku toka pregovora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23"/>
      </w:tblGrid>
      <w:tr w:rsidR="00476EE5" w:rsidRPr="001A7A33">
        <w:trPr>
          <w:trHeight w:val="1198"/>
          <w:jc w:val="center"/>
        </w:trPr>
        <w:tc>
          <w:tcPr>
            <w:tcW w:w="9023" w:type="dxa"/>
          </w:tcPr>
          <w:p w:rsidR="00476EE5" w:rsidRPr="001A7A33" w:rsidRDefault="00476EE5" w:rsidP="00693BB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isteku roka od 10 dana za žalbu na javno otvaranja ponuda naručilac će uputiti poziv za pregovaranje ponuđačima i pristupiti pregovorima sa svakim ponuđačem pojedinačno za sve gore navedene predmete pregovora.</w:t>
            </w:r>
          </w:p>
        </w:tc>
      </w:tr>
    </w:tbl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>IX Naručilac će sprovesti pregovore sa ovlašćenim predstavnikom/cima svakog ponu</w:t>
      </w:r>
      <w:r w:rsidRPr="00C4027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đača pojedinačno.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>X Naručilac će obezbijediti da se pregovori vode na zatvorenom sastanku, a predsjedavajući i članovi Komisije za otvaranje i vrednovanje ponuda će prije početka pregovora potpisati izjavu o povjerljivosti pregovora sa ponuđačima.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>XI  Rezultati pregovora će biti iskazani i verifikovan</w:t>
      </w:r>
      <w:r>
        <w:rPr>
          <w:rFonts w:ascii="Times New Roman" w:hAnsi="Times New Roman" w:cs="Times New Roman"/>
          <w:b/>
          <w:bCs/>
          <w:sz w:val="24"/>
          <w:szCs w:val="24"/>
        </w:rPr>
        <w:t>i kroz Zapisnik o pregovaranju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 xml:space="preserve"> koji će biti potpisan od strane ovlašćenog/ih predstavnika svakog ponuđača pojedinačno i Komisije za otvaranje i vrednovanje ponuda.</w:t>
      </w: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XII Naručilac obezbjeđuje zaštitu i tajnost podataka sadržanih u Zapisniku o pregovaranju. 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>XIII Kriterijum za izbor najpovoljnije ponude:</w:t>
      </w:r>
    </w:p>
    <w:p w:rsidR="00476EE5" w:rsidRPr="00A86D53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476EE5" w:rsidRPr="00A86D53" w:rsidRDefault="00476EE5" w:rsidP="001E156D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027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1) </w:t>
      </w:r>
      <w:r w:rsidRPr="000E5E8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najni</w:t>
      </w:r>
      <w:r w:rsidRPr="00C40274">
        <w:rPr>
          <w:rFonts w:ascii="Times New Roman" w:hAnsi="Times New Roman" w:cs="Times New Roman"/>
          <w:color w:val="000000"/>
          <w:sz w:val="24"/>
          <w:szCs w:val="24"/>
          <w:lang w:val="hr-HR"/>
        </w:rPr>
        <w:t>ž</w:t>
      </w:r>
      <w:r w:rsidRPr="000E5E8C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4027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0E5E8C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</w:t>
      </w:r>
      <w:r w:rsidRPr="00C40274">
        <w:rPr>
          <w:rFonts w:ascii="Times New Roman" w:hAnsi="Times New Roman" w:cs="Times New Roman"/>
          <w:color w:val="000000"/>
          <w:sz w:val="24"/>
          <w:szCs w:val="24"/>
          <w:lang w:val="hr-HR"/>
        </w:rPr>
        <w:t>đ</w:t>
      </w:r>
      <w:r w:rsidRPr="000E5E8C">
        <w:rPr>
          <w:rFonts w:ascii="Times New Roman" w:hAnsi="Times New Roman" w:cs="Times New Roman"/>
          <w:color w:val="000000"/>
          <w:sz w:val="24"/>
          <w:szCs w:val="24"/>
          <w:lang w:val="pl-PL"/>
        </w:rPr>
        <w:t>ena</w:t>
      </w:r>
      <w:r w:rsidRPr="00C4027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0E5E8C">
        <w:rPr>
          <w:rFonts w:ascii="Times New Roman" w:hAnsi="Times New Roman" w:cs="Times New Roman"/>
          <w:color w:val="000000"/>
          <w:sz w:val="24"/>
          <w:szCs w:val="24"/>
          <w:lang w:val="pl-PL"/>
        </w:rPr>
        <w:t>cijena</w:t>
      </w:r>
      <w:r w:rsidRPr="000E5E8C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91731B">
        <w:rPr>
          <w:rFonts w:ascii="Times New Roman" w:hAnsi="Times New Roman" w:cs="Times New Roman"/>
          <w:sz w:val="24"/>
          <w:szCs w:val="24"/>
          <w:lang w:val="pl-PL"/>
        </w:rPr>
        <w:t>x</w:t>
      </w:r>
    </w:p>
    <w:p w:rsidR="00476EE5" w:rsidRPr="00C40274" w:rsidRDefault="00476EE5" w:rsidP="001E156D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1731B">
        <w:rPr>
          <w:rFonts w:ascii="Times New Roman" w:hAnsi="Times New Roman" w:cs="Times New Roman"/>
          <w:b/>
          <w:bCs/>
          <w:sz w:val="24"/>
          <w:szCs w:val="24"/>
          <w:lang w:val="pl-PL"/>
        </w:rPr>
        <w:t>XIV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Pr="0091731B">
        <w:rPr>
          <w:rFonts w:ascii="Times New Roman" w:hAnsi="Times New Roman" w:cs="Times New Roman"/>
          <w:b/>
          <w:bCs/>
          <w:sz w:val="24"/>
          <w:szCs w:val="24"/>
          <w:lang w:val="pl-PL"/>
        </w:rPr>
        <w:t>Jezik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1731B">
        <w:rPr>
          <w:rFonts w:ascii="Times New Roman" w:hAnsi="Times New Roman" w:cs="Times New Roman"/>
          <w:b/>
          <w:bCs/>
          <w:sz w:val="24"/>
          <w:szCs w:val="24"/>
          <w:lang w:val="pl-PL"/>
        </w:rPr>
        <w:t>ponude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Crnogorski jezik</w:t>
      </w:r>
      <w:r w:rsidRPr="003D5DB3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ostali jezici</w:t>
      </w:r>
      <w:r w:rsidRPr="003D5DB3">
        <w:rPr>
          <w:rFonts w:ascii="Times New Roman" w:hAnsi="Times New Roman" w:cs="Times New Roman"/>
          <w:sz w:val="24"/>
          <w:szCs w:val="24"/>
          <w:lang w:val="hr-HR"/>
        </w:rPr>
        <w:t xml:space="preserve"> u službenoj upotrebi u Crnoj Gori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>XV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Uvid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otkup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preuzimanje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tenderske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b/>
          <w:bCs/>
          <w:sz w:val="24"/>
          <w:szCs w:val="24"/>
        </w:rPr>
        <w:t>dokumentacije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0274">
        <w:rPr>
          <w:rFonts w:ascii="Times New Roman" w:hAnsi="Times New Roman" w:cs="Times New Roman"/>
          <w:sz w:val="24"/>
          <w:szCs w:val="24"/>
        </w:rPr>
        <w:t>Zainteresovana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lica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imaju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pravo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izvr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C40274">
        <w:rPr>
          <w:rFonts w:ascii="Times New Roman" w:hAnsi="Times New Roman" w:cs="Times New Roman"/>
          <w:sz w:val="24"/>
          <w:szCs w:val="24"/>
        </w:rPr>
        <w:t>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uvid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otkup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tenderske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dokumentacije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od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dana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dostavljanja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poziva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za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nadmetanje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0274">
        <w:rPr>
          <w:rFonts w:ascii="Times New Roman" w:hAnsi="Times New Roman" w:cs="Times New Roman"/>
          <w:sz w:val="24"/>
          <w:szCs w:val="24"/>
        </w:rPr>
        <w:t>Uvid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tendersku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dokumentaciju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mo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C40274">
        <w:rPr>
          <w:rFonts w:ascii="Times New Roman" w:hAnsi="Times New Roman" w:cs="Times New Roman"/>
          <w:sz w:val="24"/>
          <w:szCs w:val="24"/>
        </w:rPr>
        <w:t>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se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izvr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C40274">
        <w:rPr>
          <w:rFonts w:ascii="Times New Roman" w:hAnsi="Times New Roman" w:cs="Times New Roman"/>
          <w:sz w:val="24"/>
          <w:szCs w:val="24"/>
        </w:rPr>
        <w:t>iti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svakog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radnog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dana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od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08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16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sati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sz w:val="24"/>
          <w:szCs w:val="24"/>
        </w:rPr>
        <w:t>po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C40274">
        <w:rPr>
          <w:rFonts w:ascii="Times New Roman" w:hAnsi="Times New Roman" w:cs="Times New Roman"/>
          <w:sz w:val="24"/>
          <w:szCs w:val="24"/>
        </w:rPr>
        <w:t>ev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31.01.2013.</w:t>
      </w:r>
      <w:r w:rsidRPr="00C40274">
        <w:rPr>
          <w:rFonts w:ascii="Times New Roman" w:hAnsi="Times New Roman" w:cs="Times New Roman"/>
          <w:sz w:val="24"/>
          <w:szCs w:val="24"/>
        </w:rPr>
        <w:t>godine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sz w:val="24"/>
          <w:szCs w:val="24"/>
        </w:rPr>
        <w:t>zaklju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C40274">
        <w:rPr>
          <w:rFonts w:ascii="Times New Roman" w:hAnsi="Times New Roman" w:cs="Times New Roman"/>
          <w:sz w:val="24"/>
          <w:szCs w:val="24"/>
        </w:rPr>
        <w:t>no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08.02.2013.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godine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Direkcija javnih radova, Novaka Miloševa br. 18 Podgorica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40274">
        <w:rPr>
          <w:rFonts w:ascii="Times New Roman" w:hAnsi="Times New Roman" w:cs="Times New Roman"/>
          <w:sz w:val="24"/>
          <w:szCs w:val="24"/>
        </w:rPr>
        <w:t>kod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ovla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šć</w:t>
      </w:r>
      <w:r w:rsidRPr="00C40274">
        <w:rPr>
          <w:rFonts w:ascii="Times New Roman" w:hAnsi="Times New Roman" w:cs="Times New Roman"/>
          <w:sz w:val="24"/>
          <w:szCs w:val="24"/>
        </w:rPr>
        <w:t>enog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lica</w:t>
      </w:r>
      <w:r w:rsidRPr="00192A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Dragane Racković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76EE5" w:rsidRPr="00A86D53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76EE5" w:rsidRPr="00A86D53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0274">
        <w:rPr>
          <w:rFonts w:ascii="Times New Roman" w:hAnsi="Times New Roman" w:cs="Times New Roman"/>
          <w:sz w:val="24"/>
          <w:szCs w:val="24"/>
        </w:rPr>
        <w:t>Za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otkup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tenderske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dokumentacije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potrebno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je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podnijeti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pisani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zahtjev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prilo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C40274">
        <w:rPr>
          <w:rFonts w:ascii="Times New Roman" w:hAnsi="Times New Roman" w:cs="Times New Roman"/>
          <w:sz w:val="24"/>
          <w:szCs w:val="24"/>
        </w:rPr>
        <w:t>iti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dokaz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uplati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iznosu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20,00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eura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na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ž</w:t>
      </w:r>
      <w:r w:rsidRPr="00C40274">
        <w:rPr>
          <w:rFonts w:ascii="Times New Roman" w:hAnsi="Times New Roman" w:cs="Times New Roman"/>
          <w:sz w:val="24"/>
          <w:szCs w:val="24"/>
        </w:rPr>
        <w:t>iro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ra</w:t>
      </w:r>
      <w:r w:rsidRPr="0069571E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C40274">
        <w:rPr>
          <w:rFonts w:ascii="Times New Roman" w:hAnsi="Times New Roman" w:cs="Times New Roman"/>
          <w:sz w:val="24"/>
          <w:szCs w:val="24"/>
        </w:rPr>
        <w:t>un</w:t>
      </w:r>
      <w:r w:rsidRPr="0069571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broj</w:t>
      </w:r>
      <w:r w:rsidRPr="0069571E">
        <w:rPr>
          <w:rFonts w:ascii="Times New Roman" w:hAnsi="Times New Roman" w:cs="Times New Roman"/>
          <w:sz w:val="24"/>
          <w:szCs w:val="24"/>
          <w:lang w:val="hr-HR"/>
        </w:rPr>
        <w:t xml:space="preserve"> 832-1029-20, </w:t>
      </w:r>
      <w:r w:rsidRPr="00C40274">
        <w:rPr>
          <w:rFonts w:ascii="Times New Roman" w:hAnsi="Times New Roman" w:cs="Times New Roman"/>
          <w:sz w:val="24"/>
          <w:szCs w:val="24"/>
        </w:rPr>
        <w:t>kod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Podgoričke banke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C40274">
        <w:rPr>
          <w:rFonts w:ascii="Times New Roman" w:hAnsi="Times New Roman" w:cs="Times New Roman"/>
          <w:sz w:val="24"/>
          <w:szCs w:val="24"/>
        </w:rPr>
        <w:t>uz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napomenu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za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preuzimanje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tenderske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dokumentacije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po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0274">
        <w:rPr>
          <w:rFonts w:ascii="Times New Roman" w:hAnsi="Times New Roman" w:cs="Times New Roman"/>
          <w:sz w:val="24"/>
          <w:szCs w:val="24"/>
        </w:rPr>
        <w:t>pozivu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04-1/13</w:t>
      </w:r>
      <w:r w:rsidRPr="000E5E8C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476EE5" w:rsidRPr="00A86D53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76EE5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>Instrukcije plaćanja za zainteresovana lica iz inostranstva:</w:t>
      </w:r>
    </w:p>
    <w:p w:rsidR="00476EE5" w:rsidRPr="003F7FF0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786CF3" w:rsidRDefault="00476EE5" w:rsidP="006D3AD6">
      <w:pPr>
        <w:rPr>
          <w:b/>
          <w:bCs/>
          <w:sz w:val="20"/>
          <w:szCs w:val="20"/>
          <w:lang w:val="sr-Latn-CS"/>
        </w:rPr>
      </w:pPr>
      <w:r w:rsidRPr="00786CF3">
        <w:rPr>
          <w:b/>
          <w:bCs/>
          <w:sz w:val="20"/>
          <w:szCs w:val="20"/>
          <w:lang w:val="sr-Latn-CS"/>
        </w:rPr>
        <w:t>PODGORIČKA BANKA</w:t>
      </w:r>
    </w:p>
    <w:p w:rsidR="00476EE5" w:rsidRPr="003F7FF0" w:rsidRDefault="00476EE5" w:rsidP="006D3AD6">
      <w:pPr>
        <w:pStyle w:val="Heading1"/>
        <w:jc w:val="left"/>
        <w:rPr>
          <w:b w:val="0"/>
          <w:bCs w:val="0"/>
          <w:sz w:val="24"/>
          <w:szCs w:val="24"/>
          <w:lang w:val="sl-SI"/>
        </w:rPr>
      </w:pPr>
      <w:r w:rsidRPr="003F7FF0">
        <w:rPr>
          <w:b w:val="0"/>
          <w:bCs w:val="0"/>
          <w:sz w:val="24"/>
          <w:szCs w:val="24"/>
          <w:lang w:val="sl-SI"/>
        </w:rPr>
        <w:t>SOCIETE GENERALE GROUP</w:t>
      </w:r>
    </w:p>
    <w:p w:rsidR="00476EE5" w:rsidRPr="003F7FF0" w:rsidRDefault="00476EE5" w:rsidP="006D3AD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......................................................................................................................................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Fleld 68A: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SOGEFRPP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(Intermediary)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SOCIETE GENERALE – PARI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S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Fleld 57A: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/FR7630003069900010129488311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(Acccunt wlth inst)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PDBPMEPG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Podgorička banka ad Societe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Generale Group Podgorica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Fleld 59: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/ME 25550005220000032317</w:t>
      </w:r>
    </w:p>
    <w:p w:rsidR="00476EE5" w:rsidRPr="003F7FF0" w:rsidRDefault="00476EE5" w:rsidP="006D3AD6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(Bcncficiary)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 </w:t>
      </w:r>
      <w:r w:rsidRPr="003F7FF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Ministarstvo finansija CG</w:t>
      </w:r>
      <w:r w:rsidRPr="00786CF3">
        <w:rPr>
          <w:b/>
          <w:bCs/>
          <w:sz w:val="20"/>
          <w:szCs w:val="20"/>
          <w:lang w:val="sr-Latn-CS"/>
        </w:rPr>
        <w:t>Podgorica</w:t>
      </w:r>
    </w:p>
    <w:p w:rsidR="00476EE5" w:rsidRPr="00682A82" w:rsidRDefault="00476EE5" w:rsidP="006D3AD6">
      <w:pPr>
        <w:rPr>
          <w:rFonts w:cs="Times New Roman"/>
          <w:b/>
          <w:bCs/>
          <w:sz w:val="20"/>
          <w:szCs w:val="20"/>
          <w:lang w:val="sr-Latn-CS"/>
        </w:rPr>
      </w:pPr>
      <w:r w:rsidRPr="00786CF3">
        <w:rPr>
          <w:b/>
          <w:bCs/>
          <w:sz w:val="20"/>
          <w:szCs w:val="20"/>
          <w:lang w:val="sr-Latn-CS"/>
        </w:rPr>
        <w:t xml:space="preserve">                                                                  MONTENEGRO</w:t>
      </w:r>
    </w:p>
    <w:p w:rsidR="00476EE5" w:rsidRPr="00A86D53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E5E8C">
        <w:rPr>
          <w:rFonts w:ascii="Times New Roman" w:hAnsi="Times New Roman" w:cs="Times New Roman"/>
          <w:sz w:val="24"/>
          <w:szCs w:val="24"/>
          <w:lang w:val="pt-BR"/>
        </w:rPr>
        <w:t xml:space="preserve">Dokaz o uplati naknade dostavlja se uz zahtjev. </w:t>
      </w:r>
    </w:p>
    <w:p w:rsidR="00476EE5" w:rsidRPr="00A86D53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E5E8C">
        <w:rPr>
          <w:rFonts w:ascii="Times New Roman" w:hAnsi="Times New Roman" w:cs="Times New Roman"/>
          <w:sz w:val="24"/>
          <w:szCs w:val="24"/>
          <w:lang w:val="pt-BR"/>
        </w:rPr>
        <w:t>Ukoliko uz zahtjev nije priložen dokaz o uplati troškova otkupa naručilac će odbaciti zahtjev zainteresovanog lica.</w:t>
      </w:r>
    </w:p>
    <w:p w:rsidR="00476EE5" w:rsidRPr="00A86D53" w:rsidRDefault="00476EE5" w:rsidP="006D3AD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XVI 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>Rok i mjesto podnošenja ponuda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5E5490" w:rsidRDefault="00476EE5" w:rsidP="008F5FE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Ponude se predaju radnim danima od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08 do 16 sati, zaključno sa 08.02.2013. godine do 10h 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>sati, neposrednom predajom na arhivi naručioca, adresa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Direkcija javnih radova, Novaka Miloševa br. 18 Podgorica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ili preporučenom pošiljkom </w:t>
      </w:r>
      <w:r w:rsidRPr="005E5490">
        <w:rPr>
          <w:rFonts w:ascii="Times New Roman" w:hAnsi="Times New Roman" w:cs="Times New Roman"/>
          <w:sz w:val="24"/>
          <w:szCs w:val="24"/>
          <w:lang w:val="pl-PL"/>
        </w:rPr>
        <w:t>na navedenu adresu.</w:t>
      </w:r>
    </w:p>
    <w:p w:rsidR="00476EE5" w:rsidRPr="003D5DB3" w:rsidRDefault="00476EE5" w:rsidP="003D5DB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Default="00476EE5" w:rsidP="003D5DB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>Blagovremena ponuda je ponuda koja je dostavljena u roku određenom u pozivu za nadmetanje i tenderskoj dokumentaciji.</w:t>
      </w:r>
    </w:p>
    <w:p w:rsidR="00476EE5" w:rsidRDefault="00476EE5" w:rsidP="003D5DB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</w:p>
    <w:p w:rsidR="00476EE5" w:rsidRPr="004C5BBD" w:rsidRDefault="00476EE5" w:rsidP="003D5DB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3D5DB3">
        <w:rPr>
          <w:rFonts w:ascii="Times New Roman" w:hAnsi="Times New Roman" w:cs="Times New Roman"/>
          <w:sz w:val="24"/>
          <w:szCs w:val="24"/>
          <w:lang w:val="pl-PL"/>
        </w:rPr>
        <w:t xml:space="preserve">Blagovremena ponuda je ponuda koja je dostavljena na arhivu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Direkcije javnih radova </w:t>
      </w:r>
      <w:r w:rsidRPr="003D5DB3">
        <w:rPr>
          <w:rFonts w:ascii="Times New Roman" w:hAnsi="Times New Roman" w:cs="Times New Roman"/>
          <w:sz w:val="24"/>
          <w:szCs w:val="24"/>
          <w:lang w:val="pl-PL"/>
        </w:rPr>
        <w:t>najkasnije zaključno sa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08.02.2013</w:t>
      </w:r>
      <w:r w:rsidRPr="003D5DB3">
        <w:rPr>
          <w:rFonts w:ascii="Times New Roman" w:hAnsi="Times New Roman" w:cs="Times New Roman"/>
          <w:sz w:val="24"/>
          <w:szCs w:val="24"/>
          <w:lang w:val="pl-PL"/>
        </w:rPr>
        <w:t>.g. do 1</w:t>
      </w:r>
      <w:r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3D5DB3">
        <w:rPr>
          <w:rFonts w:ascii="Times New Roman" w:hAnsi="Times New Roman" w:cs="Times New Roman"/>
          <w:sz w:val="24"/>
          <w:szCs w:val="24"/>
          <w:lang w:val="pl-PL"/>
        </w:rPr>
        <w:t xml:space="preserve"> sati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B0F0"/>
          <w:sz w:val="24"/>
          <w:szCs w:val="24"/>
          <w:lang w:val="pl-PL"/>
        </w:rPr>
        <w:t xml:space="preserve"> </w:t>
      </w:r>
    </w:p>
    <w:p w:rsidR="00476EE5" w:rsidRPr="00A86D53" w:rsidRDefault="00476EE5" w:rsidP="003D5DB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XVII 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>Vrijeme i mjesto javnog otvaranja ponuda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Javno otvaranje ponuda, kojem mogu prisustvovati ovlašćeni predstavnici ponuđača sa priloženim punomoćjem potpisanim od strane ovlašćenog lica održaće se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08.02.2013</w:t>
      </w:r>
      <w:r w:rsidRPr="003D5DB3">
        <w:rPr>
          <w:rFonts w:ascii="Times New Roman" w:hAnsi="Times New Roman" w:cs="Times New Roman"/>
          <w:sz w:val="24"/>
          <w:szCs w:val="24"/>
          <w:lang w:val="pl-PL"/>
        </w:rPr>
        <w:t xml:space="preserve">.g.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 10:30 sati, u </w:t>
      </w:r>
      <w:r>
        <w:rPr>
          <w:rFonts w:ascii="Times New Roman" w:hAnsi="Times New Roman" w:cs="Times New Roman"/>
          <w:sz w:val="24"/>
          <w:szCs w:val="24"/>
          <w:lang w:val="hr-HR"/>
        </w:rPr>
        <w:t>Direkciji javnih radova, Novaka Miloševa br. 18, Podgorica.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XVIII 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>Rok za donošenje odluke o izboru najpovoljnije ponude odnosno odluke o obustavljanju postupka javne nabavke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60 dana od dana otvaranja ponuda.</w:t>
      </w: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6EE5" w:rsidRPr="00A86D53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XIX 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5E8C">
        <w:rPr>
          <w:rFonts w:ascii="Times New Roman" w:hAnsi="Times New Roman" w:cs="Times New Roman"/>
          <w:b/>
          <w:bCs/>
          <w:sz w:val="24"/>
          <w:szCs w:val="24"/>
          <w:lang w:val="pl-PL"/>
        </w:rPr>
        <w:t>Pravna pouka</w:t>
      </w:r>
      <w:r w:rsidRPr="000E5E8C">
        <w:rPr>
          <w:rFonts w:ascii="Times New Roman" w:hAnsi="Times New Roman" w:cs="Times New Roman"/>
          <w:sz w:val="24"/>
          <w:szCs w:val="24"/>
          <w:lang w:val="pl-PL"/>
        </w:rPr>
        <w:t>: Ukoliko smatraju da su im pozivom za nadmetanje, povrijeđena prava i na pravu zasnovani interesi, aktivno legitimisana lica mogu izjaviti žalbu Državnoj komisiji za kontrolu postupaka javnih nabavki u roku od 10 dana od dana dostavljanja poziva za nadmetanje</w:t>
      </w:r>
    </w:p>
    <w:p w:rsidR="00476EE5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76EE5" w:rsidRPr="00C40274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74">
        <w:rPr>
          <w:rFonts w:ascii="Times New Roman" w:hAnsi="Times New Roman" w:cs="Times New Roman"/>
          <w:b/>
          <w:bCs/>
          <w:sz w:val="24"/>
          <w:szCs w:val="24"/>
        </w:rPr>
        <w:t>XX Dodatne informacije</w:t>
      </w:r>
    </w:p>
    <w:p w:rsidR="00476EE5" w:rsidRPr="00C40274" w:rsidRDefault="00476EE5" w:rsidP="001E156D">
      <w:pPr>
        <w:spacing w:after="0" w:line="240" w:lineRule="auto"/>
        <w:ind w:left="70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622"/>
      </w:tblGrid>
      <w:tr w:rsidR="00476EE5" w:rsidRPr="001F5073"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476EE5" w:rsidRPr="00DF29EA" w:rsidRDefault="00476EE5" w:rsidP="003D5DB3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Dostaviti garanciju ponude u iznosu od  2% procijenje vrijednosti javne nabavke sa rokom važenja od 120 dana </w:t>
            </w:r>
            <w:r w:rsidRPr="00DF29EA">
              <w:rPr>
                <w:rFonts w:ascii="Times New Roman" w:hAnsi="Times New Roman" w:cs="Times New Roman"/>
                <w:sz w:val="24"/>
                <w:szCs w:val="24"/>
              </w:rPr>
              <w:t>od  dana kada je zakazano otvaranje ponuda.</w:t>
            </w:r>
          </w:p>
          <w:p w:rsidR="00476EE5" w:rsidRDefault="00476EE5" w:rsidP="003D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29EA">
              <w:rPr>
                <w:rFonts w:ascii="Times New Roman" w:hAnsi="Times New Roman" w:cs="Times New Roman"/>
                <w:sz w:val="24"/>
                <w:szCs w:val="24"/>
              </w:rPr>
              <w:t xml:space="preserve">zabrani ponuđač dužan da prije  potpisivanja ugovora preda naručiocu Garanciju za dobro 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ugovora u iznosu od 10</w:t>
            </w:r>
            <w:r w:rsidRPr="00DF29EA">
              <w:rPr>
                <w:rFonts w:ascii="Times New Roman" w:hAnsi="Times New Roman" w:cs="Times New Roman"/>
                <w:sz w:val="24"/>
                <w:szCs w:val="24"/>
              </w:rPr>
              <w:t>% od ugovorene vrijednosti javne nabavke.</w:t>
            </w:r>
          </w:p>
          <w:p w:rsidR="00476EE5" w:rsidRDefault="00476EE5" w:rsidP="003D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5" w:rsidRPr="001859B9" w:rsidRDefault="00476EE5" w:rsidP="0018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B9">
              <w:rPr>
                <w:rFonts w:ascii="Times New Roman" w:hAnsi="Times New Roman" w:cs="Times New Roman"/>
                <w:sz w:val="24"/>
                <w:szCs w:val="24"/>
              </w:rPr>
              <w:t>Maksimalni rok za završetak radova je 20 dana, od dana uvođenja u posao.</w:t>
            </w:r>
          </w:p>
          <w:p w:rsidR="00476EE5" w:rsidRPr="001F5073" w:rsidRDefault="00476EE5" w:rsidP="0069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EE5" w:rsidRPr="00192A36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192A36" w:rsidRDefault="00476EE5" w:rsidP="001E156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E5" w:rsidRPr="00192A36" w:rsidRDefault="00476EE5" w:rsidP="001E1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6EE5" w:rsidRPr="00192A36" w:rsidSect="00F810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31AE3"/>
    <w:multiLevelType w:val="hybridMultilevel"/>
    <w:tmpl w:val="3F44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56D"/>
    <w:rsid w:val="00022F82"/>
    <w:rsid w:val="0006766C"/>
    <w:rsid w:val="00091E13"/>
    <w:rsid w:val="000D0448"/>
    <w:rsid w:val="000E5E8C"/>
    <w:rsid w:val="001310AD"/>
    <w:rsid w:val="00141230"/>
    <w:rsid w:val="001432E7"/>
    <w:rsid w:val="00144248"/>
    <w:rsid w:val="00151298"/>
    <w:rsid w:val="001728B8"/>
    <w:rsid w:val="00174EDA"/>
    <w:rsid w:val="001859B9"/>
    <w:rsid w:val="00192A36"/>
    <w:rsid w:val="001A36EE"/>
    <w:rsid w:val="001A7A33"/>
    <w:rsid w:val="001C7C43"/>
    <w:rsid w:val="001E156D"/>
    <w:rsid w:val="001E7862"/>
    <w:rsid w:val="001F5073"/>
    <w:rsid w:val="002232BE"/>
    <w:rsid w:val="00267C62"/>
    <w:rsid w:val="0027736E"/>
    <w:rsid w:val="00286766"/>
    <w:rsid w:val="002A7F6A"/>
    <w:rsid w:val="002C099F"/>
    <w:rsid w:val="002C6836"/>
    <w:rsid w:val="002D04E1"/>
    <w:rsid w:val="00303684"/>
    <w:rsid w:val="0035430E"/>
    <w:rsid w:val="00384FF2"/>
    <w:rsid w:val="003A55EC"/>
    <w:rsid w:val="003D5DB3"/>
    <w:rsid w:val="003E0F9E"/>
    <w:rsid w:val="003F45E5"/>
    <w:rsid w:val="003F7FF0"/>
    <w:rsid w:val="0040137B"/>
    <w:rsid w:val="00410A76"/>
    <w:rsid w:val="00461BB9"/>
    <w:rsid w:val="00476EE5"/>
    <w:rsid w:val="004A6894"/>
    <w:rsid w:val="004C561F"/>
    <w:rsid w:val="004C5BBD"/>
    <w:rsid w:val="005709DE"/>
    <w:rsid w:val="00574557"/>
    <w:rsid w:val="00592DA4"/>
    <w:rsid w:val="005A782E"/>
    <w:rsid w:val="005C3E1E"/>
    <w:rsid w:val="005D30E3"/>
    <w:rsid w:val="005E5490"/>
    <w:rsid w:val="006570F9"/>
    <w:rsid w:val="00682A82"/>
    <w:rsid w:val="006869B2"/>
    <w:rsid w:val="00693BB6"/>
    <w:rsid w:val="0069571E"/>
    <w:rsid w:val="006B6764"/>
    <w:rsid w:val="006D3AD6"/>
    <w:rsid w:val="006F09E4"/>
    <w:rsid w:val="0071277D"/>
    <w:rsid w:val="00746911"/>
    <w:rsid w:val="00752AEC"/>
    <w:rsid w:val="007637B9"/>
    <w:rsid w:val="00765A59"/>
    <w:rsid w:val="007756AD"/>
    <w:rsid w:val="00786CF3"/>
    <w:rsid w:val="007E79C2"/>
    <w:rsid w:val="00802194"/>
    <w:rsid w:val="00831636"/>
    <w:rsid w:val="00835282"/>
    <w:rsid w:val="0084047C"/>
    <w:rsid w:val="00861DED"/>
    <w:rsid w:val="00872A3E"/>
    <w:rsid w:val="008B1930"/>
    <w:rsid w:val="008B2B3C"/>
    <w:rsid w:val="008F5FE7"/>
    <w:rsid w:val="0090454C"/>
    <w:rsid w:val="00905879"/>
    <w:rsid w:val="009158F3"/>
    <w:rsid w:val="0091731B"/>
    <w:rsid w:val="00962DC3"/>
    <w:rsid w:val="0099016A"/>
    <w:rsid w:val="009C2338"/>
    <w:rsid w:val="009C77DF"/>
    <w:rsid w:val="00A37DBE"/>
    <w:rsid w:val="00A40577"/>
    <w:rsid w:val="00A54702"/>
    <w:rsid w:val="00A86D53"/>
    <w:rsid w:val="00A9424E"/>
    <w:rsid w:val="00AB4DC8"/>
    <w:rsid w:val="00AB73AA"/>
    <w:rsid w:val="00AC0D5B"/>
    <w:rsid w:val="00AC6499"/>
    <w:rsid w:val="00AD0F3E"/>
    <w:rsid w:val="00AF10A1"/>
    <w:rsid w:val="00B0331F"/>
    <w:rsid w:val="00B22859"/>
    <w:rsid w:val="00B46618"/>
    <w:rsid w:val="00BB71C4"/>
    <w:rsid w:val="00BF78EF"/>
    <w:rsid w:val="00C040FE"/>
    <w:rsid w:val="00C40274"/>
    <w:rsid w:val="00C47B28"/>
    <w:rsid w:val="00C6090A"/>
    <w:rsid w:val="00C612FD"/>
    <w:rsid w:val="00C72CE4"/>
    <w:rsid w:val="00C82B2F"/>
    <w:rsid w:val="00C84353"/>
    <w:rsid w:val="00CA31A5"/>
    <w:rsid w:val="00CB00A2"/>
    <w:rsid w:val="00CC2F38"/>
    <w:rsid w:val="00CC5C21"/>
    <w:rsid w:val="00CD309D"/>
    <w:rsid w:val="00CE3029"/>
    <w:rsid w:val="00D04BDB"/>
    <w:rsid w:val="00D20998"/>
    <w:rsid w:val="00DB6DDC"/>
    <w:rsid w:val="00DC4835"/>
    <w:rsid w:val="00DF29EA"/>
    <w:rsid w:val="00E15447"/>
    <w:rsid w:val="00E25E0E"/>
    <w:rsid w:val="00E354A5"/>
    <w:rsid w:val="00E46222"/>
    <w:rsid w:val="00E5484C"/>
    <w:rsid w:val="00E61E3F"/>
    <w:rsid w:val="00E717B3"/>
    <w:rsid w:val="00F00444"/>
    <w:rsid w:val="00F07B03"/>
    <w:rsid w:val="00F12BBD"/>
    <w:rsid w:val="00F3578D"/>
    <w:rsid w:val="00F42DE6"/>
    <w:rsid w:val="00F8100C"/>
    <w:rsid w:val="00F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6D"/>
    <w:pPr>
      <w:spacing w:after="200" w:line="276" w:lineRule="auto"/>
    </w:pPr>
    <w:rPr>
      <w:rFonts w:eastAsia="PMingLiU" w:cs="Calibri"/>
      <w:lang w:eastAsia="zh-TW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1E156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i/>
      <w:iCs/>
      <w:sz w:val="20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1E3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locked/>
    <w:rsid w:val="001E156D"/>
    <w:rPr>
      <w:rFonts w:ascii="Times New Roman" w:eastAsia="PMingLiU" w:hAnsi="Times New Roman" w:cs="Times New Roman"/>
      <w:b/>
      <w:bCs/>
      <w:i/>
      <w:i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61E3F"/>
    <w:rPr>
      <w:rFonts w:ascii="Cambria" w:hAnsi="Cambria" w:cs="Cambria"/>
      <w:b/>
      <w:bCs/>
      <w:color w:val="4F81BD"/>
      <w:sz w:val="26"/>
      <w:szCs w:val="26"/>
      <w:lang w:eastAsia="zh-TW"/>
    </w:rPr>
  </w:style>
  <w:style w:type="paragraph" w:styleId="ListParagraph">
    <w:name w:val="List Paragraph"/>
    <w:basedOn w:val="Normal"/>
    <w:uiPriority w:val="99"/>
    <w:qFormat/>
    <w:rsid w:val="001E156D"/>
    <w:pPr>
      <w:ind w:left="720"/>
    </w:pPr>
    <w:rPr>
      <w:lang w:val="sr-Latn-CS" w:eastAsia="en-US"/>
    </w:rPr>
  </w:style>
  <w:style w:type="paragraph" w:customStyle="1" w:styleId="t-98-2">
    <w:name w:val="t-98-2"/>
    <w:basedOn w:val="Normal"/>
    <w:uiPriority w:val="99"/>
    <w:rsid w:val="001E15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tekst">
    <w:name w:val="1tekst"/>
    <w:basedOn w:val="Normal"/>
    <w:uiPriority w:val="99"/>
    <w:rsid w:val="001E156D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56D"/>
    <w:rPr>
      <w:rFonts w:ascii="Tahoma" w:eastAsia="PMingLiU" w:hAnsi="Tahoma" w:cs="Tahoma"/>
      <w:sz w:val="16"/>
      <w:szCs w:val="16"/>
      <w:lang w:eastAsia="zh-TW"/>
    </w:rPr>
  </w:style>
  <w:style w:type="paragraph" w:customStyle="1" w:styleId="CharChar2CharChar">
    <w:name w:val="Char Char2 Char Char"/>
    <w:basedOn w:val="Normal"/>
    <w:uiPriority w:val="99"/>
    <w:rsid w:val="003D5DB3"/>
    <w:pPr>
      <w:spacing w:after="160" w:line="240" w:lineRule="exact"/>
    </w:pPr>
    <w:rPr>
      <w:rFonts w:ascii="Tahoma" w:eastAsia="Calibri" w:hAnsi="Tahoma" w:cs="Tahoma"/>
      <w:sz w:val="20"/>
      <w:szCs w:val="20"/>
      <w:lang w:eastAsia="en-US"/>
    </w:rPr>
  </w:style>
  <w:style w:type="paragraph" w:styleId="BodyText">
    <w:name w:val="Body Text"/>
    <w:basedOn w:val="Normal"/>
    <w:link w:val="BodyTextChar1"/>
    <w:uiPriority w:val="99"/>
    <w:rsid w:val="00F12BBD"/>
    <w:pPr>
      <w:spacing w:after="0" w:line="240" w:lineRule="auto"/>
      <w:jc w:val="both"/>
    </w:pPr>
    <w:rPr>
      <w:rFonts w:ascii="Times New Roman YU" w:eastAsia="Calibri" w:hAnsi="Times New Roman YU" w:cs="Times New Roman YU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0577"/>
    <w:rPr>
      <w:rFonts w:eastAsia="PMingLiU"/>
      <w:lang w:val="en-US" w:eastAsia="zh-TW"/>
    </w:rPr>
  </w:style>
  <w:style w:type="table" w:styleId="TableGrid">
    <w:name w:val="Table Grid"/>
    <w:basedOn w:val="TableNormal"/>
    <w:uiPriority w:val="99"/>
    <w:locked/>
    <w:rsid w:val="00F12B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Normal"/>
    <w:uiPriority w:val="99"/>
    <w:rsid w:val="00F12BBD"/>
    <w:pPr>
      <w:spacing w:after="160" w:line="240" w:lineRule="exact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12BBD"/>
    <w:rPr>
      <w:rFonts w:ascii="Times New Roman YU" w:hAnsi="Times New Roman YU" w:cs="Times New Roman YU"/>
      <w:sz w:val="24"/>
      <w:szCs w:val="24"/>
      <w:lang w:val="en-US" w:eastAsia="en-US"/>
    </w:rPr>
  </w:style>
  <w:style w:type="paragraph" w:customStyle="1" w:styleId="CharChar2CharCharCharChar">
    <w:name w:val="Char Char2 Char Char Char Char"/>
    <w:basedOn w:val="Normal"/>
    <w:uiPriority w:val="99"/>
    <w:rsid w:val="006D3AD6"/>
    <w:pPr>
      <w:spacing w:after="160" w:line="240" w:lineRule="exact"/>
    </w:pPr>
    <w:rPr>
      <w:rFonts w:ascii="Tahoma" w:eastAsia="Calibri" w:hAnsi="Tahoma" w:cs="Tahoma"/>
      <w:sz w:val="20"/>
      <w:szCs w:val="20"/>
      <w:lang w:eastAsia="en-US"/>
    </w:rPr>
  </w:style>
  <w:style w:type="paragraph" w:customStyle="1" w:styleId="CharCharCharChar">
    <w:name w:val="Char Char Char Char"/>
    <w:basedOn w:val="Normal"/>
    <w:uiPriority w:val="99"/>
    <w:rsid w:val="003F45E5"/>
    <w:pPr>
      <w:spacing w:after="160" w:line="240" w:lineRule="exact"/>
    </w:pPr>
    <w:rPr>
      <w:rFonts w:ascii="Tahoma" w:eastAsia="Calibri" w:hAnsi="Tahoma" w:cs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6</Pages>
  <Words>1395</Words>
  <Characters>7955</Characters>
  <Application>Microsoft Office Outlook</Application>
  <DocSecurity>0</DocSecurity>
  <Lines>0</Lines>
  <Paragraphs>0</Paragraphs>
  <ScaleCrop>false</ScaleCrop>
  <Company>djr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marija.sibalic</dc:creator>
  <cp:keywords/>
  <dc:description/>
  <cp:lastModifiedBy>dragana.rackovic</cp:lastModifiedBy>
  <cp:revision>49</cp:revision>
  <cp:lastPrinted>2013-01-31T12:02:00Z</cp:lastPrinted>
  <dcterms:created xsi:type="dcterms:W3CDTF">2012-07-24T13:38:00Z</dcterms:created>
  <dcterms:modified xsi:type="dcterms:W3CDTF">2013-01-31T12:03:00Z</dcterms:modified>
</cp:coreProperties>
</file>