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771486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771486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008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/2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-</w:t>
      </w:r>
      <w:r w:rsidR="00AA3C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4855</w:t>
      </w:r>
    </w:p>
    <w:p w:rsidR="00A66276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Podgorica,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30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.202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 godine</w:t>
      </w: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771486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:</w:t>
      </w: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AA3C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SNP- CIVIS </w:t>
      </w:r>
    </w:p>
    <w:p w:rsidR="00810A2C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77148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</w:t>
      </w:r>
      <w:r w:rsidR="009A14C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đa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AA3C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Slađana Kaluđerović </w:t>
      </w:r>
    </w:p>
    <w:p w:rsidR="00AA3C02" w:rsidRPr="00771486" w:rsidRDefault="00AA3C02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771486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AA3C02" w:rsidRPr="00771486" w:rsidRDefault="00AA3C02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3C17AA" w:rsidRPr="00771486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4110FE" w:rsidRDefault="00810A2C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proofErr w:type="spellStart"/>
      <w:r>
        <w:rPr>
          <w:rFonts w:ascii="Cambria" w:eastAsia="Times New Roman" w:hAnsi="Cambria" w:cs="Times New Roman"/>
          <w:kern w:val="0"/>
          <w:sz w:val="30"/>
          <w:szCs w:val="30"/>
        </w:rPr>
        <w:t>Poštovani</w:t>
      </w:r>
      <w:proofErr w:type="spellEnd"/>
      <w:r>
        <w:rPr>
          <w:rFonts w:ascii="Cambria" w:eastAsia="Times New Roman" w:hAnsi="Cambria" w:cs="Times New Roman"/>
          <w:kern w:val="0"/>
          <w:sz w:val="30"/>
          <w:szCs w:val="30"/>
        </w:rPr>
        <w:t xml:space="preserve"> </w:t>
      </w:r>
      <w:proofErr w:type="spellStart"/>
      <w:r>
        <w:rPr>
          <w:rFonts w:ascii="Cambria" w:eastAsia="Times New Roman" w:hAnsi="Cambria" w:cs="Times New Roman"/>
          <w:kern w:val="0"/>
          <w:sz w:val="30"/>
          <w:szCs w:val="30"/>
        </w:rPr>
        <w:t>predsjedniče</w:t>
      </w:r>
      <w:proofErr w:type="spellEnd"/>
      <w:r>
        <w:rPr>
          <w:rFonts w:ascii="Cambria" w:eastAsia="Times New Roman" w:hAnsi="Cambria" w:cs="Times New Roman"/>
          <w:kern w:val="0"/>
          <w:sz w:val="30"/>
          <w:szCs w:val="30"/>
        </w:rPr>
        <w:t xml:space="preserve"> Vlade, </w:t>
      </w:r>
    </w:p>
    <w:p w:rsidR="00810A2C" w:rsidRPr="00771486" w:rsidRDefault="00810A2C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AA3C02" w:rsidRPr="00AA3C02" w:rsidRDefault="00AA3C02" w:rsidP="00AA3C02">
      <w:pPr>
        <w:pStyle w:val="BodyA"/>
        <w:spacing w:before="120" w:after="120" w:line="264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poslednje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vrijeme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javnosti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sve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češće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ukazuje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pitanje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sve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većeg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broja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državljana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Turske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se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poslednje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vrijeme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doseljavaju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Goru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naročito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primorskim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opštinama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Podgorici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AA3C02" w:rsidRPr="00AA3C02" w:rsidRDefault="00AA3C02" w:rsidP="00AA3C02">
      <w:pPr>
        <w:pStyle w:val="BodyA"/>
        <w:spacing w:before="120" w:after="120" w:line="264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Takav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trend,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iako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formalno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okviru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zakona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otvara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ozbiljna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pitanja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demografskoj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ekonomskoj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ali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bezbjednosnoj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dimenziji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tog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procesa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AA3C02" w:rsidRPr="00AA3C02" w:rsidRDefault="00AA3C02" w:rsidP="00AA3C02">
      <w:pPr>
        <w:pStyle w:val="BodyA"/>
        <w:spacing w:before="120" w:after="120" w:line="264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Zato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postavljam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sledeće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poslaničko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pitanje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: da li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Vlada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Crne Gore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precizne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podatke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obimu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karakteru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doseljavanja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državljana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Turske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da li se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vrši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analiza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mogućih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posljedica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po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demografsku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strukturu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tržište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nekretnina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li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će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Vlada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preduzeti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mjere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bi se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obezbijedila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puna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kontrola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zaštita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nacionalnog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interesa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Crne Gore,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uz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poštovanje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međunarodnih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obaveza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evropskih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standarda</w:t>
      </w:r>
      <w:proofErr w:type="spellEnd"/>
      <w:r w:rsidR="005C114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:rsidR="00AA3C02" w:rsidRPr="00AA3C02" w:rsidRDefault="00AA3C02" w:rsidP="00AA3C02">
      <w:pPr>
        <w:pStyle w:val="BodyA"/>
        <w:spacing w:before="120" w:after="120" w:line="264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Gora mora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imati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jasne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podatke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odgovornu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politiku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dugoročnu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strategiju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kada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riječ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doseljavanju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stranih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državljana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To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nije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pitanje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dnevne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politike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To je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pitanje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nacionalnog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interesa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budućnosti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naše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zemlje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233D09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A3C02" w:rsidRDefault="00AA3C02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A3C02" w:rsidRPr="00771486" w:rsidRDefault="00AA3C02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Default="00046C86" w:rsidP="009A14C0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lastRenderedPageBreak/>
        <w:t>ODGOVOR</w:t>
      </w:r>
    </w:p>
    <w:p w:rsidR="00AA3C02" w:rsidRPr="009A14C0" w:rsidRDefault="00AA3C02" w:rsidP="009A14C0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AA3C02" w:rsidRPr="00AA3C02" w:rsidRDefault="00AA3C02" w:rsidP="00AA3C02">
      <w:pPr>
        <w:pStyle w:val="BodyA"/>
        <w:spacing w:before="120" w:after="0" w:line="264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Uvažena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poslanice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Kaluđerović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,</w:t>
      </w:r>
    </w:p>
    <w:p w:rsidR="00AA3C02" w:rsidRPr="00AA3C02" w:rsidRDefault="00AA3C02" w:rsidP="00AA3C02">
      <w:pPr>
        <w:pStyle w:val="BodyA"/>
        <w:spacing w:before="120" w:after="0" w:line="264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</w:p>
    <w:p w:rsidR="00AA3C02" w:rsidRPr="00AA3C02" w:rsidRDefault="00FC615A" w:rsidP="00AA3C02">
      <w:pPr>
        <w:pStyle w:val="BodyA"/>
        <w:spacing w:after="160" w:line="256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majući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vidu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se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poslednjih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dana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pojavilo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sijaset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dezinformacija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broju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turskih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državljana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imaju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prijavljen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boravak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Crnoj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Gori</w:t>
      </w:r>
      <w:r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samom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početku</w:t>
      </w:r>
      <w:proofErr w:type="spellEnd"/>
      <w:r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</w:t>
      </w:r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bude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jasno</w:t>
      </w:r>
      <w:proofErr w:type="spellEnd"/>
      <w:r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u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Crnoj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Gori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nema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stotinu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hiljada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turskih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državljana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niti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ih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ikada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bilo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Prema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preciznim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evidencijama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Ministarstva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unutrašnjih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poslova</w:t>
      </w:r>
      <w:proofErr w:type="spellEnd"/>
      <w:r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bookmarkStart w:id="0" w:name="_GoBack"/>
      <w:bookmarkEnd w:id="0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u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Crnoj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Gori 13.506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državljana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Turske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ima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odobren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privremeni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stalni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boravak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shodno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Zakonu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strancima</w:t>
      </w:r>
      <w:proofErr w:type="spellEnd"/>
      <w:r w:rsidR="00AA3C02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:rsidR="00AA3C02" w:rsidRPr="00AA3C02" w:rsidRDefault="00AA3C02" w:rsidP="00AA3C02">
      <w:pPr>
        <w:pStyle w:val="BodyA"/>
        <w:spacing w:after="160" w:line="256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Dakle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precizni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podaci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postoje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isti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uredno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evidentiraju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bazama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Ministarstva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unutrašnjih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poslova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shodno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ispunjenosti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uslova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ostvarivanje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ovih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prava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AA3C02" w:rsidRPr="00AA3C02" w:rsidRDefault="00AA3C02" w:rsidP="00AA3C02">
      <w:pPr>
        <w:pStyle w:val="BodyA"/>
        <w:spacing w:after="160" w:line="256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Razumijem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poslanice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Kaluđerović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ovo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pitate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kontekstu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nedavnih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bezbjednosnih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incidenata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rezultirali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odlukom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Vlade 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privremenoj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obustavi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bezviznog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režima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državljane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Republike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Turske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Ova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odluka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pak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nikako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nije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mjera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odmazde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već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jasnog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institucionalnog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odgovora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nepoštovanje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zakona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Crne Gore. Kao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takva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ovo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jasna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poruka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svi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bez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izuzetka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privilegija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moraju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poštovati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javni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red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mir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:rsidR="00AA3C02" w:rsidRPr="00AA3C02" w:rsidRDefault="00AA3C02" w:rsidP="00AA3C02">
      <w:pPr>
        <w:pStyle w:val="BodyA"/>
        <w:spacing w:after="160" w:line="256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Kada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to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kažem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mislim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one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sebi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potencijalno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daju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pravo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uzimaju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pravdu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svoje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ruke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posebno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one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posljednjih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dana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šire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lažne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vijesti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izazivaju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paniku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kod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građana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:rsidR="00AA3C02" w:rsidRPr="00AA3C02" w:rsidRDefault="00AA3C02" w:rsidP="00AA3C02">
      <w:pPr>
        <w:pStyle w:val="BodyA"/>
        <w:spacing w:after="160" w:line="256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Agenda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ovih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događaja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jasna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Vama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meni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No,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budite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uvjereni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će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djelovanja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imaju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cilj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destabilizuju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prilike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zemlji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skrenu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nas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puta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ostvarivanja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ciljeva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dobiti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odlučan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odgovor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AA3C02" w:rsidRPr="00AA3C02" w:rsidRDefault="00AA3C02" w:rsidP="00AA3C02">
      <w:pPr>
        <w:pStyle w:val="BodyA"/>
        <w:spacing w:after="160" w:line="256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Zakone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pravdu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Crnoj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Gori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sprovodiće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jedino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institucije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AA3C02" w:rsidRPr="00AA3C02" w:rsidRDefault="00AA3C02" w:rsidP="00AA3C02">
      <w:pPr>
        <w:pStyle w:val="BodyA"/>
        <w:spacing w:after="160" w:line="256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Poštovana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poslanice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</w:p>
    <w:p w:rsidR="00AA3C02" w:rsidRPr="00AA3C02" w:rsidRDefault="00AA3C02" w:rsidP="00AA3C02">
      <w:pPr>
        <w:pStyle w:val="BodyA"/>
        <w:spacing w:after="160" w:line="256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Jasna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mi je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Vaša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zabrinutost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uticaj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priliva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stranaca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demografsku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strukturu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No,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Zakon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crnogorskom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državljanstvu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u tom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smislu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vrlo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jasan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pogledu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propisanih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uslova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Prema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podacima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raspolažem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od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početka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njegove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primjene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odnosno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od 05.05.2008.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lastRenderedPageBreak/>
        <w:t>godine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danas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(28.10.2025.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godine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)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ukupno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90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državljana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Republike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Turske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steklo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crnogorsko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državljanstvo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AA3C02" w:rsidRPr="00AA3C02" w:rsidRDefault="00AA3C02" w:rsidP="00AA3C02">
      <w:pPr>
        <w:pStyle w:val="BodyA"/>
        <w:spacing w:after="160" w:line="252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odnosu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drugi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dio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Vašeg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pitanja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odnosi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zaštitu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nacionalnih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interesa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Crne Gore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kontekstu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migracija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podsjećam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Vas da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upravo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ovaj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Dom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očekuje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rasprava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tekstu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Zakona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izmjenama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dopunama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Zakona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strancima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Vlada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1.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septembra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o.g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dostavila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Skupštini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AA3C02" w:rsidRPr="00AA3C02" w:rsidRDefault="00AA3C02" w:rsidP="00AA3C02">
      <w:pPr>
        <w:pStyle w:val="BodyA"/>
        <w:spacing w:after="160" w:line="252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Osnovni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razlozi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izmjene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ovog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zakona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prepoznati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okviru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pregovaračkih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poglavlja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24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2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ciljem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usaglašavanja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ovih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oblasti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standardima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Evropske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unije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Kao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buduća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članica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Gora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će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usvajanjem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ovog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zakonskog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rješenja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izvršiti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reformu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oblasti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migracija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od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suštinskog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značaja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daljem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putu Crne Gore ka EU,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kroz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punu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implementaciju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preporuka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iz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izvještaja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Evropske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komisije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AA3C02" w:rsidRPr="00AA3C02" w:rsidRDefault="00AA3C02" w:rsidP="00AA3C02">
      <w:pPr>
        <w:pStyle w:val="BodyA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Pozivam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Vas da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kroz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učešće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raspravi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date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puni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doprinos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što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boljem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uređivanju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ove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važne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oblasti</w:t>
      </w:r>
      <w:proofErr w:type="spellEnd"/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5252AF" w:rsidRPr="00AA3C02" w:rsidRDefault="00163790" w:rsidP="009A14C0">
      <w:pPr>
        <w:pStyle w:val="Body"/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S </w:t>
      </w:r>
      <w:proofErr w:type="spellStart"/>
      <w:r w:rsidR="00BB2211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poštovanjem</w:t>
      </w:r>
      <w:proofErr w:type="spellEnd"/>
      <w:r w:rsidR="00810A2C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,</w:t>
      </w:r>
    </w:p>
    <w:p w:rsidR="00F536EC" w:rsidRPr="00771486" w:rsidRDefault="00046C86" w:rsidP="00163790">
      <w:pPr>
        <w:spacing w:before="0" w:after="0" w:line="240" w:lineRule="auto"/>
        <w:ind w:left="5672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  <w:r w:rsidR="00997D67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VLADE</w:t>
      </w:r>
    </w:p>
    <w:p w:rsidR="00F536EC" w:rsidRPr="00771486" w:rsidRDefault="00046C86" w:rsidP="00163790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</w:t>
      </w:r>
      <w:r w:rsidR="006673E9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4110FE" w:rsidRPr="00771486" w:rsidRDefault="004110FE" w:rsidP="004110FE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771486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BB9" w:rsidRDefault="00DC6BB9">
      <w:pPr>
        <w:spacing w:line="240" w:lineRule="auto"/>
      </w:pPr>
      <w:r>
        <w:separator/>
      </w:r>
    </w:p>
  </w:endnote>
  <w:endnote w:type="continuationSeparator" w:id="0">
    <w:p w:rsidR="00DC6BB9" w:rsidRDefault="00DC6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BB9" w:rsidRDefault="00DC6BB9">
      <w:pPr>
        <w:spacing w:before="0" w:after="0"/>
      </w:pPr>
      <w:r>
        <w:separator/>
      </w:r>
    </w:p>
  </w:footnote>
  <w:footnote w:type="continuationSeparator" w:id="0">
    <w:p w:rsidR="00DC6BB9" w:rsidRDefault="00DC6B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F536EC" w:rsidRDefault="00046C86">
    <w:pPr>
      <w:pStyle w:val="Title"/>
      <w:spacing w:after="0"/>
    </w:pPr>
    <w:proofErr w:type="spellStart"/>
    <w:r>
      <w:t>Vlada</w:t>
    </w:r>
    <w:proofErr w:type="spellEnd"/>
    <w:r>
      <w:t xml:space="preserve">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F0D00"/>
    <w:multiLevelType w:val="hybridMultilevel"/>
    <w:tmpl w:val="EC423D82"/>
    <w:lvl w:ilvl="0" w:tplc="EC24E51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A6172"/>
    <w:multiLevelType w:val="hybridMultilevel"/>
    <w:tmpl w:val="2BB04242"/>
    <w:lvl w:ilvl="0" w:tplc="5FB06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57B44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3790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3852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265D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C4719"/>
    <w:rsid w:val="003D409B"/>
    <w:rsid w:val="003D7C6C"/>
    <w:rsid w:val="003E157A"/>
    <w:rsid w:val="003E211A"/>
    <w:rsid w:val="003E5335"/>
    <w:rsid w:val="003E5E34"/>
    <w:rsid w:val="003F1754"/>
    <w:rsid w:val="003F416A"/>
    <w:rsid w:val="004044E0"/>
    <w:rsid w:val="00405BF5"/>
    <w:rsid w:val="004110FE"/>
    <w:rsid w:val="004112D5"/>
    <w:rsid w:val="00424835"/>
    <w:rsid w:val="00424E26"/>
    <w:rsid w:val="00432996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D772B"/>
    <w:rsid w:val="004E2500"/>
    <w:rsid w:val="004E3DA7"/>
    <w:rsid w:val="004F24B0"/>
    <w:rsid w:val="00501124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755C1"/>
    <w:rsid w:val="005878EC"/>
    <w:rsid w:val="00594579"/>
    <w:rsid w:val="005955EE"/>
    <w:rsid w:val="005A1F18"/>
    <w:rsid w:val="005A4E7E"/>
    <w:rsid w:val="005B44BF"/>
    <w:rsid w:val="005C1140"/>
    <w:rsid w:val="005C363D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17819"/>
    <w:rsid w:val="00722040"/>
    <w:rsid w:val="0073561A"/>
    <w:rsid w:val="007461A7"/>
    <w:rsid w:val="00760EB4"/>
    <w:rsid w:val="0077100B"/>
    <w:rsid w:val="00771486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0A2C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97D67"/>
    <w:rsid w:val="009A14C0"/>
    <w:rsid w:val="009A2F73"/>
    <w:rsid w:val="009A748D"/>
    <w:rsid w:val="009A7A36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48F3"/>
    <w:rsid w:val="00A229CD"/>
    <w:rsid w:val="00A30616"/>
    <w:rsid w:val="00A341F7"/>
    <w:rsid w:val="00A362F9"/>
    <w:rsid w:val="00A47C5F"/>
    <w:rsid w:val="00A50B34"/>
    <w:rsid w:val="00A53465"/>
    <w:rsid w:val="00A55DC5"/>
    <w:rsid w:val="00A6505B"/>
    <w:rsid w:val="00A66276"/>
    <w:rsid w:val="00A77847"/>
    <w:rsid w:val="00A84545"/>
    <w:rsid w:val="00AA3C02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2D00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95E8A"/>
    <w:rsid w:val="00BA50BD"/>
    <w:rsid w:val="00BB2154"/>
    <w:rsid w:val="00BB2211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0670"/>
    <w:rsid w:val="00C932ED"/>
    <w:rsid w:val="00C95C6D"/>
    <w:rsid w:val="00C9767B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2EF0"/>
    <w:rsid w:val="00DC5DF1"/>
    <w:rsid w:val="00DC6BB9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36221"/>
    <w:rsid w:val="00E462E1"/>
    <w:rsid w:val="00E508B3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D6C1F"/>
    <w:rsid w:val="00EE2780"/>
    <w:rsid w:val="00EF7A55"/>
    <w:rsid w:val="00F000CF"/>
    <w:rsid w:val="00F0074B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552C"/>
    <w:rsid w:val="00F323F6"/>
    <w:rsid w:val="00F32AE7"/>
    <w:rsid w:val="00F375B5"/>
    <w:rsid w:val="00F51D8B"/>
    <w:rsid w:val="00F536EC"/>
    <w:rsid w:val="00F55038"/>
    <w:rsid w:val="00F57AF3"/>
    <w:rsid w:val="00F63FBA"/>
    <w:rsid w:val="00F74E63"/>
    <w:rsid w:val="00F80023"/>
    <w:rsid w:val="00F825AC"/>
    <w:rsid w:val="00F90480"/>
    <w:rsid w:val="00FA3CC6"/>
    <w:rsid w:val="00FC615A"/>
    <w:rsid w:val="00FD6D51"/>
    <w:rsid w:val="00FD7192"/>
    <w:rsid w:val="00FE021B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5851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Tijelo">
    <w:name w:val="Tijelo"/>
    <w:rsid w:val="004110F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B02D00"/>
    <w:rPr>
      <w:b/>
      <w:bCs/>
    </w:rPr>
  </w:style>
  <w:style w:type="paragraph" w:customStyle="1" w:styleId="Body">
    <w:name w:val="Body"/>
    <w:rsid w:val="00810A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AA3C0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Mihaljevic</cp:lastModifiedBy>
  <cp:revision>16</cp:revision>
  <cp:lastPrinted>2025-10-29T11:02:00Z</cp:lastPrinted>
  <dcterms:created xsi:type="dcterms:W3CDTF">2024-07-19T07:07:00Z</dcterms:created>
  <dcterms:modified xsi:type="dcterms:W3CDTF">2025-10-30T08:42:00Z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