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71D" w:rsidRDefault="00A9171D" w:rsidP="00D00F3A">
      <w:pPr>
        <w:shd w:val="clear" w:color="auto" w:fill="FFFFFF"/>
        <w:rPr>
          <w:rFonts w:ascii="Arial" w:hAnsi="Arial" w:cs="Arial"/>
          <w:i/>
          <w:iCs/>
          <w:color w:val="1F497D"/>
          <w:sz w:val="21"/>
          <w:szCs w:val="21"/>
        </w:rPr>
      </w:pPr>
      <w:r>
        <w:rPr>
          <w:noProof/>
        </w:rPr>
        <w:drawing>
          <wp:anchor distT="0" distB="0" distL="114300" distR="114300" simplePos="0" relativeHeight="251657216" behindDoc="0" locked="0" layoutInCell="1" allowOverlap="1">
            <wp:simplePos x="0" y="0"/>
            <wp:positionH relativeFrom="column">
              <wp:posOffset>-38100</wp:posOffset>
            </wp:positionH>
            <wp:positionV relativeFrom="paragraph">
              <wp:posOffset>-47625</wp:posOffset>
            </wp:positionV>
            <wp:extent cx="1200150" cy="1371600"/>
            <wp:effectExtent l="19050" t="0" r="0" b="0"/>
            <wp:wrapSquare wrapText="right"/>
            <wp:docPr id="2" name="Pictur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
                    <pic:cNvPicPr>
                      <a:picLocks noChangeAspect="1" noChangeArrowheads="1"/>
                    </pic:cNvPicPr>
                  </pic:nvPicPr>
                  <pic:blipFill>
                    <a:blip r:embed="rId5"/>
                    <a:srcRect/>
                    <a:stretch>
                      <a:fillRect/>
                    </a:stretch>
                  </pic:blipFill>
                  <pic:spPr bwMode="auto">
                    <a:xfrm>
                      <a:off x="0" y="0"/>
                      <a:ext cx="1200150" cy="1371600"/>
                    </a:xfrm>
                    <a:prstGeom prst="rect">
                      <a:avLst/>
                    </a:prstGeom>
                    <a:noFill/>
                  </pic:spPr>
                </pic:pic>
              </a:graphicData>
            </a:graphic>
          </wp:anchor>
        </w:drawing>
      </w:r>
      <w:r w:rsidR="00775E2F">
        <w:pict>
          <v:shapetype id="_x0000_t202" coordsize="21600,21600" o:spt="202" path="m,l,21600r21600,l21600,xe">
            <v:stroke joinstyle="miter"/>
            <v:path gradientshapeok="t" o:connecttype="rect"/>
          </v:shapetype>
          <v:shape id="_x0000_s1027" type="#_x0000_t202" style="position:absolute;margin-left:32.25pt;margin-top:3.75pt;width:315pt;height:100.5pt;z-index:251658240;mso-position-horizontal-relative:text;mso-position-vertical-relative:text" stroked="f">
            <v:textbox style="mso-next-textbox:#_x0000_s1027">
              <w:txbxContent>
                <w:p w:rsidR="00A9171D" w:rsidRDefault="00A9171D" w:rsidP="00A9171D">
                  <w:pPr>
                    <w:spacing w:after="0" w:line="240" w:lineRule="auto"/>
                    <w:jc w:val="center"/>
                    <w:rPr>
                      <w:rFonts w:ascii="Arial" w:hAnsi="Arial" w:cs="Arial"/>
                      <w:b/>
                      <w:bCs/>
                      <w:sz w:val="24"/>
                      <w:szCs w:val="24"/>
                      <w:lang w:val="sl-SI"/>
                    </w:rPr>
                  </w:pPr>
                  <w:r>
                    <w:rPr>
                      <w:rFonts w:ascii="Arial" w:hAnsi="Arial" w:cs="Arial"/>
                      <w:b/>
                      <w:bCs/>
                      <w:sz w:val="24"/>
                      <w:szCs w:val="24"/>
                      <w:lang w:val="sl-SI"/>
                    </w:rPr>
                    <w:t>Crna Gora</w:t>
                  </w:r>
                </w:p>
                <w:p w:rsidR="00A9171D" w:rsidRDefault="00A9171D" w:rsidP="00A9171D">
                  <w:pPr>
                    <w:spacing w:after="0" w:line="240" w:lineRule="auto"/>
                    <w:jc w:val="center"/>
                    <w:rPr>
                      <w:rFonts w:ascii="Arial" w:hAnsi="Arial" w:cs="Arial"/>
                      <w:b/>
                      <w:bCs/>
                      <w:sz w:val="24"/>
                      <w:szCs w:val="24"/>
                      <w:lang w:val="sl-SI"/>
                    </w:rPr>
                  </w:pPr>
                  <w:r>
                    <w:rPr>
                      <w:rFonts w:ascii="Arial" w:hAnsi="Arial" w:cs="Arial"/>
                      <w:b/>
                      <w:bCs/>
                      <w:sz w:val="24"/>
                      <w:szCs w:val="24"/>
                      <w:lang w:val="sl-SI"/>
                    </w:rPr>
                    <w:t>Vlada Crne Gore</w:t>
                  </w:r>
                </w:p>
                <w:p w:rsidR="00A9171D" w:rsidRDefault="00A9171D" w:rsidP="00A9171D">
                  <w:pPr>
                    <w:spacing w:after="0" w:line="240" w:lineRule="auto"/>
                    <w:jc w:val="center"/>
                    <w:rPr>
                      <w:rFonts w:ascii="Arial" w:hAnsi="Arial" w:cs="Arial"/>
                      <w:b/>
                      <w:bCs/>
                      <w:sz w:val="24"/>
                      <w:szCs w:val="24"/>
                      <w:lang w:val="sl-SI"/>
                    </w:rPr>
                  </w:pPr>
                  <w:r>
                    <w:rPr>
                      <w:rFonts w:ascii="Arial" w:hAnsi="Arial" w:cs="Arial"/>
                      <w:b/>
                      <w:bCs/>
                      <w:sz w:val="24"/>
                      <w:szCs w:val="24"/>
                      <w:lang w:val="sl-SI"/>
                    </w:rPr>
                    <w:t>MINISTARSTVO UNUTRAŠNJIH POSLOVA</w:t>
                  </w:r>
                </w:p>
                <w:p w:rsidR="00A9171D" w:rsidRDefault="00A9171D" w:rsidP="00A9171D">
                  <w:pPr>
                    <w:spacing w:after="0"/>
                    <w:jc w:val="center"/>
                    <w:rPr>
                      <w:rFonts w:ascii="Arial" w:hAnsi="Arial" w:cs="Arial"/>
                      <w:b/>
                      <w:bCs/>
                      <w:color w:val="0000FF"/>
                      <w:sz w:val="16"/>
                      <w:szCs w:val="16"/>
                      <w:lang w:val="sl-SI"/>
                    </w:rPr>
                  </w:pPr>
                </w:p>
                <w:p w:rsidR="00A9171D" w:rsidRDefault="00A9171D" w:rsidP="00A9171D">
                  <w:pPr>
                    <w:jc w:val="center"/>
                    <w:rPr>
                      <w:rFonts w:ascii="Arial" w:hAnsi="Arial" w:cs="Arial"/>
                      <w:b/>
                      <w:bCs/>
                      <w:color w:val="0000FF"/>
                      <w:sz w:val="28"/>
                      <w:szCs w:val="28"/>
                      <w:lang w:val="sl-SI"/>
                    </w:rPr>
                  </w:pPr>
                  <w:r>
                    <w:rPr>
                      <w:rFonts w:ascii="Arial" w:hAnsi="Arial" w:cs="Arial"/>
                      <w:b/>
                      <w:bCs/>
                      <w:color w:val="0000FF"/>
                      <w:sz w:val="28"/>
                      <w:szCs w:val="28"/>
                      <w:lang w:val="sl-SI"/>
                    </w:rPr>
                    <w:t>Odjeljenje za unutrašnju kontrolu policije</w:t>
                  </w:r>
                </w:p>
                <w:p w:rsidR="00A9171D" w:rsidRDefault="00A9171D" w:rsidP="00A9171D">
                  <w:pPr>
                    <w:rPr>
                      <w:rFonts w:ascii="Tahoma" w:hAnsi="Tahoma" w:cs="Tahoma"/>
                      <w:b/>
                      <w:bCs/>
                      <w:i/>
                      <w:iCs/>
                      <w:sz w:val="24"/>
                      <w:szCs w:val="24"/>
                      <w:lang w:val="sl-SI"/>
                    </w:rPr>
                  </w:pPr>
                </w:p>
                <w:p w:rsidR="00A9171D" w:rsidRDefault="00A9171D" w:rsidP="00A9171D">
                  <w:pPr>
                    <w:jc w:val="center"/>
                    <w:rPr>
                      <w:sz w:val="20"/>
                      <w:szCs w:val="20"/>
                      <w:lang w:val="sl-SI"/>
                    </w:rPr>
                  </w:pPr>
                  <w:r>
                    <w:rPr>
                      <w:lang w:val="sl-SI"/>
                    </w:rPr>
                    <w:t xml:space="preserve">                                                             </w:t>
                  </w:r>
                </w:p>
              </w:txbxContent>
            </v:textbox>
            <w10:wrap side="left"/>
          </v:shape>
        </w:pict>
      </w:r>
      <w:r>
        <w:rPr>
          <w:rFonts w:ascii="Arial" w:hAnsi="Arial" w:cs="Arial"/>
          <w:i/>
          <w:iCs/>
          <w:color w:val="1F497D"/>
          <w:sz w:val="21"/>
          <w:szCs w:val="21"/>
        </w:rPr>
        <w:t xml:space="preserve">                                                                                                                                                                                                                                            </w:t>
      </w:r>
    </w:p>
    <w:p w:rsidR="00A9171D" w:rsidRDefault="00A9171D" w:rsidP="00A9171D">
      <w:pPr>
        <w:shd w:val="clear" w:color="auto" w:fill="FFFFFF"/>
        <w:rPr>
          <w:rFonts w:ascii="Arial" w:hAnsi="Arial" w:cs="Arial"/>
          <w:i/>
          <w:iCs/>
          <w:color w:val="1F497D"/>
          <w:sz w:val="21"/>
          <w:szCs w:val="21"/>
        </w:rPr>
      </w:pPr>
      <w:r>
        <w:rPr>
          <w:rFonts w:ascii="Arial" w:hAnsi="Arial" w:cs="Arial"/>
          <w:i/>
          <w:iCs/>
          <w:color w:val="1F497D"/>
          <w:sz w:val="21"/>
          <w:szCs w:val="21"/>
        </w:rPr>
        <w:t xml:space="preserve">    </w:t>
      </w:r>
    </w:p>
    <w:p w:rsidR="00A9171D" w:rsidRDefault="00A9171D" w:rsidP="00A9171D">
      <w:pPr>
        <w:shd w:val="clear" w:color="auto" w:fill="FFFFFF"/>
        <w:rPr>
          <w:rFonts w:ascii="Arial" w:hAnsi="Arial" w:cs="Arial"/>
          <w:i/>
          <w:iCs/>
          <w:color w:val="1F497D"/>
          <w:sz w:val="21"/>
          <w:szCs w:val="21"/>
        </w:rPr>
      </w:pPr>
    </w:p>
    <w:p w:rsidR="00A9171D" w:rsidRDefault="00A9171D" w:rsidP="00A9171D">
      <w:pPr>
        <w:shd w:val="clear" w:color="auto" w:fill="FFFFFF"/>
        <w:rPr>
          <w:rFonts w:ascii="Arial" w:hAnsi="Arial" w:cs="Arial"/>
          <w:i/>
          <w:iCs/>
          <w:color w:val="1F497D"/>
          <w:sz w:val="21"/>
          <w:szCs w:val="21"/>
        </w:rPr>
      </w:pPr>
      <w:r>
        <w:rPr>
          <w:rFonts w:ascii="Arial" w:hAnsi="Arial" w:cs="Arial"/>
          <w:i/>
          <w:iCs/>
          <w:color w:val="1F497D"/>
          <w:sz w:val="21"/>
          <w:szCs w:val="21"/>
        </w:rPr>
        <w:t xml:space="preserve"> </w:t>
      </w:r>
    </w:p>
    <w:p w:rsidR="00A9171D" w:rsidRDefault="00A9171D" w:rsidP="00A9171D">
      <w:pPr>
        <w:shd w:val="clear" w:color="auto" w:fill="FFFFFF"/>
        <w:rPr>
          <w:rFonts w:ascii="Arial" w:hAnsi="Arial" w:cs="Arial"/>
          <w:i/>
          <w:iCs/>
          <w:color w:val="1F497D"/>
          <w:sz w:val="21"/>
          <w:szCs w:val="21"/>
        </w:rPr>
      </w:pPr>
    </w:p>
    <w:p w:rsidR="00A9171D" w:rsidRDefault="00A9171D" w:rsidP="00A9171D">
      <w:pPr>
        <w:pStyle w:val="Title"/>
        <w:rPr>
          <w:rFonts w:ascii="Arial" w:hAnsi="Arial" w:cs="Arial"/>
          <w:sz w:val="21"/>
          <w:szCs w:val="21"/>
        </w:rPr>
      </w:pPr>
      <w:r>
        <w:rPr>
          <w:rFonts w:ascii="Arial" w:hAnsi="Arial" w:cs="Arial"/>
          <w:sz w:val="21"/>
          <w:szCs w:val="21"/>
        </w:rPr>
        <w:t>I Z V J E Š T A J</w:t>
      </w:r>
    </w:p>
    <w:p w:rsidR="00A9171D" w:rsidRDefault="00A9171D" w:rsidP="00A9171D">
      <w:pPr>
        <w:pStyle w:val="Title"/>
        <w:rPr>
          <w:rFonts w:ascii="Arial" w:hAnsi="Arial" w:cs="Arial"/>
          <w:sz w:val="21"/>
          <w:szCs w:val="21"/>
        </w:rPr>
      </w:pPr>
      <w:r>
        <w:rPr>
          <w:rFonts w:ascii="Arial" w:hAnsi="Arial" w:cs="Arial"/>
          <w:sz w:val="21"/>
          <w:szCs w:val="21"/>
        </w:rPr>
        <w:t>Odjeljenja za unutrašnju kontrolu policije</w:t>
      </w:r>
    </w:p>
    <w:p w:rsidR="00A9171D" w:rsidRDefault="00A9171D" w:rsidP="00A9171D">
      <w:pPr>
        <w:pStyle w:val="Title"/>
        <w:rPr>
          <w:rFonts w:ascii="Arial" w:hAnsi="Arial" w:cs="Arial"/>
          <w:sz w:val="21"/>
          <w:szCs w:val="21"/>
        </w:rPr>
      </w:pPr>
      <w:r>
        <w:rPr>
          <w:rFonts w:ascii="Arial" w:hAnsi="Arial" w:cs="Arial"/>
          <w:sz w:val="21"/>
          <w:szCs w:val="21"/>
        </w:rPr>
        <w:t>o izvršenim unutrašnjim kontrolama policije</w:t>
      </w:r>
    </w:p>
    <w:p w:rsidR="00D00F3A" w:rsidRDefault="00A9171D" w:rsidP="00AE6E6E">
      <w:pPr>
        <w:pStyle w:val="Title"/>
        <w:rPr>
          <w:rFonts w:ascii="Arial" w:hAnsi="Arial" w:cs="Arial"/>
          <w:sz w:val="21"/>
          <w:szCs w:val="21"/>
        </w:rPr>
      </w:pPr>
      <w:r>
        <w:rPr>
          <w:rFonts w:ascii="Arial" w:hAnsi="Arial" w:cs="Arial"/>
          <w:sz w:val="21"/>
          <w:szCs w:val="21"/>
        </w:rPr>
        <w:t>za mjesec</w:t>
      </w:r>
      <w:r w:rsidR="00D56781">
        <w:rPr>
          <w:rFonts w:ascii="Arial" w:hAnsi="Arial" w:cs="Arial"/>
          <w:sz w:val="21"/>
          <w:szCs w:val="21"/>
        </w:rPr>
        <w:t xml:space="preserve"> </w:t>
      </w:r>
      <w:r w:rsidR="001A02C8">
        <w:rPr>
          <w:rFonts w:ascii="Arial" w:hAnsi="Arial" w:cs="Arial"/>
          <w:sz w:val="21"/>
          <w:szCs w:val="21"/>
        </w:rPr>
        <w:t>FEBRUAR</w:t>
      </w:r>
      <w:r w:rsidR="004C19F2">
        <w:rPr>
          <w:rFonts w:ascii="Arial" w:hAnsi="Arial" w:cs="Arial"/>
          <w:sz w:val="21"/>
          <w:szCs w:val="21"/>
        </w:rPr>
        <w:t xml:space="preserve"> </w:t>
      </w:r>
      <w:r w:rsidR="00B05599">
        <w:rPr>
          <w:rFonts w:ascii="Arial" w:hAnsi="Arial" w:cs="Arial"/>
          <w:sz w:val="21"/>
          <w:szCs w:val="21"/>
        </w:rPr>
        <w:t>202</w:t>
      </w:r>
      <w:r w:rsidR="00BD3CBC">
        <w:rPr>
          <w:rFonts w:ascii="Arial" w:hAnsi="Arial" w:cs="Arial"/>
          <w:sz w:val="21"/>
          <w:szCs w:val="21"/>
        </w:rPr>
        <w:t>5</w:t>
      </w:r>
    </w:p>
    <w:p w:rsidR="00FF29D7" w:rsidRDefault="00FF29D7" w:rsidP="00FF29D7">
      <w:pPr>
        <w:pStyle w:val="Title"/>
        <w:rPr>
          <w:rFonts w:ascii="Arial" w:hAnsi="Arial" w:cs="Arial"/>
          <w:sz w:val="21"/>
          <w:szCs w:val="21"/>
        </w:rPr>
      </w:pPr>
    </w:p>
    <w:p w:rsidR="00FF29D7" w:rsidRDefault="00FF29D7" w:rsidP="00FF29D7">
      <w:pPr>
        <w:pStyle w:val="Title"/>
        <w:rPr>
          <w:rFonts w:ascii="Arial" w:hAnsi="Arial" w:cs="Arial"/>
          <w:sz w:val="21"/>
          <w:szCs w:val="21"/>
        </w:rPr>
      </w:pPr>
    </w:p>
    <w:p w:rsidR="00714980" w:rsidRDefault="00714980" w:rsidP="00714980">
      <w:pPr>
        <w:tabs>
          <w:tab w:val="left" w:pos="709"/>
        </w:tabs>
        <w:spacing w:after="0" w:line="240" w:lineRule="auto"/>
        <w:jc w:val="both"/>
        <w:rPr>
          <w:rFonts w:ascii="Arial" w:hAnsi="Arial" w:cs="Arial"/>
          <w:b/>
          <w:bCs/>
        </w:rPr>
      </w:pPr>
    </w:p>
    <w:p w:rsidR="00175FF6" w:rsidRPr="00E912A9" w:rsidRDefault="00175FF6" w:rsidP="00175FF6">
      <w:pPr>
        <w:spacing w:after="0" w:line="240" w:lineRule="auto"/>
        <w:jc w:val="both"/>
        <w:rPr>
          <w:rFonts w:ascii="Arial" w:hAnsi="Arial" w:cs="Arial"/>
          <w:iCs/>
          <w:lang w:val="sr-Latn-ME"/>
        </w:rPr>
      </w:pPr>
    </w:p>
    <w:p w:rsidR="001A02C8" w:rsidRPr="003C417F" w:rsidRDefault="001A02C8" w:rsidP="001A02C8">
      <w:pPr>
        <w:spacing w:after="160" w:line="254" w:lineRule="auto"/>
        <w:jc w:val="center"/>
        <w:rPr>
          <w:rFonts w:ascii="Arial" w:eastAsia="Calibri" w:hAnsi="Arial" w:cs="Arial"/>
          <w:lang w:val="sr-Latn-ME"/>
        </w:rPr>
      </w:pPr>
      <w:r w:rsidRPr="003C417F">
        <w:rPr>
          <w:rFonts w:ascii="Arial" w:eastAsia="Calibri" w:hAnsi="Arial" w:cs="Arial"/>
          <w:lang w:val="sr-Latn-ME"/>
        </w:rPr>
        <w:t>● ● ◊ ● ●</w:t>
      </w:r>
    </w:p>
    <w:p w:rsidR="001A02C8" w:rsidRPr="003C417F" w:rsidRDefault="001A02C8" w:rsidP="001A02C8">
      <w:pPr>
        <w:tabs>
          <w:tab w:val="left" w:pos="709"/>
        </w:tabs>
        <w:jc w:val="center"/>
        <w:rPr>
          <w:rFonts w:ascii="Arial" w:hAnsi="Arial" w:cs="Arial"/>
          <w:b/>
          <w:bCs/>
          <w:lang w:val="sr-Latn-ME"/>
        </w:rPr>
      </w:pPr>
      <w:r w:rsidRPr="003C417F">
        <w:rPr>
          <w:rFonts w:ascii="Arial" w:hAnsi="Arial" w:cs="Arial"/>
          <w:b/>
          <w:bCs/>
          <w:lang w:val="sr-Latn-ME"/>
        </w:rPr>
        <w:t xml:space="preserve">■ Kontrole </w:t>
      </w:r>
      <w:r>
        <w:rPr>
          <w:rFonts w:ascii="Arial" w:hAnsi="Arial" w:cs="Arial"/>
          <w:b/>
          <w:bCs/>
          <w:lang w:val="sr-Latn-ME"/>
        </w:rPr>
        <w:t>po službenoj dužnosti</w:t>
      </w:r>
      <w:r w:rsidRPr="003C417F">
        <w:rPr>
          <w:rFonts w:ascii="Arial" w:hAnsi="Arial" w:cs="Arial"/>
          <w:b/>
          <w:bCs/>
          <w:lang w:val="sr-Latn-ME"/>
        </w:rPr>
        <w:t xml:space="preserve"> </w:t>
      </w:r>
    </w:p>
    <w:p w:rsidR="001A02C8" w:rsidRDefault="001A02C8" w:rsidP="001A02C8">
      <w:pPr>
        <w:shd w:val="clear" w:color="auto" w:fill="FFFFFF"/>
        <w:spacing w:after="0" w:line="240" w:lineRule="auto"/>
        <w:ind w:firstLine="720"/>
        <w:jc w:val="both"/>
        <w:rPr>
          <w:rFonts w:ascii="Arial" w:hAnsi="Arial" w:cs="Arial"/>
          <w:lang w:val="sr-Latn-ME"/>
        </w:rPr>
      </w:pPr>
      <w:r w:rsidRPr="003C417F">
        <w:rPr>
          <w:rFonts w:ascii="Arial" w:hAnsi="Arial" w:cs="Arial"/>
          <w:lang w:val="sr-Latn-ME"/>
        </w:rPr>
        <w:t>Službenici Odjeljenja za unutrašnju kontrolu policije su tokom februara 2025.godine, izvršili 15 kontrola – provjera zakonitosti postupanja policijskih službenika na osnovu operativnih i drugih saznanja o mogućim nezakonitostima i nepravilnostima u radu i postupanju policijskih službenika.</w:t>
      </w:r>
    </w:p>
    <w:p w:rsidR="001A02C8" w:rsidRPr="003C417F" w:rsidRDefault="001A02C8" w:rsidP="001A02C8">
      <w:pPr>
        <w:shd w:val="clear" w:color="auto" w:fill="FFFFFF"/>
        <w:spacing w:after="0" w:line="240" w:lineRule="auto"/>
        <w:ind w:firstLine="720"/>
        <w:jc w:val="both"/>
        <w:rPr>
          <w:rFonts w:ascii="Arial" w:hAnsi="Arial" w:cs="Arial"/>
          <w:lang w:val="sr-Latn-ME"/>
        </w:rPr>
      </w:pPr>
    </w:p>
    <w:p w:rsidR="001A02C8" w:rsidRDefault="001A02C8" w:rsidP="001A02C8">
      <w:pPr>
        <w:spacing w:after="0" w:line="240" w:lineRule="auto"/>
        <w:jc w:val="both"/>
        <w:rPr>
          <w:rFonts w:ascii="Arial" w:hAnsi="Arial" w:cs="Arial"/>
          <w:iCs/>
          <w:lang w:val="sr-Latn-ME"/>
        </w:rPr>
      </w:pPr>
      <w:r w:rsidRPr="003C417F">
        <w:rPr>
          <w:rFonts w:ascii="Arial" w:hAnsi="Arial" w:cs="Arial"/>
          <w:iCs/>
          <w:lang w:val="sr-Latn-ME"/>
        </w:rPr>
        <w:t>Na osnovu činjenica i dokaza utvrđenih u postupku unutrašnje kontrole:</w:t>
      </w:r>
    </w:p>
    <w:p w:rsidR="001A02C8" w:rsidRPr="003C417F" w:rsidRDefault="001A02C8" w:rsidP="001A02C8">
      <w:pPr>
        <w:spacing w:after="0" w:line="240" w:lineRule="auto"/>
        <w:jc w:val="both"/>
        <w:rPr>
          <w:rFonts w:ascii="Arial" w:hAnsi="Arial" w:cs="Arial"/>
          <w:iCs/>
          <w:lang w:val="sr-Latn-ME"/>
        </w:rPr>
      </w:pPr>
    </w:p>
    <w:p w:rsidR="001A02C8" w:rsidRPr="003C417F" w:rsidRDefault="001A02C8" w:rsidP="001A02C8">
      <w:pPr>
        <w:spacing w:after="0" w:line="240" w:lineRule="auto"/>
        <w:jc w:val="both"/>
        <w:rPr>
          <w:rFonts w:ascii="Arial" w:hAnsi="Arial" w:cs="Arial"/>
          <w:iCs/>
          <w:lang w:val="sr-Latn-ME"/>
        </w:rPr>
      </w:pPr>
      <w:r w:rsidRPr="003C417F">
        <w:rPr>
          <w:rFonts w:ascii="Arial" w:hAnsi="Arial" w:cs="Arial"/>
          <w:iCs/>
          <w:lang w:val="sr-Latn-ME"/>
        </w:rPr>
        <w:t>■ U  sedam slučajeva unutrašnjih kontrola konstatovano je postojanje nezakonitosti i nepravilnosti u postupanju policijsk</w:t>
      </w:r>
      <w:r w:rsidR="00B36313">
        <w:rPr>
          <w:rFonts w:ascii="Arial" w:hAnsi="Arial" w:cs="Arial"/>
          <w:iCs/>
          <w:lang w:val="sr-Latn-ME"/>
        </w:rPr>
        <w:t>i</w:t>
      </w:r>
      <w:r w:rsidRPr="003C417F">
        <w:rPr>
          <w:rFonts w:ascii="Arial" w:hAnsi="Arial" w:cs="Arial"/>
          <w:iCs/>
          <w:lang w:val="sr-Latn-ME"/>
        </w:rPr>
        <w:t>h službenika, usljed čega su predložene sljedeće mjere:</w:t>
      </w:r>
    </w:p>
    <w:p w:rsidR="001A02C8" w:rsidRPr="001A02C8" w:rsidRDefault="001A02C8" w:rsidP="001A02C8">
      <w:pPr>
        <w:pStyle w:val="ListParagraph"/>
        <w:jc w:val="both"/>
        <w:rPr>
          <w:rFonts w:ascii="Arial" w:hAnsi="Arial" w:cs="Arial"/>
          <w:bCs/>
          <w:sz w:val="22"/>
          <w:szCs w:val="22"/>
          <w:lang w:val="sr-Latn-ME"/>
        </w:rPr>
      </w:pPr>
    </w:p>
    <w:p w:rsidR="001A02C8" w:rsidRPr="003C417F" w:rsidRDefault="001A02C8" w:rsidP="001A02C8">
      <w:pPr>
        <w:pStyle w:val="ListParagraph"/>
        <w:numPr>
          <w:ilvl w:val="0"/>
          <w:numId w:val="5"/>
        </w:numPr>
        <w:jc w:val="both"/>
        <w:rPr>
          <w:rFonts w:ascii="Arial" w:hAnsi="Arial" w:cs="Arial"/>
          <w:bCs/>
          <w:sz w:val="22"/>
          <w:szCs w:val="22"/>
          <w:lang w:val="sr-Latn-ME"/>
        </w:rPr>
      </w:pPr>
      <w:r w:rsidRPr="003C417F">
        <w:rPr>
          <w:rFonts w:ascii="Arial" w:hAnsi="Arial" w:cs="Arial"/>
          <w:iCs/>
          <w:sz w:val="22"/>
          <w:szCs w:val="22"/>
          <w:lang w:val="sr-Latn-ME"/>
        </w:rPr>
        <w:t xml:space="preserve">U šest slučajeva, Izvještaji sa spisima sačinjenim u postupcima unutrašnje kontrole dostavljeni su </w:t>
      </w:r>
      <w:r w:rsidRPr="003C417F">
        <w:rPr>
          <w:rFonts w:ascii="Arial" w:hAnsi="Arial"/>
          <w:noProof/>
          <w:color w:val="000000"/>
          <w:sz w:val="22"/>
          <w:szCs w:val="22"/>
          <w:lang w:val="sr-Latn-ME"/>
        </w:rPr>
        <w:t xml:space="preserve">v.d. direktora </w:t>
      </w:r>
      <w:r w:rsidRPr="003C417F">
        <w:rPr>
          <w:rFonts w:ascii="Arial" w:hAnsi="Arial" w:cs="Arial"/>
          <w:iCs/>
          <w:sz w:val="22"/>
          <w:szCs w:val="22"/>
          <w:lang w:val="sr-Latn-ME"/>
        </w:rPr>
        <w:t xml:space="preserve">Uprave policije u cilju iniciranja postupaka za utvrđivanje disciplinske odgovornosti za sedam policijskih službenika, za koje je utvrđeno da postoji osnovana sumnja da su počinili teže povrede službene dužnosti. Osim toga u tri od navedenih slučajeva, Izvještaji sa spisima sačinjenim u postupcima unutrašnje kontrole dostavljeni su i nadležnim državnim tužilaštvima na </w:t>
      </w:r>
      <w:r w:rsidRPr="003C417F">
        <w:rPr>
          <w:rFonts w:ascii="Arial" w:hAnsi="Arial" w:cs="Arial"/>
          <w:bCs/>
          <w:sz w:val="22"/>
          <w:szCs w:val="22"/>
          <w:lang w:val="sr-Latn-ME"/>
        </w:rPr>
        <w:t>konačnu ocjenu i odlučivanje da li u radnjama i postupanju policijskih službenika, koji su u predmetnim slučajevima preduzimali službene mjere i radnje, ima elemenata  krivičnih djela za koje se gonjenje preduzima po službenoj dužnosti.</w:t>
      </w:r>
    </w:p>
    <w:p w:rsidR="001A02C8" w:rsidRPr="003C417F" w:rsidRDefault="001A02C8" w:rsidP="001A02C8">
      <w:pPr>
        <w:pStyle w:val="ListParagraph"/>
        <w:jc w:val="both"/>
        <w:rPr>
          <w:rFonts w:ascii="Arial" w:hAnsi="Arial" w:cs="Arial"/>
          <w:iCs/>
          <w:sz w:val="22"/>
          <w:szCs w:val="22"/>
          <w:lang w:val="sr-Latn-ME"/>
        </w:rPr>
      </w:pPr>
    </w:p>
    <w:p w:rsidR="001A02C8" w:rsidRPr="003C417F" w:rsidRDefault="001A02C8" w:rsidP="001A02C8">
      <w:pPr>
        <w:pStyle w:val="ListParagraph"/>
        <w:numPr>
          <w:ilvl w:val="0"/>
          <w:numId w:val="5"/>
        </w:numPr>
        <w:jc w:val="both"/>
        <w:rPr>
          <w:rFonts w:ascii="Arial" w:hAnsi="Arial"/>
          <w:noProof/>
          <w:color w:val="000000"/>
          <w:sz w:val="22"/>
          <w:szCs w:val="22"/>
          <w:lang w:val="sr-Latn-ME"/>
        </w:rPr>
      </w:pPr>
      <w:r w:rsidRPr="003C417F">
        <w:rPr>
          <w:rFonts w:ascii="Arial" w:hAnsi="Arial" w:cs="Arial"/>
          <w:iCs/>
          <w:sz w:val="22"/>
          <w:szCs w:val="22"/>
          <w:lang w:val="sr-Latn-ME"/>
        </w:rPr>
        <w:t xml:space="preserve">U jednom slučaju u postupku unutrašnje kontrole </w:t>
      </w:r>
      <w:r w:rsidRPr="003C417F">
        <w:rPr>
          <w:rFonts w:ascii="Arial" w:hAnsi="Arial"/>
          <w:noProof/>
          <w:color w:val="000000"/>
          <w:sz w:val="22"/>
          <w:szCs w:val="22"/>
          <w:lang w:val="sr-Latn-ME"/>
        </w:rPr>
        <w:t>utvrđeno je da su od strane nepos</w:t>
      </w:r>
      <w:r w:rsidR="00775E2F">
        <w:rPr>
          <w:rFonts w:ascii="Arial" w:hAnsi="Arial"/>
          <w:noProof/>
          <w:color w:val="000000"/>
          <w:sz w:val="22"/>
          <w:szCs w:val="22"/>
          <w:lang w:val="sr-Latn-ME"/>
        </w:rPr>
        <w:t xml:space="preserve">rednog </w:t>
      </w:r>
      <w:bookmarkStart w:id="0" w:name="_GoBack"/>
      <w:bookmarkEnd w:id="0"/>
      <w:r w:rsidRPr="003C417F">
        <w:rPr>
          <w:rFonts w:ascii="Arial" w:hAnsi="Arial"/>
          <w:noProof/>
          <w:color w:val="000000"/>
          <w:sz w:val="22"/>
          <w:szCs w:val="22"/>
          <w:lang w:val="sr-Latn-ME"/>
        </w:rPr>
        <w:t xml:space="preserve">rukovodioca organizacione jedinice policije već preduzete zakonske mjere - predmet dostavljen nadležnom Osnovnom državnom tužilaštvu u Bijelom Polju koje se izjasnilo da u ovom slučaju neme elemenata krivičnog djela za koje se gonjenje preduzima po službenoj dužnosti. Takođe, utvrđeno je i da Etički odbor postupa po </w:t>
      </w:r>
      <w:r w:rsidR="004971E7">
        <w:rPr>
          <w:rFonts w:ascii="Arial" w:hAnsi="Arial"/>
          <w:noProof/>
          <w:color w:val="000000"/>
          <w:sz w:val="22"/>
          <w:szCs w:val="22"/>
          <w:lang w:val="sr-Latn-ME"/>
        </w:rPr>
        <w:t>navedenom</w:t>
      </w:r>
      <w:r>
        <w:rPr>
          <w:rFonts w:ascii="Arial" w:hAnsi="Arial"/>
          <w:noProof/>
          <w:color w:val="000000"/>
          <w:sz w:val="22"/>
          <w:szCs w:val="22"/>
          <w:lang w:val="sr-Latn-ME"/>
        </w:rPr>
        <w:t xml:space="preserve"> predmetu.</w:t>
      </w:r>
    </w:p>
    <w:p w:rsidR="001A02C8" w:rsidRPr="003C417F" w:rsidRDefault="001A02C8" w:rsidP="001A02C8">
      <w:pPr>
        <w:pStyle w:val="ListParagraph"/>
        <w:jc w:val="both"/>
        <w:rPr>
          <w:rFonts w:ascii="Arial" w:hAnsi="Arial" w:cs="Arial"/>
          <w:iCs/>
          <w:sz w:val="22"/>
          <w:szCs w:val="22"/>
          <w:lang w:val="sr-Latn-ME"/>
        </w:rPr>
      </w:pPr>
    </w:p>
    <w:p w:rsidR="001A02C8" w:rsidRPr="003C417F" w:rsidRDefault="001A02C8" w:rsidP="001A02C8">
      <w:pPr>
        <w:jc w:val="both"/>
        <w:rPr>
          <w:rFonts w:ascii="Arial" w:hAnsi="Arial"/>
          <w:noProof/>
          <w:lang w:val="sr-Latn-ME"/>
        </w:rPr>
      </w:pPr>
      <w:r w:rsidRPr="003C417F">
        <w:rPr>
          <w:rFonts w:ascii="Arial" w:hAnsi="Arial" w:cs="Arial"/>
          <w:iCs/>
          <w:lang w:val="sr-Latn-ME"/>
        </w:rPr>
        <w:t xml:space="preserve">■  U  osam slučajeva unutrašnjih kontrola konstatovano </w:t>
      </w:r>
      <w:r w:rsidRPr="003C417F">
        <w:rPr>
          <w:rFonts w:ascii="Arial" w:hAnsi="Arial" w:cs="Arial"/>
          <w:bCs/>
          <w:iCs/>
          <w:lang w:val="sr-Latn-ME"/>
        </w:rPr>
        <w:t xml:space="preserve">je da </w:t>
      </w:r>
      <w:r w:rsidRPr="003C417F">
        <w:rPr>
          <w:rFonts w:ascii="Arial" w:hAnsi="Arial"/>
          <w:bCs/>
          <w:lang w:val="sr-Latn-ME"/>
        </w:rPr>
        <w:t>n</w:t>
      </w:r>
      <w:r w:rsidRPr="003C417F">
        <w:rPr>
          <w:rFonts w:ascii="Arial" w:hAnsi="Arial"/>
          <w:noProof/>
          <w:lang w:val="sr-Latn-ME"/>
        </w:rPr>
        <w:t>ijesu utvrđene činjenice i dokazi koji bi ukazivali na neprofesionalno ili nezakonito postupanje policijskig službenika.</w:t>
      </w:r>
    </w:p>
    <w:p w:rsidR="001A02C8" w:rsidRPr="003C417F" w:rsidRDefault="001A02C8" w:rsidP="001A02C8">
      <w:pPr>
        <w:spacing w:after="0" w:line="240" w:lineRule="auto"/>
        <w:ind w:right="178" w:firstLine="720"/>
        <w:jc w:val="both"/>
        <w:rPr>
          <w:rFonts w:ascii="Arial" w:hAnsi="Arial"/>
          <w:noProof/>
          <w:lang w:val="sr-Latn-ME"/>
        </w:rPr>
      </w:pPr>
      <w:r w:rsidRPr="003C417F">
        <w:rPr>
          <w:rFonts w:ascii="Arial" w:hAnsi="Arial"/>
          <w:noProof/>
          <w:lang w:val="sr-Latn-ME"/>
        </w:rPr>
        <w:lastRenderedPageBreak/>
        <w:t xml:space="preserve">I pored navedenog, u četiri od navednih slučajeva, Izvještaji sa spisima sačinjenim u postupku unutrašnje kontrole dostavljeni su postupajućim tužilaštvima, uzimajući u obzir činjenicu da ova tužilaštva već preduzimaju službene mjere i radnje iz nadležnosti. </w:t>
      </w:r>
    </w:p>
    <w:p w:rsidR="00521784" w:rsidRPr="00EA224B" w:rsidRDefault="00521784" w:rsidP="00521784">
      <w:pPr>
        <w:spacing w:after="0" w:line="240" w:lineRule="auto"/>
        <w:jc w:val="both"/>
        <w:rPr>
          <w:rFonts w:ascii="Arial" w:hAnsi="Arial" w:cs="Arial"/>
          <w:bCs/>
          <w:iCs/>
          <w:u w:val="single"/>
        </w:rPr>
      </w:pPr>
    </w:p>
    <w:p w:rsidR="001A02C8" w:rsidRDefault="001A02C8" w:rsidP="001A02C8">
      <w:pPr>
        <w:shd w:val="clear" w:color="auto" w:fill="FFFFFF"/>
        <w:jc w:val="center"/>
        <w:rPr>
          <w:rFonts w:ascii="Arial" w:hAnsi="Arial" w:cs="Arial"/>
          <w:b/>
          <w:bCs/>
          <w:lang w:val="sr-Latn-ME"/>
        </w:rPr>
      </w:pPr>
    </w:p>
    <w:p w:rsidR="001A02C8" w:rsidRPr="003C417F" w:rsidRDefault="001A02C8" w:rsidP="001A02C8">
      <w:pPr>
        <w:shd w:val="clear" w:color="auto" w:fill="FFFFFF"/>
        <w:jc w:val="center"/>
        <w:rPr>
          <w:rFonts w:ascii="Arial" w:hAnsi="Arial" w:cs="Arial"/>
          <w:b/>
          <w:bCs/>
          <w:lang w:val="sr-Latn-ME"/>
        </w:rPr>
      </w:pPr>
      <w:r w:rsidRPr="003C417F">
        <w:rPr>
          <w:rFonts w:ascii="Arial" w:hAnsi="Arial" w:cs="Arial"/>
          <w:b/>
          <w:bCs/>
          <w:lang w:val="sr-Latn-ME"/>
        </w:rPr>
        <w:t xml:space="preserve">■Pritužbe – žalbe građana </w:t>
      </w:r>
    </w:p>
    <w:p w:rsidR="001A02C8" w:rsidRPr="003C417F" w:rsidRDefault="001A02C8" w:rsidP="001A02C8">
      <w:pPr>
        <w:shd w:val="clear" w:color="auto" w:fill="FFFFFF"/>
        <w:tabs>
          <w:tab w:val="left" w:pos="4200"/>
        </w:tabs>
        <w:spacing w:after="0" w:line="240" w:lineRule="auto"/>
        <w:ind w:firstLine="720"/>
        <w:jc w:val="both"/>
        <w:rPr>
          <w:rFonts w:ascii="Arial" w:hAnsi="Arial" w:cs="Arial"/>
          <w:lang w:val="sr-Latn-ME"/>
        </w:rPr>
      </w:pPr>
      <w:r w:rsidRPr="003C417F">
        <w:rPr>
          <w:rFonts w:ascii="Arial" w:hAnsi="Arial" w:cs="Arial"/>
          <w:lang w:val="sr-Latn-ME"/>
        </w:rPr>
        <w:t>Službenici Odjeljenja za unutrašnju kontrolu policije su tokom februara 2025.godine, izvršili kontrolu zakonitosti postupanja policijskih službenika na osnovu četiri pritužbe na postupanje policijskih službenika.</w:t>
      </w:r>
    </w:p>
    <w:p w:rsidR="001A02C8" w:rsidRPr="003C417F" w:rsidRDefault="001A02C8" w:rsidP="001A02C8">
      <w:pPr>
        <w:spacing w:after="0" w:line="240" w:lineRule="auto"/>
        <w:ind w:firstLine="720"/>
        <w:jc w:val="both"/>
        <w:rPr>
          <w:rFonts w:ascii="Arial" w:hAnsi="Arial" w:cs="Arial"/>
          <w:lang w:val="sr-Latn-ME"/>
        </w:rPr>
      </w:pPr>
    </w:p>
    <w:p w:rsidR="001A02C8" w:rsidRPr="003C417F" w:rsidRDefault="001A02C8" w:rsidP="001A02C8">
      <w:pPr>
        <w:spacing w:after="0" w:line="240" w:lineRule="auto"/>
        <w:ind w:right="-108" w:firstLine="720"/>
        <w:jc w:val="both"/>
        <w:rPr>
          <w:rFonts w:ascii="Arial" w:hAnsi="Arial" w:cs="Arial"/>
          <w:lang w:val="sr-Latn-ME"/>
        </w:rPr>
      </w:pPr>
      <w:r w:rsidRPr="003C417F">
        <w:rPr>
          <w:rFonts w:ascii="Arial" w:hAnsi="Arial" w:cs="Arial"/>
          <w:lang w:val="sr-Latn-ME"/>
        </w:rPr>
        <w:t>Pritužbe su se sadržinski odnosile na način vršenja policijskih poslova i primjene policijskih ovlašćenja.</w:t>
      </w:r>
    </w:p>
    <w:p w:rsidR="001A02C8" w:rsidRPr="003C417F" w:rsidRDefault="001A02C8" w:rsidP="001A02C8">
      <w:pPr>
        <w:spacing w:after="0" w:line="240" w:lineRule="auto"/>
        <w:ind w:right="-108" w:firstLine="720"/>
        <w:jc w:val="both"/>
        <w:rPr>
          <w:rFonts w:ascii="Arial" w:hAnsi="Arial" w:cs="Arial"/>
          <w:lang w:val="sr-Latn-ME"/>
        </w:rPr>
      </w:pPr>
    </w:p>
    <w:p w:rsidR="001A02C8" w:rsidRPr="003C417F" w:rsidRDefault="001A02C8" w:rsidP="001A02C8">
      <w:pPr>
        <w:spacing w:after="0" w:line="240" w:lineRule="auto"/>
        <w:jc w:val="both"/>
        <w:rPr>
          <w:rFonts w:ascii="Arial" w:hAnsi="Arial" w:cs="Arial"/>
          <w:iCs/>
          <w:lang w:val="sr-Latn-ME"/>
        </w:rPr>
      </w:pPr>
      <w:r w:rsidRPr="003C417F">
        <w:rPr>
          <w:rFonts w:ascii="Arial" w:hAnsi="Arial" w:cs="Arial"/>
          <w:iCs/>
          <w:lang w:val="sr-Latn-ME"/>
        </w:rPr>
        <w:t>Na osnovu činjenica i dokaza utvrđenih u postupku unutrašnje kontrole:</w:t>
      </w:r>
    </w:p>
    <w:p w:rsidR="001A02C8" w:rsidRPr="003C417F" w:rsidRDefault="001A02C8" w:rsidP="001A02C8">
      <w:pPr>
        <w:spacing w:after="0" w:line="240" w:lineRule="auto"/>
        <w:jc w:val="both"/>
        <w:rPr>
          <w:rFonts w:ascii="Arial" w:hAnsi="Arial" w:cs="Arial"/>
          <w:iCs/>
          <w:lang w:val="sr-Latn-ME"/>
        </w:rPr>
      </w:pPr>
    </w:p>
    <w:p w:rsidR="001A02C8" w:rsidRPr="003C417F" w:rsidRDefault="001A02C8" w:rsidP="001A02C8">
      <w:pPr>
        <w:spacing w:after="0" w:line="240" w:lineRule="auto"/>
        <w:ind w:right="178"/>
        <w:jc w:val="both"/>
        <w:rPr>
          <w:rFonts w:ascii="Arial" w:hAnsi="Arial" w:cs="Arial"/>
          <w:bCs/>
          <w:lang w:val="sr-Latn-ME"/>
        </w:rPr>
      </w:pPr>
      <w:r w:rsidRPr="003C417F">
        <w:rPr>
          <w:rFonts w:ascii="Arial" w:hAnsi="Arial" w:cs="Arial"/>
          <w:lang w:val="sr-Latn-ME"/>
        </w:rPr>
        <w:t xml:space="preserve">► U dva slučaja, u </w:t>
      </w:r>
      <w:r w:rsidRPr="003C417F">
        <w:rPr>
          <w:rFonts w:ascii="Arial" w:hAnsi="Arial" w:cs="Arial"/>
          <w:bCs/>
          <w:lang w:val="sr-Latn-ME"/>
        </w:rPr>
        <w:t xml:space="preserve"> postupcima unutrašnje kontrole utvrđeni su izvjesni propusti u radu i postupanju policijskih službenika, usljed čega su:</w:t>
      </w:r>
    </w:p>
    <w:p w:rsidR="001A02C8" w:rsidRPr="003C417F" w:rsidRDefault="001A02C8" w:rsidP="001A02C8">
      <w:pPr>
        <w:spacing w:after="0" w:line="240" w:lineRule="auto"/>
        <w:ind w:right="178"/>
        <w:jc w:val="both"/>
        <w:rPr>
          <w:rFonts w:ascii="Arial" w:hAnsi="Arial" w:cs="Arial"/>
          <w:bCs/>
          <w:lang w:val="sr-Latn-ME"/>
        </w:rPr>
      </w:pPr>
    </w:p>
    <w:p w:rsidR="001A02C8" w:rsidRPr="003C417F" w:rsidRDefault="001A02C8" w:rsidP="001A02C8">
      <w:pPr>
        <w:pStyle w:val="ListParagraph"/>
        <w:numPr>
          <w:ilvl w:val="0"/>
          <w:numId w:val="6"/>
        </w:numPr>
        <w:ind w:right="178"/>
        <w:jc w:val="both"/>
        <w:rPr>
          <w:rFonts w:ascii="Arial" w:hAnsi="Arial" w:cs="Arial"/>
          <w:sz w:val="22"/>
          <w:szCs w:val="22"/>
          <w:lang w:val="sr-Latn-ME"/>
        </w:rPr>
      </w:pPr>
      <w:r w:rsidRPr="003C417F">
        <w:rPr>
          <w:rFonts w:ascii="Arial" w:hAnsi="Arial" w:cs="Arial"/>
          <w:bCs/>
          <w:sz w:val="22"/>
          <w:szCs w:val="22"/>
          <w:lang w:val="sr-Latn-ME"/>
        </w:rPr>
        <w:t>U jednom slučaju spisi predmeta sačinjeni u postupku unutrašnje kontrole dostvljeni Etičkom odboru na ocjenu etičnosti postupanja dva policijska službenika;</w:t>
      </w:r>
    </w:p>
    <w:p w:rsidR="001A02C8" w:rsidRPr="003C417F" w:rsidRDefault="001A02C8" w:rsidP="001A02C8">
      <w:pPr>
        <w:pStyle w:val="ListParagraph"/>
        <w:ind w:left="502" w:right="178"/>
        <w:jc w:val="both"/>
        <w:rPr>
          <w:rFonts w:ascii="Arial" w:hAnsi="Arial" w:cs="Arial"/>
          <w:sz w:val="22"/>
          <w:szCs w:val="22"/>
          <w:lang w:val="sr-Latn-ME"/>
        </w:rPr>
      </w:pPr>
    </w:p>
    <w:p w:rsidR="001A02C8" w:rsidRPr="003C417F" w:rsidRDefault="001A02C8" w:rsidP="001A02C8">
      <w:pPr>
        <w:pStyle w:val="ListParagraph"/>
        <w:numPr>
          <w:ilvl w:val="0"/>
          <w:numId w:val="6"/>
        </w:numPr>
        <w:jc w:val="both"/>
        <w:rPr>
          <w:rFonts w:ascii="Arial" w:hAnsi="Arial"/>
          <w:noProof/>
          <w:color w:val="000000"/>
          <w:sz w:val="22"/>
          <w:szCs w:val="22"/>
          <w:lang w:val="sr-Latn-ME"/>
        </w:rPr>
      </w:pPr>
      <w:r w:rsidRPr="003C417F">
        <w:rPr>
          <w:rFonts w:ascii="Arial" w:hAnsi="Arial" w:cs="Arial"/>
          <w:bCs/>
          <w:sz w:val="22"/>
          <w:szCs w:val="22"/>
          <w:lang w:val="sr-Latn-ME"/>
        </w:rPr>
        <w:t xml:space="preserve">U jednom slučaju  je </w:t>
      </w:r>
      <w:r w:rsidRPr="003C417F">
        <w:rPr>
          <w:rFonts w:ascii="Arial" w:hAnsi="Arial"/>
          <w:noProof/>
          <w:sz w:val="22"/>
          <w:szCs w:val="22"/>
          <w:lang w:val="sr-Latn-ME"/>
        </w:rPr>
        <w:t>Izvještaj o izvršenoj kontroli sa</w:t>
      </w:r>
      <w:r w:rsidRPr="003C417F">
        <w:rPr>
          <w:rFonts w:ascii="Arial" w:hAnsi="Arial"/>
          <w:noProof/>
          <w:color w:val="000000"/>
          <w:sz w:val="22"/>
          <w:szCs w:val="22"/>
          <w:lang w:val="sr-Latn-ME"/>
        </w:rPr>
        <w:t xml:space="preserve"> spisima predmeta dostavljen na dalju nadležnost v.d. direktora Uprave policije u cilju preduzimanja mjera na iniciranju postupka za utvrđivanje disciplinske odgovornosti dva policijska službenika, jer je utvrđeno da postoji osnovana sumnja  da su policijski službenici počinili težu povredu službene dužnosti iz člana 95 st.1 t.1 Zakona o državnim službenicima i namještenicima (neizvršavanje ili nesavjesno ili neblagovremeno ili nemarno vršenje službenih obaveza). </w:t>
      </w:r>
    </w:p>
    <w:p w:rsidR="001A02C8" w:rsidRPr="003C417F" w:rsidRDefault="001A02C8" w:rsidP="001A02C8">
      <w:pPr>
        <w:spacing w:after="0" w:line="240" w:lineRule="auto"/>
        <w:ind w:left="502" w:firstLine="720"/>
        <w:jc w:val="both"/>
        <w:rPr>
          <w:rFonts w:ascii="Arial" w:hAnsi="Arial" w:cs="Arial"/>
          <w:bCs/>
          <w:lang w:val="sr-Latn-ME"/>
        </w:rPr>
      </w:pPr>
      <w:r w:rsidRPr="003C417F">
        <w:rPr>
          <w:rFonts w:ascii="Arial" w:hAnsi="Arial" w:cs="Arial"/>
          <w:bCs/>
          <w:lang w:val="sr-Latn-ME"/>
        </w:rPr>
        <w:t>Takođe, Izvještaj sa spisima sačinjenim u postupku unutrašnje kontrole, dostavljen je i Osnovnom državnom tužilaštvu u Baru na konačnu ocjenu i odlučivanje da li u radnjama i postupanju policijskih službenika, koji su u predmetnom slučaju preduzimali službene mjere i radnje, ima elemenata  krivičnog djela za koje se gonjenje preduzima po službenoj dužnosti.</w:t>
      </w:r>
    </w:p>
    <w:p w:rsidR="001A02C8" w:rsidRPr="003C417F" w:rsidRDefault="001A02C8" w:rsidP="001A02C8">
      <w:pPr>
        <w:spacing w:after="0" w:line="240" w:lineRule="auto"/>
        <w:ind w:right="178"/>
        <w:jc w:val="both"/>
        <w:rPr>
          <w:rFonts w:ascii="Arial" w:hAnsi="Arial" w:cs="Arial"/>
          <w:bCs/>
          <w:color w:val="FF0000"/>
          <w:lang w:val="sr-Latn-ME"/>
        </w:rPr>
      </w:pPr>
    </w:p>
    <w:p w:rsidR="001A02C8" w:rsidRPr="003C417F" w:rsidRDefault="001A02C8" w:rsidP="001A02C8">
      <w:pPr>
        <w:spacing w:after="0" w:line="240" w:lineRule="auto"/>
        <w:ind w:right="178"/>
        <w:jc w:val="both"/>
        <w:rPr>
          <w:rFonts w:ascii="Arial" w:hAnsi="Arial" w:cs="Arial"/>
          <w:lang w:val="sr-Latn-ME"/>
        </w:rPr>
      </w:pPr>
      <w:r w:rsidRPr="003C417F">
        <w:rPr>
          <w:rFonts w:ascii="Arial" w:hAnsi="Arial" w:cs="Arial"/>
          <w:lang w:val="sr-Latn-ME"/>
        </w:rPr>
        <w:t xml:space="preserve">►  </w:t>
      </w:r>
      <w:r w:rsidRPr="003C417F">
        <w:rPr>
          <w:rFonts w:ascii="Arial" w:hAnsi="Arial" w:cs="Arial"/>
          <w:bCs/>
          <w:lang w:val="sr-Latn-ME"/>
        </w:rPr>
        <w:t xml:space="preserve">U preostala dva slučaja u postupcima unutrašnje kontrole nijesu utvrđene činjenice i dokazi </w:t>
      </w:r>
      <w:r w:rsidRPr="003C417F">
        <w:rPr>
          <w:rFonts w:ascii="Arial" w:hAnsi="Arial" w:cs="Arial"/>
          <w:lang w:val="sr-Latn-ME"/>
        </w:rPr>
        <w:t>koji bi ukazivali na postojanje elemenata disiplinske ili druge odgovornosti u preduzimanju službenih radnji od strane policijskih službenika u predmetnim slučajevima.</w:t>
      </w:r>
    </w:p>
    <w:p w:rsidR="001A02C8" w:rsidRPr="003C417F" w:rsidRDefault="001A02C8" w:rsidP="001A02C8">
      <w:pPr>
        <w:spacing w:after="0" w:line="240" w:lineRule="auto"/>
        <w:jc w:val="both"/>
        <w:rPr>
          <w:rFonts w:ascii="Arial" w:hAnsi="Arial" w:cs="Arial"/>
          <w:bCs/>
          <w:lang w:val="sr-Latn-ME"/>
        </w:rPr>
      </w:pPr>
      <w:r w:rsidRPr="003C417F">
        <w:rPr>
          <w:rFonts w:ascii="Arial" w:hAnsi="Arial" w:cs="Arial"/>
          <w:lang w:val="sr-Latn-ME"/>
        </w:rPr>
        <w:t>Međutim, zbog činjenice da je u Osnovnom državnom tužilaštvu u Podgorici formiran predmet po krivičnoj prijavi protiv NN lica službenika Uprave policije, koju je podnijela građanka iz Podgorice, preko svoje punomoćnice,</w:t>
      </w:r>
      <w:r w:rsidR="00CE359B">
        <w:rPr>
          <w:rFonts w:ascii="Arial" w:hAnsi="Arial" w:cs="Arial"/>
          <w:lang w:val="sr-Latn-ME"/>
        </w:rPr>
        <w:t xml:space="preserve"> </w:t>
      </w:r>
      <w:r w:rsidRPr="003C417F">
        <w:rPr>
          <w:rFonts w:ascii="Arial" w:hAnsi="Arial" w:cs="Arial"/>
          <w:lang w:val="sr-Latn-ME"/>
        </w:rPr>
        <w:t>Izvještaj sa spisima predmeta sačinjenim u postupku unutrašnje kontrole dostavljen je postupajućem tužilaštvu u konkretnom predmetu.</w:t>
      </w:r>
    </w:p>
    <w:p w:rsidR="001A02C8" w:rsidRPr="003C417F" w:rsidRDefault="001A02C8" w:rsidP="001A02C8">
      <w:pPr>
        <w:ind w:right="178"/>
        <w:jc w:val="both"/>
        <w:rPr>
          <w:rFonts w:ascii="Arial" w:hAnsi="Arial" w:cs="Arial"/>
          <w:lang w:val="sr-Latn-ME"/>
        </w:rPr>
      </w:pPr>
    </w:p>
    <w:p w:rsidR="00521784" w:rsidRDefault="00521784" w:rsidP="00521784">
      <w:pPr>
        <w:spacing w:after="0" w:line="240" w:lineRule="auto"/>
        <w:ind w:firstLine="720"/>
        <w:jc w:val="both"/>
        <w:rPr>
          <w:rFonts w:ascii="Arial" w:hAnsi="Arial" w:cs="Arial"/>
        </w:rPr>
      </w:pPr>
    </w:p>
    <w:sectPr w:rsidR="00521784" w:rsidSect="00180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772B8"/>
    <w:multiLevelType w:val="hybridMultilevel"/>
    <w:tmpl w:val="C7D8662A"/>
    <w:lvl w:ilvl="0" w:tplc="C8D8A12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59701AF"/>
    <w:multiLevelType w:val="hybridMultilevel"/>
    <w:tmpl w:val="F6862EFC"/>
    <w:lvl w:ilvl="0" w:tplc="3FAAECD2">
      <w:start w:val="15"/>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E4771"/>
    <w:multiLevelType w:val="hybridMultilevel"/>
    <w:tmpl w:val="61F0ABFA"/>
    <w:lvl w:ilvl="0" w:tplc="5F70D0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129EE"/>
    <w:multiLevelType w:val="hybridMultilevel"/>
    <w:tmpl w:val="B48AC97A"/>
    <w:lvl w:ilvl="0" w:tplc="BCC2F5B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767A70"/>
    <w:multiLevelType w:val="hybridMultilevel"/>
    <w:tmpl w:val="C9B8224A"/>
    <w:lvl w:ilvl="0" w:tplc="FD926F2E">
      <w:numFmt w:val="bullet"/>
      <w:lvlText w:val=""/>
      <w:lvlJc w:val="left"/>
      <w:pPr>
        <w:ind w:left="1080" w:hanging="360"/>
      </w:pPr>
      <w:rPr>
        <w:rFonts w:ascii="Symbol" w:eastAsia="Times New Roman" w:hAnsi="Symbo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171D"/>
    <w:rsid w:val="00002286"/>
    <w:rsid w:val="000C5B24"/>
    <w:rsid w:val="000C5B7C"/>
    <w:rsid w:val="00175FF6"/>
    <w:rsid w:val="00180EDA"/>
    <w:rsid w:val="001A02C8"/>
    <w:rsid w:val="00310D26"/>
    <w:rsid w:val="00327C4C"/>
    <w:rsid w:val="00402B16"/>
    <w:rsid w:val="00473F39"/>
    <w:rsid w:val="004971E7"/>
    <w:rsid w:val="004C19F2"/>
    <w:rsid w:val="004C4FE8"/>
    <w:rsid w:val="00521784"/>
    <w:rsid w:val="00542BDA"/>
    <w:rsid w:val="005849CB"/>
    <w:rsid w:val="005C068E"/>
    <w:rsid w:val="005C2C16"/>
    <w:rsid w:val="00665D39"/>
    <w:rsid w:val="00693821"/>
    <w:rsid w:val="006D0A32"/>
    <w:rsid w:val="00714980"/>
    <w:rsid w:val="00775E2F"/>
    <w:rsid w:val="00833A87"/>
    <w:rsid w:val="00880705"/>
    <w:rsid w:val="008F4D85"/>
    <w:rsid w:val="00A9171D"/>
    <w:rsid w:val="00A97EE1"/>
    <w:rsid w:val="00AE6E6E"/>
    <w:rsid w:val="00B028EB"/>
    <w:rsid w:val="00B05599"/>
    <w:rsid w:val="00B1775B"/>
    <w:rsid w:val="00B17D94"/>
    <w:rsid w:val="00B36313"/>
    <w:rsid w:val="00BD3CBC"/>
    <w:rsid w:val="00C17046"/>
    <w:rsid w:val="00C45282"/>
    <w:rsid w:val="00C644B1"/>
    <w:rsid w:val="00CD3056"/>
    <w:rsid w:val="00CE359B"/>
    <w:rsid w:val="00D00E04"/>
    <w:rsid w:val="00D00F3A"/>
    <w:rsid w:val="00D05E53"/>
    <w:rsid w:val="00D56781"/>
    <w:rsid w:val="00E074DA"/>
    <w:rsid w:val="00E3349B"/>
    <w:rsid w:val="00E61737"/>
    <w:rsid w:val="00F50095"/>
    <w:rsid w:val="00FF2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9B32EC"/>
  <w15:docId w15:val="{FD01429A-1BFF-4722-90D7-A90A1005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uiPriority w:val="99"/>
    <w:qFormat/>
    <w:rsid w:val="00A9171D"/>
    <w:pPr>
      <w:spacing w:after="0" w:line="240" w:lineRule="auto"/>
      <w:jc w:val="center"/>
    </w:pPr>
    <w:rPr>
      <w:rFonts w:ascii="Tahoma" w:eastAsia="Calibri" w:hAnsi="Tahoma" w:cs="Times New Roman"/>
      <w:b/>
      <w:bCs/>
      <w:sz w:val="24"/>
      <w:szCs w:val="24"/>
      <w:lang w:val="sl-SI"/>
    </w:rPr>
  </w:style>
  <w:style w:type="character" w:customStyle="1" w:styleId="TitleChar">
    <w:name w:val="Title Char"/>
    <w:basedOn w:val="DefaultParagraphFont"/>
    <w:uiPriority w:val="10"/>
    <w:rsid w:val="00A9171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1"/>
    <w:uiPriority w:val="99"/>
    <w:semiHidden/>
    <w:unhideWhenUsed/>
    <w:rsid w:val="00A9171D"/>
    <w:pPr>
      <w:spacing w:after="0" w:line="240" w:lineRule="auto"/>
      <w:jc w:val="both"/>
    </w:pPr>
    <w:rPr>
      <w:rFonts w:ascii="Tahoma" w:eastAsia="Calibri" w:hAnsi="Tahoma" w:cs="Times New Roman"/>
      <w:b/>
      <w:bCs/>
      <w:sz w:val="24"/>
      <w:szCs w:val="24"/>
      <w:lang w:val="sl-SI"/>
    </w:rPr>
  </w:style>
  <w:style w:type="character" w:customStyle="1" w:styleId="BodyTextChar">
    <w:name w:val="Body Text Char"/>
    <w:basedOn w:val="DefaultParagraphFont"/>
    <w:uiPriority w:val="99"/>
    <w:semiHidden/>
    <w:rsid w:val="00A9171D"/>
  </w:style>
  <w:style w:type="character" w:customStyle="1" w:styleId="TitleChar1">
    <w:name w:val="Title Char1"/>
    <w:link w:val="Title"/>
    <w:uiPriority w:val="99"/>
    <w:locked/>
    <w:rsid w:val="00A9171D"/>
    <w:rPr>
      <w:rFonts w:ascii="Tahoma" w:eastAsia="Calibri" w:hAnsi="Tahoma" w:cs="Times New Roman"/>
      <w:b/>
      <w:bCs/>
      <w:sz w:val="24"/>
      <w:szCs w:val="24"/>
      <w:lang w:val="sl-SI"/>
    </w:rPr>
  </w:style>
  <w:style w:type="character" w:customStyle="1" w:styleId="BodyTextChar1">
    <w:name w:val="Body Text Char1"/>
    <w:link w:val="BodyText"/>
    <w:uiPriority w:val="99"/>
    <w:semiHidden/>
    <w:locked/>
    <w:rsid w:val="00A9171D"/>
    <w:rPr>
      <w:rFonts w:ascii="Tahoma" w:eastAsia="Calibri" w:hAnsi="Tahoma" w:cs="Times New Roman"/>
      <w:b/>
      <w:bCs/>
      <w:sz w:val="24"/>
      <w:szCs w:val="24"/>
      <w:lang w:val="sl-SI"/>
    </w:rPr>
  </w:style>
  <w:style w:type="paragraph" w:styleId="ListParagraph">
    <w:name w:val="List Paragraph"/>
    <w:basedOn w:val="Normal"/>
    <w:uiPriority w:val="34"/>
    <w:qFormat/>
    <w:rsid w:val="00D00F3A"/>
    <w:pPr>
      <w:spacing w:after="0" w:line="240" w:lineRule="auto"/>
      <w:ind w:left="720"/>
      <w:contextualSpacing/>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83964">
      <w:bodyDiv w:val="1"/>
      <w:marLeft w:val="0"/>
      <w:marRight w:val="0"/>
      <w:marTop w:val="0"/>
      <w:marBottom w:val="0"/>
      <w:divBdr>
        <w:top w:val="none" w:sz="0" w:space="0" w:color="auto"/>
        <w:left w:val="none" w:sz="0" w:space="0" w:color="auto"/>
        <w:bottom w:val="none" w:sz="0" w:space="0" w:color="auto"/>
        <w:right w:val="none" w:sz="0" w:space="0" w:color="auto"/>
      </w:divBdr>
    </w:div>
    <w:div w:id="1299804539">
      <w:bodyDiv w:val="1"/>
      <w:marLeft w:val="0"/>
      <w:marRight w:val="0"/>
      <w:marTop w:val="0"/>
      <w:marBottom w:val="0"/>
      <w:divBdr>
        <w:top w:val="none" w:sz="0" w:space="0" w:color="auto"/>
        <w:left w:val="none" w:sz="0" w:space="0" w:color="auto"/>
        <w:bottom w:val="none" w:sz="0" w:space="0" w:color="auto"/>
        <w:right w:val="none" w:sz="0" w:space="0" w:color="auto"/>
      </w:divBdr>
    </w:div>
    <w:div w:id="19607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Soc</cp:lastModifiedBy>
  <cp:revision>37</cp:revision>
  <dcterms:created xsi:type="dcterms:W3CDTF">2024-07-16T06:15:00Z</dcterms:created>
  <dcterms:modified xsi:type="dcterms:W3CDTF">2025-05-12T09:57:00Z</dcterms:modified>
</cp:coreProperties>
</file>