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12F" w:rsidRPr="00F83AA5" w:rsidRDefault="00E5012F" w:rsidP="00E5012F">
      <w:pPr>
        <w:spacing w:line="240" w:lineRule="auto"/>
        <w:rPr>
          <w:b/>
          <w:bCs/>
          <w:color w:val="4A82AC"/>
          <w:sz w:val="30"/>
          <w:szCs w:val="30"/>
          <w:lang w:val="hr-HR"/>
        </w:rPr>
      </w:pPr>
      <w:r w:rsidRPr="00F83AA5">
        <w:rPr>
          <w:b/>
          <w:bCs/>
          <w:noProof/>
          <w:color w:val="4A82AC"/>
          <w:sz w:val="30"/>
          <w:szCs w:val="30"/>
          <w:lang w:val="hr-HR"/>
        </w:rPr>
        <w:drawing>
          <wp:inline distT="0" distB="0" distL="0" distR="0">
            <wp:extent cx="5715000" cy="673100"/>
            <wp:effectExtent l="19050" t="0" r="0" b="0"/>
            <wp:docPr id="6" name="Picture 3" descr="MEC087560:Users:knakagawa:Desktop:COM_PR_Templates:COM_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C087560:Users:knakagawa:Desktop:COM_PR_Templates:COM_Header.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00" cy="673100"/>
                    </a:xfrm>
                    <a:prstGeom prst="rect">
                      <a:avLst/>
                    </a:prstGeom>
                    <a:noFill/>
                    <a:ln>
                      <a:noFill/>
                    </a:ln>
                  </pic:spPr>
                </pic:pic>
              </a:graphicData>
            </a:graphic>
          </wp:inline>
        </w:drawing>
      </w:r>
    </w:p>
    <w:p w:rsidR="00E5012F" w:rsidRPr="00F83AA5" w:rsidRDefault="00E5012F" w:rsidP="00C60354">
      <w:pPr>
        <w:rPr>
          <w:b/>
          <w:bCs/>
          <w:color w:val="4A82AC"/>
          <w:sz w:val="30"/>
          <w:szCs w:val="30"/>
          <w:lang w:val="hr-HR"/>
        </w:rPr>
      </w:pPr>
    </w:p>
    <w:p w:rsidR="00817E46" w:rsidRPr="00F83AA5" w:rsidRDefault="00791D7A" w:rsidP="00817E46">
      <w:pPr>
        <w:rPr>
          <w:lang w:val="hr-HR"/>
        </w:rPr>
      </w:pPr>
      <w:r w:rsidRPr="00F83AA5">
        <w:rPr>
          <w:noProof/>
          <w:lang w:val="hr-HR"/>
        </w:rPr>
        <w:pict>
          <v:shapetype id="_x0000_t202" coordsize="21600,21600" o:spt="202" path="m,l,21600r21600,l21600,xe">
            <v:stroke joinstyle="miter"/>
            <v:path gradientshapeok="t" o:connecttype="rect"/>
          </v:shapetype>
          <v:shape id="Text Box 13" o:spid="_x0000_s1026" type="#_x0000_t202" style="position:absolute;margin-left:300.35pt;margin-top:9pt;width:180pt;height:50pt;z-index:251753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" o:allowincell="f" stroked="f">
            <v:textbox>
              <w:txbxContent>
                <w:p w:rsidR="00BB342A" w:rsidRPr="00CA2ED5" w:rsidRDefault="00F83AA5" w:rsidP="00E5012F">
                  <w:pPr>
                    <w:rPr>
                      <w:rFonts w:ascii="Times New Roman" w:hAnsi="Times New Roman"/>
                      <w:sz w:val="24"/>
                    </w:rPr>
                  </w:pPr>
                  <w:proofErr w:type="spellStart"/>
                  <w:r>
                    <w:rPr>
                      <w:rFonts w:ascii="Times New Roman" w:hAnsi="Times New Roman"/>
                      <w:sz w:val="24"/>
                    </w:rPr>
                    <w:t>Međunarodni</w:t>
                  </w:r>
                  <w:proofErr w:type="spellEnd"/>
                  <w:r>
                    <w:rPr>
                      <w:rFonts w:ascii="Times New Roman" w:hAnsi="Times New Roman"/>
                      <w:sz w:val="24"/>
                    </w:rPr>
                    <w:t xml:space="preserve"> </w:t>
                  </w:r>
                  <w:proofErr w:type="spellStart"/>
                  <w:r>
                    <w:rPr>
                      <w:rFonts w:ascii="Times New Roman" w:hAnsi="Times New Roman"/>
                      <w:sz w:val="24"/>
                    </w:rPr>
                    <w:t>monetarni</w:t>
                  </w:r>
                  <w:proofErr w:type="spellEnd"/>
                  <w:r>
                    <w:rPr>
                      <w:rFonts w:ascii="Times New Roman" w:hAnsi="Times New Roman"/>
                      <w:sz w:val="24"/>
                    </w:rPr>
                    <w:t xml:space="preserve"> fond</w:t>
                  </w:r>
                </w:p>
                <w:p w:rsidR="00BB342A" w:rsidRPr="00CA2ED5" w:rsidRDefault="00BB342A" w:rsidP="00E5012F">
                  <w:pPr>
                    <w:rPr>
                      <w:rFonts w:ascii="Times New Roman" w:hAnsi="Times New Roman"/>
                      <w:sz w:val="24"/>
                    </w:rPr>
                  </w:pPr>
                  <w:r w:rsidRPr="00CA2ED5">
                    <w:rPr>
                      <w:rFonts w:ascii="Times New Roman" w:hAnsi="Times New Roman"/>
                      <w:sz w:val="24"/>
                    </w:rPr>
                    <w:t>700 19</w:t>
                  </w:r>
                  <w:r w:rsidRPr="00CA2ED5">
                    <w:rPr>
                      <w:rFonts w:ascii="Times New Roman" w:hAnsi="Times New Roman"/>
                      <w:sz w:val="24"/>
                      <w:vertAlign w:val="superscript"/>
                    </w:rPr>
                    <w:t>th</w:t>
                  </w:r>
                  <w:r w:rsidRPr="00CA2ED5">
                    <w:rPr>
                      <w:rFonts w:ascii="Times New Roman" w:hAnsi="Times New Roman"/>
                      <w:sz w:val="24"/>
                    </w:rPr>
                    <w:t xml:space="preserve"> Street, NW</w:t>
                  </w:r>
                </w:p>
                <w:p w:rsidR="00BB342A" w:rsidRPr="00CA2ED5" w:rsidRDefault="00BB342A" w:rsidP="00E5012F">
                  <w:pPr>
                    <w:rPr>
                      <w:rFonts w:ascii="Times New Roman" w:hAnsi="Times New Roman"/>
                      <w:sz w:val="24"/>
                    </w:rPr>
                  </w:pPr>
                  <w:r w:rsidRPr="00CA2ED5">
                    <w:rPr>
                      <w:rFonts w:ascii="Times New Roman" w:hAnsi="Times New Roman"/>
                      <w:sz w:val="24"/>
                    </w:rPr>
                    <w:t>Washington, D.C. 20431 USA</w:t>
                  </w:r>
                </w:p>
              </w:txbxContent>
            </v:textbox>
          </v:shape>
        </w:pict>
      </w:r>
    </w:p>
    <w:p w:rsidR="00E5012F" w:rsidRPr="00F83AA5" w:rsidRDefault="00F83AA5" w:rsidP="00E5012F">
      <w:pPr>
        <w:rPr>
          <w:rFonts w:ascii="Times New Roman" w:hAnsi="Times New Roman"/>
          <w:sz w:val="24"/>
          <w:lang w:val="hr-HR"/>
        </w:rPr>
      </w:pPr>
      <w:bookmarkStart w:id="0" w:name="_Toc406420349"/>
      <w:r>
        <w:rPr>
          <w:rFonts w:ascii="Times New Roman" w:hAnsi="Times New Roman"/>
          <w:sz w:val="24"/>
          <w:lang w:val="hr-HR"/>
        </w:rPr>
        <w:t>Saopštenje za medije br</w:t>
      </w:r>
      <w:r w:rsidR="00E5012F" w:rsidRPr="00F83AA5">
        <w:rPr>
          <w:rFonts w:ascii="Times New Roman" w:hAnsi="Times New Roman"/>
          <w:sz w:val="24"/>
          <w:lang w:val="hr-HR"/>
        </w:rPr>
        <w:t>. 1</w:t>
      </w:r>
      <w:r w:rsidR="002312E9" w:rsidRPr="00F83AA5">
        <w:rPr>
          <w:rFonts w:ascii="Times New Roman" w:hAnsi="Times New Roman"/>
          <w:sz w:val="24"/>
          <w:lang w:val="hr-HR"/>
        </w:rPr>
        <w:t>7</w:t>
      </w:r>
      <w:r w:rsidR="00E5012F" w:rsidRPr="00F83AA5">
        <w:rPr>
          <w:rFonts w:ascii="Times New Roman" w:hAnsi="Times New Roman"/>
          <w:sz w:val="24"/>
          <w:lang w:val="hr-HR"/>
        </w:rPr>
        <w:t>/XX</w:t>
      </w:r>
      <w:bookmarkEnd w:id="0"/>
      <w:r w:rsidR="00E5012F" w:rsidRPr="00F83AA5">
        <w:rPr>
          <w:rFonts w:ascii="Times New Roman" w:hAnsi="Times New Roman"/>
          <w:sz w:val="24"/>
          <w:lang w:val="hr-HR"/>
        </w:rPr>
        <w:t xml:space="preserve"> </w:t>
      </w:r>
      <w:bookmarkStart w:id="1" w:name="PR_RelNum"/>
      <w:bookmarkEnd w:id="1"/>
    </w:p>
    <w:p w:rsidR="00E5012F" w:rsidRPr="00F83AA5" w:rsidRDefault="00A23716" w:rsidP="00E5012F">
      <w:pPr>
        <w:rPr>
          <w:rFonts w:ascii="Times New Roman" w:hAnsi="Times New Roman"/>
          <w:sz w:val="24"/>
          <w:lang w:val="hr-HR"/>
        </w:rPr>
      </w:pPr>
      <w:r>
        <w:rPr>
          <w:rFonts w:ascii="Times New Roman" w:hAnsi="Times New Roman"/>
          <w:sz w:val="24"/>
          <w:lang w:val="hr-HR"/>
        </w:rPr>
        <w:t>ODMAH ZA OBJAVLJIVANJE</w:t>
      </w:r>
    </w:p>
    <w:p w:rsidR="00E5012F" w:rsidRPr="00F83AA5" w:rsidRDefault="00F83AA5" w:rsidP="00E5012F">
      <w:pPr>
        <w:rPr>
          <w:rFonts w:ascii="Times New Roman" w:hAnsi="Times New Roman"/>
          <w:sz w:val="24"/>
          <w:lang w:val="hr-HR"/>
        </w:rPr>
      </w:pPr>
      <w:bookmarkStart w:id="2" w:name="_Toc406420351"/>
      <w:bookmarkStart w:id="3" w:name="PR_RelDate"/>
      <w:r>
        <w:rPr>
          <w:rFonts w:ascii="Times New Roman" w:hAnsi="Times New Roman"/>
          <w:sz w:val="24"/>
          <w:lang w:val="hr-HR"/>
        </w:rPr>
        <w:t xml:space="preserve">13. septembar </w:t>
      </w:r>
      <w:r w:rsidR="00E5012F" w:rsidRPr="00F83AA5">
        <w:rPr>
          <w:rFonts w:ascii="Times New Roman" w:hAnsi="Times New Roman"/>
          <w:sz w:val="24"/>
          <w:lang w:val="hr-HR"/>
        </w:rPr>
        <w:t>201</w:t>
      </w:r>
      <w:bookmarkEnd w:id="2"/>
      <w:r w:rsidR="002312E9" w:rsidRPr="00F83AA5">
        <w:rPr>
          <w:rFonts w:ascii="Times New Roman" w:hAnsi="Times New Roman"/>
          <w:sz w:val="24"/>
          <w:lang w:val="hr-HR"/>
        </w:rPr>
        <w:t>7</w:t>
      </w:r>
      <w:bookmarkEnd w:id="3"/>
      <w:r>
        <w:rPr>
          <w:rFonts w:ascii="Times New Roman" w:hAnsi="Times New Roman"/>
          <w:sz w:val="24"/>
          <w:lang w:val="hr-HR"/>
        </w:rPr>
        <w:t>.</w:t>
      </w:r>
    </w:p>
    <w:p w:rsidR="00E5012F" w:rsidRPr="00F83AA5" w:rsidRDefault="00E5012F" w:rsidP="00E5012F">
      <w:pPr>
        <w:spacing w:line="264" w:lineRule="auto"/>
        <w:rPr>
          <w:rFonts w:ascii="Times New Roman" w:hAnsi="Times New Roman"/>
          <w:sz w:val="24"/>
          <w:lang w:val="hr-HR"/>
        </w:rPr>
      </w:pPr>
    </w:p>
    <w:p w:rsidR="00E5012F" w:rsidRPr="00F83AA5" w:rsidRDefault="00E5012F" w:rsidP="00E5012F">
      <w:pPr>
        <w:spacing w:line="264" w:lineRule="auto"/>
        <w:rPr>
          <w:sz w:val="24"/>
          <w:lang w:val="hr-HR"/>
        </w:rPr>
      </w:pPr>
    </w:p>
    <w:p w:rsidR="00371C28" w:rsidRPr="00F83AA5" w:rsidRDefault="00A23716" w:rsidP="00371C28">
      <w:pPr>
        <w:spacing w:after="240"/>
        <w:jc w:val="center"/>
        <w:rPr>
          <w:rFonts w:ascii="Times New Roman" w:hAnsi="Times New Roman"/>
          <w:b/>
          <w:sz w:val="24"/>
          <w:lang w:val="hr-HR" w:eastAsia="ja-JP"/>
        </w:rPr>
      </w:pPr>
      <w:bookmarkStart w:id="4" w:name="PR_Title"/>
      <w:bookmarkStart w:id="5" w:name="_Toc406420352"/>
      <w:r>
        <w:rPr>
          <w:rFonts w:ascii="Times New Roman" w:hAnsi="Times New Roman"/>
          <w:b/>
          <w:sz w:val="24"/>
          <w:lang w:val="hr-HR"/>
        </w:rPr>
        <w:t xml:space="preserve">Izvršni odbor </w:t>
      </w:r>
      <w:r w:rsidR="00F83AA5">
        <w:rPr>
          <w:rFonts w:ascii="Times New Roman" w:hAnsi="Times New Roman"/>
          <w:b/>
          <w:sz w:val="24"/>
          <w:lang w:val="hr-HR"/>
        </w:rPr>
        <w:t>MMF</w:t>
      </w:r>
      <w:r>
        <w:rPr>
          <w:rFonts w:ascii="Times New Roman" w:hAnsi="Times New Roman"/>
          <w:b/>
          <w:sz w:val="24"/>
          <w:lang w:val="hr-HR"/>
        </w:rPr>
        <w:t>-a je zaključio konsultacije u</w:t>
      </w:r>
      <w:r w:rsidR="00371C28" w:rsidRPr="00F83AA5">
        <w:rPr>
          <w:rFonts w:ascii="Times New Roman" w:hAnsi="Times New Roman"/>
          <w:b/>
          <w:sz w:val="24"/>
          <w:lang w:val="hr-HR"/>
        </w:rPr>
        <w:t xml:space="preserve"> </w:t>
      </w:r>
      <w:r>
        <w:rPr>
          <w:rFonts w:ascii="Times New Roman" w:hAnsi="Times New Roman"/>
          <w:b/>
          <w:sz w:val="24"/>
          <w:lang w:val="hr-HR"/>
        </w:rPr>
        <w:t xml:space="preserve">vezi sa članom </w:t>
      </w:r>
      <w:bookmarkStart w:id="6" w:name="bkcty1"/>
      <w:r w:rsidR="00371C28" w:rsidRPr="00F83AA5">
        <w:rPr>
          <w:rFonts w:ascii="Times New Roman" w:hAnsi="Times New Roman"/>
          <w:b/>
          <w:sz w:val="24"/>
          <w:lang w:val="hr-HR"/>
        </w:rPr>
        <w:t xml:space="preserve">IV </w:t>
      </w:r>
      <w:r>
        <w:rPr>
          <w:rFonts w:ascii="Times New Roman" w:hAnsi="Times New Roman"/>
          <w:b/>
          <w:sz w:val="24"/>
          <w:lang w:val="hr-HR"/>
        </w:rPr>
        <w:t xml:space="preserve">za 2017. sa Crnom Gorom </w:t>
      </w:r>
      <w:bookmarkEnd w:id="4"/>
      <w:bookmarkEnd w:id="5"/>
      <w:bookmarkEnd w:id="6"/>
    </w:p>
    <w:p w:rsidR="008B3DF9" w:rsidRPr="00F83AA5" w:rsidRDefault="00A23716" w:rsidP="00A23716">
      <w:pPr>
        <w:spacing w:after="240"/>
        <w:rPr>
          <w:rFonts w:ascii="Times New Roman" w:hAnsi="Times New Roman"/>
          <w:sz w:val="24"/>
          <w:lang w:val="hr-HR"/>
        </w:rPr>
      </w:pPr>
      <w:r>
        <w:rPr>
          <w:rFonts w:ascii="Times New Roman" w:hAnsi="Times New Roman"/>
          <w:sz w:val="24"/>
          <w:lang w:val="hr-HR"/>
        </w:rPr>
        <w:t>Dana 8. septembra 2017. Izvršni odbor Međunarodnog monetarnog fonda (MMF) je zakljčio konsultacije u vezi sa članom IV sa Crnom Gorom</w:t>
      </w:r>
      <w:r w:rsidR="00371C28" w:rsidRPr="00F83AA5">
        <w:rPr>
          <w:rFonts w:ascii="Times New Roman" w:hAnsi="Times New Roman"/>
          <w:sz w:val="24"/>
          <w:lang w:val="hr-HR"/>
        </w:rPr>
        <w:t>.</w:t>
      </w:r>
      <w:r w:rsidR="00371C28" w:rsidRPr="00F83AA5">
        <w:rPr>
          <w:rFonts w:ascii="Times New Roman" w:hAnsi="Times New Roman"/>
          <w:sz w:val="24"/>
          <w:vertAlign w:val="superscript"/>
          <w:lang w:val="hr-HR"/>
        </w:rPr>
        <w:footnoteReference w:id="2"/>
      </w:r>
    </w:p>
    <w:p w:rsidR="00A23716" w:rsidRDefault="00A23716" w:rsidP="00371C28">
      <w:pPr>
        <w:spacing w:after="240"/>
        <w:rPr>
          <w:rFonts w:ascii="Times New Roman" w:hAnsi="Times New Roman"/>
          <w:sz w:val="24"/>
          <w:lang w:val="hr-HR"/>
        </w:rPr>
      </w:pPr>
      <w:r>
        <w:rPr>
          <w:rFonts w:ascii="Times New Roman" w:hAnsi="Times New Roman"/>
          <w:sz w:val="24"/>
          <w:lang w:val="hr-HR"/>
        </w:rPr>
        <w:t xml:space="preserve">Ekonomija Crne Gore nastavlja da raste umjerenim temopom i rast bi trebalo da se nastavi na srednji rok, osnažen implementacijom velikih investicionih projekata, uključujući izgradnju autoputa Bar-Boljare.  Zaposleni MMF-a projektuju da će se ekonomija proširiti za 3 procenta u 2017. i </w:t>
      </w:r>
      <w:r w:rsidR="008B3DF9" w:rsidRPr="00F83AA5">
        <w:rPr>
          <w:rFonts w:ascii="Times New Roman" w:hAnsi="Times New Roman"/>
          <w:sz w:val="24"/>
          <w:lang w:val="hr-HR"/>
        </w:rPr>
        <w:t xml:space="preserve">2¾ </w:t>
      </w:r>
      <w:r>
        <w:rPr>
          <w:rFonts w:ascii="Times New Roman" w:hAnsi="Times New Roman"/>
          <w:sz w:val="24"/>
          <w:lang w:val="hr-HR"/>
        </w:rPr>
        <w:t xml:space="preserve">procenata u 2018., uz činjenicu da će fiskalna konsolidacija </w:t>
      </w:r>
      <w:r w:rsidR="00BE2AC6">
        <w:rPr>
          <w:rFonts w:ascii="Times New Roman" w:hAnsi="Times New Roman"/>
          <w:sz w:val="24"/>
          <w:lang w:val="hr-HR"/>
        </w:rPr>
        <w:t>praviti umjerene smetnje na rast.</w:t>
      </w:r>
    </w:p>
    <w:p w:rsidR="00BE2AC6" w:rsidRDefault="00BE2AC6" w:rsidP="00371C28">
      <w:pPr>
        <w:spacing w:after="240"/>
        <w:rPr>
          <w:rFonts w:ascii="Times New Roman" w:hAnsi="Times New Roman"/>
          <w:sz w:val="24"/>
          <w:lang w:val="hr-HR"/>
        </w:rPr>
      </w:pPr>
      <w:r>
        <w:rPr>
          <w:rFonts w:ascii="Times New Roman" w:hAnsi="Times New Roman"/>
          <w:sz w:val="24"/>
          <w:lang w:val="hr-HR"/>
        </w:rPr>
        <w:t>Dok će implementacija velikih infrastrukturnih projekata finansiranih javnim sredstvim povećati ekonomski rast, prateće korišćenje fiskalnih resursa je doprinijelo velikom povećanju državnog duga koji je dostigao 78 procenata BDP-a u 2016.  Velike potrebe za refinansiranjem u predstojećim godinama su takođe izvor fiskalnih osjetljivosti.</w:t>
      </w:r>
    </w:p>
    <w:p w:rsidR="00A973A2" w:rsidRPr="00F83AA5" w:rsidRDefault="00BE2AC6" w:rsidP="00BF7903">
      <w:pPr>
        <w:spacing w:after="240"/>
        <w:rPr>
          <w:rFonts w:ascii="Times New Roman" w:hAnsi="Times New Roman"/>
          <w:sz w:val="24"/>
          <w:lang w:val="hr-HR"/>
        </w:rPr>
      </w:pPr>
      <w:r>
        <w:rPr>
          <w:rFonts w:ascii="Times New Roman" w:hAnsi="Times New Roman"/>
          <w:sz w:val="24"/>
          <w:lang w:val="hr-HR"/>
        </w:rPr>
        <w:t xml:space="preserve">Prepoznavanjem potrebe za smanjenjem javnog duga, Vlada je počela put fiskalne konsolidacije koji je počeo sa budžetom za 2017.  Nakon toga, Vlada je u junu 2017. najavila srednjoročnu strategiju fiskalne konsolidacije, koja bi ukoliko bi se implementirala značajno ojačala fiskalnu poziciju.  Zaposleni MMF-a </w:t>
      </w:r>
      <w:r w:rsidR="00BF7903">
        <w:rPr>
          <w:rFonts w:ascii="Times New Roman" w:hAnsi="Times New Roman"/>
          <w:sz w:val="24"/>
          <w:lang w:val="hr-HR"/>
        </w:rPr>
        <w:t xml:space="preserve">su procijenili da bi vladine mjere fiskalne konsolidacije mogle da povećaju primarni fiskalni suficit na </w:t>
      </w:r>
      <w:r w:rsidR="00A973A2" w:rsidRPr="00F83AA5">
        <w:rPr>
          <w:rFonts w:ascii="Times New Roman" w:hAnsi="Times New Roman"/>
          <w:sz w:val="24"/>
          <w:lang w:val="hr-HR"/>
        </w:rPr>
        <w:t xml:space="preserve">4½ </w:t>
      </w:r>
      <w:r w:rsidR="00BF7903">
        <w:rPr>
          <w:rFonts w:ascii="Times New Roman" w:hAnsi="Times New Roman"/>
          <w:sz w:val="24"/>
          <w:lang w:val="hr-HR"/>
        </w:rPr>
        <w:t>procenta BDP-a do 2020., omogućavajući da državni dug padne na 66 procenata BDP-a do 2020.</w:t>
      </w:r>
    </w:p>
    <w:p w:rsidR="00BF7903" w:rsidRDefault="00BF7903" w:rsidP="00BF7903">
      <w:pPr>
        <w:spacing w:after="240"/>
        <w:jc w:val="both"/>
        <w:rPr>
          <w:rFonts w:ascii="Times New Roman" w:hAnsi="Times New Roman"/>
          <w:sz w:val="24"/>
          <w:lang w:val="hr-HR"/>
        </w:rPr>
      </w:pPr>
      <w:r w:rsidRPr="00BF7903">
        <w:rPr>
          <w:rFonts w:ascii="Times New Roman" w:hAnsi="Times New Roman"/>
          <w:sz w:val="24"/>
          <w:lang w:val="hr-HR"/>
        </w:rPr>
        <w:t xml:space="preserve">Uslovi u bankarskiomsektoru </w:t>
      </w:r>
      <w:r>
        <w:rPr>
          <w:rFonts w:ascii="Times New Roman" w:hAnsi="Times New Roman"/>
          <w:sz w:val="24"/>
          <w:lang w:val="hr-HR"/>
        </w:rPr>
        <w:t>nasavljaju da e</w:t>
      </w:r>
      <w:r w:rsidRPr="00BF7903">
        <w:rPr>
          <w:rFonts w:ascii="Times New Roman" w:hAnsi="Times New Roman"/>
          <w:sz w:val="24"/>
          <w:lang w:val="hr-HR"/>
        </w:rPr>
        <w:t xml:space="preserve"> unaprijeđuju, uz </w:t>
      </w:r>
      <w:r>
        <w:rPr>
          <w:rFonts w:ascii="Times New Roman" w:hAnsi="Times New Roman"/>
          <w:sz w:val="24"/>
          <w:lang w:val="hr-HR"/>
        </w:rPr>
        <w:t>unaprijeđenje kvaliteta aktive i kreditni rast koji se oporavlja.  Međutim, nekvalitetni krediti su i dalje povišeni i čini se</w:t>
      </w:r>
      <w:r w:rsidR="00A472BF">
        <w:rPr>
          <w:rFonts w:ascii="Times New Roman" w:hAnsi="Times New Roman"/>
          <w:sz w:val="24"/>
          <w:lang w:val="hr-HR"/>
        </w:rPr>
        <w:t xml:space="preserve"> da u sektoru ima previše banaka što predstavlja izazov u pogledu profitabilnosti banaka.</w:t>
      </w:r>
    </w:p>
    <w:p w:rsidR="00A472BF" w:rsidRDefault="00A472BF" w:rsidP="00C025A9">
      <w:pPr>
        <w:spacing w:after="240"/>
        <w:rPr>
          <w:rFonts w:ascii="Times New Roman" w:hAnsi="Times New Roman"/>
          <w:sz w:val="24"/>
          <w:lang w:val="hr-HR"/>
        </w:rPr>
      </w:pPr>
      <w:r>
        <w:rPr>
          <w:rFonts w:ascii="Times New Roman" w:hAnsi="Times New Roman"/>
          <w:sz w:val="24"/>
          <w:lang w:val="hr-HR"/>
        </w:rPr>
        <w:lastRenderedPageBreak/>
        <w:t>Nepostojanje nezavisne valute i opadajući fiskalni prostor ograničvaju mogućnost Crne Gore da apsrobuje šokove, štoe naglačava potrebz za unaprijeđenje ekonomske fleksibilnosti za podržavanje rasta na duži rok.  Niska produktivnost rada i nivoi zaposlenosti i veliki neformalni sektor ograničavaju potencijalni rast.  Planovi Vlade da reformiše radno zakonoda</w:t>
      </w:r>
      <w:r w:rsidR="00CD7A0C">
        <w:rPr>
          <w:rFonts w:ascii="Times New Roman" w:hAnsi="Times New Roman"/>
          <w:sz w:val="24"/>
          <w:lang w:val="hr-HR"/>
        </w:rPr>
        <w:t>v</w:t>
      </w:r>
      <w:r>
        <w:rPr>
          <w:rFonts w:ascii="Times New Roman" w:hAnsi="Times New Roman"/>
          <w:sz w:val="24"/>
          <w:lang w:val="hr-HR"/>
        </w:rPr>
        <w:t xml:space="preserve">stvo pružaju priliku za unaprijeđenje fleksibilnosti ishoda tržišta rada, </w:t>
      </w:r>
      <w:r w:rsidR="00CD7A0C">
        <w:rPr>
          <w:rFonts w:ascii="Times New Roman" w:hAnsi="Times New Roman"/>
          <w:sz w:val="24"/>
          <w:lang w:val="hr-HR"/>
        </w:rPr>
        <w:t>da se osnaže stope učešća radne snage i smanji neformalnost.</w:t>
      </w:r>
    </w:p>
    <w:p w:rsidR="00371C28" w:rsidRPr="00F83AA5" w:rsidRDefault="00CD7A0C" w:rsidP="00371C28">
      <w:pPr>
        <w:spacing w:after="240"/>
        <w:rPr>
          <w:rFonts w:ascii="Times New Roman" w:hAnsi="Times New Roman"/>
          <w:b/>
          <w:sz w:val="24"/>
          <w:lang w:val="hr-HR"/>
        </w:rPr>
      </w:pPr>
      <w:r>
        <w:rPr>
          <w:rFonts w:ascii="Times New Roman" w:hAnsi="Times New Roman"/>
          <w:b/>
          <w:sz w:val="24"/>
          <w:lang w:val="hr-HR"/>
        </w:rPr>
        <w:t>Ocjena Izvršnog odbora</w:t>
      </w:r>
      <w:r w:rsidR="00371C28" w:rsidRPr="00F83AA5">
        <w:rPr>
          <w:rStyle w:val="FootnoteReference"/>
          <w:rFonts w:ascii="Times New Roman" w:hAnsi="Times New Roman"/>
          <w:sz w:val="24"/>
          <w:lang w:val="hr-HR"/>
        </w:rPr>
        <w:footnoteReference w:id="3"/>
      </w:r>
    </w:p>
    <w:p w:rsidR="00CD7A0C" w:rsidRDefault="00CD7A0C" w:rsidP="009E6C21">
      <w:pPr>
        <w:pStyle w:val="Level1"/>
        <w:widowControl/>
        <w:numPr>
          <w:ilvl w:val="0"/>
          <w:numId w:val="0"/>
        </w:numPr>
        <w:spacing w:after="0" w:line="264" w:lineRule="auto"/>
        <w:contextualSpacing/>
        <w:rPr>
          <w:szCs w:val="24"/>
          <w:lang w:val="hr-HR"/>
        </w:rPr>
      </w:pPr>
      <w:r>
        <w:rPr>
          <w:szCs w:val="24"/>
          <w:lang w:val="hr-HR"/>
        </w:rPr>
        <w:t xml:space="preserve">Izvršni direktori su pozdravili učinak Crne Gore u pogledu rasta, koji je osnažen velikim investicionim projektima i unaprijeđenje uslova u bankarskom sektoru.  Iako su ekonomski izgledi pozitivni, rizici koji proizilaze iz velikog povežanja javnog duga i potreba za eksternim finansiranjem otvaraju zabrinutosti </w:t>
      </w:r>
      <w:r w:rsidR="00E5323C">
        <w:rPr>
          <w:szCs w:val="24"/>
          <w:lang w:val="hr-HR"/>
        </w:rPr>
        <w:t>u pogledu fiskalne održivosti i eksterne stabilnosti.  Kada se ima u vidu ova</w:t>
      </w:r>
      <w:r w:rsidR="00BB01A4">
        <w:rPr>
          <w:szCs w:val="24"/>
          <w:lang w:val="hr-HR"/>
        </w:rPr>
        <w:t>j ambijent, Direktori su naglasili značaj nastavka fiskalnog prilagođavanja kako bi se smanio dug i ispunile potrebe za refinansiranjem, nastavak napora u jačanju fiskalnog skeotra i fiskalne i strukturne reforme kako bi se podržao veći i inkluzivniji rast.</w:t>
      </w:r>
    </w:p>
    <w:p w:rsidR="00BB01A4" w:rsidRDefault="00BB01A4" w:rsidP="009E6C21">
      <w:pPr>
        <w:pStyle w:val="Level1"/>
        <w:widowControl/>
        <w:numPr>
          <w:ilvl w:val="0"/>
          <w:numId w:val="0"/>
        </w:numPr>
        <w:spacing w:after="0" w:line="264" w:lineRule="auto"/>
        <w:contextualSpacing/>
        <w:rPr>
          <w:szCs w:val="24"/>
          <w:lang w:val="hr-HR"/>
        </w:rPr>
      </w:pPr>
    </w:p>
    <w:p w:rsidR="00BB01A4" w:rsidRDefault="00BB01A4" w:rsidP="009E6C21">
      <w:pPr>
        <w:pStyle w:val="Level1"/>
        <w:widowControl/>
        <w:numPr>
          <w:ilvl w:val="0"/>
          <w:numId w:val="0"/>
        </w:numPr>
        <w:spacing w:after="0" w:line="264" w:lineRule="auto"/>
        <w:contextualSpacing/>
        <w:rPr>
          <w:szCs w:val="24"/>
          <w:lang w:val="hr-HR"/>
        </w:rPr>
      </w:pPr>
      <w:r>
        <w:rPr>
          <w:szCs w:val="24"/>
          <w:lang w:val="hr-HR"/>
        </w:rPr>
        <w:t>Direktori su pozdravili dobro definisan, srednjoročni plan fiskalnog prilagođavanja nadležnih organa, koji sadrži mjere socijalne zaštite za najosjetljivije grupe.  Oni su se saglasili da bi plan, ukoliko bi se u potpunosti sproveo, postavio državni dug na snažanu silaznu putanju.  S obzirom na veličinu prilagođavanja koje se namjerava sprovesti, Direktori mislie da bi bilo korisno da se javnosti jasno saopšti potreba i razlozi za prilagođavanjem.  Oni su takođe vidjeli prostor za dodatna smanjenja državnih rashoda na srednji rok, uključujući kroz reformu javne uprave i penzionu reformu.  Direktori su saglasni da ne postoji fiskalni prostor za finansiranje narednih faza projekta autoputa kroz zaduživanje i ohrabrili su nadležne organe da istraže druge opcije za finansiranje.</w:t>
      </w:r>
    </w:p>
    <w:p w:rsidR="00BB01A4" w:rsidRDefault="00BB01A4" w:rsidP="009E6C21">
      <w:pPr>
        <w:pStyle w:val="Level1"/>
        <w:widowControl/>
        <w:numPr>
          <w:ilvl w:val="0"/>
          <w:numId w:val="0"/>
        </w:numPr>
        <w:spacing w:after="0" w:line="264" w:lineRule="auto"/>
        <w:contextualSpacing/>
        <w:rPr>
          <w:szCs w:val="24"/>
          <w:lang w:val="hr-HR"/>
        </w:rPr>
      </w:pPr>
    </w:p>
    <w:p w:rsidR="009E6C21" w:rsidRDefault="00BB01A4" w:rsidP="00BB01A4">
      <w:pPr>
        <w:pStyle w:val="Level1"/>
        <w:widowControl/>
        <w:numPr>
          <w:ilvl w:val="0"/>
          <w:numId w:val="0"/>
        </w:numPr>
        <w:spacing w:after="0" w:line="264" w:lineRule="auto"/>
        <w:contextualSpacing/>
        <w:rPr>
          <w:szCs w:val="24"/>
          <w:lang w:val="hr-HR"/>
        </w:rPr>
      </w:pPr>
      <w:r>
        <w:rPr>
          <w:szCs w:val="24"/>
          <w:lang w:val="hr-HR"/>
        </w:rPr>
        <w:t xml:space="preserve">Direktori su primijetili da iako se unaprijedilo zdravlje bankarskog sistema, nekvalitetni krediiti (NPL) su, iako u opadanju, i dalje </w:t>
      </w:r>
      <w:r w:rsidR="00F0153D">
        <w:rPr>
          <w:szCs w:val="24"/>
          <w:lang w:val="hr-HR"/>
        </w:rPr>
        <w:t xml:space="preserve">visoki, dok je profitabilnsot i dalje slaba.  Oni su se složili da bi nadležni organi trebalo da traže dodatno smanjenje nivoa NPL-ova uz jačanje supervizorskog i regulatornog okvira.  Direktori su pozdravili namjeru nadležnih organa da se sprovede revizija kvaliteta aktive.  Napominjući da u sistemu možda ima previše banaka, vidjeli su pogodnosti od mogućih napora u promovisanju konsolidacije.  Direktori su ohrabrili nadležne organe da istraže opcije za unaprijeđenje pomoći za likvidnost u hitnim situacijam i pozdravili su namjeru da se proširi obuhvat supervizije kako bi se uključile nebankarske finansijske institucije.  Oni su pozdravili napredak u implementaciji nekih od FSAP preporuka i preporučili da nadležni organi nastave sa mjerama na jačanju otpornosti </w:t>
      </w:r>
      <w:r w:rsidR="00F0153D">
        <w:rPr>
          <w:szCs w:val="24"/>
          <w:lang w:val="hr-HR"/>
        </w:rPr>
        <w:lastRenderedPageBreak/>
        <w:t>finansijskog sektora i daljem jačanju okvira za spriječavanje pranja novca i protiv finansiranja terorizma.</w:t>
      </w:r>
    </w:p>
    <w:p w:rsidR="00F0153D" w:rsidRPr="00F83AA5" w:rsidRDefault="00F0153D" w:rsidP="00BB01A4">
      <w:pPr>
        <w:pStyle w:val="Level1"/>
        <w:widowControl/>
        <w:numPr>
          <w:ilvl w:val="0"/>
          <w:numId w:val="0"/>
        </w:numPr>
        <w:spacing w:after="0" w:line="264" w:lineRule="auto"/>
        <w:contextualSpacing/>
        <w:rPr>
          <w:szCs w:val="24"/>
          <w:lang w:val="hr-HR"/>
        </w:rPr>
      </w:pPr>
    </w:p>
    <w:p w:rsidR="009E6C21" w:rsidRDefault="00EF60FE" w:rsidP="00EF60FE">
      <w:pPr>
        <w:pStyle w:val="Level1"/>
        <w:widowControl/>
        <w:numPr>
          <w:ilvl w:val="0"/>
          <w:numId w:val="0"/>
        </w:numPr>
        <w:spacing w:after="0" w:line="264" w:lineRule="auto"/>
        <w:contextualSpacing/>
        <w:rPr>
          <w:szCs w:val="24"/>
          <w:lang w:val="hr-HR"/>
        </w:rPr>
      </w:pPr>
      <w:r>
        <w:rPr>
          <w:szCs w:val="24"/>
          <w:lang w:val="hr-HR"/>
        </w:rPr>
        <w:t>Direktori su podvukli značaj strukturnih reformi kako bi se osnažila konkurentnost, produktivnost i investicije privatnog sektora za podržavanje ekonomskog rasta na duži rok.  Oni su ohrabrili nadležne organe da koriste novi zakon o radu koji se trenutno razmatra kako bi unaprijedili fleksibilnost na tržištu rada, olakšali stvaranje novih radnih mjesta i smanjili neformalnu ekonomiju.  Direktori su podržali prebacivanje oporezivanja sa doprinosa za socijano osiguranje na akcize na ugalj kako bi se promovisali veći nivoi formalnog zapošljavanja, smanjile subvencije za energiju i smanjilo lokalno zagađenje.  Ohrabreno je i ubrzavanje privatizacije preostalih preduzeće u državnom vlasništvu.</w:t>
      </w:r>
    </w:p>
    <w:p w:rsidR="00B13166" w:rsidRPr="00F83AA5" w:rsidRDefault="00B13166" w:rsidP="00371C28">
      <w:pPr>
        <w:spacing w:after="240"/>
        <w:rPr>
          <w:rFonts w:ascii="Times New Roman" w:hAnsi="Times New Roman"/>
          <w:b/>
          <w:sz w:val="24"/>
          <w:lang w:val="hr-HR"/>
        </w:rPr>
      </w:pPr>
    </w:p>
    <w:p w:rsidR="004457E1" w:rsidRPr="00F83AA5" w:rsidRDefault="004457E1" w:rsidP="00371C28">
      <w:pPr>
        <w:spacing w:after="240"/>
        <w:rPr>
          <w:rFonts w:ascii="Times New Roman" w:hAnsi="Times New Roman"/>
          <w:b/>
          <w:sz w:val="24"/>
          <w:lang w:val="hr-HR"/>
        </w:rPr>
      </w:pPr>
    </w:p>
    <w:p w:rsidR="004457E1" w:rsidRPr="00F83AA5" w:rsidRDefault="004457E1" w:rsidP="00371C28">
      <w:pPr>
        <w:spacing w:after="240"/>
        <w:rPr>
          <w:rFonts w:ascii="Times New Roman" w:hAnsi="Times New Roman"/>
          <w:b/>
          <w:sz w:val="24"/>
          <w:lang w:val="hr-HR"/>
        </w:rPr>
      </w:pPr>
    </w:p>
    <w:p w:rsidR="004457E1" w:rsidRPr="00F83AA5" w:rsidRDefault="004457E1" w:rsidP="00371C28">
      <w:pPr>
        <w:spacing w:after="240"/>
        <w:rPr>
          <w:rFonts w:ascii="Times New Roman" w:hAnsi="Times New Roman"/>
          <w:b/>
          <w:sz w:val="24"/>
          <w:lang w:val="hr-HR"/>
        </w:rPr>
      </w:pPr>
    </w:p>
    <w:p w:rsidR="004457E1" w:rsidRPr="00F83AA5" w:rsidRDefault="004457E1" w:rsidP="00371C28">
      <w:pPr>
        <w:spacing w:after="240"/>
        <w:rPr>
          <w:rFonts w:ascii="Times New Roman" w:hAnsi="Times New Roman"/>
          <w:b/>
          <w:sz w:val="24"/>
          <w:lang w:val="hr-HR"/>
        </w:rPr>
      </w:pPr>
    </w:p>
    <w:p w:rsidR="004457E1" w:rsidRPr="00F83AA5" w:rsidRDefault="004457E1" w:rsidP="00371C28">
      <w:pPr>
        <w:spacing w:after="240"/>
        <w:rPr>
          <w:rFonts w:ascii="Times New Roman" w:hAnsi="Times New Roman"/>
          <w:b/>
          <w:sz w:val="24"/>
          <w:lang w:val="hr-HR"/>
        </w:rPr>
      </w:pPr>
    </w:p>
    <w:p w:rsidR="004457E1" w:rsidRPr="00F83AA5" w:rsidRDefault="004457E1" w:rsidP="00371C28">
      <w:pPr>
        <w:spacing w:after="240"/>
        <w:rPr>
          <w:rFonts w:ascii="Times New Roman" w:hAnsi="Times New Roman"/>
          <w:b/>
          <w:sz w:val="24"/>
          <w:lang w:val="hr-HR"/>
        </w:rPr>
      </w:pPr>
    </w:p>
    <w:p w:rsidR="004457E1" w:rsidRPr="00F83AA5" w:rsidRDefault="004457E1" w:rsidP="00371C28">
      <w:pPr>
        <w:spacing w:after="240"/>
        <w:rPr>
          <w:rFonts w:ascii="Times New Roman" w:hAnsi="Times New Roman"/>
          <w:b/>
          <w:sz w:val="24"/>
          <w:lang w:val="hr-HR"/>
        </w:rPr>
      </w:pPr>
    </w:p>
    <w:p w:rsidR="004457E1" w:rsidRPr="00F83AA5" w:rsidRDefault="004457E1" w:rsidP="00371C28">
      <w:pPr>
        <w:spacing w:after="240"/>
        <w:rPr>
          <w:rFonts w:ascii="Times New Roman" w:hAnsi="Times New Roman"/>
          <w:b/>
          <w:sz w:val="24"/>
          <w:lang w:val="hr-HR"/>
        </w:rPr>
      </w:pPr>
    </w:p>
    <w:p w:rsidR="004457E1" w:rsidRPr="00F83AA5" w:rsidRDefault="004457E1" w:rsidP="00371C28">
      <w:pPr>
        <w:spacing w:after="240"/>
        <w:rPr>
          <w:rFonts w:ascii="Times New Roman" w:hAnsi="Times New Roman"/>
          <w:b/>
          <w:sz w:val="24"/>
          <w:lang w:val="hr-HR"/>
        </w:rPr>
      </w:pPr>
    </w:p>
    <w:p w:rsidR="004457E1" w:rsidRPr="00F83AA5" w:rsidRDefault="004457E1" w:rsidP="00371C28">
      <w:pPr>
        <w:spacing w:after="240"/>
        <w:rPr>
          <w:rFonts w:ascii="Times New Roman" w:hAnsi="Times New Roman"/>
          <w:b/>
          <w:sz w:val="24"/>
          <w:lang w:val="hr-HR"/>
        </w:rPr>
      </w:pPr>
    </w:p>
    <w:p w:rsidR="004457E1" w:rsidRPr="00F83AA5" w:rsidRDefault="004457E1" w:rsidP="00371C28">
      <w:pPr>
        <w:spacing w:after="240"/>
        <w:rPr>
          <w:rFonts w:ascii="Times New Roman" w:hAnsi="Times New Roman"/>
          <w:b/>
          <w:sz w:val="24"/>
          <w:lang w:val="hr-HR"/>
        </w:rPr>
      </w:pPr>
    </w:p>
    <w:p w:rsidR="009E6C21" w:rsidRPr="00F83AA5" w:rsidRDefault="009E6C21" w:rsidP="00371C28">
      <w:pPr>
        <w:spacing w:after="240"/>
        <w:rPr>
          <w:rFonts w:ascii="Times New Roman" w:hAnsi="Times New Roman"/>
          <w:b/>
          <w:sz w:val="24"/>
          <w:lang w:val="hr-HR"/>
        </w:rPr>
      </w:pPr>
    </w:p>
    <w:p w:rsidR="009E6C21" w:rsidRPr="00F83AA5" w:rsidRDefault="009E6C21" w:rsidP="00371C28">
      <w:pPr>
        <w:spacing w:after="240"/>
        <w:rPr>
          <w:rFonts w:ascii="Times New Roman" w:hAnsi="Times New Roman"/>
          <w:b/>
          <w:sz w:val="24"/>
          <w:lang w:val="hr-HR"/>
        </w:rPr>
      </w:pPr>
      <w:bookmarkStart w:id="7" w:name="_GoBack"/>
      <w:bookmarkEnd w:id="7"/>
    </w:p>
    <w:p w:rsidR="004457E1" w:rsidRPr="00F83AA5" w:rsidRDefault="004457E1" w:rsidP="00371C28">
      <w:pPr>
        <w:spacing w:after="240"/>
        <w:rPr>
          <w:rFonts w:ascii="Times New Roman" w:hAnsi="Times New Roman"/>
          <w:b/>
          <w:sz w:val="24"/>
          <w:lang w:val="hr-HR"/>
        </w:rPr>
      </w:pPr>
    </w:p>
    <w:p w:rsidR="004457E1" w:rsidRPr="00F83AA5" w:rsidRDefault="004457E1" w:rsidP="00371C28">
      <w:pPr>
        <w:spacing w:after="240"/>
        <w:rPr>
          <w:rFonts w:ascii="Times New Roman" w:hAnsi="Times New Roman"/>
          <w:b/>
          <w:sz w:val="24"/>
          <w:lang w:val="hr-HR"/>
        </w:rPr>
      </w:pPr>
    </w:p>
    <w:p w:rsidR="00A23716" w:rsidRDefault="00A23716">
      <w:pPr>
        <w:spacing w:line="22" w:lineRule="auto"/>
        <w:rPr>
          <w:rFonts w:ascii="Times New Roman" w:hAnsi="Times New Roman"/>
          <w:b/>
          <w:sz w:val="24"/>
          <w:lang w:val="hr-HR"/>
        </w:rPr>
      </w:pPr>
      <w:r>
        <w:rPr>
          <w:rFonts w:ascii="Times New Roman" w:hAnsi="Times New Roman"/>
          <w:b/>
          <w:sz w:val="24"/>
          <w:lang w:val="hr-HR"/>
        </w:rPr>
        <w:br w:type="page"/>
      </w:r>
    </w:p>
    <w:p w:rsidR="004457E1" w:rsidRPr="00F83AA5" w:rsidRDefault="004457E1" w:rsidP="00371C28">
      <w:pPr>
        <w:spacing w:after="240"/>
        <w:rPr>
          <w:rFonts w:ascii="Times New Roman" w:hAnsi="Times New Roman"/>
          <w:b/>
          <w:sz w:val="24"/>
          <w:lang w:val="hr-HR"/>
        </w:rPr>
      </w:pPr>
    </w:p>
    <w:tbl>
      <w:tblPr>
        <w:tblW w:w="9235" w:type="dxa"/>
        <w:jc w:val="center"/>
        <w:tblLayout w:type="fixed"/>
        <w:tblLook w:val="0000"/>
      </w:tblPr>
      <w:tblGrid>
        <w:gridCol w:w="309"/>
        <w:gridCol w:w="4476"/>
        <w:gridCol w:w="771"/>
        <w:gridCol w:w="771"/>
        <w:gridCol w:w="771"/>
        <w:gridCol w:w="665"/>
        <w:gridCol w:w="713"/>
        <w:gridCol w:w="759"/>
      </w:tblGrid>
      <w:tr w:rsidR="00BB342A" w:rsidRPr="00F83AA5" w:rsidTr="00BB342A">
        <w:trPr>
          <w:trHeight w:val="350"/>
          <w:jc w:val="center"/>
        </w:trPr>
        <w:tc>
          <w:tcPr>
            <w:tcW w:w="9235" w:type="dxa"/>
            <w:gridSpan w:val="8"/>
            <w:tcBorders>
              <w:top w:val="single" w:sz="4" w:space="0" w:color="auto"/>
              <w:left w:val="single" w:sz="4" w:space="0" w:color="auto"/>
              <w:bottom w:val="single" w:sz="4" w:space="0" w:color="auto"/>
              <w:right w:val="single" w:sz="4" w:space="0" w:color="auto"/>
            </w:tcBorders>
            <w:shd w:val="clear" w:color="auto" w:fill="auto"/>
          </w:tcPr>
          <w:p w:rsidR="00BB342A" w:rsidRPr="00F83AA5" w:rsidRDefault="00BE2AC6" w:rsidP="00BE2AC6">
            <w:pPr>
              <w:keepNext/>
              <w:keepLines/>
              <w:suppressLineNumbers/>
              <w:suppressAutoHyphens/>
              <w:spacing w:before="40" w:after="40" w:line="264" w:lineRule="auto"/>
              <w:jc w:val="center"/>
              <w:rPr>
                <w:rFonts w:cs="Segoe UI"/>
                <w:b/>
                <w:color w:val="4B82AD"/>
                <w:szCs w:val="21"/>
                <w:lang w:val="hr-HR"/>
              </w:rPr>
            </w:pPr>
            <w:r>
              <w:rPr>
                <w:rFonts w:cs="Segoe UI"/>
                <w:b/>
                <w:color w:val="4B82AD"/>
                <w:szCs w:val="21"/>
                <w:lang w:val="hr-HR"/>
              </w:rPr>
              <w:t>Crna Gora</w:t>
            </w:r>
            <w:r w:rsidR="00BB342A" w:rsidRPr="00F83AA5">
              <w:rPr>
                <w:rFonts w:cs="Segoe UI"/>
                <w:b/>
                <w:color w:val="4B82AD"/>
                <w:szCs w:val="21"/>
                <w:lang w:val="hr-HR"/>
              </w:rPr>
              <w:t xml:space="preserve">: </w:t>
            </w:r>
            <w:r>
              <w:rPr>
                <w:rFonts w:cs="Segoe UI"/>
                <w:b/>
                <w:color w:val="4B82AD"/>
                <w:szCs w:val="21"/>
                <w:lang w:val="hr-HR"/>
              </w:rPr>
              <w:t>Odabrani ekonoski indikatori</w:t>
            </w:r>
          </w:p>
        </w:tc>
      </w:tr>
      <w:tr w:rsidR="00BB342A" w:rsidRPr="00F83AA5" w:rsidTr="00BB342A">
        <w:tblPrEx>
          <w:tblBorders>
            <w:top w:val="single" w:sz="4" w:space="0" w:color="auto"/>
            <w:left w:val="single" w:sz="4" w:space="0" w:color="auto"/>
            <w:bottom w:val="single" w:sz="4" w:space="0" w:color="auto"/>
            <w:right w:val="single" w:sz="4" w:space="0" w:color="auto"/>
          </w:tblBorders>
          <w:tblLook w:val="04A0"/>
        </w:tblPrEx>
        <w:trPr>
          <w:trHeight w:val="255"/>
          <w:jc w:val="center"/>
        </w:trPr>
        <w:tc>
          <w:tcPr>
            <w:tcW w:w="309" w:type="dxa"/>
            <w:tcBorders>
              <w:top w:val="single" w:sz="4" w:space="0" w:color="auto"/>
              <w:bottom w:val="nil"/>
            </w:tcBorders>
            <w:shd w:val="clear" w:color="000000" w:fill="FFFFFF"/>
            <w:noWrap/>
            <w:vAlign w:val="bottom"/>
            <w:hideMark/>
          </w:tcPr>
          <w:p w:rsidR="00BB342A" w:rsidRPr="00F83AA5" w:rsidRDefault="00BB342A" w:rsidP="00BB342A">
            <w:pPr>
              <w:jc w:val="right"/>
              <w:rPr>
                <w:rFonts w:cs="Segoe UI"/>
                <w:sz w:val="18"/>
                <w:szCs w:val="18"/>
                <w:lang w:val="hr-HR"/>
              </w:rPr>
            </w:pPr>
          </w:p>
        </w:tc>
        <w:tc>
          <w:tcPr>
            <w:tcW w:w="4476" w:type="dxa"/>
            <w:tcBorders>
              <w:top w:val="single" w:sz="4" w:space="0" w:color="auto"/>
              <w:bottom w:val="nil"/>
            </w:tcBorders>
            <w:shd w:val="clear" w:color="000000" w:fill="FFFFFF"/>
            <w:noWrap/>
            <w:vAlign w:val="bottom"/>
            <w:hideMark/>
          </w:tcPr>
          <w:p w:rsidR="00BB342A" w:rsidRPr="00F83AA5" w:rsidRDefault="00BB342A" w:rsidP="00BB342A">
            <w:pPr>
              <w:jc w:val="right"/>
              <w:rPr>
                <w:rFonts w:cs="Segoe UI"/>
                <w:sz w:val="18"/>
                <w:szCs w:val="18"/>
                <w:lang w:val="hr-HR"/>
              </w:rPr>
            </w:pPr>
          </w:p>
        </w:tc>
        <w:tc>
          <w:tcPr>
            <w:tcW w:w="771" w:type="dxa"/>
            <w:tcBorders>
              <w:top w:val="single" w:sz="4" w:space="0" w:color="auto"/>
              <w:bottom w:val="nil"/>
            </w:tcBorders>
            <w:shd w:val="clear" w:color="000000" w:fill="FFFFFF"/>
            <w:noWrap/>
            <w:vAlign w:val="bottom"/>
            <w:hideMark/>
          </w:tcPr>
          <w:p w:rsidR="00BB342A" w:rsidRPr="00F83AA5" w:rsidRDefault="00BB342A" w:rsidP="00BB342A">
            <w:pPr>
              <w:spacing w:line="240" w:lineRule="auto"/>
              <w:jc w:val="right"/>
              <w:rPr>
                <w:rFonts w:cs="Segoe UI"/>
                <w:sz w:val="18"/>
                <w:szCs w:val="18"/>
                <w:lang w:val="hr-HR"/>
              </w:rPr>
            </w:pPr>
            <w:r w:rsidRPr="00F83AA5">
              <w:rPr>
                <w:rFonts w:cs="Segoe UI"/>
                <w:sz w:val="18"/>
                <w:szCs w:val="18"/>
                <w:lang w:val="hr-HR"/>
              </w:rPr>
              <w:t>2013</w:t>
            </w:r>
          </w:p>
        </w:tc>
        <w:tc>
          <w:tcPr>
            <w:tcW w:w="771" w:type="dxa"/>
            <w:tcBorders>
              <w:top w:val="single" w:sz="4" w:space="0" w:color="auto"/>
              <w:bottom w:val="nil"/>
            </w:tcBorders>
            <w:shd w:val="clear" w:color="000000" w:fill="FFFFFF"/>
            <w:noWrap/>
            <w:vAlign w:val="bottom"/>
            <w:hideMark/>
          </w:tcPr>
          <w:p w:rsidR="00BB342A" w:rsidRPr="00F83AA5" w:rsidRDefault="00BB342A" w:rsidP="00BB342A">
            <w:pPr>
              <w:jc w:val="right"/>
              <w:rPr>
                <w:rFonts w:cs="Segoe UI"/>
                <w:sz w:val="18"/>
                <w:szCs w:val="18"/>
                <w:lang w:val="hr-HR"/>
              </w:rPr>
            </w:pPr>
            <w:r w:rsidRPr="00F83AA5">
              <w:rPr>
                <w:rFonts w:cs="Segoe UI"/>
                <w:sz w:val="18"/>
                <w:szCs w:val="18"/>
                <w:lang w:val="hr-HR"/>
              </w:rPr>
              <w:t>2014</w:t>
            </w:r>
          </w:p>
        </w:tc>
        <w:tc>
          <w:tcPr>
            <w:tcW w:w="771" w:type="dxa"/>
            <w:tcBorders>
              <w:top w:val="single" w:sz="4" w:space="0" w:color="auto"/>
              <w:bottom w:val="nil"/>
            </w:tcBorders>
            <w:shd w:val="clear" w:color="000000" w:fill="FFFFFF"/>
            <w:noWrap/>
            <w:vAlign w:val="bottom"/>
            <w:hideMark/>
          </w:tcPr>
          <w:p w:rsidR="00BB342A" w:rsidRPr="00F83AA5" w:rsidRDefault="00BB342A" w:rsidP="00BB342A">
            <w:pPr>
              <w:jc w:val="right"/>
              <w:rPr>
                <w:rFonts w:cs="Segoe UI"/>
                <w:sz w:val="18"/>
                <w:szCs w:val="18"/>
                <w:lang w:val="hr-HR"/>
              </w:rPr>
            </w:pPr>
            <w:r w:rsidRPr="00F83AA5">
              <w:rPr>
                <w:rFonts w:cs="Segoe UI"/>
                <w:sz w:val="18"/>
                <w:szCs w:val="18"/>
                <w:lang w:val="hr-HR"/>
              </w:rPr>
              <w:t>2015</w:t>
            </w:r>
          </w:p>
        </w:tc>
        <w:tc>
          <w:tcPr>
            <w:tcW w:w="665" w:type="dxa"/>
            <w:tcBorders>
              <w:top w:val="single" w:sz="4" w:space="0" w:color="auto"/>
              <w:bottom w:val="nil"/>
            </w:tcBorders>
            <w:shd w:val="clear" w:color="000000" w:fill="FFFFFF"/>
            <w:noWrap/>
            <w:vAlign w:val="bottom"/>
            <w:hideMark/>
          </w:tcPr>
          <w:p w:rsidR="00BB342A" w:rsidRPr="00F83AA5" w:rsidRDefault="00BB342A" w:rsidP="00BB342A">
            <w:pPr>
              <w:jc w:val="right"/>
              <w:rPr>
                <w:rFonts w:cs="Segoe UI"/>
                <w:sz w:val="18"/>
                <w:szCs w:val="18"/>
                <w:lang w:val="hr-HR"/>
              </w:rPr>
            </w:pPr>
            <w:r w:rsidRPr="00F83AA5">
              <w:rPr>
                <w:rFonts w:cs="Segoe UI"/>
                <w:sz w:val="18"/>
                <w:szCs w:val="18"/>
                <w:lang w:val="hr-HR"/>
              </w:rPr>
              <w:t>2016</w:t>
            </w:r>
          </w:p>
        </w:tc>
        <w:tc>
          <w:tcPr>
            <w:tcW w:w="713" w:type="dxa"/>
            <w:tcBorders>
              <w:top w:val="single" w:sz="4" w:space="0" w:color="auto"/>
              <w:bottom w:val="nil"/>
            </w:tcBorders>
            <w:shd w:val="clear" w:color="000000" w:fill="FFFFFF"/>
            <w:noWrap/>
            <w:vAlign w:val="bottom"/>
            <w:hideMark/>
          </w:tcPr>
          <w:p w:rsidR="00BB342A" w:rsidRPr="00F83AA5" w:rsidRDefault="00BB342A" w:rsidP="00BB342A">
            <w:pPr>
              <w:jc w:val="right"/>
              <w:rPr>
                <w:rFonts w:cs="Segoe UI"/>
                <w:sz w:val="18"/>
                <w:szCs w:val="18"/>
                <w:lang w:val="hr-HR"/>
              </w:rPr>
            </w:pPr>
            <w:r w:rsidRPr="00F83AA5">
              <w:rPr>
                <w:rFonts w:cs="Segoe UI"/>
                <w:sz w:val="18"/>
                <w:szCs w:val="18"/>
                <w:lang w:val="hr-HR"/>
              </w:rPr>
              <w:t>2017</w:t>
            </w:r>
          </w:p>
        </w:tc>
        <w:tc>
          <w:tcPr>
            <w:tcW w:w="759" w:type="dxa"/>
            <w:tcBorders>
              <w:top w:val="single" w:sz="4" w:space="0" w:color="auto"/>
              <w:bottom w:val="nil"/>
            </w:tcBorders>
            <w:shd w:val="clear" w:color="000000" w:fill="FFFFFF"/>
            <w:noWrap/>
            <w:vAlign w:val="bottom"/>
            <w:hideMark/>
          </w:tcPr>
          <w:p w:rsidR="00BB342A" w:rsidRPr="00F83AA5" w:rsidRDefault="00BB342A" w:rsidP="00BB342A">
            <w:pPr>
              <w:jc w:val="right"/>
              <w:rPr>
                <w:rFonts w:cs="Segoe UI"/>
                <w:sz w:val="18"/>
                <w:szCs w:val="18"/>
                <w:lang w:val="hr-HR"/>
              </w:rPr>
            </w:pPr>
            <w:r w:rsidRPr="00F83AA5">
              <w:rPr>
                <w:rFonts w:cs="Segoe UI"/>
                <w:sz w:val="18"/>
                <w:szCs w:val="18"/>
                <w:lang w:val="hr-HR"/>
              </w:rPr>
              <w:t>2018</w:t>
            </w:r>
          </w:p>
        </w:tc>
      </w:tr>
      <w:tr w:rsidR="00BB342A" w:rsidRPr="00F83AA5" w:rsidTr="00BB342A">
        <w:tblPrEx>
          <w:tblBorders>
            <w:top w:val="single" w:sz="4" w:space="0" w:color="auto"/>
            <w:left w:val="single" w:sz="4" w:space="0" w:color="auto"/>
            <w:bottom w:val="single" w:sz="4" w:space="0" w:color="auto"/>
            <w:right w:val="single" w:sz="4" w:space="0" w:color="auto"/>
          </w:tblBorders>
          <w:tblLook w:val="04A0"/>
        </w:tblPrEx>
        <w:trPr>
          <w:trHeight w:val="255"/>
          <w:jc w:val="center"/>
        </w:trPr>
        <w:tc>
          <w:tcPr>
            <w:tcW w:w="309" w:type="dxa"/>
            <w:tcBorders>
              <w:top w:val="nil"/>
              <w:bottom w:val="single" w:sz="4" w:space="0" w:color="auto"/>
            </w:tcBorders>
            <w:shd w:val="clear" w:color="000000" w:fill="FFFFFF"/>
            <w:noWrap/>
            <w:vAlign w:val="bottom"/>
            <w:hideMark/>
          </w:tcPr>
          <w:p w:rsidR="00BB342A" w:rsidRPr="00F83AA5" w:rsidRDefault="00BB342A" w:rsidP="00BB342A">
            <w:pPr>
              <w:jc w:val="right"/>
              <w:rPr>
                <w:rFonts w:cs="Segoe UI"/>
                <w:sz w:val="18"/>
                <w:szCs w:val="18"/>
                <w:lang w:val="hr-HR"/>
              </w:rPr>
            </w:pPr>
            <w:r w:rsidRPr="00F83AA5">
              <w:rPr>
                <w:rFonts w:cs="Segoe UI"/>
                <w:sz w:val="18"/>
                <w:szCs w:val="18"/>
                <w:lang w:val="hr-HR"/>
              </w:rPr>
              <w:t> </w:t>
            </w:r>
          </w:p>
        </w:tc>
        <w:tc>
          <w:tcPr>
            <w:tcW w:w="4476" w:type="dxa"/>
            <w:tcBorders>
              <w:top w:val="nil"/>
              <w:bottom w:val="single" w:sz="4" w:space="0" w:color="auto"/>
            </w:tcBorders>
            <w:shd w:val="clear" w:color="000000" w:fill="FFFFFF"/>
            <w:noWrap/>
            <w:vAlign w:val="bottom"/>
            <w:hideMark/>
          </w:tcPr>
          <w:p w:rsidR="00BB342A" w:rsidRPr="00F83AA5" w:rsidRDefault="00BB342A" w:rsidP="00BB342A">
            <w:pPr>
              <w:jc w:val="right"/>
              <w:rPr>
                <w:rFonts w:cs="Segoe UI"/>
                <w:sz w:val="18"/>
                <w:szCs w:val="18"/>
                <w:lang w:val="hr-HR"/>
              </w:rPr>
            </w:pPr>
            <w:r w:rsidRPr="00F83AA5">
              <w:rPr>
                <w:rFonts w:cs="Segoe UI"/>
                <w:sz w:val="18"/>
                <w:szCs w:val="18"/>
                <w:lang w:val="hr-HR"/>
              </w:rPr>
              <w:t> </w:t>
            </w:r>
          </w:p>
        </w:tc>
        <w:tc>
          <w:tcPr>
            <w:tcW w:w="771" w:type="dxa"/>
            <w:tcBorders>
              <w:top w:val="nil"/>
              <w:bottom w:val="single" w:sz="4" w:space="0" w:color="auto"/>
            </w:tcBorders>
            <w:shd w:val="clear" w:color="000000" w:fill="FFFFFF"/>
            <w:noWrap/>
            <w:vAlign w:val="bottom"/>
            <w:hideMark/>
          </w:tcPr>
          <w:p w:rsidR="00BB342A" w:rsidRPr="00F83AA5" w:rsidRDefault="00BB342A" w:rsidP="00BB342A">
            <w:pPr>
              <w:jc w:val="right"/>
              <w:rPr>
                <w:rFonts w:cs="Segoe UI"/>
                <w:sz w:val="18"/>
                <w:szCs w:val="18"/>
                <w:lang w:val="hr-HR"/>
              </w:rPr>
            </w:pPr>
          </w:p>
        </w:tc>
        <w:tc>
          <w:tcPr>
            <w:tcW w:w="771" w:type="dxa"/>
            <w:tcBorders>
              <w:top w:val="nil"/>
              <w:bottom w:val="single" w:sz="4" w:space="0" w:color="auto"/>
            </w:tcBorders>
            <w:shd w:val="clear" w:color="000000" w:fill="FFFFFF"/>
            <w:noWrap/>
            <w:vAlign w:val="bottom"/>
            <w:hideMark/>
          </w:tcPr>
          <w:p w:rsidR="00BB342A" w:rsidRPr="00F83AA5" w:rsidRDefault="00BB342A" w:rsidP="00BB342A">
            <w:pPr>
              <w:jc w:val="right"/>
              <w:rPr>
                <w:rFonts w:cs="Segoe UI"/>
                <w:sz w:val="18"/>
                <w:szCs w:val="18"/>
                <w:lang w:val="hr-HR"/>
              </w:rPr>
            </w:pPr>
          </w:p>
        </w:tc>
        <w:tc>
          <w:tcPr>
            <w:tcW w:w="771" w:type="dxa"/>
            <w:tcBorders>
              <w:top w:val="nil"/>
              <w:bottom w:val="single" w:sz="4" w:space="0" w:color="auto"/>
            </w:tcBorders>
            <w:shd w:val="clear" w:color="000000" w:fill="FFFFFF"/>
            <w:noWrap/>
            <w:vAlign w:val="bottom"/>
            <w:hideMark/>
          </w:tcPr>
          <w:p w:rsidR="00BB342A" w:rsidRPr="00F83AA5" w:rsidRDefault="00BB342A" w:rsidP="00BB342A">
            <w:pPr>
              <w:jc w:val="right"/>
              <w:rPr>
                <w:rFonts w:cs="Segoe UI"/>
                <w:sz w:val="18"/>
                <w:szCs w:val="18"/>
                <w:lang w:val="hr-HR"/>
              </w:rPr>
            </w:pPr>
          </w:p>
        </w:tc>
        <w:tc>
          <w:tcPr>
            <w:tcW w:w="665" w:type="dxa"/>
            <w:tcBorders>
              <w:top w:val="nil"/>
              <w:bottom w:val="single" w:sz="4" w:space="0" w:color="auto"/>
            </w:tcBorders>
            <w:shd w:val="clear" w:color="000000" w:fill="FFFFFF"/>
            <w:noWrap/>
            <w:vAlign w:val="bottom"/>
            <w:hideMark/>
          </w:tcPr>
          <w:p w:rsidR="00BB342A" w:rsidRPr="00F83AA5" w:rsidRDefault="00BB342A" w:rsidP="00BB342A">
            <w:pPr>
              <w:jc w:val="right"/>
              <w:rPr>
                <w:rFonts w:cs="Segoe UI"/>
                <w:sz w:val="18"/>
                <w:szCs w:val="18"/>
                <w:lang w:val="hr-HR"/>
              </w:rPr>
            </w:pPr>
          </w:p>
        </w:tc>
        <w:tc>
          <w:tcPr>
            <w:tcW w:w="713" w:type="dxa"/>
            <w:tcBorders>
              <w:top w:val="nil"/>
              <w:bottom w:val="single" w:sz="4" w:space="0" w:color="auto"/>
            </w:tcBorders>
            <w:shd w:val="clear" w:color="000000" w:fill="FFFFFF"/>
            <w:noWrap/>
            <w:vAlign w:val="bottom"/>
            <w:hideMark/>
          </w:tcPr>
          <w:p w:rsidR="00BB342A" w:rsidRPr="00F83AA5" w:rsidRDefault="00BB342A" w:rsidP="00BB342A">
            <w:pPr>
              <w:jc w:val="right"/>
              <w:rPr>
                <w:rFonts w:cs="Segoe UI"/>
                <w:sz w:val="18"/>
                <w:szCs w:val="18"/>
                <w:lang w:val="hr-HR"/>
              </w:rPr>
            </w:pPr>
            <w:r w:rsidRPr="00F83AA5">
              <w:rPr>
                <w:rFonts w:cs="Segoe UI"/>
                <w:sz w:val="18"/>
                <w:szCs w:val="18"/>
                <w:lang w:val="hr-HR"/>
              </w:rPr>
              <w:t>Proj.</w:t>
            </w:r>
          </w:p>
        </w:tc>
        <w:tc>
          <w:tcPr>
            <w:tcW w:w="759" w:type="dxa"/>
            <w:tcBorders>
              <w:top w:val="nil"/>
              <w:bottom w:val="single" w:sz="4" w:space="0" w:color="auto"/>
            </w:tcBorders>
            <w:shd w:val="clear" w:color="000000" w:fill="FFFFFF"/>
            <w:noWrap/>
            <w:vAlign w:val="bottom"/>
            <w:hideMark/>
          </w:tcPr>
          <w:p w:rsidR="00BB342A" w:rsidRPr="00F83AA5" w:rsidRDefault="00BB342A" w:rsidP="00BB342A">
            <w:pPr>
              <w:jc w:val="right"/>
              <w:rPr>
                <w:rFonts w:cs="Segoe UI"/>
                <w:sz w:val="18"/>
                <w:szCs w:val="18"/>
                <w:lang w:val="hr-HR"/>
              </w:rPr>
            </w:pPr>
            <w:r w:rsidRPr="00F83AA5">
              <w:rPr>
                <w:rFonts w:cs="Segoe UI"/>
                <w:sz w:val="18"/>
                <w:szCs w:val="18"/>
                <w:lang w:val="hr-HR"/>
              </w:rPr>
              <w:t>Proj.</w:t>
            </w:r>
          </w:p>
        </w:tc>
      </w:tr>
      <w:tr w:rsidR="00BB342A" w:rsidRPr="00F83AA5" w:rsidTr="00BB342A">
        <w:tblPrEx>
          <w:tblBorders>
            <w:top w:val="single" w:sz="4" w:space="0" w:color="auto"/>
            <w:left w:val="single" w:sz="4" w:space="0" w:color="auto"/>
            <w:bottom w:val="single" w:sz="4" w:space="0" w:color="auto"/>
            <w:right w:val="single" w:sz="4" w:space="0" w:color="auto"/>
          </w:tblBorders>
          <w:tblLook w:val="04A0"/>
        </w:tblPrEx>
        <w:trPr>
          <w:trHeight w:val="342"/>
          <w:jc w:val="center"/>
        </w:trPr>
        <w:tc>
          <w:tcPr>
            <w:tcW w:w="9235" w:type="dxa"/>
            <w:gridSpan w:val="8"/>
            <w:tcBorders>
              <w:top w:val="single" w:sz="4" w:space="0" w:color="auto"/>
            </w:tcBorders>
            <w:shd w:val="clear" w:color="000000" w:fill="FFFFFF"/>
            <w:noWrap/>
            <w:vAlign w:val="bottom"/>
            <w:hideMark/>
          </w:tcPr>
          <w:p w:rsidR="00BB342A" w:rsidRPr="00F83AA5" w:rsidRDefault="00BB342A" w:rsidP="00EF60FE">
            <w:pPr>
              <w:spacing w:before="240"/>
              <w:rPr>
                <w:rFonts w:cs="Segoe UI"/>
                <w:sz w:val="18"/>
                <w:szCs w:val="18"/>
                <w:lang w:val="hr-HR"/>
              </w:rPr>
            </w:pPr>
            <w:r w:rsidRPr="00F83AA5">
              <w:rPr>
                <w:rFonts w:cs="Segoe UI"/>
                <w:b/>
                <w:sz w:val="18"/>
                <w:szCs w:val="18"/>
                <w:lang w:val="hr-HR"/>
              </w:rPr>
              <w:t xml:space="preserve">Output, </w:t>
            </w:r>
            <w:r w:rsidR="00EF60FE">
              <w:rPr>
                <w:rFonts w:cs="Segoe UI"/>
                <w:b/>
                <w:sz w:val="18"/>
                <w:szCs w:val="18"/>
                <w:lang w:val="hr-HR"/>
              </w:rPr>
              <w:t>cijene i tržište rada</w:t>
            </w:r>
            <w:r w:rsidRPr="00F83AA5">
              <w:rPr>
                <w:rFonts w:cs="Segoe UI"/>
                <w:sz w:val="18"/>
                <w:szCs w:val="18"/>
                <w:lang w:val="hr-HR"/>
              </w:rPr>
              <w:t xml:space="preserve"> (</w:t>
            </w:r>
            <w:r w:rsidR="00EF60FE">
              <w:rPr>
                <w:rFonts w:cs="Segoe UI"/>
                <w:sz w:val="18"/>
                <w:szCs w:val="18"/>
                <w:lang w:val="hr-HR"/>
              </w:rPr>
              <w:t>procenat promjene</w:t>
            </w:r>
            <w:r w:rsidR="00BB7A7D">
              <w:rPr>
                <w:rFonts w:cs="Segoe UI"/>
                <w:sz w:val="18"/>
                <w:szCs w:val="18"/>
                <w:lang w:val="hr-HR"/>
              </w:rPr>
              <w:t xml:space="preserve">, </w:t>
            </w:r>
            <w:r w:rsidR="00EF60FE">
              <w:rPr>
                <w:rFonts w:cs="Segoe UI"/>
                <w:sz w:val="18"/>
                <w:szCs w:val="18"/>
                <w:lang w:val="hr-HR"/>
              </w:rPr>
              <w:t>osim ako nije drugačije navedeno</w:t>
            </w:r>
            <w:r w:rsidRPr="00F83AA5">
              <w:rPr>
                <w:rFonts w:cs="Segoe UI"/>
                <w:sz w:val="18"/>
                <w:szCs w:val="18"/>
                <w:lang w:val="hr-HR"/>
              </w:rPr>
              <w:t>) </w:t>
            </w:r>
          </w:p>
        </w:tc>
      </w:tr>
      <w:tr w:rsidR="00A62D97" w:rsidRPr="00F83AA5" w:rsidTr="00DA589A">
        <w:tblPrEx>
          <w:tblBorders>
            <w:top w:val="single" w:sz="4" w:space="0" w:color="auto"/>
            <w:left w:val="single" w:sz="4" w:space="0" w:color="auto"/>
            <w:bottom w:val="single" w:sz="4" w:space="0" w:color="auto"/>
            <w:right w:val="single" w:sz="4" w:space="0" w:color="auto"/>
          </w:tblBorders>
          <w:tblLook w:val="04A0"/>
        </w:tblPrEx>
        <w:trPr>
          <w:trHeight w:val="255"/>
          <w:jc w:val="center"/>
        </w:trPr>
        <w:tc>
          <w:tcPr>
            <w:tcW w:w="309" w:type="dxa"/>
            <w:shd w:val="clear" w:color="000000" w:fill="FFFFFF"/>
            <w:noWrap/>
            <w:vAlign w:val="bottom"/>
            <w:hideMark/>
          </w:tcPr>
          <w:p w:rsidR="00A62D97" w:rsidRPr="00F83AA5" w:rsidRDefault="00A62D97" w:rsidP="00A62D97">
            <w:pPr>
              <w:rPr>
                <w:rFonts w:cs="Segoe UI"/>
                <w:sz w:val="18"/>
                <w:szCs w:val="18"/>
                <w:lang w:val="hr-HR"/>
              </w:rPr>
            </w:pPr>
            <w:r w:rsidRPr="00F83AA5">
              <w:rPr>
                <w:rFonts w:cs="Segoe UI"/>
                <w:sz w:val="18"/>
                <w:szCs w:val="18"/>
                <w:lang w:val="hr-HR"/>
              </w:rPr>
              <w:t> </w:t>
            </w:r>
          </w:p>
        </w:tc>
        <w:tc>
          <w:tcPr>
            <w:tcW w:w="4476" w:type="dxa"/>
            <w:shd w:val="clear" w:color="000000" w:fill="FFFFFF"/>
            <w:noWrap/>
            <w:vAlign w:val="bottom"/>
            <w:hideMark/>
          </w:tcPr>
          <w:p w:rsidR="00A62D97" w:rsidRPr="00F83AA5" w:rsidRDefault="00BB7A7D" w:rsidP="00BB7A7D">
            <w:pPr>
              <w:rPr>
                <w:rFonts w:cs="Segoe UI"/>
                <w:sz w:val="18"/>
                <w:szCs w:val="18"/>
                <w:lang w:val="hr-HR"/>
              </w:rPr>
            </w:pPr>
            <w:r>
              <w:rPr>
                <w:rFonts w:cs="Segoe UI"/>
                <w:sz w:val="18"/>
                <w:szCs w:val="18"/>
                <w:lang w:val="hr-HR"/>
              </w:rPr>
              <w:t>Realni BDP</w:t>
            </w:r>
            <w:r w:rsidR="00A62D97" w:rsidRPr="00F83AA5">
              <w:rPr>
                <w:rFonts w:cs="Segoe UI"/>
                <w:sz w:val="18"/>
                <w:szCs w:val="18"/>
                <w:lang w:val="hr-HR"/>
              </w:rPr>
              <w:t xml:space="preserve"> (</w:t>
            </w:r>
            <w:r>
              <w:rPr>
                <w:rFonts w:cs="Segoe UI"/>
                <w:sz w:val="18"/>
                <w:szCs w:val="18"/>
                <w:lang w:val="hr-HR"/>
              </w:rPr>
              <w:t>procenat promjene</w:t>
            </w:r>
            <w:r w:rsidR="00A62D97" w:rsidRPr="00F83AA5">
              <w:rPr>
                <w:rFonts w:cs="Segoe UI"/>
                <w:sz w:val="18"/>
                <w:szCs w:val="18"/>
                <w:lang w:val="hr-HR"/>
              </w:rPr>
              <w:t>)</w:t>
            </w:r>
          </w:p>
        </w:tc>
        <w:tc>
          <w:tcPr>
            <w:tcW w:w="771" w:type="dxa"/>
            <w:shd w:val="clear" w:color="000000" w:fill="FFFFFF"/>
            <w:noWrap/>
            <w:vAlign w:val="bottom"/>
            <w:hideMark/>
          </w:tcPr>
          <w:p w:rsidR="00A62D97" w:rsidRPr="00F83AA5" w:rsidRDefault="00A62D97" w:rsidP="00A62D97">
            <w:pPr>
              <w:spacing w:line="240" w:lineRule="auto"/>
              <w:jc w:val="right"/>
              <w:rPr>
                <w:rFonts w:cs="Segoe UI"/>
                <w:sz w:val="18"/>
                <w:szCs w:val="18"/>
                <w:lang w:val="hr-HR"/>
              </w:rPr>
            </w:pPr>
            <w:r w:rsidRPr="00F83AA5">
              <w:rPr>
                <w:rFonts w:cs="Segoe UI"/>
                <w:sz w:val="18"/>
                <w:szCs w:val="18"/>
                <w:lang w:val="hr-HR"/>
              </w:rPr>
              <w:t>3.5</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1.8</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3.4</w:t>
            </w:r>
          </w:p>
        </w:tc>
        <w:tc>
          <w:tcPr>
            <w:tcW w:w="665"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2.5</w:t>
            </w:r>
          </w:p>
        </w:tc>
        <w:tc>
          <w:tcPr>
            <w:tcW w:w="713"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3.0</w:t>
            </w:r>
          </w:p>
        </w:tc>
        <w:tc>
          <w:tcPr>
            <w:tcW w:w="759"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2.8</w:t>
            </w:r>
          </w:p>
        </w:tc>
      </w:tr>
      <w:tr w:rsidR="00A62D97" w:rsidRPr="00F83AA5" w:rsidTr="00DA589A">
        <w:tblPrEx>
          <w:tblBorders>
            <w:top w:val="single" w:sz="4" w:space="0" w:color="auto"/>
            <w:left w:val="single" w:sz="4" w:space="0" w:color="auto"/>
            <w:bottom w:val="single" w:sz="4" w:space="0" w:color="auto"/>
            <w:right w:val="single" w:sz="4" w:space="0" w:color="auto"/>
          </w:tblBorders>
          <w:tblLook w:val="04A0"/>
        </w:tblPrEx>
        <w:trPr>
          <w:trHeight w:val="255"/>
          <w:jc w:val="center"/>
        </w:trPr>
        <w:tc>
          <w:tcPr>
            <w:tcW w:w="309" w:type="dxa"/>
            <w:shd w:val="clear" w:color="000000" w:fill="FFFFFF"/>
            <w:noWrap/>
            <w:vAlign w:val="bottom"/>
            <w:hideMark/>
          </w:tcPr>
          <w:p w:rsidR="00A62D97" w:rsidRPr="00F83AA5" w:rsidRDefault="00A62D97" w:rsidP="00A62D97">
            <w:pPr>
              <w:rPr>
                <w:rFonts w:cs="Segoe UI"/>
                <w:sz w:val="18"/>
                <w:szCs w:val="18"/>
                <w:lang w:val="hr-HR"/>
              </w:rPr>
            </w:pPr>
            <w:r w:rsidRPr="00F83AA5">
              <w:rPr>
                <w:rFonts w:cs="Segoe UI"/>
                <w:sz w:val="18"/>
                <w:szCs w:val="18"/>
                <w:lang w:val="hr-HR"/>
              </w:rPr>
              <w:t> </w:t>
            </w:r>
          </w:p>
        </w:tc>
        <w:tc>
          <w:tcPr>
            <w:tcW w:w="4476" w:type="dxa"/>
            <w:shd w:val="clear" w:color="000000" w:fill="FFFFFF"/>
            <w:noWrap/>
            <w:vAlign w:val="bottom"/>
            <w:hideMark/>
          </w:tcPr>
          <w:p w:rsidR="00A62D97" w:rsidRPr="00F83AA5" w:rsidRDefault="00A62D97" w:rsidP="00BB7A7D">
            <w:pPr>
              <w:rPr>
                <w:rFonts w:cs="Segoe UI"/>
                <w:sz w:val="18"/>
                <w:szCs w:val="18"/>
                <w:lang w:val="hr-HR"/>
              </w:rPr>
            </w:pPr>
            <w:r w:rsidRPr="00F83AA5">
              <w:rPr>
                <w:rFonts w:cs="Segoe UI"/>
                <w:sz w:val="18"/>
                <w:szCs w:val="18"/>
                <w:lang w:val="hr-HR"/>
              </w:rPr>
              <w:t>Nominal</w:t>
            </w:r>
            <w:r w:rsidR="00BB7A7D">
              <w:rPr>
                <w:rFonts w:cs="Segoe UI"/>
                <w:sz w:val="18"/>
                <w:szCs w:val="18"/>
                <w:lang w:val="hr-HR"/>
              </w:rPr>
              <w:t>ni</w:t>
            </w:r>
            <w:r w:rsidRPr="00F83AA5">
              <w:rPr>
                <w:rFonts w:cs="Segoe UI"/>
                <w:sz w:val="18"/>
                <w:szCs w:val="18"/>
                <w:lang w:val="hr-HR"/>
              </w:rPr>
              <w:t xml:space="preserve"> </w:t>
            </w:r>
            <w:r w:rsidR="00BB7A7D">
              <w:rPr>
                <w:rFonts w:cs="Segoe UI"/>
                <w:sz w:val="18"/>
                <w:szCs w:val="18"/>
                <w:lang w:val="hr-HR"/>
              </w:rPr>
              <w:t>B</w:t>
            </w:r>
            <w:r w:rsidRPr="00F83AA5">
              <w:rPr>
                <w:rFonts w:cs="Segoe UI"/>
                <w:sz w:val="18"/>
                <w:szCs w:val="18"/>
                <w:lang w:val="hr-HR"/>
              </w:rPr>
              <w:t>DP (</w:t>
            </w:r>
            <w:r w:rsidR="00BB7A7D">
              <w:rPr>
                <w:rFonts w:cs="Segoe UI"/>
                <w:sz w:val="18"/>
                <w:szCs w:val="18"/>
                <w:lang w:val="hr-HR"/>
              </w:rPr>
              <w:t>u miliona eura</w:t>
            </w:r>
            <w:r w:rsidRPr="00F83AA5">
              <w:rPr>
                <w:rFonts w:cs="Segoe UI"/>
                <w:sz w:val="18"/>
                <w:szCs w:val="18"/>
                <w:lang w:val="hr-HR"/>
              </w:rPr>
              <w:t>)</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3,362</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3,458</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3,625</w:t>
            </w:r>
          </w:p>
        </w:tc>
        <w:tc>
          <w:tcPr>
            <w:tcW w:w="665"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3,773</w:t>
            </w:r>
          </w:p>
        </w:tc>
        <w:tc>
          <w:tcPr>
            <w:tcW w:w="713"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3,970</w:t>
            </w:r>
          </w:p>
        </w:tc>
        <w:tc>
          <w:tcPr>
            <w:tcW w:w="759"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4,187</w:t>
            </w:r>
          </w:p>
        </w:tc>
      </w:tr>
      <w:tr w:rsidR="00A62D97" w:rsidRPr="00F83AA5" w:rsidTr="00BB342A">
        <w:tblPrEx>
          <w:tblBorders>
            <w:top w:val="single" w:sz="4" w:space="0" w:color="auto"/>
            <w:left w:val="single" w:sz="4" w:space="0" w:color="auto"/>
            <w:bottom w:val="single" w:sz="4" w:space="0" w:color="auto"/>
            <w:right w:val="single" w:sz="4" w:space="0" w:color="auto"/>
          </w:tblBorders>
          <w:tblLook w:val="04A0"/>
        </w:tblPrEx>
        <w:trPr>
          <w:trHeight w:val="255"/>
          <w:jc w:val="center"/>
        </w:trPr>
        <w:tc>
          <w:tcPr>
            <w:tcW w:w="309" w:type="dxa"/>
            <w:shd w:val="clear" w:color="000000" w:fill="FFFFFF"/>
            <w:noWrap/>
            <w:vAlign w:val="bottom"/>
            <w:hideMark/>
          </w:tcPr>
          <w:p w:rsidR="00A62D97" w:rsidRPr="00F83AA5" w:rsidRDefault="00A62D97" w:rsidP="00A62D97">
            <w:pPr>
              <w:rPr>
                <w:rFonts w:cs="Segoe UI"/>
                <w:sz w:val="18"/>
                <w:szCs w:val="18"/>
                <w:lang w:val="hr-HR"/>
              </w:rPr>
            </w:pPr>
            <w:r w:rsidRPr="00F83AA5">
              <w:rPr>
                <w:rFonts w:cs="Segoe UI"/>
                <w:sz w:val="18"/>
                <w:szCs w:val="18"/>
                <w:lang w:val="hr-HR"/>
              </w:rPr>
              <w:t> </w:t>
            </w:r>
          </w:p>
        </w:tc>
        <w:tc>
          <w:tcPr>
            <w:tcW w:w="4476" w:type="dxa"/>
            <w:shd w:val="clear" w:color="000000" w:fill="FFFFFF"/>
            <w:noWrap/>
            <w:vAlign w:val="bottom"/>
            <w:hideMark/>
          </w:tcPr>
          <w:p w:rsidR="00A62D97" w:rsidRPr="00F83AA5" w:rsidRDefault="00BB7A7D" w:rsidP="00A62D97">
            <w:pPr>
              <w:rPr>
                <w:rFonts w:cs="Segoe UI"/>
                <w:sz w:val="18"/>
                <w:szCs w:val="18"/>
                <w:lang w:val="hr-HR"/>
              </w:rPr>
            </w:pPr>
            <w:r>
              <w:rPr>
                <w:rFonts w:cs="Segoe UI"/>
                <w:sz w:val="18"/>
                <w:szCs w:val="18"/>
                <w:lang w:val="hr-HR"/>
              </w:rPr>
              <w:t>Industrijska proizvodnja</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10.6</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-11.4</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7.9</w:t>
            </w:r>
          </w:p>
        </w:tc>
        <w:tc>
          <w:tcPr>
            <w:tcW w:w="665"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-4.4</w:t>
            </w:r>
          </w:p>
        </w:tc>
        <w:tc>
          <w:tcPr>
            <w:tcW w:w="713"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w:t>
            </w:r>
          </w:p>
        </w:tc>
        <w:tc>
          <w:tcPr>
            <w:tcW w:w="759"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w:t>
            </w:r>
          </w:p>
        </w:tc>
      </w:tr>
      <w:tr w:rsidR="00A62D97" w:rsidRPr="00F83AA5" w:rsidTr="00BB342A">
        <w:tblPrEx>
          <w:tblBorders>
            <w:top w:val="single" w:sz="4" w:space="0" w:color="auto"/>
            <w:left w:val="single" w:sz="4" w:space="0" w:color="auto"/>
            <w:bottom w:val="single" w:sz="4" w:space="0" w:color="auto"/>
            <w:right w:val="single" w:sz="4" w:space="0" w:color="auto"/>
          </w:tblBorders>
          <w:tblLook w:val="04A0"/>
        </w:tblPrEx>
        <w:trPr>
          <w:trHeight w:val="255"/>
          <w:jc w:val="center"/>
        </w:trPr>
        <w:tc>
          <w:tcPr>
            <w:tcW w:w="309" w:type="dxa"/>
            <w:shd w:val="clear" w:color="auto" w:fill="auto"/>
            <w:noWrap/>
            <w:vAlign w:val="bottom"/>
            <w:hideMark/>
          </w:tcPr>
          <w:p w:rsidR="00A62D97" w:rsidRPr="00F83AA5" w:rsidRDefault="00A62D97" w:rsidP="00A62D97">
            <w:pPr>
              <w:rPr>
                <w:rFonts w:cs="Segoe UI"/>
                <w:sz w:val="18"/>
                <w:szCs w:val="18"/>
                <w:lang w:val="hr-HR"/>
              </w:rPr>
            </w:pPr>
          </w:p>
        </w:tc>
        <w:tc>
          <w:tcPr>
            <w:tcW w:w="4476" w:type="dxa"/>
            <w:shd w:val="clear" w:color="auto" w:fill="auto"/>
            <w:noWrap/>
            <w:vAlign w:val="bottom"/>
            <w:hideMark/>
          </w:tcPr>
          <w:p w:rsidR="00A62D97" w:rsidRPr="00F83AA5" w:rsidRDefault="00BB7A7D" w:rsidP="00BB7A7D">
            <w:pPr>
              <w:rPr>
                <w:rFonts w:cs="Segoe UI"/>
                <w:sz w:val="18"/>
                <w:szCs w:val="18"/>
                <w:lang w:val="hr-HR"/>
              </w:rPr>
            </w:pPr>
            <w:r>
              <w:rPr>
                <w:rFonts w:cs="Segoe UI"/>
                <w:sz w:val="18"/>
                <w:szCs w:val="18"/>
                <w:lang w:val="hr-HR"/>
              </w:rPr>
              <w:t>Turizam</w:t>
            </w:r>
            <w:r w:rsidR="00A62D97" w:rsidRPr="00F83AA5">
              <w:rPr>
                <w:rFonts w:cs="Segoe UI"/>
                <w:sz w:val="18"/>
                <w:szCs w:val="18"/>
                <w:lang w:val="hr-HR"/>
              </w:rPr>
              <w:t xml:space="preserve"> (</w:t>
            </w:r>
            <w:r>
              <w:rPr>
                <w:rFonts w:cs="Segoe UI"/>
                <w:sz w:val="18"/>
                <w:szCs w:val="18"/>
                <w:lang w:val="hr-HR"/>
              </w:rPr>
              <w:t>noćenja</w:t>
            </w:r>
            <w:r w:rsidR="00A62D97" w:rsidRPr="00F83AA5">
              <w:rPr>
                <w:rFonts w:cs="Segoe UI"/>
                <w:sz w:val="18"/>
                <w:szCs w:val="18"/>
                <w:lang w:val="hr-HR"/>
              </w:rPr>
              <w:t>)</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7.1</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-9.2</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5.3</w:t>
            </w:r>
          </w:p>
        </w:tc>
        <w:tc>
          <w:tcPr>
            <w:tcW w:w="665"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8.4</w:t>
            </w:r>
          </w:p>
        </w:tc>
        <w:tc>
          <w:tcPr>
            <w:tcW w:w="713"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w:t>
            </w:r>
          </w:p>
        </w:tc>
        <w:tc>
          <w:tcPr>
            <w:tcW w:w="759"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w:t>
            </w:r>
          </w:p>
        </w:tc>
      </w:tr>
      <w:tr w:rsidR="00A62D97" w:rsidRPr="00F83AA5" w:rsidTr="00BB342A">
        <w:tblPrEx>
          <w:tblBorders>
            <w:top w:val="single" w:sz="4" w:space="0" w:color="auto"/>
            <w:left w:val="single" w:sz="4" w:space="0" w:color="auto"/>
            <w:bottom w:val="single" w:sz="4" w:space="0" w:color="auto"/>
            <w:right w:val="single" w:sz="4" w:space="0" w:color="auto"/>
          </w:tblBorders>
          <w:tblLook w:val="04A0"/>
        </w:tblPrEx>
        <w:trPr>
          <w:trHeight w:val="255"/>
          <w:jc w:val="center"/>
        </w:trPr>
        <w:tc>
          <w:tcPr>
            <w:tcW w:w="309" w:type="dxa"/>
            <w:shd w:val="clear" w:color="000000" w:fill="FFFFFF"/>
            <w:noWrap/>
            <w:vAlign w:val="bottom"/>
            <w:hideMark/>
          </w:tcPr>
          <w:p w:rsidR="00A62D97" w:rsidRPr="00F83AA5" w:rsidRDefault="00A62D97" w:rsidP="00A62D97">
            <w:pPr>
              <w:rPr>
                <w:rFonts w:cs="Segoe UI"/>
                <w:sz w:val="18"/>
                <w:szCs w:val="18"/>
                <w:lang w:val="hr-HR"/>
              </w:rPr>
            </w:pPr>
            <w:r w:rsidRPr="00F83AA5">
              <w:rPr>
                <w:rFonts w:cs="Segoe UI"/>
                <w:sz w:val="18"/>
                <w:szCs w:val="18"/>
                <w:lang w:val="hr-HR"/>
              </w:rPr>
              <w:t> </w:t>
            </w:r>
          </w:p>
        </w:tc>
        <w:tc>
          <w:tcPr>
            <w:tcW w:w="4476" w:type="dxa"/>
            <w:shd w:val="clear" w:color="000000" w:fill="FFFFFF"/>
            <w:noWrap/>
            <w:vAlign w:val="bottom"/>
            <w:hideMark/>
          </w:tcPr>
          <w:p w:rsidR="00A62D97" w:rsidRPr="00F83AA5" w:rsidRDefault="00A62D97" w:rsidP="00BB7A7D">
            <w:pPr>
              <w:rPr>
                <w:rFonts w:cs="Segoe UI"/>
                <w:sz w:val="18"/>
                <w:szCs w:val="18"/>
                <w:lang w:val="hr-HR"/>
              </w:rPr>
            </w:pPr>
            <w:r w:rsidRPr="00F83AA5">
              <w:rPr>
                <w:rFonts w:cs="Segoe UI"/>
                <w:sz w:val="18"/>
                <w:szCs w:val="18"/>
                <w:lang w:val="hr-HR"/>
              </w:rPr>
              <w:t>Unemployment rate (</w:t>
            </w:r>
            <w:r w:rsidR="00BB7A7D">
              <w:rPr>
                <w:rFonts w:cs="Segoe UI"/>
                <w:sz w:val="18"/>
                <w:szCs w:val="18"/>
                <w:lang w:val="hr-HR"/>
              </w:rPr>
              <w:t>u procentima</w:t>
            </w:r>
            <w:r w:rsidRPr="00F83AA5">
              <w:rPr>
                <w:rFonts w:cs="Segoe UI"/>
                <w:sz w:val="18"/>
                <w:szCs w:val="18"/>
                <w:lang w:val="hr-HR"/>
              </w:rPr>
              <w:t xml:space="preserve">) </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19.5</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18.0</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17.6</w:t>
            </w:r>
          </w:p>
        </w:tc>
        <w:tc>
          <w:tcPr>
            <w:tcW w:w="665"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17.7</w:t>
            </w:r>
          </w:p>
        </w:tc>
        <w:tc>
          <w:tcPr>
            <w:tcW w:w="713"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w:t>
            </w:r>
          </w:p>
        </w:tc>
        <w:tc>
          <w:tcPr>
            <w:tcW w:w="759"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w:t>
            </w:r>
          </w:p>
        </w:tc>
      </w:tr>
      <w:tr w:rsidR="00A62D97" w:rsidRPr="00F83AA5" w:rsidTr="00BB342A">
        <w:tblPrEx>
          <w:tblBorders>
            <w:top w:val="single" w:sz="4" w:space="0" w:color="auto"/>
            <w:left w:val="single" w:sz="4" w:space="0" w:color="auto"/>
            <w:bottom w:val="single" w:sz="4" w:space="0" w:color="auto"/>
            <w:right w:val="single" w:sz="4" w:space="0" w:color="auto"/>
          </w:tblBorders>
          <w:tblLook w:val="04A0"/>
        </w:tblPrEx>
        <w:trPr>
          <w:trHeight w:val="255"/>
          <w:jc w:val="center"/>
        </w:trPr>
        <w:tc>
          <w:tcPr>
            <w:tcW w:w="309" w:type="dxa"/>
            <w:shd w:val="clear" w:color="000000" w:fill="FFFFFF"/>
            <w:noWrap/>
            <w:vAlign w:val="bottom"/>
            <w:hideMark/>
          </w:tcPr>
          <w:p w:rsidR="00A62D97" w:rsidRPr="00F83AA5" w:rsidRDefault="00A62D97" w:rsidP="00A62D97">
            <w:pPr>
              <w:rPr>
                <w:rFonts w:cs="Segoe UI"/>
                <w:sz w:val="18"/>
                <w:szCs w:val="18"/>
                <w:lang w:val="hr-HR"/>
              </w:rPr>
            </w:pPr>
            <w:r w:rsidRPr="00F83AA5">
              <w:rPr>
                <w:rFonts w:cs="Segoe UI"/>
                <w:sz w:val="18"/>
                <w:szCs w:val="18"/>
                <w:lang w:val="hr-HR"/>
              </w:rPr>
              <w:t> </w:t>
            </w:r>
          </w:p>
        </w:tc>
        <w:tc>
          <w:tcPr>
            <w:tcW w:w="4476" w:type="dxa"/>
            <w:shd w:val="clear" w:color="000000" w:fill="FFFFFF"/>
            <w:noWrap/>
            <w:vAlign w:val="bottom"/>
            <w:hideMark/>
          </w:tcPr>
          <w:p w:rsidR="00A62D97" w:rsidRPr="00F83AA5" w:rsidRDefault="00BB7A7D" w:rsidP="00BB7A7D">
            <w:pPr>
              <w:rPr>
                <w:rFonts w:cs="Segoe UI"/>
                <w:sz w:val="18"/>
                <w:szCs w:val="18"/>
                <w:lang w:val="hr-HR"/>
              </w:rPr>
            </w:pPr>
            <w:r>
              <w:rPr>
                <w:rFonts w:cs="Segoe UI"/>
                <w:sz w:val="18"/>
                <w:szCs w:val="18"/>
                <w:lang w:val="hr-HR"/>
              </w:rPr>
              <w:t>Potrošačke cijene</w:t>
            </w:r>
            <w:r w:rsidRPr="00F83AA5">
              <w:rPr>
                <w:rFonts w:cs="Segoe UI"/>
                <w:sz w:val="18"/>
                <w:szCs w:val="18"/>
                <w:lang w:val="hr-HR"/>
              </w:rPr>
              <w:t xml:space="preserve"> </w:t>
            </w:r>
            <w:r w:rsidR="00A62D97" w:rsidRPr="00F83AA5">
              <w:rPr>
                <w:rFonts w:cs="Segoe UI"/>
                <w:sz w:val="18"/>
                <w:szCs w:val="18"/>
                <w:lang w:val="hr-HR"/>
              </w:rPr>
              <w:t>(</w:t>
            </w:r>
            <w:r>
              <w:rPr>
                <w:rFonts w:cs="Segoe UI"/>
                <w:sz w:val="18"/>
                <w:szCs w:val="18"/>
                <w:lang w:val="hr-HR"/>
              </w:rPr>
              <w:t>prosjek</w:t>
            </w:r>
            <w:r w:rsidR="00A62D97" w:rsidRPr="00F83AA5">
              <w:rPr>
                <w:rFonts w:cs="Segoe UI"/>
                <w:sz w:val="18"/>
                <w:szCs w:val="18"/>
                <w:lang w:val="hr-HR"/>
              </w:rPr>
              <w:t>)</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2.2</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-0.7</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1.5</w:t>
            </w:r>
          </w:p>
        </w:tc>
        <w:tc>
          <w:tcPr>
            <w:tcW w:w="665"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-0.3</w:t>
            </w:r>
          </w:p>
        </w:tc>
        <w:tc>
          <w:tcPr>
            <w:tcW w:w="713"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2.1</w:t>
            </w:r>
          </w:p>
        </w:tc>
        <w:tc>
          <w:tcPr>
            <w:tcW w:w="759"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2.6</w:t>
            </w:r>
          </w:p>
        </w:tc>
      </w:tr>
      <w:tr w:rsidR="00A62D97" w:rsidRPr="00F83AA5" w:rsidTr="00BB342A">
        <w:tblPrEx>
          <w:tblBorders>
            <w:top w:val="single" w:sz="4" w:space="0" w:color="auto"/>
            <w:left w:val="single" w:sz="4" w:space="0" w:color="auto"/>
            <w:bottom w:val="single" w:sz="4" w:space="0" w:color="auto"/>
            <w:right w:val="single" w:sz="4" w:space="0" w:color="auto"/>
          </w:tblBorders>
          <w:tblLook w:val="04A0"/>
        </w:tblPrEx>
        <w:trPr>
          <w:trHeight w:val="255"/>
          <w:jc w:val="center"/>
        </w:trPr>
        <w:tc>
          <w:tcPr>
            <w:tcW w:w="309" w:type="dxa"/>
            <w:shd w:val="clear" w:color="000000" w:fill="FFFFFF"/>
            <w:noWrap/>
            <w:vAlign w:val="bottom"/>
            <w:hideMark/>
          </w:tcPr>
          <w:p w:rsidR="00A62D97" w:rsidRPr="00F83AA5" w:rsidRDefault="00A62D97" w:rsidP="00A62D97">
            <w:pPr>
              <w:rPr>
                <w:rFonts w:cs="Segoe UI"/>
                <w:sz w:val="18"/>
                <w:szCs w:val="18"/>
                <w:lang w:val="hr-HR"/>
              </w:rPr>
            </w:pPr>
            <w:r w:rsidRPr="00F83AA5">
              <w:rPr>
                <w:rFonts w:cs="Segoe UI"/>
                <w:sz w:val="18"/>
                <w:szCs w:val="18"/>
                <w:lang w:val="hr-HR"/>
              </w:rPr>
              <w:t> </w:t>
            </w:r>
          </w:p>
        </w:tc>
        <w:tc>
          <w:tcPr>
            <w:tcW w:w="4476" w:type="dxa"/>
            <w:shd w:val="clear" w:color="000000" w:fill="FFFFFF"/>
            <w:noWrap/>
            <w:vAlign w:val="bottom"/>
            <w:hideMark/>
          </w:tcPr>
          <w:p w:rsidR="00A62D97" w:rsidRPr="00F83AA5" w:rsidRDefault="00BB7A7D" w:rsidP="00A62D97">
            <w:pPr>
              <w:rPr>
                <w:rFonts w:cs="Segoe UI"/>
                <w:sz w:val="18"/>
                <w:szCs w:val="18"/>
                <w:lang w:val="hr-HR"/>
              </w:rPr>
            </w:pPr>
            <w:r>
              <w:rPr>
                <w:rFonts w:cs="Segoe UI"/>
                <w:sz w:val="18"/>
                <w:szCs w:val="18"/>
                <w:lang w:val="hr-HR"/>
              </w:rPr>
              <w:t>Potrošačke cijene</w:t>
            </w:r>
            <w:r w:rsidR="00A62D97" w:rsidRPr="00F83AA5">
              <w:rPr>
                <w:rFonts w:cs="Segoe UI"/>
                <w:sz w:val="18"/>
                <w:szCs w:val="18"/>
                <w:lang w:val="hr-HR"/>
              </w:rPr>
              <w:t xml:space="preserve"> (</w:t>
            </w:r>
            <w:r>
              <w:rPr>
                <w:rFonts w:cs="Segoe UI"/>
                <w:sz w:val="18"/>
                <w:szCs w:val="18"/>
                <w:lang w:val="hr-HR"/>
              </w:rPr>
              <w:t>kraj perioda</w:t>
            </w:r>
            <w:r w:rsidR="00A62D97" w:rsidRPr="00F83AA5">
              <w:rPr>
                <w:rFonts w:cs="Segoe UI"/>
                <w:sz w:val="18"/>
                <w:szCs w:val="18"/>
                <w:lang w:val="hr-HR"/>
              </w:rPr>
              <w:t>)</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0.3</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-0.3</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1.4</w:t>
            </w:r>
          </w:p>
        </w:tc>
        <w:tc>
          <w:tcPr>
            <w:tcW w:w="665"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1.0</w:t>
            </w:r>
          </w:p>
        </w:tc>
        <w:tc>
          <w:tcPr>
            <w:tcW w:w="713"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1.6</w:t>
            </w:r>
          </w:p>
        </w:tc>
        <w:tc>
          <w:tcPr>
            <w:tcW w:w="759"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2.6</w:t>
            </w:r>
          </w:p>
        </w:tc>
      </w:tr>
      <w:tr w:rsidR="00A62D97" w:rsidRPr="00F83AA5" w:rsidTr="00BB342A">
        <w:tblPrEx>
          <w:tblBorders>
            <w:top w:val="single" w:sz="4" w:space="0" w:color="auto"/>
            <w:left w:val="single" w:sz="4" w:space="0" w:color="auto"/>
            <w:bottom w:val="single" w:sz="4" w:space="0" w:color="auto"/>
            <w:right w:val="single" w:sz="4" w:space="0" w:color="auto"/>
          </w:tblBorders>
          <w:tblLook w:val="04A0"/>
        </w:tblPrEx>
        <w:trPr>
          <w:trHeight w:val="255"/>
          <w:jc w:val="center"/>
        </w:trPr>
        <w:tc>
          <w:tcPr>
            <w:tcW w:w="309" w:type="dxa"/>
            <w:shd w:val="clear" w:color="000000" w:fill="FFFFFF"/>
            <w:noWrap/>
            <w:vAlign w:val="bottom"/>
          </w:tcPr>
          <w:p w:rsidR="00A62D97" w:rsidRPr="00F83AA5" w:rsidRDefault="00A62D97" w:rsidP="00A62D97">
            <w:pPr>
              <w:rPr>
                <w:rFonts w:cs="Segoe UI"/>
                <w:sz w:val="18"/>
                <w:szCs w:val="18"/>
                <w:lang w:val="hr-HR"/>
              </w:rPr>
            </w:pPr>
          </w:p>
        </w:tc>
        <w:tc>
          <w:tcPr>
            <w:tcW w:w="4476" w:type="dxa"/>
            <w:shd w:val="clear" w:color="000000" w:fill="FFFFFF"/>
            <w:noWrap/>
            <w:vAlign w:val="bottom"/>
          </w:tcPr>
          <w:p w:rsidR="00A62D97" w:rsidRPr="00F83AA5" w:rsidRDefault="00BB7A7D" w:rsidP="00BB7A7D">
            <w:pPr>
              <w:rPr>
                <w:rFonts w:cs="Segoe UI"/>
                <w:sz w:val="18"/>
                <w:szCs w:val="18"/>
                <w:lang w:val="hr-HR"/>
              </w:rPr>
            </w:pPr>
            <w:r>
              <w:rPr>
                <w:rFonts w:cs="Segoe UI"/>
                <w:sz w:val="18"/>
                <w:szCs w:val="18"/>
                <w:lang w:val="hr-HR"/>
              </w:rPr>
              <w:t>Prosječna neto zarada</w:t>
            </w:r>
            <w:r w:rsidR="00A62D97" w:rsidRPr="00F83AA5">
              <w:rPr>
                <w:rFonts w:cs="Segoe UI"/>
                <w:sz w:val="18"/>
                <w:szCs w:val="18"/>
                <w:lang w:val="hr-HR"/>
              </w:rPr>
              <w:t xml:space="preserve"> (12-</w:t>
            </w:r>
            <w:r>
              <w:rPr>
                <w:rFonts w:cs="Segoe UI"/>
                <w:sz w:val="18"/>
                <w:szCs w:val="18"/>
                <w:lang w:val="hr-HR"/>
              </w:rPr>
              <w:t>mjesečni</w:t>
            </w:r>
            <w:r w:rsidR="00A62D97" w:rsidRPr="00F83AA5">
              <w:rPr>
                <w:rFonts w:cs="Segoe UI"/>
                <w:sz w:val="18"/>
                <w:szCs w:val="18"/>
                <w:lang w:val="hr-HR"/>
              </w:rPr>
              <w:t>)</w:t>
            </w:r>
          </w:p>
        </w:tc>
        <w:tc>
          <w:tcPr>
            <w:tcW w:w="771" w:type="dxa"/>
            <w:shd w:val="clear" w:color="000000" w:fill="FFFFFF"/>
            <w:noWrap/>
            <w:vAlign w:val="bottom"/>
          </w:tcPr>
          <w:p w:rsidR="00A62D97" w:rsidRPr="00F83AA5" w:rsidRDefault="00A62D97" w:rsidP="00A62D97">
            <w:pPr>
              <w:jc w:val="right"/>
              <w:rPr>
                <w:rFonts w:cs="Segoe UI"/>
                <w:sz w:val="18"/>
                <w:szCs w:val="18"/>
                <w:lang w:val="hr-HR"/>
              </w:rPr>
            </w:pPr>
            <w:r w:rsidRPr="00F83AA5">
              <w:rPr>
                <w:rFonts w:cs="Segoe UI"/>
                <w:sz w:val="18"/>
                <w:szCs w:val="18"/>
                <w:lang w:val="hr-HR"/>
              </w:rPr>
              <w:t>-1.7</w:t>
            </w:r>
          </w:p>
        </w:tc>
        <w:tc>
          <w:tcPr>
            <w:tcW w:w="771" w:type="dxa"/>
            <w:shd w:val="clear" w:color="000000" w:fill="FFFFFF"/>
            <w:noWrap/>
            <w:vAlign w:val="bottom"/>
          </w:tcPr>
          <w:p w:rsidR="00A62D97" w:rsidRPr="00F83AA5" w:rsidRDefault="00A62D97" w:rsidP="00A62D97">
            <w:pPr>
              <w:jc w:val="right"/>
              <w:rPr>
                <w:rFonts w:cs="Segoe UI"/>
                <w:sz w:val="18"/>
                <w:szCs w:val="18"/>
                <w:lang w:val="hr-HR"/>
              </w:rPr>
            </w:pPr>
            <w:r w:rsidRPr="00F83AA5">
              <w:rPr>
                <w:rFonts w:cs="Segoe UI"/>
                <w:sz w:val="18"/>
                <w:szCs w:val="18"/>
                <w:lang w:val="hr-HR"/>
              </w:rPr>
              <w:t>-0.5</w:t>
            </w:r>
          </w:p>
        </w:tc>
        <w:tc>
          <w:tcPr>
            <w:tcW w:w="771" w:type="dxa"/>
            <w:shd w:val="clear" w:color="000000" w:fill="FFFFFF"/>
            <w:noWrap/>
            <w:vAlign w:val="bottom"/>
          </w:tcPr>
          <w:p w:rsidR="00A62D97" w:rsidRPr="00F83AA5" w:rsidRDefault="00A62D97" w:rsidP="00A62D97">
            <w:pPr>
              <w:jc w:val="right"/>
              <w:rPr>
                <w:rFonts w:cs="Segoe UI"/>
                <w:sz w:val="18"/>
                <w:szCs w:val="18"/>
                <w:lang w:val="hr-HR"/>
              </w:rPr>
            </w:pPr>
            <w:r w:rsidRPr="00F83AA5">
              <w:rPr>
                <w:rFonts w:cs="Segoe UI"/>
                <w:sz w:val="18"/>
                <w:szCs w:val="18"/>
                <w:lang w:val="hr-HR"/>
              </w:rPr>
              <w:t>0.7</w:t>
            </w:r>
          </w:p>
        </w:tc>
        <w:tc>
          <w:tcPr>
            <w:tcW w:w="665" w:type="dxa"/>
            <w:shd w:val="clear" w:color="000000" w:fill="FFFFFF"/>
            <w:noWrap/>
            <w:vAlign w:val="bottom"/>
          </w:tcPr>
          <w:p w:rsidR="00A62D97" w:rsidRPr="00F83AA5" w:rsidRDefault="00A62D97" w:rsidP="00A62D97">
            <w:pPr>
              <w:jc w:val="right"/>
              <w:rPr>
                <w:rFonts w:cs="Segoe UI"/>
                <w:sz w:val="18"/>
                <w:szCs w:val="18"/>
                <w:lang w:val="hr-HR"/>
              </w:rPr>
            </w:pPr>
            <w:r w:rsidRPr="00F83AA5">
              <w:rPr>
                <w:rFonts w:cs="Segoe UI"/>
                <w:sz w:val="18"/>
                <w:szCs w:val="18"/>
                <w:lang w:val="hr-HR"/>
              </w:rPr>
              <w:t>4.0</w:t>
            </w:r>
          </w:p>
        </w:tc>
        <w:tc>
          <w:tcPr>
            <w:tcW w:w="713" w:type="dxa"/>
            <w:shd w:val="clear" w:color="000000" w:fill="FFFFFF"/>
            <w:noWrap/>
            <w:vAlign w:val="bottom"/>
          </w:tcPr>
          <w:p w:rsidR="00A62D97" w:rsidRPr="00F83AA5" w:rsidRDefault="00A62D97" w:rsidP="00A62D97">
            <w:pPr>
              <w:jc w:val="right"/>
              <w:rPr>
                <w:rFonts w:cs="Segoe UI"/>
                <w:sz w:val="18"/>
                <w:szCs w:val="18"/>
                <w:lang w:val="hr-HR"/>
              </w:rPr>
            </w:pPr>
            <w:r w:rsidRPr="00F83AA5">
              <w:rPr>
                <w:rFonts w:cs="Segoe UI"/>
                <w:sz w:val="18"/>
                <w:szCs w:val="18"/>
                <w:lang w:val="hr-HR"/>
              </w:rPr>
              <w:t>...</w:t>
            </w:r>
          </w:p>
        </w:tc>
        <w:tc>
          <w:tcPr>
            <w:tcW w:w="759" w:type="dxa"/>
            <w:shd w:val="clear" w:color="000000" w:fill="FFFFFF"/>
            <w:noWrap/>
            <w:vAlign w:val="bottom"/>
          </w:tcPr>
          <w:p w:rsidR="00A62D97" w:rsidRPr="00F83AA5" w:rsidRDefault="00A62D97" w:rsidP="00A62D97">
            <w:pPr>
              <w:jc w:val="right"/>
              <w:rPr>
                <w:rFonts w:cs="Segoe UI"/>
                <w:sz w:val="18"/>
                <w:szCs w:val="18"/>
                <w:lang w:val="hr-HR"/>
              </w:rPr>
            </w:pPr>
            <w:r w:rsidRPr="00F83AA5">
              <w:rPr>
                <w:rFonts w:cs="Segoe UI"/>
                <w:sz w:val="18"/>
                <w:szCs w:val="18"/>
                <w:lang w:val="hr-HR"/>
              </w:rPr>
              <w:t>...</w:t>
            </w:r>
          </w:p>
        </w:tc>
      </w:tr>
      <w:tr w:rsidR="00BB342A" w:rsidRPr="00F83AA5" w:rsidTr="00BB342A">
        <w:tblPrEx>
          <w:tblBorders>
            <w:top w:val="single" w:sz="4" w:space="0" w:color="auto"/>
            <w:left w:val="single" w:sz="4" w:space="0" w:color="auto"/>
            <w:bottom w:val="single" w:sz="4" w:space="0" w:color="auto"/>
            <w:right w:val="single" w:sz="4" w:space="0" w:color="auto"/>
          </w:tblBorders>
          <w:tblLook w:val="04A0"/>
        </w:tblPrEx>
        <w:trPr>
          <w:trHeight w:val="117"/>
          <w:jc w:val="center"/>
        </w:trPr>
        <w:tc>
          <w:tcPr>
            <w:tcW w:w="309" w:type="dxa"/>
            <w:shd w:val="clear" w:color="000000" w:fill="FFFFFF"/>
            <w:noWrap/>
            <w:vAlign w:val="bottom"/>
            <w:hideMark/>
          </w:tcPr>
          <w:p w:rsidR="00BB342A" w:rsidRPr="00F83AA5" w:rsidRDefault="00BB342A" w:rsidP="00BB342A">
            <w:pPr>
              <w:rPr>
                <w:rFonts w:cs="Segoe UI"/>
                <w:sz w:val="18"/>
                <w:szCs w:val="18"/>
                <w:lang w:val="hr-HR"/>
              </w:rPr>
            </w:pPr>
            <w:r w:rsidRPr="00F83AA5">
              <w:rPr>
                <w:rFonts w:cs="Segoe UI"/>
                <w:sz w:val="18"/>
                <w:szCs w:val="18"/>
                <w:lang w:val="hr-HR"/>
              </w:rPr>
              <w:t> </w:t>
            </w:r>
          </w:p>
        </w:tc>
        <w:tc>
          <w:tcPr>
            <w:tcW w:w="4476" w:type="dxa"/>
            <w:shd w:val="clear" w:color="000000" w:fill="FFFFFF"/>
            <w:noWrap/>
            <w:vAlign w:val="bottom"/>
            <w:hideMark/>
          </w:tcPr>
          <w:p w:rsidR="00BB342A" w:rsidRPr="00F83AA5" w:rsidRDefault="00BB342A" w:rsidP="00BB342A">
            <w:pPr>
              <w:rPr>
                <w:rFonts w:cs="Segoe UI"/>
                <w:sz w:val="18"/>
                <w:szCs w:val="18"/>
                <w:lang w:val="hr-HR"/>
              </w:rPr>
            </w:pPr>
            <w:r w:rsidRPr="00F83AA5">
              <w:rPr>
                <w:rFonts w:cs="Segoe UI"/>
                <w:sz w:val="18"/>
                <w:szCs w:val="18"/>
                <w:lang w:val="hr-HR"/>
              </w:rPr>
              <w:t> </w:t>
            </w:r>
          </w:p>
        </w:tc>
        <w:tc>
          <w:tcPr>
            <w:tcW w:w="771" w:type="dxa"/>
            <w:shd w:val="clear" w:color="000000" w:fill="FFFFFF"/>
            <w:noWrap/>
            <w:vAlign w:val="bottom"/>
            <w:hideMark/>
          </w:tcPr>
          <w:p w:rsidR="00BB342A" w:rsidRPr="00F83AA5" w:rsidRDefault="00BB342A" w:rsidP="00BB342A">
            <w:pPr>
              <w:jc w:val="right"/>
              <w:rPr>
                <w:rFonts w:cs="Segoe UI"/>
                <w:sz w:val="18"/>
                <w:szCs w:val="18"/>
                <w:lang w:val="hr-HR"/>
              </w:rPr>
            </w:pPr>
          </w:p>
        </w:tc>
        <w:tc>
          <w:tcPr>
            <w:tcW w:w="771" w:type="dxa"/>
            <w:shd w:val="clear" w:color="000000" w:fill="FFFFFF"/>
            <w:noWrap/>
            <w:vAlign w:val="bottom"/>
            <w:hideMark/>
          </w:tcPr>
          <w:p w:rsidR="00BB342A" w:rsidRPr="00F83AA5" w:rsidRDefault="00BB342A" w:rsidP="00BB342A">
            <w:pPr>
              <w:jc w:val="right"/>
              <w:rPr>
                <w:rFonts w:cs="Segoe UI"/>
                <w:sz w:val="18"/>
                <w:szCs w:val="18"/>
                <w:lang w:val="hr-HR"/>
              </w:rPr>
            </w:pPr>
          </w:p>
        </w:tc>
        <w:tc>
          <w:tcPr>
            <w:tcW w:w="771" w:type="dxa"/>
            <w:shd w:val="clear" w:color="000000" w:fill="FFFFFF"/>
            <w:noWrap/>
            <w:vAlign w:val="bottom"/>
            <w:hideMark/>
          </w:tcPr>
          <w:p w:rsidR="00BB342A" w:rsidRPr="00F83AA5" w:rsidRDefault="00BB342A" w:rsidP="00BB342A">
            <w:pPr>
              <w:jc w:val="right"/>
              <w:rPr>
                <w:rFonts w:cs="Segoe UI"/>
                <w:sz w:val="18"/>
                <w:szCs w:val="18"/>
                <w:lang w:val="hr-HR"/>
              </w:rPr>
            </w:pPr>
          </w:p>
        </w:tc>
        <w:tc>
          <w:tcPr>
            <w:tcW w:w="665" w:type="dxa"/>
            <w:shd w:val="clear" w:color="000000" w:fill="FFFFFF"/>
            <w:noWrap/>
            <w:vAlign w:val="bottom"/>
            <w:hideMark/>
          </w:tcPr>
          <w:p w:rsidR="00BB342A" w:rsidRPr="00F83AA5" w:rsidRDefault="00BB342A" w:rsidP="00BB342A">
            <w:pPr>
              <w:jc w:val="right"/>
              <w:rPr>
                <w:rFonts w:cs="Segoe UI"/>
                <w:sz w:val="18"/>
                <w:szCs w:val="18"/>
                <w:lang w:val="hr-HR"/>
              </w:rPr>
            </w:pPr>
          </w:p>
        </w:tc>
        <w:tc>
          <w:tcPr>
            <w:tcW w:w="713" w:type="dxa"/>
            <w:shd w:val="clear" w:color="000000" w:fill="FFFFFF"/>
            <w:noWrap/>
            <w:vAlign w:val="bottom"/>
            <w:hideMark/>
          </w:tcPr>
          <w:p w:rsidR="00BB342A" w:rsidRPr="00F83AA5" w:rsidRDefault="00BB342A" w:rsidP="00BB342A">
            <w:pPr>
              <w:jc w:val="right"/>
              <w:rPr>
                <w:rFonts w:cs="Segoe UI"/>
                <w:sz w:val="18"/>
                <w:szCs w:val="18"/>
                <w:lang w:val="hr-HR"/>
              </w:rPr>
            </w:pPr>
          </w:p>
        </w:tc>
        <w:tc>
          <w:tcPr>
            <w:tcW w:w="759" w:type="dxa"/>
            <w:shd w:val="clear" w:color="000000" w:fill="FFFFFF"/>
            <w:noWrap/>
            <w:vAlign w:val="bottom"/>
            <w:hideMark/>
          </w:tcPr>
          <w:p w:rsidR="00BB342A" w:rsidRPr="00F83AA5" w:rsidRDefault="00BB342A" w:rsidP="00BB342A">
            <w:pPr>
              <w:jc w:val="right"/>
              <w:rPr>
                <w:rFonts w:cs="Segoe UI"/>
                <w:sz w:val="18"/>
                <w:szCs w:val="18"/>
                <w:lang w:val="hr-HR"/>
              </w:rPr>
            </w:pPr>
          </w:p>
        </w:tc>
      </w:tr>
      <w:tr w:rsidR="00BB342A" w:rsidRPr="00F83AA5" w:rsidTr="00BB342A">
        <w:tblPrEx>
          <w:tblBorders>
            <w:top w:val="single" w:sz="4" w:space="0" w:color="auto"/>
            <w:left w:val="single" w:sz="4" w:space="0" w:color="auto"/>
            <w:bottom w:val="single" w:sz="4" w:space="0" w:color="auto"/>
            <w:right w:val="single" w:sz="4" w:space="0" w:color="auto"/>
          </w:tblBorders>
          <w:tblLook w:val="04A0"/>
        </w:tblPrEx>
        <w:trPr>
          <w:trHeight w:val="255"/>
          <w:jc w:val="center"/>
        </w:trPr>
        <w:tc>
          <w:tcPr>
            <w:tcW w:w="4785" w:type="dxa"/>
            <w:gridSpan w:val="2"/>
            <w:shd w:val="clear" w:color="000000" w:fill="FFFFFF"/>
            <w:noWrap/>
            <w:vAlign w:val="bottom"/>
            <w:hideMark/>
          </w:tcPr>
          <w:p w:rsidR="00BB342A" w:rsidRPr="00F83AA5" w:rsidRDefault="00076BE3" w:rsidP="00076BE3">
            <w:pPr>
              <w:rPr>
                <w:rFonts w:cs="Segoe UI"/>
                <w:sz w:val="18"/>
                <w:szCs w:val="18"/>
                <w:lang w:val="hr-HR"/>
              </w:rPr>
            </w:pPr>
            <w:r>
              <w:rPr>
                <w:rFonts w:cs="Segoe UI"/>
                <w:b/>
                <w:sz w:val="18"/>
                <w:szCs w:val="18"/>
                <w:lang w:val="hr-HR"/>
              </w:rPr>
              <w:t>Finansije opšteg nivoa države</w:t>
            </w:r>
            <w:r w:rsidR="00B47A28" w:rsidRPr="00F83AA5">
              <w:rPr>
                <w:rFonts w:cs="Segoe UI"/>
                <w:sz w:val="18"/>
                <w:szCs w:val="18"/>
                <w:lang w:val="hr-HR"/>
              </w:rPr>
              <w:t xml:space="preserve"> (</w:t>
            </w:r>
            <w:r>
              <w:rPr>
                <w:rFonts w:cs="Segoe UI"/>
                <w:sz w:val="18"/>
                <w:szCs w:val="18"/>
                <w:lang w:val="hr-HR"/>
              </w:rPr>
              <w:t>procenat B</w:t>
            </w:r>
            <w:r w:rsidR="00B47A28" w:rsidRPr="00F83AA5">
              <w:rPr>
                <w:rFonts w:cs="Segoe UI"/>
                <w:sz w:val="18"/>
                <w:szCs w:val="18"/>
                <w:lang w:val="hr-HR"/>
              </w:rPr>
              <w:t>DP</w:t>
            </w:r>
            <w:r>
              <w:rPr>
                <w:rFonts w:cs="Segoe UI"/>
                <w:sz w:val="18"/>
                <w:szCs w:val="18"/>
                <w:lang w:val="hr-HR"/>
              </w:rPr>
              <w:t>-a</w:t>
            </w:r>
            <w:r w:rsidR="00B47A28" w:rsidRPr="00F83AA5">
              <w:rPr>
                <w:rFonts w:cs="Segoe UI"/>
                <w:sz w:val="18"/>
                <w:szCs w:val="18"/>
                <w:lang w:val="hr-HR"/>
              </w:rPr>
              <w:t xml:space="preserve">) </w:t>
            </w:r>
            <w:r w:rsidR="00B47A28" w:rsidRPr="00F83AA5">
              <w:rPr>
                <w:rFonts w:cs="Segoe UI"/>
                <w:sz w:val="18"/>
                <w:szCs w:val="18"/>
                <w:vertAlign w:val="superscript"/>
                <w:lang w:val="hr-HR"/>
              </w:rPr>
              <w:t>1</w:t>
            </w:r>
          </w:p>
        </w:tc>
        <w:tc>
          <w:tcPr>
            <w:tcW w:w="771" w:type="dxa"/>
            <w:shd w:val="clear" w:color="000000" w:fill="FFFFFF"/>
            <w:noWrap/>
            <w:vAlign w:val="bottom"/>
            <w:hideMark/>
          </w:tcPr>
          <w:p w:rsidR="00BB342A" w:rsidRPr="00F83AA5" w:rsidRDefault="00BB342A" w:rsidP="00BB342A">
            <w:pPr>
              <w:jc w:val="right"/>
              <w:rPr>
                <w:rFonts w:cs="Segoe UI"/>
                <w:sz w:val="18"/>
                <w:szCs w:val="18"/>
                <w:lang w:val="hr-HR"/>
              </w:rPr>
            </w:pPr>
          </w:p>
        </w:tc>
        <w:tc>
          <w:tcPr>
            <w:tcW w:w="771" w:type="dxa"/>
            <w:shd w:val="clear" w:color="000000" w:fill="FFFFFF"/>
            <w:noWrap/>
            <w:vAlign w:val="bottom"/>
            <w:hideMark/>
          </w:tcPr>
          <w:p w:rsidR="00BB342A" w:rsidRPr="00F83AA5" w:rsidRDefault="00BB342A" w:rsidP="00BB342A">
            <w:pPr>
              <w:jc w:val="right"/>
              <w:rPr>
                <w:rFonts w:cs="Segoe UI"/>
                <w:sz w:val="18"/>
                <w:szCs w:val="18"/>
                <w:lang w:val="hr-HR"/>
              </w:rPr>
            </w:pPr>
          </w:p>
        </w:tc>
        <w:tc>
          <w:tcPr>
            <w:tcW w:w="771" w:type="dxa"/>
            <w:shd w:val="clear" w:color="000000" w:fill="FFFFFF"/>
            <w:noWrap/>
            <w:vAlign w:val="bottom"/>
            <w:hideMark/>
          </w:tcPr>
          <w:p w:rsidR="00BB342A" w:rsidRPr="00F83AA5" w:rsidRDefault="00BB342A" w:rsidP="00BB342A">
            <w:pPr>
              <w:jc w:val="right"/>
              <w:rPr>
                <w:rFonts w:cs="Segoe UI"/>
                <w:sz w:val="18"/>
                <w:szCs w:val="18"/>
                <w:lang w:val="hr-HR"/>
              </w:rPr>
            </w:pPr>
          </w:p>
        </w:tc>
        <w:tc>
          <w:tcPr>
            <w:tcW w:w="665" w:type="dxa"/>
            <w:shd w:val="clear" w:color="000000" w:fill="FFFFFF"/>
            <w:noWrap/>
            <w:vAlign w:val="bottom"/>
            <w:hideMark/>
          </w:tcPr>
          <w:p w:rsidR="00BB342A" w:rsidRPr="00F83AA5" w:rsidRDefault="00BB342A" w:rsidP="00BB342A">
            <w:pPr>
              <w:jc w:val="right"/>
              <w:rPr>
                <w:rFonts w:cs="Segoe UI"/>
                <w:sz w:val="18"/>
                <w:szCs w:val="18"/>
                <w:lang w:val="hr-HR"/>
              </w:rPr>
            </w:pPr>
          </w:p>
        </w:tc>
        <w:tc>
          <w:tcPr>
            <w:tcW w:w="713" w:type="dxa"/>
            <w:shd w:val="clear" w:color="000000" w:fill="FFFFFF"/>
            <w:noWrap/>
            <w:vAlign w:val="bottom"/>
            <w:hideMark/>
          </w:tcPr>
          <w:p w:rsidR="00BB342A" w:rsidRPr="00F83AA5" w:rsidRDefault="00BB342A" w:rsidP="00BB342A">
            <w:pPr>
              <w:jc w:val="right"/>
              <w:rPr>
                <w:rFonts w:cs="Segoe UI"/>
                <w:sz w:val="18"/>
                <w:szCs w:val="18"/>
                <w:lang w:val="hr-HR"/>
              </w:rPr>
            </w:pPr>
          </w:p>
        </w:tc>
        <w:tc>
          <w:tcPr>
            <w:tcW w:w="759" w:type="dxa"/>
            <w:shd w:val="clear" w:color="000000" w:fill="FFFFFF"/>
            <w:noWrap/>
            <w:vAlign w:val="bottom"/>
            <w:hideMark/>
          </w:tcPr>
          <w:p w:rsidR="00BB342A" w:rsidRPr="00F83AA5" w:rsidRDefault="00BB342A" w:rsidP="00BB342A">
            <w:pPr>
              <w:jc w:val="right"/>
              <w:rPr>
                <w:rFonts w:cs="Segoe UI"/>
                <w:sz w:val="18"/>
                <w:szCs w:val="18"/>
                <w:lang w:val="hr-HR"/>
              </w:rPr>
            </w:pPr>
          </w:p>
        </w:tc>
      </w:tr>
      <w:tr w:rsidR="00A62D97" w:rsidRPr="00F83AA5" w:rsidTr="00BB342A">
        <w:tblPrEx>
          <w:tblBorders>
            <w:top w:val="single" w:sz="4" w:space="0" w:color="auto"/>
            <w:left w:val="single" w:sz="4" w:space="0" w:color="auto"/>
            <w:bottom w:val="single" w:sz="4" w:space="0" w:color="auto"/>
            <w:right w:val="single" w:sz="4" w:space="0" w:color="auto"/>
          </w:tblBorders>
          <w:tblLook w:val="04A0"/>
        </w:tblPrEx>
        <w:trPr>
          <w:trHeight w:val="255"/>
          <w:jc w:val="center"/>
        </w:trPr>
        <w:tc>
          <w:tcPr>
            <w:tcW w:w="309" w:type="dxa"/>
            <w:shd w:val="clear" w:color="000000" w:fill="FFFFFF"/>
            <w:noWrap/>
            <w:vAlign w:val="bottom"/>
            <w:hideMark/>
          </w:tcPr>
          <w:p w:rsidR="00A62D97" w:rsidRPr="00F83AA5" w:rsidRDefault="00A62D97" w:rsidP="00A62D97">
            <w:pPr>
              <w:rPr>
                <w:rFonts w:cs="Segoe UI"/>
                <w:sz w:val="18"/>
                <w:szCs w:val="18"/>
                <w:lang w:val="hr-HR"/>
              </w:rPr>
            </w:pPr>
            <w:r w:rsidRPr="00F83AA5">
              <w:rPr>
                <w:rFonts w:cs="Segoe UI"/>
                <w:sz w:val="18"/>
                <w:szCs w:val="18"/>
                <w:lang w:val="hr-HR"/>
              </w:rPr>
              <w:t> </w:t>
            </w:r>
          </w:p>
        </w:tc>
        <w:tc>
          <w:tcPr>
            <w:tcW w:w="4476" w:type="dxa"/>
            <w:shd w:val="clear" w:color="000000" w:fill="FFFFFF"/>
            <w:noWrap/>
            <w:vAlign w:val="bottom"/>
            <w:hideMark/>
          </w:tcPr>
          <w:p w:rsidR="00A62D97" w:rsidRPr="00F83AA5" w:rsidRDefault="00076BE3" w:rsidP="00A62D97">
            <w:pPr>
              <w:rPr>
                <w:rFonts w:cs="Segoe UI"/>
                <w:sz w:val="18"/>
                <w:szCs w:val="18"/>
                <w:lang w:val="hr-HR"/>
              </w:rPr>
            </w:pPr>
            <w:r>
              <w:rPr>
                <w:rFonts w:cs="Segoe UI"/>
                <w:sz w:val="18"/>
                <w:szCs w:val="18"/>
                <w:lang w:val="hr-HR"/>
              </w:rPr>
              <w:t>Prihodi i grantovi</w:t>
            </w:r>
          </w:p>
        </w:tc>
        <w:tc>
          <w:tcPr>
            <w:tcW w:w="771" w:type="dxa"/>
            <w:shd w:val="clear" w:color="000000" w:fill="FFFFFF"/>
            <w:noWrap/>
            <w:vAlign w:val="bottom"/>
            <w:hideMark/>
          </w:tcPr>
          <w:p w:rsidR="00A62D97" w:rsidRPr="00F83AA5" w:rsidRDefault="00A62D97" w:rsidP="00A62D97">
            <w:pPr>
              <w:spacing w:line="240" w:lineRule="auto"/>
              <w:jc w:val="right"/>
              <w:rPr>
                <w:rFonts w:cs="Segoe UI"/>
                <w:sz w:val="18"/>
                <w:szCs w:val="18"/>
                <w:lang w:val="hr-HR"/>
              </w:rPr>
            </w:pPr>
            <w:r w:rsidRPr="00F83AA5">
              <w:rPr>
                <w:rFonts w:cs="Segoe UI"/>
                <w:sz w:val="18"/>
                <w:szCs w:val="18"/>
                <w:lang w:val="hr-HR"/>
              </w:rPr>
              <w:t>41.3</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43.5</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40.7</w:t>
            </w:r>
          </w:p>
        </w:tc>
        <w:tc>
          <w:tcPr>
            <w:tcW w:w="665"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43.3</w:t>
            </w:r>
          </w:p>
        </w:tc>
        <w:tc>
          <w:tcPr>
            <w:tcW w:w="713"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43.5</w:t>
            </w:r>
          </w:p>
        </w:tc>
        <w:tc>
          <w:tcPr>
            <w:tcW w:w="759"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45.1</w:t>
            </w:r>
          </w:p>
        </w:tc>
      </w:tr>
      <w:tr w:rsidR="00A62D97" w:rsidRPr="00F83AA5" w:rsidTr="00BB342A">
        <w:tblPrEx>
          <w:tblBorders>
            <w:top w:val="single" w:sz="4" w:space="0" w:color="auto"/>
            <w:left w:val="single" w:sz="4" w:space="0" w:color="auto"/>
            <w:bottom w:val="single" w:sz="4" w:space="0" w:color="auto"/>
            <w:right w:val="single" w:sz="4" w:space="0" w:color="auto"/>
          </w:tblBorders>
          <w:tblLook w:val="04A0"/>
        </w:tblPrEx>
        <w:trPr>
          <w:trHeight w:val="255"/>
          <w:jc w:val="center"/>
        </w:trPr>
        <w:tc>
          <w:tcPr>
            <w:tcW w:w="309" w:type="dxa"/>
            <w:shd w:val="clear" w:color="000000" w:fill="FFFFFF"/>
            <w:noWrap/>
            <w:vAlign w:val="bottom"/>
            <w:hideMark/>
          </w:tcPr>
          <w:p w:rsidR="00A62D97" w:rsidRPr="00F83AA5" w:rsidRDefault="00A62D97" w:rsidP="00A62D97">
            <w:pPr>
              <w:rPr>
                <w:rFonts w:cs="Segoe UI"/>
                <w:sz w:val="18"/>
                <w:szCs w:val="18"/>
                <w:lang w:val="hr-HR"/>
              </w:rPr>
            </w:pPr>
            <w:r w:rsidRPr="00F83AA5">
              <w:rPr>
                <w:rFonts w:cs="Segoe UI"/>
                <w:sz w:val="18"/>
                <w:szCs w:val="18"/>
                <w:lang w:val="hr-HR"/>
              </w:rPr>
              <w:t> </w:t>
            </w:r>
          </w:p>
        </w:tc>
        <w:tc>
          <w:tcPr>
            <w:tcW w:w="4476" w:type="dxa"/>
            <w:shd w:val="clear" w:color="000000" w:fill="FFFFFF"/>
            <w:noWrap/>
            <w:vAlign w:val="bottom"/>
            <w:hideMark/>
          </w:tcPr>
          <w:p w:rsidR="00A62D97" w:rsidRPr="00F83AA5" w:rsidRDefault="00076BE3" w:rsidP="00A62D97">
            <w:pPr>
              <w:rPr>
                <w:rFonts w:cs="Segoe UI"/>
                <w:sz w:val="18"/>
                <w:szCs w:val="18"/>
                <w:lang w:val="hr-HR"/>
              </w:rPr>
            </w:pPr>
            <w:r>
              <w:rPr>
                <w:rFonts w:cs="Segoe UI"/>
                <w:sz w:val="18"/>
                <w:szCs w:val="18"/>
                <w:lang w:val="hr-HR"/>
              </w:rPr>
              <w:t xml:space="preserve">Rashodi </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45.8</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44.2</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46.6</w:t>
            </w:r>
          </w:p>
        </w:tc>
        <w:tc>
          <w:tcPr>
            <w:tcW w:w="665"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49.4</w:t>
            </w:r>
          </w:p>
        </w:tc>
        <w:tc>
          <w:tcPr>
            <w:tcW w:w="713"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50.0</w:t>
            </w:r>
          </w:p>
        </w:tc>
        <w:tc>
          <w:tcPr>
            <w:tcW w:w="759"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50.7</w:t>
            </w:r>
          </w:p>
        </w:tc>
      </w:tr>
      <w:tr w:rsidR="00A62D97" w:rsidRPr="00F83AA5" w:rsidTr="00BB342A">
        <w:tblPrEx>
          <w:tblBorders>
            <w:top w:val="single" w:sz="4" w:space="0" w:color="auto"/>
            <w:left w:val="single" w:sz="4" w:space="0" w:color="auto"/>
            <w:bottom w:val="single" w:sz="4" w:space="0" w:color="auto"/>
            <w:right w:val="single" w:sz="4" w:space="0" w:color="auto"/>
          </w:tblBorders>
          <w:tblLook w:val="04A0"/>
        </w:tblPrEx>
        <w:trPr>
          <w:trHeight w:val="255"/>
          <w:jc w:val="center"/>
        </w:trPr>
        <w:tc>
          <w:tcPr>
            <w:tcW w:w="309" w:type="dxa"/>
            <w:shd w:val="clear" w:color="000000" w:fill="FFFFFF"/>
            <w:noWrap/>
            <w:vAlign w:val="bottom"/>
            <w:hideMark/>
          </w:tcPr>
          <w:p w:rsidR="00A62D97" w:rsidRPr="00F83AA5" w:rsidRDefault="00A62D97" w:rsidP="00A62D97">
            <w:pPr>
              <w:rPr>
                <w:rFonts w:cs="Segoe UI"/>
                <w:sz w:val="18"/>
                <w:szCs w:val="18"/>
                <w:lang w:val="hr-HR"/>
              </w:rPr>
            </w:pPr>
            <w:r w:rsidRPr="00F83AA5">
              <w:rPr>
                <w:rFonts w:cs="Segoe UI"/>
                <w:sz w:val="18"/>
                <w:szCs w:val="18"/>
                <w:lang w:val="hr-HR"/>
              </w:rPr>
              <w:t> </w:t>
            </w:r>
          </w:p>
        </w:tc>
        <w:tc>
          <w:tcPr>
            <w:tcW w:w="4476" w:type="dxa"/>
            <w:shd w:val="clear" w:color="000000" w:fill="FFFFFF"/>
            <w:noWrap/>
            <w:vAlign w:val="bottom"/>
            <w:hideMark/>
          </w:tcPr>
          <w:p w:rsidR="00A62D97" w:rsidRPr="00F83AA5" w:rsidRDefault="00076BE3" w:rsidP="00A62D97">
            <w:pPr>
              <w:rPr>
                <w:rFonts w:cs="Segoe UI"/>
                <w:sz w:val="18"/>
                <w:szCs w:val="18"/>
                <w:lang w:val="hr-HR"/>
              </w:rPr>
            </w:pPr>
            <w:r>
              <w:rPr>
                <w:rFonts w:cs="Segoe UI"/>
                <w:sz w:val="18"/>
                <w:szCs w:val="18"/>
                <w:lang w:val="hr-HR"/>
              </w:rPr>
              <w:t>Ukupni fiskalni bilans</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-4.5</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-0.7</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-5.9</w:t>
            </w:r>
          </w:p>
        </w:tc>
        <w:tc>
          <w:tcPr>
            <w:tcW w:w="665"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-6.0</w:t>
            </w:r>
          </w:p>
        </w:tc>
        <w:tc>
          <w:tcPr>
            <w:tcW w:w="713"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-6.4</w:t>
            </w:r>
          </w:p>
        </w:tc>
        <w:tc>
          <w:tcPr>
            <w:tcW w:w="759"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-5.6</w:t>
            </w:r>
          </w:p>
        </w:tc>
      </w:tr>
      <w:tr w:rsidR="00A62D97" w:rsidRPr="00F83AA5" w:rsidTr="00BB342A">
        <w:tblPrEx>
          <w:tblBorders>
            <w:top w:val="single" w:sz="4" w:space="0" w:color="auto"/>
            <w:left w:val="single" w:sz="4" w:space="0" w:color="auto"/>
            <w:bottom w:val="single" w:sz="4" w:space="0" w:color="auto"/>
            <w:right w:val="single" w:sz="4" w:space="0" w:color="auto"/>
          </w:tblBorders>
          <w:tblLook w:val="04A0"/>
        </w:tblPrEx>
        <w:trPr>
          <w:trHeight w:val="255"/>
          <w:jc w:val="center"/>
        </w:trPr>
        <w:tc>
          <w:tcPr>
            <w:tcW w:w="309" w:type="dxa"/>
            <w:shd w:val="clear" w:color="000000" w:fill="FFFFFF"/>
            <w:noWrap/>
            <w:vAlign w:val="bottom"/>
            <w:hideMark/>
          </w:tcPr>
          <w:p w:rsidR="00A62D97" w:rsidRPr="00F83AA5" w:rsidRDefault="00A62D97" w:rsidP="00A62D97">
            <w:pPr>
              <w:rPr>
                <w:rFonts w:cs="Segoe UI"/>
                <w:sz w:val="18"/>
                <w:szCs w:val="18"/>
                <w:lang w:val="hr-HR"/>
              </w:rPr>
            </w:pPr>
            <w:r w:rsidRPr="00F83AA5">
              <w:rPr>
                <w:rFonts w:cs="Segoe UI"/>
                <w:sz w:val="18"/>
                <w:szCs w:val="18"/>
                <w:lang w:val="hr-HR"/>
              </w:rPr>
              <w:t> </w:t>
            </w:r>
          </w:p>
        </w:tc>
        <w:tc>
          <w:tcPr>
            <w:tcW w:w="4476" w:type="dxa"/>
            <w:shd w:val="clear" w:color="000000" w:fill="FFFFFF"/>
            <w:noWrap/>
            <w:vAlign w:val="bottom"/>
            <w:hideMark/>
          </w:tcPr>
          <w:p w:rsidR="00A62D97" w:rsidRPr="00F83AA5" w:rsidRDefault="00076BE3" w:rsidP="00A62D97">
            <w:pPr>
              <w:rPr>
                <w:rFonts w:cs="Segoe UI"/>
                <w:sz w:val="18"/>
                <w:szCs w:val="18"/>
                <w:lang w:val="hr-HR"/>
              </w:rPr>
            </w:pPr>
            <w:r>
              <w:rPr>
                <w:rFonts w:cs="Segoe UI"/>
                <w:sz w:val="18"/>
                <w:szCs w:val="18"/>
                <w:lang w:val="hr-HR"/>
              </w:rPr>
              <w:t>Primarni fiskalni bilans</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-2.4</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1.6</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-3.5</w:t>
            </w:r>
          </w:p>
        </w:tc>
        <w:tc>
          <w:tcPr>
            <w:tcW w:w="665"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-3.8</w:t>
            </w:r>
          </w:p>
        </w:tc>
        <w:tc>
          <w:tcPr>
            <w:tcW w:w="713"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-3.9</w:t>
            </w:r>
          </w:p>
        </w:tc>
        <w:tc>
          <w:tcPr>
            <w:tcW w:w="759"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-2.9</w:t>
            </w:r>
          </w:p>
        </w:tc>
      </w:tr>
      <w:tr w:rsidR="00A62D97" w:rsidRPr="00F83AA5" w:rsidTr="00BB342A">
        <w:tblPrEx>
          <w:tblBorders>
            <w:top w:val="single" w:sz="4" w:space="0" w:color="auto"/>
            <w:left w:val="single" w:sz="4" w:space="0" w:color="auto"/>
            <w:bottom w:val="single" w:sz="4" w:space="0" w:color="auto"/>
            <w:right w:val="single" w:sz="4" w:space="0" w:color="auto"/>
          </w:tblBorders>
          <w:tblLook w:val="04A0"/>
        </w:tblPrEx>
        <w:trPr>
          <w:trHeight w:val="255"/>
          <w:jc w:val="center"/>
        </w:trPr>
        <w:tc>
          <w:tcPr>
            <w:tcW w:w="309" w:type="dxa"/>
            <w:shd w:val="clear" w:color="000000" w:fill="FFFFFF"/>
            <w:noWrap/>
            <w:vAlign w:val="bottom"/>
            <w:hideMark/>
          </w:tcPr>
          <w:p w:rsidR="00A62D97" w:rsidRPr="00F83AA5" w:rsidRDefault="00A62D97" w:rsidP="00A62D97">
            <w:pPr>
              <w:rPr>
                <w:rFonts w:cs="Segoe UI"/>
                <w:sz w:val="18"/>
                <w:szCs w:val="18"/>
                <w:lang w:val="hr-HR"/>
              </w:rPr>
            </w:pPr>
            <w:r w:rsidRPr="00F83AA5">
              <w:rPr>
                <w:rFonts w:cs="Segoe UI"/>
                <w:sz w:val="18"/>
                <w:szCs w:val="18"/>
                <w:lang w:val="hr-HR"/>
              </w:rPr>
              <w:t> </w:t>
            </w:r>
          </w:p>
        </w:tc>
        <w:tc>
          <w:tcPr>
            <w:tcW w:w="4476" w:type="dxa"/>
            <w:shd w:val="clear" w:color="000000" w:fill="FFFFFF"/>
            <w:noWrap/>
            <w:vAlign w:val="bottom"/>
            <w:hideMark/>
          </w:tcPr>
          <w:p w:rsidR="00A62D97" w:rsidRPr="00F83AA5" w:rsidRDefault="00076BE3" w:rsidP="00A62D97">
            <w:pPr>
              <w:rPr>
                <w:rFonts w:cs="Segoe UI"/>
                <w:sz w:val="18"/>
                <w:szCs w:val="18"/>
                <w:lang w:val="hr-HR"/>
              </w:rPr>
            </w:pPr>
            <w:r>
              <w:rPr>
                <w:rFonts w:cs="Segoe UI"/>
                <w:sz w:val="18"/>
                <w:szCs w:val="18"/>
                <w:lang w:val="hr-HR"/>
              </w:rPr>
              <w:t>Bruto dug opšteg nivoa države</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58.7</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63.4</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69.3</w:t>
            </w:r>
          </w:p>
        </w:tc>
        <w:tc>
          <w:tcPr>
            <w:tcW w:w="665"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70.0</w:t>
            </w:r>
          </w:p>
        </w:tc>
        <w:tc>
          <w:tcPr>
            <w:tcW w:w="713"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71.6</w:t>
            </w:r>
          </w:p>
        </w:tc>
        <w:tc>
          <w:tcPr>
            <w:tcW w:w="759"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73.6</w:t>
            </w:r>
          </w:p>
        </w:tc>
      </w:tr>
      <w:tr w:rsidR="00A62D97" w:rsidRPr="00F83AA5" w:rsidTr="00BB342A">
        <w:tblPrEx>
          <w:tblBorders>
            <w:top w:val="single" w:sz="4" w:space="0" w:color="auto"/>
            <w:left w:val="single" w:sz="4" w:space="0" w:color="auto"/>
            <w:bottom w:val="single" w:sz="4" w:space="0" w:color="auto"/>
            <w:right w:val="single" w:sz="4" w:space="0" w:color="auto"/>
          </w:tblBorders>
          <w:tblLook w:val="04A0"/>
        </w:tblPrEx>
        <w:trPr>
          <w:trHeight w:val="255"/>
          <w:jc w:val="center"/>
        </w:trPr>
        <w:tc>
          <w:tcPr>
            <w:tcW w:w="309" w:type="dxa"/>
            <w:shd w:val="clear" w:color="000000" w:fill="FFFFFF"/>
            <w:noWrap/>
            <w:vAlign w:val="bottom"/>
          </w:tcPr>
          <w:p w:rsidR="00A62D97" w:rsidRPr="00F83AA5" w:rsidRDefault="00A62D97" w:rsidP="00A62D97">
            <w:pPr>
              <w:rPr>
                <w:rFonts w:cs="Segoe UI"/>
                <w:sz w:val="18"/>
                <w:szCs w:val="18"/>
                <w:lang w:val="hr-HR"/>
              </w:rPr>
            </w:pPr>
          </w:p>
        </w:tc>
        <w:tc>
          <w:tcPr>
            <w:tcW w:w="4476" w:type="dxa"/>
            <w:shd w:val="clear" w:color="000000" w:fill="FFFFFF"/>
            <w:noWrap/>
            <w:vAlign w:val="bottom"/>
          </w:tcPr>
          <w:p w:rsidR="00A62D97" w:rsidRPr="00F83AA5" w:rsidRDefault="00076BE3" w:rsidP="00076BE3">
            <w:pPr>
              <w:rPr>
                <w:rFonts w:cs="Segoe UI"/>
                <w:sz w:val="18"/>
                <w:szCs w:val="18"/>
                <w:lang w:val="hr-HR"/>
              </w:rPr>
            </w:pPr>
            <w:r>
              <w:rPr>
                <w:rFonts w:cs="Segoe UI"/>
                <w:sz w:val="18"/>
                <w:szCs w:val="18"/>
                <w:lang w:val="hr-HR"/>
              </w:rPr>
              <w:t>Bruto dug opšteg nivoa države</w:t>
            </w:r>
            <w:r w:rsidR="00A62D97" w:rsidRPr="00F83AA5">
              <w:rPr>
                <w:rFonts w:cs="Segoe UI"/>
                <w:sz w:val="18"/>
                <w:szCs w:val="18"/>
                <w:lang w:val="hr-HR"/>
              </w:rPr>
              <w:t xml:space="preserve"> (</w:t>
            </w:r>
            <w:r>
              <w:rPr>
                <w:rFonts w:cs="Segoe UI"/>
                <w:sz w:val="18"/>
                <w:szCs w:val="18"/>
                <w:lang w:val="hr-HR"/>
              </w:rPr>
              <w:t>definicija nadlećih organa</w:t>
            </w:r>
            <w:r w:rsidR="00A62D97" w:rsidRPr="00F83AA5">
              <w:rPr>
                <w:rFonts w:cs="Segoe UI"/>
                <w:sz w:val="18"/>
                <w:szCs w:val="18"/>
                <w:lang w:val="hr-HR"/>
              </w:rPr>
              <w:t xml:space="preserve">) </w:t>
            </w:r>
            <w:r w:rsidR="00A62D97" w:rsidRPr="00F83AA5">
              <w:rPr>
                <w:rFonts w:cs="Segoe UI"/>
                <w:sz w:val="18"/>
                <w:szCs w:val="18"/>
                <w:vertAlign w:val="superscript"/>
                <w:lang w:val="hr-HR"/>
              </w:rPr>
              <w:t>2</w:t>
            </w:r>
          </w:p>
        </w:tc>
        <w:tc>
          <w:tcPr>
            <w:tcW w:w="771" w:type="dxa"/>
            <w:shd w:val="clear" w:color="000000" w:fill="FFFFFF"/>
            <w:noWrap/>
            <w:vAlign w:val="bottom"/>
          </w:tcPr>
          <w:p w:rsidR="00A62D97" w:rsidRPr="00F83AA5" w:rsidRDefault="00A62D97" w:rsidP="00A62D97">
            <w:pPr>
              <w:jc w:val="right"/>
              <w:rPr>
                <w:rFonts w:cs="Segoe UI"/>
                <w:sz w:val="18"/>
                <w:szCs w:val="18"/>
                <w:lang w:val="hr-HR"/>
              </w:rPr>
            </w:pPr>
            <w:r w:rsidRPr="00F83AA5">
              <w:rPr>
                <w:rFonts w:cs="Segoe UI"/>
                <w:sz w:val="18"/>
                <w:szCs w:val="18"/>
                <w:lang w:val="hr-HR"/>
              </w:rPr>
              <w:t>55.2</w:t>
            </w:r>
          </w:p>
        </w:tc>
        <w:tc>
          <w:tcPr>
            <w:tcW w:w="771" w:type="dxa"/>
            <w:shd w:val="clear" w:color="000000" w:fill="FFFFFF"/>
            <w:noWrap/>
            <w:vAlign w:val="bottom"/>
          </w:tcPr>
          <w:p w:rsidR="00A62D97" w:rsidRPr="00F83AA5" w:rsidRDefault="00A62D97" w:rsidP="00A62D97">
            <w:pPr>
              <w:jc w:val="right"/>
              <w:rPr>
                <w:rFonts w:cs="Segoe UI"/>
                <w:sz w:val="18"/>
                <w:szCs w:val="18"/>
                <w:lang w:val="hr-HR"/>
              </w:rPr>
            </w:pPr>
            <w:r w:rsidRPr="00F83AA5">
              <w:rPr>
                <w:rFonts w:cs="Segoe UI"/>
                <w:sz w:val="18"/>
                <w:szCs w:val="18"/>
                <w:lang w:val="hr-HR"/>
              </w:rPr>
              <w:t>59.9</w:t>
            </w:r>
          </w:p>
        </w:tc>
        <w:tc>
          <w:tcPr>
            <w:tcW w:w="771" w:type="dxa"/>
            <w:shd w:val="clear" w:color="000000" w:fill="FFFFFF"/>
            <w:noWrap/>
            <w:vAlign w:val="bottom"/>
          </w:tcPr>
          <w:p w:rsidR="00A62D97" w:rsidRPr="00F83AA5" w:rsidRDefault="00A62D97" w:rsidP="00A62D97">
            <w:pPr>
              <w:jc w:val="right"/>
              <w:rPr>
                <w:rFonts w:cs="Segoe UI"/>
                <w:sz w:val="18"/>
                <w:szCs w:val="18"/>
                <w:lang w:val="hr-HR"/>
              </w:rPr>
            </w:pPr>
            <w:r w:rsidRPr="00F83AA5">
              <w:rPr>
                <w:rFonts w:cs="Segoe UI"/>
                <w:sz w:val="18"/>
                <w:szCs w:val="18"/>
                <w:lang w:val="hr-HR"/>
              </w:rPr>
              <w:t>66.7</w:t>
            </w:r>
          </w:p>
        </w:tc>
        <w:tc>
          <w:tcPr>
            <w:tcW w:w="665" w:type="dxa"/>
            <w:shd w:val="clear" w:color="000000" w:fill="FFFFFF"/>
            <w:noWrap/>
            <w:vAlign w:val="bottom"/>
          </w:tcPr>
          <w:p w:rsidR="00A62D97" w:rsidRPr="00F83AA5" w:rsidRDefault="00A62D97" w:rsidP="00A62D97">
            <w:pPr>
              <w:jc w:val="right"/>
              <w:rPr>
                <w:rFonts w:cs="Segoe UI"/>
                <w:sz w:val="18"/>
                <w:szCs w:val="18"/>
                <w:lang w:val="hr-HR"/>
              </w:rPr>
            </w:pPr>
            <w:r w:rsidRPr="00F83AA5">
              <w:rPr>
                <w:rFonts w:cs="Segoe UI"/>
                <w:sz w:val="18"/>
                <w:szCs w:val="18"/>
                <w:lang w:val="hr-HR"/>
              </w:rPr>
              <w:t>67.5</w:t>
            </w:r>
          </w:p>
        </w:tc>
        <w:tc>
          <w:tcPr>
            <w:tcW w:w="713" w:type="dxa"/>
            <w:shd w:val="clear" w:color="000000" w:fill="FFFFFF"/>
            <w:noWrap/>
            <w:vAlign w:val="bottom"/>
          </w:tcPr>
          <w:p w:rsidR="00A62D97" w:rsidRPr="00F83AA5" w:rsidRDefault="00A62D97" w:rsidP="00A62D97">
            <w:pPr>
              <w:jc w:val="right"/>
              <w:rPr>
                <w:rFonts w:cs="Segoe UI"/>
                <w:sz w:val="18"/>
                <w:szCs w:val="18"/>
                <w:lang w:val="hr-HR"/>
              </w:rPr>
            </w:pPr>
            <w:r w:rsidRPr="00F83AA5">
              <w:rPr>
                <w:rFonts w:cs="Segoe UI"/>
                <w:sz w:val="18"/>
                <w:szCs w:val="18"/>
                <w:lang w:val="hr-HR"/>
              </w:rPr>
              <w:t>69.1</w:t>
            </w:r>
          </w:p>
        </w:tc>
        <w:tc>
          <w:tcPr>
            <w:tcW w:w="759" w:type="dxa"/>
            <w:shd w:val="clear" w:color="000000" w:fill="FFFFFF"/>
            <w:noWrap/>
            <w:vAlign w:val="bottom"/>
          </w:tcPr>
          <w:p w:rsidR="00A62D97" w:rsidRPr="00F83AA5" w:rsidRDefault="00A62D97" w:rsidP="00A62D97">
            <w:pPr>
              <w:jc w:val="right"/>
              <w:rPr>
                <w:rFonts w:cs="Segoe UI"/>
                <w:sz w:val="18"/>
                <w:szCs w:val="18"/>
                <w:lang w:val="hr-HR"/>
              </w:rPr>
            </w:pPr>
            <w:r w:rsidRPr="00F83AA5">
              <w:rPr>
                <w:rFonts w:cs="Segoe UI"/>
                <w:sz w:val="18"/>
                <w:szCs w:val="18"/>
                <w:lang w:val="hr-HR"/>
              </w:rPr>
              <w:t>71.3</w:t>
            </w:r>
          </w:p>
        </w:tc>
      </w:tr>
      <w:tr w:rsidR="00A62D97" w:rsidRPr="00F83AA5" w:rsidTr="00BB342A">
        <w:tblPrEx>
          <w:tblBorders>
            <w:top w:val="single" w:sz="4" w:space="0" w:color="auto"/>
            <w:left w:val="single" w:sz="4" w:space="0" w:color="auto"/>
            <w:bottom w:val="single" w:sz="4" w:space="0" w:color="auto"/>
            <w:right w:val="single" w:sz="4" w:space="0" w:color="auto"/>
          </w:tblBorders>
          <w:tblLook w:val="04A0"/>
        </w:tblPrEx>
        <w:trPr>
          <w:trHeight w:val="255"/>
          <w:jc w:val="center"/>
        </w:trPr>
        <w:tc>
          <w:tcPr>
            <w:tcW w:w="309" w:type="dxa"/>
            <w:shd w:val="clear" w:color="000000" w:fill="FFFFFF"/>
            <w:noWrap/>
            <w:vAlign w:val="bottom"/>
          </w:tcPr>
          <w:p w:rsidR="00A62D97" w:rsidRPr="00F83AA5" w:rsidRDefault="00A62D97" w:rsidP="00A62D97">
            <w:pPr>
              <w:rPr>
                <w:rFonts w:cs="Segoe UI"/>
                <w:sz w:val="18"/>
                <w:szCs w:val="18"/>
                <w:lang w:val="hr-HR"/>
              </w:rPr>
            </w:pPr>
          </w:p>
        </w:tc>
        <w:tc>
          <w:tcPr>
            <w:tcW w:w="4476" w:type="dxa"/>
            <w:shd w:val="clear" w:color="000000" w:fill="FFFFFF"/>
            <w:noWrap/>
            <w:vAlign w:val="bottom"/>
          </w:tcPr>
          <w:p w:rsidR="00A62D97" w:rsidRPr="00F83AA5" w:rsidRDefault="00076BE3" w:rsidP="00076BE3">
            <w:pPr>
              <w:rPr>
                <w:rFonts w:cs="Segoe UI"/>
                <w:sz w:val="18"/>
                <w:szCs w:val="18"/>
                <w:lang w:val="hr-HR"/>
              </w:rPr>
            </w:pPr>
            <w:r>
              <w:rPr>
                <w:rFonts w:cs="Segoe UI"/>
                <w:sz w:val="18"/>
                <w:szCs w:val="18"/>
                <w:lang w:val="hr-HR"/>
              </w:rPr>
              <w:t>Bruto dug opšteg nivoa države</w:t>
            </w:r>
            <w:r w:rsidR="00A62D97" w:rsidRPr="00F83AA5">
              <w:rPr>
                <w:rFonts w:cs="Segoe UI"/>
                <w:sz w:val="18"/>
                <w:szCs w:val="18"/>
                <w:lang w:val="hr-HR"/>
              </w:rPr>
              <w:t xml:space="preserve">, </w:t>
            </w:r>
            <w:r>
              <w:rPr>
                <w:rFonts w:cs="Segoe UI"/>
                <w:sz w:val="18"/>
                <w:szCs w:val="18"/>
                <w:lang w:val="hr-HR"/>
              </w:rPr>
              <w:t>uključujući garancije za kredite</w:t>
            </w:r>
          </w:p>
        </w:tc>
        <w:tc>
          <w:tcPr>
            <w:tcW w:w="771" w:type="dxa"/>
            <w:shd w:val="clear" w:color="000000" w:fill="FFFFFF"/>
            <w:noWrap/>
            <w:vAlign w:val="bottom"/>
          </w:tcPr>
          <w:p w:rsidR="00A62D97" w:rsidRPr="00F83AA5" w:rsidRDefault="00A62D97" w:rsidP="00A62D97">
            <w:pPr>
              <w:jc w:val="right"/>
              <w:rPr>
                <w:rFonts w:cs="Segoe UI"/>
                <w:sz w:val="18"/>
                <w:szCs w:val="18"/>
                <w:lang w:val="hr-HR"/>
              </w:rPr>
            </w:pPr>
            <w:r w:rsidRPr="00F83AA5">
              <w:rPr>
                <w:rFonts w:cs="Segoe UI"/>
                <w:sz w:val="18"/>
                <w:szCs w:val="18"/>
                <w:lang w:val="hr-HR"/>
              </w:rPr>
              <w:t>66.7</w:t>
            </w:r>
          </w:p>
        </w:tc>
        <w:tc>
          <w:tcPr>
            <w:tcW w:w="771" w:type="dxa"/>
            <w:shd w:val="clear" w:color="000000" w:fill="FFFFFF"/>
            <w:noWrap/>
            <w:vAlign w:val="bottom"/>
          </w:tcPr>
          <w:p w:rsidR="00A62D97" w:rsidRPr="00F83AA5" w:rsidRDefault="00A62D97" w:rsidP="00A62D97">
            <w:pPr>
              <w:jc w:val="right"/>
              <w:rPr>
                <w:rFonts w:cs="Segoe UI"/>
                <w:sz w:val="18"/>
                <w:szCs w:val="18"/>
                <w:lang w:val="hr-HR"/>
              </w:rPr>
            </w:pPr>
            <w:r w:rsidRPr="00F83AA5">
              <w:rPr>
                <w:rFonts w:cs="Segoe UI"/>
                <w:sz w:val="18"/>
                <w:szCs w:val="18"/>
                <w:lang w:val="hr-HR"/>
              </w:rPr>
              <w:t>71.5</w:t>
            </w:r>
          </w:p>
        </w:tc>
        <w:tc>
          <w:tcPr>
            <w:tcW w:w="771" w:type="dxa"/>
            <w:shd w:val="clear" w:color="000000" w:fill="FFFFFF"/>
            <w:noWrap/>
            <w:vAlign w:val="bottom"/>
          </w:tcPr>
          <w:p w:rsidR="00A62D97" w:rsidRPr="00F83AA5" w:rsidRDefault="00A62D97" w:rsidP="00A62D97">
            <w:pPr>
              <w:jc w:val="right"/>
              <w:rPr>
                <w:rFonts w:cs="Segoe UI"/>
                <w:sz w:val="18"/>
                <w:szCs w:val="18"/>
                <w:lang w:val="hr-HR"/>
              </w:rPr>
            </w:pPr>
            <w:r w:rsidRPr="00F83AA5">
              <w:rPr>
                <w:rFonts w:cs="Segoe UI"/>
                <w:sz w:val="18"/>
                <w:szCs w:val="18"/>
                <w:lang w:val="hr-HR"/>
              </w:rPr>
              <w:t>76.8</w:t>
            </w:r>
          </w:p>
        </w:tc>
        <w:tc>
          <w:tcPr>
            <w:tcW w:w="665" w:type="dxa"/>
            <w:shd w:val="clear" w:color="000000" w:fill="FFFFFF"/>
            <w:noWrap/>
            <w:vAlign w:val="bottom"/>
          </w:tcPr>
          <w:p w:rsidR="00A62D97" w:rsidRPr="00F83AA5" w:rsidRDefault="00A62D97" w:rsidP="00A62D97">
            <w:pPr>
              <w:jc w:val="right"/>
              <w:rPr>
                <w:rFonts w:cs="Segoe UI"/>
                <w:sz w:val="18"/>
                <w:szCs w:val="18"/>
                <w:lang w:val="hr-HR"/>
              </w:rPr>
            </w:pPr>
            <w:r w:rsidRPr="00F83AA5">
              <w:rPr>
                <w:rFonts w:cs="Segoe UI"/>
                <w:sz w:val="18"/>
                <w:szCs w:val="18"/>
                <w:lang w:val="hr-HR"/>
              </w:rPr>
              <w:t>78.0</w:t>
            </w:r>
          </w:p>
        </w:tc>
        <w:tc>
          <w:tcPr>
            <w:tcW w:w="713" w:type="dxa"/>
            <w:shd w:val="clear" w:color="000000" w:fill="FFFFFF"/>
            <w:noWrap/>
            <w:vAlign w:val="bottom"/>
          </w:tcPr>
          <w:p w:rsidR="00A62D97" w:rsidRPr="00F83AA5" w:rsidRDefault="00A62D97" w:rsidP="00A62D97">
            <w:pPr>
              <w:jc w:val="right"/>
              <w:rPr>
                <w:rFonts w:cs="Segoe UI"/>
                <w:sz w:val="18"/>
                <w:szCs w:val="18"/>
                <w:lang w:val="hr-HR"/>
              </w:rPr>
            </w:pPr>
            <w:r w:rsidRPr="00F83AA5">
              <w:rPr>
                <w:rFonts w:cs="Segoe UI"/>
                <w:sz w:val="18"/>
                <w:szCs w:val="18"/>
                <w:lang w:val="hr-HR"/>
              </w:rPr>
              <w:t>79.3</w:t>
            </w:r>
          </w:p>
        </w:tc>
        <w:tc>
          <w:tcPr>
            <w:tcW w:w="759" w:type="dxa"/>
            <w:shd w:val="clear" w:color="000000" w:fill="FFFFFF"/>
            <w:noWrap/>
            <w:vAlign w:val="bottom"/>
          </w:tcPr>
          <w:p w:rsidR="00A62D97" w:rsidRPr="00F83AA5" w:rsidRDefault="00A62D97" w:rsidP="00A62D97">
            <w:pPr>
              <w:jc w:val="right"/>
              <w:rPr>
                <w:rFonts w:cs="Segoe UI"/>
                <w:sz w:val="18"/>
                <w:szCs w:val="18"/>
                <w:lang w:val="hr-HR"/>
              </w:rPr>
            </w:pPr>
            <w:r w:rsidRPr="00F83AA5">
              <w:rPr>
                <w:rFonts w:cs="Segoe UI"/>
                <w:sz w:val="18"/>
                <w:szCs w:val="18"/>
                <w:lang w:val="hr-HR"/>
              </w:rPr>
              <w:t>81.0</w:t>
            </w:r>
          </w:p>
        </w:tc>
      </w:tr>
      <w:tr w:rsidR="00BB342A" w:rsidRPr="00F83AA5" w:rsidTr="00BB342A">
        <w:tblPrEx>
          <w:tblBorders>
            <w:top w:val="single" w:sz="4" w:space="0" w:color="auto"/>
            <w:left w:val="single" w:sz="4" w:space="0" w:color="auto"/>
            <w:bottom w:val="single" w:sz="4" w:space="0" w:color="auto"/>
            <w:right w:val="single" w:sz="4" w:space="0" w:color="auto"/>
          </w:tblBorders>
          <w:tblLook w:val="04A0"/>
        </w:tblPrEx>
        <w:trPr>
          <w:trHeight w:val="153"/>
          <w:jc w:val="center"/>
        </w:trPr>
        <w:tc>
          <w:tcPr>
            <w:tcW w:w="309" w:type="dxa"/>
            <w:shd w:val="clear" w:color="000000" w:fill="FFFFFF"/>
            <w:noWrap/>
            <w:vAlign w:val="bottom"/>
            <w:hideMark/>
          </w:tcPr>
          <w:p w:rsidR="00BB342A" w:rsidRPr="00F83AA5" w:rsidRDefault="00BB342A" w:rsidP="00BB342A">
            <w:pPr>
              <w:rPr>
                <w:rFonts w:cs="Segoe UI"/>
                <w:sz w:val="18"/>
                <w:szCs w:val="18"/>
                <w:lang w:val="hr-HR"/>
              </w:rPr>
            </w:pPr>
            <w:r w:rsidRPr="00F83AA5">
              <w:rPr>
                <w:rFonts w:cs="Segoe UI"/>
                <w:sz w:val="18"/>
                <w:szCs w:val="18"/>
                <w:lang w:val="hr-HR"/>
              </w:rPr>
              <w:t> </w:t>
            </w:r>
          </w:p>
        </w:tc>
        <w:tc>
          <w:tcPr>
            <w:tcW w:w="4476" w:type="dxa"/>
            <w:shd w:val="clear" w:color="000000" w:fill="FFFFFF"/>
            <w:noWrap/>
            <w:vAlign w:val="bottom"/>
            <w:hideMark/>
          </w:tcPr>
          <w:p w:rsidR="00BB342A" w:rsidRPr="00F83AA5" w:rsidRDefault="00BB342A" w:rsidP="00BB342A">
            <w:pPr>
              <w:rPr>
                <w:rFonts w:cs="Segoe UI"/>
                <w:sz w:val="18"/>
                <w:szCs w:val="18"/>
                <w:lang w:val="hr-HR"/>
              </w:rPr>
            </w:pPr>
            <w:r w:rsidRPr="00F83AA5">
              <w:rPr>
                <w:rFonts w:cs="Segoe UI"/>
                <w:sz w:val="18"/>
                <w:szCs w:val="18"/>
                <w:lang w:val="hr-HR"/>
              </w:rPr>
              <w:t> </w:t>
            </w:r>
          </w:p>
        </w:tc>
        <w:tc>
          <w:tcPr>
            <w:tcW w:w="771" w:type="dxa"/>
            <w:shd w:val="clear" w:color="000000" w:fill="FFFFFF"/>
            <w:noWrap/>
            <w:vAlign w:val="bottom"/>
            <w:hideMark/>
          </w:tcPr>
          <w:p w:rsidR="00BB342A" w:rsidRPr="00F83AA5" w:rsidRDefault="00BB342A" w:rsidP="00BB342A">
            <w:pPr>
              <w:jc w:val="right"/>
              <w:rPr>
                <w:rFonts w:cs="Segoe UI"/>
                <w:sz w:val="18"/>
                <w:szCs w:val="18"/>
                <w:lang w:val="hr-HR"/>
              </w:rPr>
            </w:pPr>
          </w:p>
        </w:tc>
        <w:tc>
          <w:tcPr>
            <w:tcW w:w="771" w:type="dxa"/>
            <w:shd w:val="clear" w:color="000000" w:fill="FFFFFF"/>
            <w:noWrap/>
            <w:vAlign w:val="bottom"/>
            <w:hideMark/>
          </w:tcPr>
          <w:p w:rsidR="00BB342A" w:rsidRPr="00F83AA5" w:rsidRDefault="00BB342A" w:rsidP="00BB342A">
            <w:pPr>
              <w:jc w:val="right"/>
              <w:rPr>
                <w:rFonts w:cs="Segoe UI"/>
                <w:sz w:val="18"/>
                <w:szCs w:val="18"/>
                <w:lang w:val="hr-HR"/>
              </w:rPr>
            </w:pPr>
          </w:p>
        </w:tc>
        <w:tc>
          <w:tcPr>
            <w:tcW w:w="771" w:type="dxa"/>
            <w:shd w:val="clear" w:color="000000" w:fill="FFFFFF"/>
            <w:noWrap/>
            <w:vAlign w:val="bottom"/>
            <w:hideMark/>
          </w:tcPr>
          <w:p w:rsidR="00BB342A" w:rsidRPr="00F83AA5" w:rsidRDefault="00BB342A" w:rsidP="00BB342A">
            <w:pPr>
              <w:jc w:val="right"/>
              <w:rPr>
                <w:rFonts w:cs="Segoe UI"/>
                <w:sz w:val="18"/>
                <w:szCs w:val="18"/>
                <w:lang w:val="hr-HR"/>
              </w:rPr>
            </w:pPr>
          </w:p>
        </w:tc>
        <w:tc>
          <w:tcPr>
            <w:tcW w:w="665" w:type="dxa"/>
            <w:shd w:val="clear" w:color="000000" w:fill="FFFFFF"/>
            <w:noWrap/>
            <w:vAlign w:val="bottom"/>
            <w:hideMark/>
          </w:tcPr>
          <w:p w:rsidR="00BB342A" w:rsidRPr="00F83AA5" w:rsidRDefault="00BB342A" w:rsidP="00BB342A">
            <w:pPr>
              <w:jc w:val="right"/>
              <w:rPr>
                <w:rFonts w:cs="Segoe UI"/>
                <w:sz w:val="18"/>
                <w:szCs w:val="18"/>
                <w:lang w:val="hr-HR"/>
              </w:rPr>
            </w:pPr>
          </w:p>
        </w:tc>
        <w:tc>
          <w:tcPr>
            <w:tcW w:w="713" w:type="dxa"/>
            <w:shd w:val="clear" w:color="000000" w:fill="FFFFFF"/>
            <w:noWrap/>
            <w:vAlign w:val="bottom"/>
            <w:hideMark/>
          </w:tcPr>
          <w:p w:rsidR="00BB342A" w:rsidRPr="00F83AA5" w:rsidRDefault="00BB342A" w:rsidP="00BB342A">
            <w:pPr>
              <w:jc w:val="right"/>
              <w:rPr>
                <w:rFonts w:cs="Segoe UI"/>
                <w:sz w:val="18"/>
                <w:szCs w:val="18"/>
                <w:lang w:val="hr-HR"/>
              </w:rPr>
            </w:pPr>
          </w:p>
        </w:tc>
        <w:tc>
          <w:tcPr>
            <w:tcW w:w="759" w:type="dxa"/>
            <w:shd w:val="clear" w:color="000000" w:fill="FFFFFF"/>
            <w:noWrap/>
            <w:vAlign w:val="bottom"/>
            <w:hideMark/>
          </w:tcPr>
          <w:p w:rsidR="00BB342A" w:rsidRPr="00F83AA5" w:rsidRDefault="00BB342A" w:rsidP="00BB342A">
            <w:pPr>
              <w:jc w:val="right"/>
              <w:rPr>
                <w:rFonts w:cs="Segoe UI"/>
                <w:sz w:val="18"/>
                <w:szCs w:val="18"/>
                <w:lang w:val="hr-HR"/>
              </w:rPr>
            </w:pPr>
          </w:p>
        </w:tc>
      </w:tr>
      <w:tr w:rsidR="00BB342A" w:rsidRPr="00F83AA5" w:rsidTr="00BB342A">
        <w:tblPrEx>
          <w:tblBorders>
            <w:top w:val="single" w:sz="4" w:space="0" w:color="auto"/>
            <w:left w:val="single" w:sz="4" w:space="0" w:color="auto"/>
            <w:bottom w:val="single" w:sz="4" w:space="0" w:color="auto"/>
            <w:right w:val="single" w:sz="4" w:space="0" w:color="auto"/>
          </w:tblBorders>
          <w:tblLook w:val="04A0"/>
        </w:tblPrEx>
        <w:trPr>
          <w:trHeight w:val="255"/>
          <w:jc w:val="center"/>
        </w:trPr>
        <w:tc>
          <w:tcPr>
            <w:tcW w:w="4785" w:type="dxa"/>
            <w:gridSpan w:val="2"/>
            <w:shd w:val="clear" w:color="000000" w:fill="FFFFFF"/>
            <w:noWrap/>
            <w:vAlign w:val="bottom"/>
            <w:hideMark/>
          </w:tcPr>
          <w:p w:rsidR="00BB342A" w:rsidRPr="00F83AA5" w:rsidRDefault="00EF60FE" w:rsidP="00BB7A7D">
            <w:pPr>
              <w:rPr>
                <w:rFonts w:cs="Segoe UI"/>
                <w:sz w:val="18"/>
                <w:szCs w:val="18"/>
                <w:lang w:val="hr-HR"/>
              </w:rPr>
            </w:pPr>
            <w:r>
              <w:rPr>
                <w:rFonts w:cs="Segoe UI"/>
                <w:b/>
                <w:sz w:val="18"/>
                <w:szCs w:val="18"/>
                <w:lang w:val="hr-HR"/>
              </w:rPr>
              <w:t>Monetarni sektor</w:t>
            </w:r>
            <w:r w:rsidR="00BB342A" w:rsidRPr="00F83AA5">
              <w:rPr>
                <w:rFonts w:cs="Segoe UI"/>
                <w:sz w:val="18"/>
                <w:szCs w:val="18"/>
                <w:lang w:val="hr-HR"/>
              </w:rPr>
              <w:t xml:space="preserve"> (</w:t>
            </w:r>
            <w:r>
              <w:rPr>
                <w:rFonts w:cs="Segoe UI"/>
                <w:sz w:val="18"/>
                <w:szCs w:val="18"/>
                <w:lang w:val="hr-HR"/>
              </w:rPr>
              <w:t>kraj period</w:t>
            </w:r>
            <w:r w:rsidR="00BB7A7D">
              <w:rPr>
                <w:rFonts w:cs="Segoe UI"/>
                <w:sz w:val="18"/>
                <w:szCs w:val="18"/>
                <w:lang w:val="hr-HR"/>
              </w:rPr>
              <w:t>a</w:t>
            </w:r>
            <w:r w:rsidR="00BB342A" w:rsidRPr="00F83AA5">
              <w:rPr>
                <w:rFonts w:cs="Segoe UI"/>
                <w:sz w:val="18"/>
                <w:szCs w:val="18"/>
                <w:lang w:val="hr-HR"/>
              </w:rPr>
              <w:t xml:space="preserve">, </w:t>
            </w:r>
            <w:r>
              <w:rPr>
                <w:rFonts w:cs="Segoe UI"/>
                <w:sz w:val="18"/>
                <w:szCs w:val="18"/>
                <w:lang w:val="hr-HR"/>
              </w:rPr>
              <w:t>procenat promeje</w:t>
            </w:r>
            <w:r w:rsidR="00BB342A" w:rsidRPr="00F83AA5">
              <w:rPr>
                <w:rFonts w:cs="Segoe UI"/>
                <w:sz w:val="18"/>
                <w:szCs w:val="18"/>
                <w:lang w:val="hr-HR"/>
              </w:rPr>
              <w:t>)</w:t>
            </w:r>
          </w:p>
        </w:tc>
        <w:tc>
          <w:tcPr>
            <w:tcW w:w="771" w:type="dxa"/>
            <w:shd w:val="clear" w:color="000000" w:fill="FFFFFF"/>
            <w:noWrap/>
            <w:vAlign w:val="bottom"/>
            <w:hideMark/>
          </w:tcPr>
          <w:p w:rsidR="00BB342A" w:rsidRPr="00F83AA5" w:rsidRDefault="00BB342A" w:rsidP="00BB342A">
            <w:pPr>
              <w:jc w:val="right"/>
              <w:rPr>
                <w:rFonts w:cs="Segoe UI"/>
                <w:sz w:val="18"/>
                <w:szCs w:val="18"/>
                <w:lang w:val="hr-HR"/>
              </w:rPr>
            </w:pPr>
          </w:p>
        </w:tc>
        <w:tc>
          <w:tcPr>
            <w:tcW w:w="771" w:type="dxa"/>
            <w:shd w:val="clear" w:color="000000" w:fill="FFFFFF"/>
            <w:noWrap/>
            <w:vAlign w:val="bottom"/>
            <w:hideMark/>
          </w:tcPr>
          <w:p w:rsidR="00BB342A" w:rsidRPr="00F83AA5" w:rsidRDefault="00BB342A" w:rsidP="00BB342A">
            <w:pPr>
              <w:jc w:val="right"/>
              <w:rPr>
                <w:rFonts w:cs="Segoe UI"/>
                <w:sz w:val="18"/>
                <w:szCs w:val="18"/>
                <w:lang w:val="hr-HR"/>
              </w:rPr>
            </w:pPr>
          </w:p>
        </w:tc>
        <w:tc>
          <w:tcPr>
            <w:tcW w:w="771" w:type="dxa"/>
            <w:shd w:val="clear" w:color="000000" w:fill="FFFFFF"/>
            <w:noWrap/>
            <w:vAlign w:val="bottom"/>
            <w:hideMark/>
          </w:tcPr>
          <w:p w:rsidR="00BB342A" w:rsidRPr="00F83AA5" w:rsidRDefault="00BB342A" w:rsidP="00BB342A">
            <w:pPr>
              <w:jc w:val="right"/>
              <w:rPr>
                <w:rFonts w:cs="Segoe UI"/>
                <w:sz w:val="18"/>
                <w:szCs w:val="18"/>
                <w:lang w:val="hr-HR"/>
              </w:rPr>
            </w:pPr>
          </w:p>
        </w:tc>
        <w:tc>
          <w:tcPr>
            <w:tcW w:w="665" w:type="dxa"/>
            <w:shd w:val="clear" w:color="000000" w:fill="FFFFFF"/>
            <w:noWrap/>
            <w:vAlign w:val="bottom"/>
            <w:hideMark/>
          </w:tcPr>
          <w:p w:rsidR="00BB342A" w:rsidRPr="00F83AA5" w:rsidRDefault="00BB342A" w:rsidP="00BB342A">
            <w:pPr>
              <w:jc w:val="right"/>
              <w:rPr>
                <w:rFonts w:cs="Segoe UI"/>
                <w:sz w:val="18"/>
                <w:szCs w:val="18"/>
                <w:lang w:val="hr-HR"/>
              </w:rPr>
            </w:pPr>
          </w:p>
        </w:tc>
        <w:tc>
          <w:tcPr>
            <w:tcW w:w="713" w:type="dxa"/>
            <w:shd w:val="clear" w:color="000000" w:fill="FFFFFF"/>
            <w:noWrap/>
            <w:vAlign w:val="bottom"/>
            <w:hideMark/>
          </w:tcPr>
          <w:p w:rsidR="00BB342A" w:rsidRPr="00F83AA5" w:rsidRDefault="00BB342A" w:rsidP="00BB342A">
            <w:pPr>
              <w:jc w:val="right"/>
              <w:rPr>
                <w:rFonts w:cs="Segoe UI"/>
                <w:sz w:val="18"/>
                <w:szCs w:val="18"/>
                <w:lang w:val="hr-HR"/>
              </w:rPr>
            </w:pPr>
          </w:p>
        </w:tc>
        <w:tc>
          <w:tcPr>
            <w:tcW w:w="759" w:type="dxa"/>
            <w:shd w:val="clear" w:color="000000" w:fill="FFFFFF"/>
            <w:noWrap/>
            <w:vAlign w:val="bottom"/>
            <w:hideMark/>
          </w:tcPr>
          <w:p w:rsidR="00BB342A" w:rsidRPr="00F83AA5" w:rsidRDefault="00BB342A" w:rsidP="00BB342A">
            <w:pPr>
              <w:jc w:val="right"/>
              <w:rPr>
                <w:rFonts w:cs="Segoe UI"/>
                <w:sz w:val="18"/>
                <w:szCs w:val="18"/>
                <w:lang w:val="hr-HR"/>
              </w:rPr>
            </w:pPr>
          </w:p>
        </w:tc>
      </w:tr>
      <w:tr w:rsidR="00A62D97" w:rsidRPr="00F83AA5" w:rsidTr="00BB342A">
        <w:tblPrEx>
          <w:tblBorders>
            <w:top w:val="single" w:sz="4" w:space="0" w:color="auto"/>
            <w:left w:val="single" w:sz="4" w:space="0" w:color="auto"/>
            <w:bottom w:val="single" w:sz="4" w:space="0" w:color="auto"/>
            <w:right w:val="single" w:sz="4" w:space="0" w:color="auto"/>
          </w:tblBorders>
          <w:tblLook w:val="04A0"/>
        </w:tblPrEx>
        <w:trPr>
          <w:trHeight w:val="255"/>
          <w:jc w:val="center"/>
        </w:trPr>
        <w:tc>
          <w:tcPr>
            <w:tcW w:w="309" w:type="dxa"/>
            <w:shd w:val="clear" w:color="000000" w:fill="FFFFFF"/>
            <w:noWrap/>
            <w:vAlign w:val="bottom"/>
            <w:hideMark/>
          </w:tcPr>
          <w:p w:rsidR="00A62D97" w:rsidRPr="00F83AA5" w:rsidRDefault="00A62D97" w:rsidP="00A62D97">
            <w:pPr>
              <w:rPr>
                <w:rFonts w:cs="Segoe UI"/>
                <w:sz w:val="18"/>
                <w:szCs w:val="18"/>
                <w:lang w:val="hr-HR"/>
              </w:rPr>
            </w:pPr>
            <w:r w:rsidRPr="00F83AA5">
              <w:rPr>
                <w:rFonts w:cs="Segoe UI"/>
                <w:sz w:val="18"/>
                <w:szCs w:val="18"/>
                <w:lang w:val="hr-HR"/>
              </w:rPr>
              <w:t> </w:t>
            </w:r>
          </w:p>
        </w:tc>
        <w:tc>
          <w:tcPr>
            <w:tcW w:w="4476" w:type="dxa"/>
            <w:shd w:val="clear" w:color="000000" w:fill="FFFFFF"/>
            <w:noWrap/>
            <w:vAlign w:val="bottom"/>
            <w:hideMark/>
          </w:tcPr>
          <w:p w:rsidR="00A62D97" w:rsidRPr="00F83AA5" w:rsidRDefault="00A62D97" w:rsidP="00A62D97">
            <w:pPr>
              <w:rPr>
                <w:rFonts w:cs="Segoe UI"/>
                <w:sz w:val="18"/>
                <w:szCs w:val="18"/>
                <w:lang w:val="hr-HR"/>
              </w:rPr>
            </w:pPr>
            <w:r w:rsidRPr="00F83AA5">
              <w:rPr>
                <w:rFonts w:cs="Segoe UI"/>
                <w:sz w:val="18"/>
                <w:szCs w:val="18"/>
                <w:lang w:val="hr-HR"/>
              </w:rPr>
              <w:t>Bank credit to private sector</w:t>
            </w:r>
          </w:p>
        </w:tc>
        <w:tc>
          <w:tcPr>
            <w:tcW w:w="771" w:type="dxa"/>
            <w:shd w:val="clear" w:color="000000" w:fill="FFFFFF"/>
            <w:noWrap/>
            <w:vAlign w:val="bottom"/>
            <w:hideMark/>
          </w:tcPr>
          <w:p w:rsidR="00A62D97" w:rsidRPr="00F83AA5" w:rsidRDefault="00A62D97" w:rsidP="00A62D97">
            <w:pPr>
              <w:spacing w:line="240" w:lineRule="auto"/>
              <w:jc w:val="right"/>
              <w:rPr>
                <w:rFonts w:cs="Segoe UI"/>
                <w:sz w:val="18"/>
                <w:szCs w:val="18"/>
                <w:lang w:val="hr-HR"/>
              </w:rPr>
            </w:pPr>
            <w:r w:rsidRPr="00F83AA5">
              <w:rPr>
                <w:rFonts w:cs="Segoe UI"/>
                <w:sz w:val="18"/>
                <w:szCs w:val="18"/>
                <w:lang w:val="hr-HR"/>
              </w:rPr>
              <w:t>1.9</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-0.4</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2.2</w:t>
            </w:r>
          </w:p>
        </w:tc>
        <w:tc>
          <w:tcPr>
            <w:tcW w:w="665"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6.4</w:t>
            </w:r>
          </w:p>
        </w:tc>
        <w:tc>
          <w:tcPr>
            <w:tcW w:w="713"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7.5</w:t>
            </w:r>
          </w:p>
        </w:tc>
        <w:tc>
          <w:tcPr>
            <w:tcW w:w="759"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6.4</w:t>
            </w:r>
          </w:p>
        </w:tc>
      </w:tr>
      <w:tr w:rsidR="00A62D97" w:rsidRPr="00F83AA5" w:rsidTr="00BB342A">
        <w:tblPrEx>
          <w:tblBorders>
            <w:top w:val="single" w:sz="4" w:space="0" w:color="auto"/>
            <w:left w:val="single" w:sz="4" w:space="0" w:color="auto"/>
            <w:bottom w:val="single" w:sz="4" w:space="0" w:color="auto"/>
            <w:right w:val="single" w:sz="4" w:space="0" w:color="auto"/>
          </w:tblBorders>
          <w:tblLook w:val="04A0"/>
        </w:tblPrEx>
        <w:trPr>
          <w:trHeight w:val="255"/>
          <w:jc w:val="center"/>
        </w:trPr>
        <w:tc>
          <w:tcPr>
            <w:tcW w:w="309" w:type="dxa"/>
            <w:shd w:val="clear" w:color="000000" w:fill="FFFFFF"/>
            <w:noWrap/>
            <w:vAlign w:val="bottom"/>
            <w:hideMark/>
          </w:tcPr>
          <w:p w:rsidR="00A62D97" w:rsidRPr="00F83AA5" w:rsidRDefault="00A62D97" w:rsidP="00A62D97">
            <w:pPr>
              <w:rPr>
                <w:rFonts w:cs="Segoe UI"/>
                <w:sz w:val="18"/>
                <w:szCs w:val="18"/>
                <w:lang w:val="hr-HR"/>
              </w:rPr>
            </w:pPr>
          </w:p>
        </w:tc>
        <w:tc>
          <w:tcPr>
            <w:tcW w:w="4476" w:type="dxa"/>
            <w:shd w:val="clear" w:color="000000" w:fill="FFFFFF"/>
            <w:noWrap/>
            <w:vAlign w:val="bottom"/>
            <w:hideMark/>
          </w:tcPr>
          <w:p w:rsidR="00A62D97" w:rsidRPr="00F83AA5" w:rsidRDefault="00A62D97" w:rsidP="00EF60FE">
            <w:pPr>
              <w:rPr>
                <w:rFonts w:cs="Segoe UI"/>
                <w:sz w:val="18"/>
                <w:szCs w:val="18"/>
                <w:lang w:val="hr-HR"/>
              </w:rPr>
            </w:pPr>
            <w:r w:rsidRPr="00F83AA5">
              <w:rPr>
                <w:rFonts w:cs="Segoe UI"/>
                <w:sz w:val="18"/>
                <w:szCs w:val="18"/>
                <w:lang w:val="hr-HR"/>
              </w:rPr>
              <w:t xml:space="preserve">   </w:t>
            </w:r>
            <w:r w:rsidR="00EF60FE">
              <w:rPr>
                <w:rFonts w:cs="Segoe UI"/>
                <w:sz w:val="18"/>
                <w:szCs w:val="18"/>
                <w:lang w:val="hr-HR"/>
              </w:rPr>
              <w:t>Preduzeća</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0.3</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-2.5</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1.7</w:t>
            </w:r>
          </w:p>
        </w:tc>
        <w:tc>
          <w:tcPr>
            <w:tcW w:w="665"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1.6</w:t>
            </w:r>
          </w:p>
        </w:tc>
        <w:tc>
          <w:tcPr>
            <w:tcW w:w="713"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w:t>
            </w:r>
          </w:p>
        </w:tc>
        <w:tc>
          <w:tcPr>
            <w:tcW w:w="759"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w:t>
            </w:r>
          </w:p>
        </w:tc>
      </w:tr>
      <w:tr w:rsidR="00A62D97" w:rsidRPr="00F83AA5" w:rsidTr="00BB342A">
        <w:tblPrEx>
          <w:tblBorders>
            <w:top w:val="single" w:sz="4" w:space="0" w:color="auto"/>
            <w:left w:val="single" w:sz="4" w:space="0" w:color="auto"/>
            <w:bottom w:val="single" w:sz="4" w:space="0" w:color="auto"/>
            <w:right w:val="single" w:sz="4" w:space="0" w:color="auto"/>
          </w:tblBorders>
          <w:tblLook w:val="04A0"/>
        </w:tblPrEx>
        <w:trPr>
          <w:trHeight w:val="255"/>
          <w:jc w:val="center"/>
        </w:trPr>
        <w:tc>
          <w:tcPr>
            <w:tcW w:w="309" w:type="dxa"/>
            <w:shd w:val="clear" w:color="000000" w:fill="FFFFFF"/>
            <w:noWrap/>
            <w:vAlign w:val="bottom"/>
            <w:hideMark/>
          </w:tcPr>
          <w:p w:rsidR="00A62D97" w:rsidRPr="00F83AA5" w:rsidRDefault="00A62D97" w:rsidP="00A62D97">
            <w:pPr>
              <w:rPr>
                <w:rFonts w:cs="Segoe UI"/>
                <w:sz w:val="18"/>
                <w:szCs w:val="18"/>
                <w:lang w:val="hr-HR"/>
              </w:rPr>
            </w:pPr>
            <w:r w:rsidRPr="00F83AA5">
              <w:rPr>
                <w:rFonts w:cs="Segoe UI"/>
                <w:sz w:val="18"/>
                <w:szCs w:val="18"/>
                <w:lang w:val="hr-HR"/>
              </w:rPr>
              <w:t> </w:t>
            </w:r>
          </w:p>
        </w:tc>
        <w:tc>
          <w:tcPr>
            <w:tcW w:w="4476" w:type="dxa"/>
            <w:shd w:val="clear" w:color="000000" w:fill="FFFFFF"/>
            <w:noWrap/>
            <w:vAlign w:val="bottom"/>
            <w:hideMark/>
          </w:tcPr>
          <w:p w:rsidR="00A62D97" w:rsidRPr="00F83AA5" w:rsidRDefault="00A62D97" w:rsidP="00EF60FE">
            <w:pPr>
              <w:rPr>
                <w:rFonts w:cs="Segoe UI"/>
                <w:sz w:val="18"/>
                <w:szCs w:val="18"/>
                <w:lang w:val="hr-HR"/>
              </w:rPr>
            </w:pPr>
            <w:r w:rsidRPr="00F83AA5">
              <w:rPr>
                <w:rFonts w:cs="Segoe UI"/>
                <w:sz w:val="18"/>
                <w:szCs w:val="18"/>
                <w:lang w:val="hr-HR"/>
              </w:rPr>
              <w:t xml:space="preserve">   </w:t>
            </w:r>
            <w:r w:rsidR="00EF60FE">
              <w:rPr>
                <w:rFonts w:cs="Segoe UI"/>
                <w:sz w:val="18"/>
                <w:szCs w:val="18"/>
                <w:lang w:val="hr-HR"/>
              </w:rPr>
              <w:t>Domaćinstva</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3.7</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1.7</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2.7</w:t>
            </w:r>
          </w:p>
        </w:tc>
        <w:tc>
          <w:tcPr>
            <w:tcW w:w="665"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11.1</w:t>
            </w:r>
          </w:p>
        </w:tc>
        <w:tc>
          <w:tcPr>
            <w:tcW w:w="713"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w:t>
            </w:r>
          </w:p>
        </w:tc>
        <w:tc>
          <w:tcPr>
            <w:tcW w:w="759"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w:t>
            </w:r>
          </w:p>
        </w:tc>
      </w:tr>
      <w:tr w:rsidR="00A62D97" w:rsidRPr="00F83AA5" w:rsidTr="00BB342A">
        <w:tblPrEx>
          <w:tblBorders>
            <w:top w:val="single" w:sz="4" w:space="0" w:color="auto"/>
            <w:left w:val="single" w:sz="4" w:space="0" w:color="auto"/>
            <w:bottom w:val="single" w:sz="4" w:space="0" w:color="auto"/>
            <w:right w:val="single" w:sz="4" w:space="0" w:color="auto"/>
          </w:tblBorders>
          <w:tblLook w:val="04A0"/>
        </w:tblPrEx>
        <w:trPr>
          <w:trHeight w:val="255"/>
          <w:jc w:val="center"/>
        </w:trPr>
        <w:tc>
          <w:tcPr>
            <w:tcW w:w="309" w:type="dxa"/>
            <w:shd w:val="clear" w:color="000000" w:fill="FFFFFF"/>
            <w:noWrap/>
            <w:vAlign w:val="bottom"/>
            <w:hideMark/>
          </w:tcPr>
          <w:p w:rsidR="00A62D97" w:rsidRPr="00F83AA5" w:rsidRDefault="00A62D97" w:rsidP="00A62D97">
            <w:pPr>
              <w:rPr>
                <w:rFonts w:cs="Segoe UI"/>
                <w:sz w:val="18"/>
                <w:szCs w:val="18"/>
                <w:lang w:val="hr-HR"/>
              </w:rPr>
            </w:pPr>
            <w:r w:rsidRPr="00F83AA5">
              <w:rPr>
                <w:rFonts w:cs="Segoe UI"/>
                <w:sz w:val="18"/>
                <w:szCs w:val="18"/>
                <w:lang w:val="hr-HR"/>
              </w:rPr>
              <w:t> </w:t>
            </w:r>
          </w:p>
        </w:tc>
        <w:tc>
          <w:tcPr>
            <w:tcW w:w="4476" w:type="dxa"/>
            <w:shd w:val="clear" w:color="000000" w:fill="FFFFFF"/>
            <w:noWrap/>
            <w:vAlign w:val="bottom"/>
            <w:hideMark/>
          </w:tcPr>
          <w:p w:rsidR="00A62D97" w:rsidRPr="00F83AA5" w:rsidRDefault="00EF60FE" w:rsidP="00A62D97">
            <w:pPr>
              <w:rPr>
                <w:rFonts w:cs="Segoe UI"/>
                <w:sz w:val="18"/>
                <w:szCs w:val="18"/>
                <w:lang w:val="hr-HR"/>
              </w:rPr>
            </w:pPr>
            <w:r>
              <w:rPr>
                <w:rFonts w:cs="Segoe UI"/>
                <w:sz w:val="18"/>
                <w:szCs w:val="18"/>
                <w:lang w:val="hr-HR"/>
              </w:rPr>
              <w:t>Depoziti privatno sektora</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1.8</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6.1</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9.0</w:t>
            </w:r>
          </w:p>
        </w:tc>
        <w:tc>
          <w:tcPr>
            <w:tcW w:w="665"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6.0</w:t>
            </w:r>
          </w:p>
        </w:tc>
        <w:tc>
          <w:tcPr>
            <w:tcW w:w="713"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w:t>
            </w:r>
          </w:p>
        </w:tc>
        <w:tc>
          <w:tcPr>
            <w:tcW w:w="759"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w:t>
            </w:r>
          </w:p>
        </w:tc>
      </w:tr>
      <w:tr w:rsidR="00BB342A" w:rsidRPr="00F83AA5" w:rsidTr="00BB342A">
        <w:tblPrEx>
          <w:tblBorders>
            <w:top w:val="single" w:sz="4" w:space="0" w:color="auto"/>
            <w:left w:val="single" w:sz="4" w:space="0" w:color="auto"/>
            <w:bottom w:val="single" w:sz="4" w:space="0" w:color="auto"/>
            <w:right w:val="single" w:sz="4" w:space="0" w:color="auto"/>
          </w:tblBorders>
          <w:tblLook w:val="04A0"/>
        </w:tblPrEx>
        <w:trPr>
          <w:trHeight w:val="180"/>
          <w:jc w:val="center"/>
        </w:trPr>
        <w:tc>
          <w:tcPr>
            <w:tcW w:w="309" w:type="dxa"/>
            <w:shd w:val="clear" w:color="000000" w:fill="FFFFFF"/>
            <w:noWrap/>
            <w:vAlign w:val="bottom"/>
            <w:hideMark/>
          </w:tcPr>
          <w:p w:rsidR="00BB342A" w:rsidRPr="00F83AA5" w:rsidRDefault="00BB342A" w:rsidP="00BB342A">
            <w:pPr>
              <w:rPr>
                <w:rFonts w:cs="Segoe UI"/>
                <w:sz w:val="18"/>
                <w:szCs w:val="18"/>
                <w:lang w:val="hr-HR"/>
              </w:rPr>
            </w:pPr>
            <w:r w:rsidRPr="00F83AA5">
              <w:rPr>
                <w:rFonts w:cs="Segoe UI"/>
                <w:sz w:val="18"/>
                <w:szCs w:val="18"/>
                <w:lang w:val="hr-HR"/>
              </w:rPr>
              <w:t> </w:t>
            </w:r>
          </w:p>
        </w:tc>
        <w:tc>
          <w:tcPr>
            <w:tcW w:w="4476" w:type="dxa"/>
            <w:shd w:val="clear" w:color="000000" w:fill="FFFFFF"/>
            <w:noWrap/>
            <w:vAlign w:val="bottom"/>
            <w:hideMark/>
          </w:tcPr>
          <w:p w:rsidR="00BB342A" w:rsidRPr="00F83AA5" w:rsidRDefault="00BB342A" w:rsidP="00BB342A">
            <w:pPr>
              <w:rPr>
                <w:rFonts w:cs="Segoe UI"/>
                <w:sz w:val="18"/>
                <w:szCs w:val="18"/>
                <w:lang w:val="hr-HR"/>
              </w:rPr>
            </w:pPr>
            <w:r w:rsidRPr="00F83AA5">
              <w:rPr>
                <w:rFonts w:cs="Segoe UI"/>
                <w:sz w:val="18"/>
                <w:szCs w:val="18"/>
                <w:lang w:val="hr-HR"/>
              </w:rPr>
              <w:t> </w:t>
            </w:r>
          </w:p>
        </w:tc>
        <w:tc>
          <w:tcPr>
            <w:tcW w:w="771" w:type="dxa"/>
            <w:shd w:val="clear" w:color="000000" w:fill="FFFFFF"/>
            <w:noWrap/>
            <w:vAlign w:val="bottom"/>
            <w:hideMark/>
          </w:tcPr>
          <w:p w:rsidR="00BB342A" w:rsidRPr="00F83AA5" w:rsidRDefault="00BB342A" w:rsidP="00BB342A">
            <w:pPr>
              <w:jc w:val="right"/>
              <w:rPr>
                <w:rFonts w:cs="Segoe UI"/>
                <w:sz w:val="18"/>
                <w:szCs w:val="18"/>
                <w:lang w:val="hr-HR"/>
              </w:rPr>
            </w:pPr>
          </w:p>
        </w:tc>
        <w:tc>
          <w:tcPr>
            <w:tcW w:w="771" w:type="dxa"/>
            <w:shd w:val="clear" w:color="000000" w:fill="FFFFFF"/>
            <w:noWrap/>
            <w:vAlign w:val="bottom"/>
            <w:hideMark/>
          </w:tcPr>
          <w:p w:rsidR="00BB342A" w:rsidRPr="00F83AA5" w:rsidRDefault="00BB342A" w:rsidP="00BB342A">
            <w:pPr>
              <w:jc w:val="right"/>
              <w:rPr>
                <w:rFonts w:cs="Segoe UI"/>
                <w:sz w:val="18"/>
                <w:szCs w:val="18"/>
                <w:lang w:val="hr-HR"/>
              </w:rPr>
            </w:pPr>
          </w:p>
        </w:tc>
        <w:tc>
          <w:tcPr>
            <w:tcW w:w="771" w:type="dxa"/>
            <w:shd w:val="clear" w:color="000000" w:fill="FFFFFF"/>
            <w:noWrap/>
            <w:vAlign w:val="bottom"/>
            <w:hideMark/>
          </w:tcPr>
          <w:p w:rsidR="00BB342A" w:rsidRPr="00F83AA5" w:rsidRDefault="00BB342A" w:rsidP="00BB342A">
            <w:pPr>
              <w:jc w:val="right"/>
              <w:rPr>
                <w:rFonts w:cs="Segoe UI"/>
                <w:sz w:val="18"/>
                <w:szCs w:val="18"/>
                <w:lang w:val="hr-HR"/>
              </w:rPr>
            </w:pPr>
          </w:p>
        </w:tc>
        <w:tc>
          <w:tcPr>
            <w:tcW w:w="665" w:type="dxa"/>
            <w:shd w:val="clear" w:color="000000" w:fill="FFFFFF"/>
            <w:noWrap/>
            <w:vAlign w:val="bottom"/>
            <w:hideMark/>
          </w:tcPr>
          <w:p w:rsidR="00BB342A" w:rsidRPr="00F83AA5" w:rsidRDefault="00BB342A" w:rsidP="00BB342A">
            <w:pPr>
              <w:jc w:val="right"/>
              <w:rPr>
                <w:rFonts w:cs="Segoe UI"/>
                <w:sz w:val="18"/>
                <w:szCs w:val="18"/>
                <w:lang w:val="hr-HR"/>
              </w:rPr>
            </w:pPr>
          </w:p>
        </w:tc>
        <w:tc>
          <w:tcPr>
            <w:tcW w:w="713" w:type="dxa"/>
            <w:shd w:val="clear" w:color="000000" w:fill="FFFFFF"/>
            <w:noWrap/>
            <w:vAlign w:val="bottom"/>
            <w:hideMark/>
          </w:tcPr>
          <w:p w:rsidR="00BB342A" w:rsidRPr="00F83AA5" w:rsidRDefault="00BB342A" w:rsidP="00BB342A">
            <w:pPr>
              <w:jc w:val="right"/>
              <w:rPr>
                <w:rFonts w:cs="Segoe UI"/>
                <w:sz w:val="18"/>
                <w:szCs w:val="18"/>
                <w:lang w:val="hr-HR"/>
              </w:rPr>
            </w:pPr>
          </w:p>
        </w:tc>
        <w:tc>
          <w:tcPr>
            <w:tcW w:w="759" w:type="dxa"/>
            <w:shd w:val="clear" w:color="000000" w:fill="FFFFFF"/>
            <w:noWrap/>
            <w:vAlign w:val="bottom"/>
            <w:hideMark/>
          </w:tcPr>
          <w:p w:rsidR="00BB342A" w:rsidRPr="00F83AA5" w:rsidRDefault="00BB342A" w:rsidP="00BB342A">
            <w:pPr>
              <w:jc w:val="right"/>
              <w:rPr>
                <w:rFonts w:cs="Segoe UI"/>
                <w:sz w:val="18"/>
                <w:szCs w:val="18"/>
                <w:lang w:val="hr-HR"/>
              </w:rPr>
            </w:pPr>
          </w:p>
        </w:tc>
      </w:tr>
      <w:tr w:rsidR="00BB342A" w:rsidRPr="00F83AA5" w:rsidTr="00BB342A">
        <w:tblPrEx>
          <w:tblBorders>
            <w:top w:val="single" w:sz="4" w:space="0" w:color="auto"/>
            <w:left w:val="single" w:sz="4" w:space="0" w:color="auto"/>
            <w:bottom w:val="single" w:sz="4" w:space="0" w:color="auto"/>
            <w:right w:val="single" w:sz="4" w:space="0" w:color="auto"/>
          </w:tblBorders>
          <w:tblLook w:val="04A0"/>
        </w:tblPrEx>
        <w:trPr>
          <w:trHeight w:val="255"/>
          <w:jc w:val="center"/>
        </w:trPr>
        <w:tc>
          <w:tcPr>
            <w:tcW w:w="9235" w:type="dxa"/>
            <w:gridSpan w:val="8"/>
            <w:shd w:val="clear" w:color="000000" w:fill="FFFFFF"/>
            <w:noWrap/>
            <w:vAlign w:val="bottom"/>
            <w:hideMark/>
          </w:tcPr>
          <w:p w:rsidR="00BB342A" w:rsidRPr="00F83AA5" w:rsidRDefault="00BB7A7D" w:rsidP="00BB342A">
            <w:pPr>
              <w:rPr>
                <w:rFonts w:cs="Segoe UI"/>
                <w:sz w:val="18"/>
                <w:szCs w:val="18"/>
                <w:lang w:val="hr-HR"/>
              </w:rPr>
            </w:pPr>
            <w:r>
              <w:rPr>
                <w:rFonts w:cs="Segoe UI"/>
                <w:b/>
                <w:sz w:val="18"/>
                <w:szCs w:val="18"/>
                <w:lang w:val="hr-HR"/>
              </w:rPr>
              <w:t xml:space="preserve">Bilans plaćanja </w:t>
            </w:r>
            <w:r w:rsidR="00BB342A" w:rsidRPr="00F83AA5">
              <w:rPr>
                <w:rFonts w:cs="Segoe UI"/>
                <w:sz w:val="18"/>
                <w:szCs w:val="18"/>
                <w:lang w:val="hr-HR"/>
              </w:rPr>
              <w:t>(</w:t>
            </w:r>
            <w:r>
              <w:rPr>
                <w:rFonts w:cs="Segoe UI"/>
                <w:sz w:val="18"/>
                <w:szCs w:val="18"/>
                <w:lang w:val="hr-HR"/>
              </w:rPr>
              <w:t>procenat B</w:t>
            </w:r>
            <w:r w:rsidRPr="00F83AA5">
              <w:rPr>
                <w:rFonts w:cs="Segoe UI"/>
                <w:sz w:val="18"/>
                <w:szCs w:val="18"/>
                <w:lang w:val="hr-HR"/>
              </w:rPr>
              <w:t>DP</w:t>
            </w:r>
            <w:r>
              <w:rPr>
                <w:rFonts w:cs="Segoe UI"/>
                <w:sz w:val="18"/>
                <w:szCs w:val="18"/>
                <w:lang w:val="hr-HR"/>
              </w:rPr>
              <w:t>-a</w:t>
            </w:r>
            <w:r w:rsidR="00BB342A" w:rsidRPr="00F83AA5">
              <w:rPr>
                <w:rFonts w:cs="Segoe UI"/>
                <w:sz w:val="18"/>
                <w:szCs w:val="18"/>
                <w:lang w:val="hr-HR"/>
              </w:rPr>
              <w:t xml:space="preserve">, </w:t>
            </w:r>
            <w:r>
              <w:rPr>
                <w:rFonts w:cs="Segoe UI"/>
                <w:sz w:val="18"/>
                <w:szCs w:val="18"/>
                <w:lang w:val="hr-HR"/>
              </w:rPr>
              <w:t>osim ako nije drugačije navedeno</w:t>
            </w:r>
            <w:r w:rsidR="00BB342A" w:rsidRPr="00F83AA5">
              <w:rPr>
                <w:rFonts w:cs="Segoe UI"/>
                <w:sz w:val="18"/>
                <w:szCs w:val="18"/>
                <w:lang w:val="hr-HR"/>
              </w:rPr>
              <w:t>)</w:t>
            </w:r>
          </w:p>
        </w:tc>
      </w:tr>
      <w:tr w:rsidR="00A62D97" w:rsidRPr="00F83AA5" w:rsidTr="00BB342A">
        <w:tblPrEx>
          <w:tblBorders>
            <w:top w:val="single" w:sz="4" w:space="0" w:color="auto"/>
            <w:left w:val="single" w:sz="4" w:space="0" w:color="auto"/>
            <w:bottom w:val="single" w:sz="4" w:space="0" w:color="auto"/>
            <w:right w:val="single" w:sz="4" w:space="0" w:color="auto"/>
          </w:tblBorders>
          <w:tblLook w:val="04A0"/>
        </w:tblPrEx>
        <w:trPr>
          <w:trHeight w:val="255"/>
          <w:jc w:val="center"/>
        </w:trPr>
        <w:tc>
          <w:tcPr>
            <w:tcW w:w="309" w:type="dxa"/>
            <w:shd w:val="clear" w:color="000000" w:fill="FFFFFF"/>
            <w:noWrap/>
            <w:vAlign w:val="bottom"/>
            <w:hideMark/>
          </w:tcPr>
          <w:p w:rsidR="00A62D97" w:rsidRPr="00F83AA5" w:rsidRDefault="00A62D97" w:rsidP="00A62D97">
            <w:pPr>
              <w:rPr>
                <w:rFonts w:cs="Segoe UI"/>
                <w:sz w:val="18"/>
                <w:szCs w:val="18"/>
                <w:lang w:val="hr-HR"/>
              </w:rPr>
            </w:pPr>
            <w:r w:rsidRPr="00F83AA5">
              <w:rPr>
                <w:rFonts w:cs="Segoe UI"/>
                <w:sz w:val="18"/>
                <w:szCs w:val="18"/>
                <w:lang w:val="hr-HR"/>
              </w:rPr>
              <w:t> </w:t>
            </w:r>
          </w:p>
        </w:tc>
        <w:tc>
          <w:tcPr>
            <w:tcW w:w="4476" w:type="dxa"/>
            <w:shd w:val="clear" w:color="000000" w:fill="FFFFFF"/>
            <w:noWrap/>
            <w:vAlign w:val="bottom"/>
            <w:hideMark/>
          </w:tcPr>
          <w:p w:rsidR="00A62D97" w:rsidRPr="00F83AA5" w:rsidRDefault="00BB7A7D" w:rsidP="00A62D97">
            <w:pPr>
              <w:rPr>
                <w:rFonts w:cs="Segoe UI"/>
                <w:sz w:val="18"/>
                <w:szCs w:val="18"/>
                <w:lang w:val="hr-HR"/>
              </w:rPr>
            </w:pPr>
            <w:r>
              <w:rPr>
                <w:rFonts w:cs="Segoe UI"/>
                <w:sz w:val="18"/>
                <w:szCs w:val="18"/>
                <w:lang w:val="hr-HR"/>
              </w:rPr>
              <w:t>Bilans tekućeg računa</w:t>
            </w:r>
          </w:p>
        </w:tc>
        <w:tc>
          <w:tcPr>
            <w:tcW w:w="771" w:type="dxa"/>
            <w:shd w:val="clear" w:color="000000" w:fill="FFFFFF"/>
            <w:noWrap/>
            <w:vAlign w:val="bottom"/>
            <w:hideMark/>
          </w:tcPr>
          <w:p w:rsidR="00A62D97" w:rsidRPr="00F83AA5" w:rsidRDefault="00A62D97" w:rsidP="00A62D97">
            <w:pPr>
              <w:spacing w:line="240" w:lineRule="auto"/>
              <w:jc w:val="right"/>
              <w:rPr>
                <w:rFonts w:cs="Segoe UI"/>
                <w:sz w:val="18"/>
                <w:szCs w:val="18"/>
                <w:lang w:val="hr-HR"/>
              </w:rPr>
            </w:pPr>
            <w:r w:rsidRPr="00F83AA5">
              <w:rPr>
                <w:rFonts w:cs="Segoe UI"/>
                <w:sz w:val="18"/>
                <w:szCs w:val="18"/>
                <w:lang w:val="hr-HR"/>
              </w:rPr>
              <w:t>-14.5</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-15.2</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-13.3</w:t>
            </w:r>
          </w:p>
        </w:tc>
        <w:tc>
          <w:tcPr>
            <w:tcW w:w="665"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-19.0</w:t>
            </w:r>
          </w:p>
        </w:tc>
        <w:tc>
          <w:tcPr>
            <w:tcW w:w="713"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-20.2</w:t>
            </w:r>
          </w:p>
        </w:tc>
        <w:tc>
          <w:tcPr>
            <w:tcW w:w="759"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-21.2</w:t>
            </w:r>
          </w:p>
        </w:tc>
      </w:tr>
      <w:tr w:rsidR="00A62D97" w:rsidRPr="00F83AA5" w:rsidTr="00BB342A">
        <w:tblPrEx>
          <w:tblBorders>
            <w:top w:val="single" w:sz="4" w:space="0" w:color="auto"/>
            <w:left w:val="single" w:sz="4" w:space="0" w:color="auto"/>
            <w:bottom w:val="single" w:sz="4" w:space="0" w:color="auto"/>
            <w:right w:val="single" w:sz="4" w:space="0" w:color="auto"/>
          </w:tblBorders>
          <w:tblLook w:val="04A0"/>
        </w:tblPrEx>
        <w:trPr>
          <w:trHeight w:val="255"/>
          <w:jc w:val="center"/>
        </w:trPr>
        <w:tc>
          <w:tcPr>
            <w:tcW w:w="309" w:type="dxa"/>
            <w:shd w:val="clear" w:color="000000" w:fill="FFFFFF"/>
            <w:noWrap/>
            <w:vAlign w:val="bottom"/>
            <w:hideMark/>
          </w:tcPr>
          <w:p w:rsidR="00A62D97" w:rsidRPr="00F83AA5" w:rsidRDefault="00A62D97" w:rsidP="00A62D97">
            <w:pPr>
              <w:rPr>
                <w:rFonts w:cs="Segoe UI"/>
                <w:sz w:val="18"/>
                <w:szCs w:val="18"/>
                <w:lang w:val="hr-HR"/>
              </w:rPr>
            </w:pPr>
            <w:r w:rsidRPr="00F83AA5">
              <w:rPr>
                <w:rFonts w:cs="Segoe UI"/>
                <w:sz w:val="18"/>
                <w:szCs w:val="18"/>
                <w:lang w:val="hr-HR"/>
              </w:rPr>
              <w:t> </w:t>
            </w:r>
          </w:p>
        </w:tc>
        <w:tc>
          <w:tcPr>
            <w:tcW w:w="4476" w:type="dxa"/>
            <w:shd w:val="clear" w:color="000000" w:fill="FFFFFF"/>
            <w:noWrap/>
            <w:vAlign w:val="bottom"/>
            <w:hideMark/>
          </w:tcPr>
          <w:p w:rsidR="00A62D97" w:rsidRPr="00F83AA5" w:rsidRDefault="00BB7A7D" w:rsidP="00A62D97">
            <w:pPr>
              <w:rPr>
                <w:rFonts w:cs="Segoe UI"/>
                <w:sz w:val="18"/>
                <w:szCs w:val="18"/>
                <w:lang w:val="hr-HR"/>
              </w:rPr>
            </w:pPr>
            <w:r>
              <w:rPr>
                <w:rFonts w:cs="Segoe UI"/>
                <w:sz w:val="18"/>
                <w:szCs w:val="18"/>
                <w:lang w:val="hr-HR"/>
              </w:rPr>
              <w:t>Strane direktne investicije</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9.6</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10.2</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17.1</w:t>
            </w:r>
          </w:p>
        </w:tc>
        <w:tc>
          <w:tcPr>
            <w:tcW w:w="665"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9.8</w:t>
            </w:r>
          </w:p>
        </w:tc>
        <w:tc>
          <w:tcPr>
            <w:tcW w:w="713"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10.3</w:t>
            </w:r>
          </w:p>
        </w:tc>
        <w:tc>
          <w:tcPr>
            <w:tcW w:w="759"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10.4</w:t>
            </w:r>
          </w:p>
        </w:tc>
      </w:tr>
      <w:tr w:rsidR="00A62D97" w:rsidRPr="00F83AA5" w:rsidTr="00BB342A">
        <w:tblPrEx>
          <w:tblBorders>
            <w:top w:val="single" w:sz="4" w:space="0" w:color="auto"/>
            <w:left w:val="single" w:sz="4" w:space="0" w:color="auto"/>
            <w:bottom w:val="single" w:sz="4" w:space="0" w:color="auto"/>
            <w:right w:val="single" w:sz="4" w:space="0" w:color="auto"/>
          </w:tblBorders>
          <w:tblLook w:val="04A0"/>
        </w:tblPrEx>
        <w:trPr>
          <w:trHeight w:val="255"/>
          <w:jc w:val="center"/>
        </w:trPr>
        <w:tc>
          <w:tcPr>
            <w:tcW w:w="309" w:type="dxa"/>
            <w:shd w:val="clear" w:color="000000" w:fill="FFFFFF"/>
            <w:noWrap/>
            <w:vAlign w:val="bottom"/>
            <w:hideMark/>
          </w:tcPr>
          <w:p w:rsidR="00A62D97" w:rsidRPr="00F83AA5" w:rsidRDefault="00A62D97" w:rsidP="00A62D97">
            <w:pPr>
              <w:rPr>
                <w:rFonts w:cs="Segoe UI"/>
                <w:sz w:val="18"/>
                <w:szCs w:val="18"/>
                <w:lang w:val="hr-HR"/>
              </w:rPr>
            </w:pPr>
            <w:r w:rsidRPr="00F83AA5">
              <w:rPr>
                <w:rFonts w:cs="Segoe UI"/>
                <w:sz w:val="18"/>
                <w:szCs w:val="18"/>
                <w:lang w:val="hr-HR"/>
              </w:rPr>
              <w:t> </w:t>
            </w:r>
          </w:p>
        </w:tc>
        <w:tc>
          <w:tcPr>
            <w:tcW w:w="4476" w:type="dxa"/>
            <w:shd w:val="clear" w:color="000000" w:fill="FFFFFF"/>
            <w:noWrap/>
            <w:vAlign w:val="bottom"/>
            <w:hideMark/>
          </w:tcPr>
          <w:p w:rsidR="00A62D97" w:rsidRPr="00F83AA5" w:rsidRDefault="00BB7A7D" w:rsidP="00BB7A7D">
            <w:pPr>
              <w:rPr>
                <w:rFonts w:cs="Segoe UI"/>
                <w:sz w:val="18"/>
                <w:szCs w:val="18"/>
                <w:lang w:val="hr-HR"/>
              </w:rPr>
            </w:pPr>
            <w:r>
              <w:rPr>
                <w:rFonts w:cs="Segoe UI"/>
                <w:sz w:val="18"/>
                <w:szCs w:val="18"/>
                <w:lang w:val="hr-HR"/>
              </w:rPr>
              <w:t>Spoljni dug</w:t>
            </w:r>
            <w:r w:rsidR="00A62D97" w:rsidRPr="00F83AA5">
              <w:rPr>
                <w:rFonts w:cs="Segoe UI"/>
                <w:sz w:val="18"/>
                <w:szCs w:val="18"/>
                <w:lang w:val="hr-HR"/>
              </w:rPr>
              <w:t xml:space="preserve"> (</w:t>
            </w:r>
            <w:r>
              <w:rPr>
                <w:rFonts w:cs="Segoe UI"/>
                <w:sz w:val="18"/>
                <w:szCs w:val="18"/>
                <w:lang w:val="hr-HR"/>
              </w:rPr>
              <w:t>kraj perioda</w:t>
            </w:r>
            <w:r w:rsidR="00A62D97" w:rsidRPr="00F83AA5">
              <w:rPr>
                <w:rFonts w:cs="Segoe UI"/>
                <w:sz w:val="18"/>
                <w:szCs w:val="18"/>
                <w:lang w:val="hr-HR"/>
              </w:rPr>
              <w:t xml:space="preserve">, </w:t>
            </w:r>
            <w:r>
              <w:rPr>
                <w:rFonts w:cs="Segoe UI"/>
                <w:sz w:val="18"/>
                <w:szCs w:val="18"/>
                <w:lang w:val="hr-HR"/>
              </w:rPr>
              <w:t>nivo</w:t>
            </w:r>
            <w:r w:rsidR="00A62D97" w:rsidRPr="00F83AA5">
              <w:rPr>
                <w:rFonts w:cs="Segoe UI"/>
                <w:sz w:val="18"/>
                <w:szCs w:val="18"/>
                <w:lang w:val="hr-HR"/>
              </w:rPr>
              <w:t xml:space="preserve">) </w:t>
            </w:r>
            <w:r w:rsidR="00A62D97" w:rsidRPr="00F83AA5">
              <w:rPr>
                <w:rFonts w:cs="Segoe UI"/>
                <w:sz w:val="18"/>
                <w:szCs w:val="18"/>
                <w:vertAlign w:val="superscript"/>
                <w:lang w:val="hr-HR"/>
              </w:rPr>
              <w:t>3</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153.5</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163.1</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163.1</w:t>
            </w:r>
          </w:p>
        </w:tc>
        <w:tc>
          <w:tcPr>
            <w:tcW w:w="665"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166.8</w:t>
            </w:r>
          </w:p>
        </w:tc>
        <w:tc>
          <w:tcPr>
            <w:tcW w:w="713"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169.8</w:t>
            </w:r>
          </w:p>
        </w:tc>
        <w:tc>
          <w:tcPr>
            <w:tcW w:w="759"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173.5</w:t>
            </w:r>
          </w:p>
        </w:tc>
      </w:tr>
      <w:tr w:rsidR="00A62D97" w:rsidRPr="00F83AA5" w:rsidTr="00BB342A">
        <w:tblPrEx>
          <w:tblBorders>
            <w:top w:val="single" w:sz="4" w:space="0" w:color="auto"/>
            <w:left w:val="single" w:sz="4" w:space="0" w:color="auto"/>
            <w:bottom w:val="single" w:sz="4" w:space="0" w:color="auto"/>
            <w:right w:val="single" w:sz="4" w:space="0" w:color="auto"/>
          </w:tblBorders>
          <w:tblLook w:val="04A0"/>
        </w:tblPrEx>
        <w:trPr>
          <w:trHeight w:val="255"/>
          <w:jc w:val="center"/>
        </w:trPr>
        <w:tc>
          <w:tcPr>
            <w:tcW w:w="309" w:type="dxa"/>
            <w:shd w:val="clear" w:color="000000" w:fill="FFFFFF"/>
            <w:noWrap/>
            <w:vAlign w:val="bottom"/>
            <w:hideMark/>
          </w:tcPr>
          <w:p w:rsidR="00A62D97" w:rsidRPr="00F83AA5" w:rsidRDefault="00A62D97" w:rsidP="00A62D97">
            <w:pPr>
              <w:rPr>
                <w:rFonts w:cs="Segoe UI"/>
                <w:sz w:val="18"/>
                <w:szCs w:val="18"/>
                <w:lang w:val="hr-HR"/>
              </w:rPr>
            </w:pPr>
            <w:r w:rsidRPr="00F83AA5">
              <w:rPr>
                <w:rFonts w:cs="Segoe UI"/>
                <w:sz w:val="18"/>
                <w:szCs w:val="18"/>
                <w:lang w:val="hr-HR"/>
              </w:rPr>
              <w:t> </w:t>
            </w:r>
          </w:p>
        </w:tc>
        <w:tc>
          <w:tcPr>
            <w:tcW w:w="4476" w:type="dxa"/>
            <w:shd w:val="clear" w:color="000000" w:fill="FFFFFF"/>
            <w:noWrap/>
            <w:vAlign w:val="bottom"/>
            <w:hideMark/>
          </w:tcPr>
          <w:p w:rsidR="00A62D97" w:rsidRPr="00F83AA5" w:rsidRDefault="00A62D97" w:rsidP="00BB7A7D">
            <w:pPr>
              <w:rPr>
                <w:rFonts w:cs="Segoe UI"/>
                <w:sz w:val="18"/>
                <w:szCs w:val="18"/>
                <w:lang w:val="hr-HR"/>
              </w:rPr>
            </w:pPr>
            <w:r w:rsidRPr="00F83AA5">
              <w:rPr>
                <w:rFonts w:cs="Segoe UI"/>
                <w:sz w:val="18"/>
                <w:szCs w:val="18"/>
                <w:lang w:val="hr-HR"/>
              </w:rPr>
              <w:t xml:space="preserve">REER </w:t>
            </w:r>
            <w:r w:rsidR="00BB7A7D">
              <w:rPr>
                <w:rFonts w:cs="Segoe UI"/>
                <w:sz w:val="18"/>
                <w:szCs w:val="18"/>
                <w:lang w:val="hr-HR"/>
              </w:rPr>
              <w:t xml:space="preserve">– realni efektivni kors </w:t>
            </w:r>
            <w:r w:rsidRPr="00F83AA5">
              <w:rPr>
                <w:rFonts w:cs="Segoe UI"/>
                <w:sz w:val="18"/>
                <w:szCs w:val="18"/>
                <w:lang w:val="hr-HR"/>
              </w:rPr>
              <w:t>(</w:t>
            </w:r>
            <w:r w:rsidR="00BB7A7D">
              <w:rPr>
                <w:rFonts w:cs="Segoe UI"/>
                <w:sz w:val="18"/>
                <w:szCs w:val="18"/>
                <w:lang w:val="hr-HR"/>
              </w:rPr>
              <w:t>na osnovu indeksa potrošačkih cijena,</w:t>
            </w:r>
            <w:r w:rsidRPr="00F83AA5">
              <w:rPr>
                <w:rFonts w:cs="Segoe UI"/>
                <w:sz w:val="18"/>
                <w:szCs w:val="18"/>
                <w:lang w:val="hr-HR"/>
              </w:rPr>
              <w:t xml:space="preserve"> </w:t>
            </w:r>
            <w:r w:rsidR="00BB7A7D">
              <w:rPr>
                <w:rFonts w:cs="Segoe UI"/>
                <w:sz w:val="18"/>
                <w:szCs w:val="18"/>
                <w:lang w:val="hr-HR"/>
              </w:rPr>
              <w:t>prosječna promejan</w:t>
            </w:r>
            <w:r w:rsidRPr="00F83AA5">
              <w:rPr>
                <w:rFonts w:cs="Segoe UI"/>
                <w:sz w:val="18"/>
                <w:szCs w:val="18"/>
                <w:lang w:val="hr-HR"/>
              </w:rPr>
              <w:t xml:space="preserve">, </w:t>
            </w:r>
            <w:r w:rsidR="00BB7A7D">
              <w:rPr>
                <w:rFonts w:cs="Segoe UI"/>
                <w:sz w:val="18"/>
                <w:szCs w:val="18"/>
                <w:lang w:val="hr-HR"/>
              </w:rPr>
              <w:t>u procentima</w:t>
            </w:r>
            <w:r w:rsidRPr="00F83AA5">
              <w:rPr>
                <w:rFonts w:cs="Segoe UI"/>
                <w:sz w:val="18"/>
                <w:szCs w:val="18"/>
                <w:lang w:val="hr-HR"/>
              </w:rPr>
              <w:t>;</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-1.1</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-0.2</w:t>
            </w:r>
          </w:p>
        </w:tc>
        <w:tc>
          <w:tcPr>
            <w:tcW w:w="771"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1.5</w:t>
            </w:r>
          </w:p>
        </w:tc>
        <w:tc>
          <w:tcPr>
            <w:tcW w:w="665"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0.3</w:t>
            </w:r>
          </w:p>
        </w:tc>
        <w:tc>
          <w:tcPr>
            <w:tcW w:w="713"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w:t>
            </w:r>
          </w:p>
        </w:tc>
        <w:tc>
          <w:tcPr>
            <w:tcW w:w="759" w:type="dxa"/>
            <w:shd w:val="clear" w:color="000000" w:fill="FFFFFF"/>
            <w:noWrap/>
            <w:vAlign w:val="bottom"/>
            <w:hideMark/>
          </w:tcPr>
          <w:p w:rsidR="00A62D97" w:rsidRPr="00F83AA5" w:rsidRDefault="00A62D97" w:rsidP="00A62D97">
            <w:pPr>
              <w:jc w:val="right"/>
              <w:rPr>
                <w:rFonts w:cs="Segoe UI"/>
                <w:sz w:val="18"/>
                <w:szCs w:val="18"/>
                <w:lang w:val="hr-HR"/>
              </w:rPr>
            </w:pPr>
            <w:r w:rsidRPr="00F83AA5">
              <w:rPr>
                <w:rFonts w:cs="Segoe UI"/>
                <w:sz w:val="18"/>
                <w:szCs w:val="18"/>
                <w:lang w:val="hr-HR"/>
              </w:rPr>
              <w:t>...</w:t>
            </w:r>
          </w:p>
        </w:tc>
      </w:tr>
      <w:tr w:rsidR="00BB342A" w:rsidRPr="00F83AA5" w:rsidTr="00BB342A">
        <w:tblPrEx>
          <w:tblBorders>
            <w:top w:val="single" w:sz="4" w:space="0" w:color="auto"/>
            <w:left w:val="single" w:sz="4" w:space="0" w:color="auto"/>
            <w:bottom w:val="single" w:sz="4" w:space="0" w:color="auto"/>
            <w:right w:val="single" w:sz="4" w:space="0" w:color="auto"/>
          </w:tblBorders>
          <w:tblLook w:val="04A0"/>
        </w:tblPrEx>
        <w:trPr>
          <w:trHeight w:val="255"/>
          <w:jc w:val="center"/>
        </w:trPr>
        <w:tc>
          <w:tcPr>
            <w:tcW w:w="309" w:type="dxa"/>
            <w:shd w:val="clear" w:color="000000" w:fill="FFFFFF"/>
            <w:noWrap/>
            <w:vAlign w:val="bottom"/>
            <w:hideMark/>
          </w:tcPr>
          <w:p w:rsidR="00BB342A" w:rsidRPr="00F83AA5" w:rsidRDefault="00BB342A" w:rsidP="00BB342A">
            <w:pPr>
              <w:rPr>
                <w:rFonts w:cs="Segoe UI"/>
                <w:sz w:val="18"/>
                <w:szCs w:val="18"/>
                <w:lang w:val="hr-HR"/>
              </w:rPr>
            </w:pPr>
            <w:r w:rsidRPr="00F83AA5">
              <w:rPr>
                <w:rFonts w:cs="Segoe UI"/>
                <w:sz w:val="18"/>
                <w:szCs w:val="18"/>
                <w:lang w:val="hr-HR"/>
              </w:rPr>
              <w:t> </w:t>
            </w:r>
          </w:p>
        </w:tc>
        <w:tc>
          <w:tcPr>
            <w:tcW w:w="4476" w:type="dxa"/>
            <w:shd w:val="clear" w:color="000000" w:fill="FFFFFF"/>
            <w:noWrap/>
            <w:vAlign w:val="bottom"/>
            <w:hideMark/>
          </w:tcPr>
          <w:p w:rsidR="00BB342A" w:rsidRPr="00F83AA5" w:rsidRDefault="00B47A28" w:rsidP="00BB7A7D">
            <w:pPr>
              <w:rPr>
                <w:rFonts w:cs="Segoe UI"/>
                <w:sz w:val="18"/>
                <w:szCs w:val="18"/>
                <w:lang w:val="hr-HR"/>
              </w:rPr>
            </w:pPr>
            <w:r w:rsidRPr="00F83AA5">
              <w:rPr>
                <w:rFonts w:cs="Segoe UI"/>
                <w:sz w:val="18"/>
                <w:szCs w:val="18"/>
                <w:lang w:val="hr-HR"/>
              </w:rPr>
              <w:t xml:space="preserve">            -</w:t>
            </w:r>
            <w:r w:rsidR="00BB342A" w:rsidRPr="00F83AA5">
              <w:rPr>
                <w:rFonts w:cs="Segoe UI"/>
                <w:sz w:val="18"/>
                <w:szCs w:val="18"/>
                <w:lang w:val="hr-HR"/>
              </w:rPr>
              <w:t xml:space="preserve"> </w:t>
            </w:r>
            <w:r w:rsidR="00BB7A7D">
              <w:rPr>
                <w:rFonts w:cs="Segoe UI"/>
                <w:sz w:val="18"/>
                <w:szCs w:val="18"/>
                <w:lang w:val="hr-HR"/>
              </w:rPr>
              <w:t>ukazuje na deprisijaciju</w:t>
            </w:r>
            <w:r w:rsidR="00BB342A" w:rsidRPr="00F83AA5">
              <w:rPr>
                <w:rFonts w:cs="Segoe UI"/>
                <w:sz w:val="18"/>
                <w:szCs w:val="18"/>
                <w:lang w:val="hr-HR"/>
              </w:rPr>
              <w:t>)</w:t>
            </w:r>
          </w:p>
        </w:tc>
        <w:tc>
          <w:tcPr>
            <w:tcW w:w="771" w:type="dxa"/>
            <w:shd w:val="clear" w:color="000000" w:fill="FFFFFF"/>
            <w:noWrap/>
            <w:vAlign w:val="bottom"/>
            <w:hideMark/>
          </w:tcPr>
          <w:p w:rsidR="00BB342A" w:rsidRPr="00F83AA5" w:rsidRDefault="00BB342A" w:rsidP="00BB342A">
            <w:pPr>
              <w:jc w:val="right"/>
              <w:rPr>
                <w:rFonts w:cs="Segoe UI"/>
                <w:sz w:val="18"/>
                <w:szCs w:val="18"/>
                <w:lang w:val="hr-HR"/>
              </w:rPr>
            </w:pPr>
          </w:p>
        </w:tc>
        <w:tc>
          <w:tcPr>
            <w:tcW w:w="771" w:type="dxa"/>
            <w:shd w:val="clear" w:color="000000" w:fill="FFFFFF"/>
            <w:noWrap/>
            <w:vAlign w:val="bottom"/>
            <w:hideMark/>
          </w:tcPr>
          <w:p w:rsidR="00BB342A" w:rsidRPr="00F83AA5" w:rsidRDefault="00BB342A" w:rsidP="00BB342A">
            <w:pPr>
              <w:jc w:val="right"/>
              <w:rPr>
                <w:rFonts w:cs="Segoe UI"/>
                <w:sz w:val="18"/>
                <w:szCs w:val="18"/>
                <w:lang w:val="hr-HR"/>
              </w:rPr>
            </w:pPr>
          </w:p>
        </w:tc>
        <w:tc>
          <w:tcPr>
            <w:tcW w:w="771" w:type="dxa"/>
            <w:shd w:val="clear" w:color="000000" w:fill="FFFFFF"/>
            <w:noWrap/>
            <w:vAlign w:val="bottom"/>
            <w:hideMark/>
          </w:tcPr>
          <w:p w:rsidR="00BB342A" w:rsidRPr="00F83AA5" w:rsidRDefault="00BB342A" w:rsidP="00BB342A">
            <w:pPr>
              <w:jc w:val="right"/>
              <w:rPr>
                <w:rFonts w:cs="Segoe UI"/>
                <w:sz w:val="18"/>
                <w:szCs w:val="18"/>
                <w:lang w:val="hr-HR"/>
              </w:rPr>
            </w:pPr>
          </w:p>
        </w:tc>
        <w:tc>
          <w:tcPr>
            <w:tcW w:w="665" w:type="dxa"/>
            <w:shd w:val="clear" w:color="000000" w:fill="FFFFFF"/>
            <w:noWrap/>
            <w:vAlign w:val="bottom"/>
            <w:hideMark/>
          </w:tcPr>
          <w:p w:rsidR="00BB342A" w:rsidRPr="00F83AA5" w:rsidRDefault="00BB342A" w:rsidP="00BB342A">
            <w:pPr>
              <w:jc w:val="right"/>
              <w:rPr>
                <w:rFonts w:cs="Segoe UI"/>
                <w:sz w:val="18"/>
                <w:szCs w:val="18"/>
                <w:lang w:val="hr-HR"/>
              </w:rPr>
            </w:pPr>
          </w:p>
        </w:tc>
        <w:tc>
          <w:tcPr>
            <w:tcW w:w="713" w:type="dxa"/>
            <w:shd w:val="clear" w:color="000000" w:fill="FFFFFF"/>
            <w:noWrap/>
            <w:vAlign w:val="bottom"/>
            <w:hideMark/>
          </w:tcPr>
          <w:p w:rsidR="00BB342A" w:rsidRPr="00F83AA5" w:rsidRDefault="00BB342A" w:rsidP="00BB342A">
            <w:pPr>
              <w:jc w:val="right"/>
              <w:rPr>
                <w:rFonts w:cs="Segoe UI"/>
                <w:sz w:val="18"/>
                <w:szCs w:val="18"/>
                <w:lang w:val="hr-HR"/>
              </w:rPr>
            </w:pPr>
          </w:p>
        </w:tc>
        <w:tc>
          <w:tcPr>
            <w:tcW w:w="759" w:type="dxa"/>
            <w:shd w:val="clear" w:color="000000" w:fill="FFFFFF"/>
            <w:noWrap/>
            <w:vAlign w:val="bottom"/>
            <w:hideMark/>
          </w:tcPr>
          <w:p w:rsidR="00BB342A" w:rsidRPr="00F83AA5" w:rsidRDefault="00BB342A" w:rsidP="00BB342A">
            <w:pPr>
              <w:jc w:val="right"/>
              <w:rPr>
                <w:rFonts w:cs="Segoe UI"/>
                <w:sz w:val="18"/>
                <w:szCs w:val="18"/>
                <w:lang w:val="hr-HR"/>
              </w:rPr>
            </w:pPr>
          </w:p>
        </w:tc>
      </w:tr>
      <w:tr w:rsidR="00BB342A" w:rsidRPr="00F83AA5" w:rsidTr="00BB342A">
        <w:tblPrEx>
          <w:tblBorders>
            <w:top w:val="single" w:sz="4" w:space="0" w:color="auto"/>
            <w:left w:val="single" w:sz="4" w:space="0" w:color="auto"/>
            <w:bottom w:val="single" w:sz="4" w:space="0" w:color="auto"/>
            <w:right w:val="single" w:sz="4" w:space="0" w:color="auto"/>
          </w:tblBorders>
          <w:tblLook w:val="04A0"/>
        </w:tblPrEx>
        <w:trPr>
          <w:trHeight w:val="255"/>
          <w:jc w:val="center"/>
        </w:trPr>
        <w:tc>
          <w:tcPr>
            <w:tcW w:w="309" w:type="dxa"/>
            <w:tcBorders>
              <w:bottom w:val="single" w:sz="4" w:space="0" w:color="auto"/>
            </w:tcBorders>
            <w:shd w:val="clear" w:color="000000" w:fill="FFFFFF"/>
            <w:noWrap/>
            <w:vAlign w:val="bottom"/>
            <w:hideMark/>
          </w:tcPr>
          <w:p w:rsidR="00BB342A" w:rsidRPr="00F83AA5" w:rsidRDefault="00BB342A" w:rsidP="00BB342A">
            <w:pPr>
              <w:rPr>
                <w:rFonts w:cs="Segoe UI"/>
                <w:sz w:val="18"/>
                <w:szCs w:val="18"/>
                <w:lang w:val="hr-HR"/>
              </w:rPr>
            </w:pPr>
          </w:p>
        </w:tc>
        <w:tc>
          <w:tcPr>
            <w:tcW w:w="4476" w:type="dxa"/>
            <w:tcBorders>
              <w:bottom w:val="single" w:sz="4" w:space="0" w:color="auto"/>
            </w:tcBorders>
            <w:shd w:val="clear" w:color="000000" w:fill="FFFFFF"/>
            <w:noWrap/>
            <w:vAlign w:val="bottom"/>
            <w:hideMark/>
          </w:tcPr>
          <w:p w:rsidR="00BB342A" w:rsidRPr="00F83AA5" w:rsidRDefault="00BB342A" w:rsidP="00BB342A">
            <w:pPr>
              <w:rPr>
                <w:rFonts w:cs="Segoe UI"/>
                <w:sz w:val="18"/>
                <w:szCs w:val="18"/>
                <w:lang w:val="hr-HR"/>
              </w:rPr>
            </w:pPr>
          </w:p>
        </w:tc>
        <w:tc>
          <w:tcPr>
            <w:tcW w:w="771" w:type="dxa"/>
            <w:tcBorders>
              <w:bottom w:val="single" w:sz="4" w:space="0" w:color="auto"/>
            </w:tcBorders>
            <w:shd w:val="clear" w:color="000000" w:fill="FFFFFF"/>
            <w:noWrap/>
            <w:vAlign w:val="bottom"/>
            <w:hideMark/>
          </w:tcPr>
          <w:p w:rsidR="00BB342A" w:rsidRPr="00F83AA5" w:rsidRDefault="00BB342A" w:rsidP="00BB342A">
            <w:pPr>
              <w:jc w:val="right"/>
              <w:rPr>
                <w:rFonts w:cs="Segoe UI"/>
                <w:sz w:val="18"/>
                <w:szCs w:val="18"/>
                <w:lang w:val="hr-HR"/>
              </w:rPr>
            </w:pPr>
          </w:p>
        </w:tc>
        <w:tc>
          <w:tcPr>
            <w:tcW w:w="771" w:type="dxa"/>
            <w:tcBorders>
              <w:bottom w:val="single" w:sz="4" w:space="0" w:color="auto"/>
            </w:tcBorders>
            <w:shd w:val="clear" w:color="000000" w:fill="FFFFFF"/>
            <w:noWrap/>
            <w:vAlign w:val="bottom"/>
            <w:hideMark/>
          </w:tcPr>
          <w:p w:rsidR="00BB342A" w:rsidRPr="00F83AA5" w:rsidRDefault="00BB342A" w:rsidP="00BB342A">
            <w:pPr>
              <w:jc w:val="right"/>
              <w:rPr>
                <w:rFonts w:cs="Segoe UI"/>
                <w:sz w:val="18"/>
                <w:szCs w:val="18"/>
                <w:lang w:val="hr-HR"/>
              </w:rPr>
            </w:pPr>
          </w:p>
        </w:tc>
        <w:tc>
          <w:tcPr>
            <w:tcW w:w="771" w:type="dxa"/>
            <w:tcBorders>
              <w:bottom w:val="single" w:sz="4" w:space="0" w:color="auto"/>
            </w:tcBorders>
            <w:shd w:val="clear" w:color="000000" w:fill="FFFFFF"/>
            <w:noWrap/>
            <w:vAlign w:val="bottom"/>
            <w:hideMark/>
          </w:tcPr>
          <w:p w:rsidR="00BB342A" w:rsidRPr="00F83AA5" w:rsidRDefault="00BB342A" w:rsidP="00BB342A">
            <w:pPr>
              <w:jc w:val="right"/>
              <w:rPr>
                <w:rFonts w:cs="Segoe UI"/>
                <w:sz w:val="18"/>
                <w:szCs w:val="18"/>
                <w:lang w:val="hr-HR"/>
              </w:rPr>
            </w:pPr>
          </w:p>
        </w:tc>
        <w:tc>
          <w:tcPr>
            <w:tcW w:w="665" w:type="dxa"/>
            <w:tcBorders>
              <w:bottom w:val="single" w:sz="4" w:space="0" w:color="auto"/>
            </w:tcBorders>
            <w:shd w:val="clear" w:color="000000" w:fill="FFFFFF"/>
            <w:noWrap/>
            <w:vAlign w:val="bottom"/>
            <w:hideMark/>
          </w:tcPr>
          <w:p w:rsidR="00BB342A" w:rsidRPr="00F83AA5" w:rsidRDefault="00BB342A" w:rsidP="00BB342A">
            <w:pPr>
              <w:jc w:val="right"/>
              <w:rPr>
                <w:rFonts w:cs="Segoe UI"/>
                <w:sz w:val="18"/>
                <w:szCs w:val="18"/>
                <w:lang w:val="hr-HR"/>
              </w:rPr>
            </w:pPr>
          </w:p>
        </w:tc>
        <w:tc>
          <w:tcPr>
            <w:tcW w:w="713" w:type="dxa"/>
            <w:tcBorders>
              <w:bottom w:val="single" w:sz="4" w:space="0" w:color="auto"/>
            </w:tcBorders>
            <w:shd w:val="clear" w:color="000000" w:fill="FFFFFF"/>
            <w:noWrap/>
            <w:vAlign w:val="bottom"/>
            <w:hideMark/>
          </w:tcPr>
          <w:p w:rsidR="00BB342A" w:rsidRPr="00F83AA5" w:rsidRDefault="00BB342A" w:rsidP="00BB342A">
            <w:pPr>
              <w:jc w:val="right"/>
              <w:rPr>
                <w:rFonts w:cs="Segoe UI"/>
                <w:sz w:val="18"/>
                <w:szCs w:val="18"/>
                <w:lang w:val="hr-HR"/>
              </w:rPr>
            </w:pPr>
          </w:p>
        </w:tc>
        <w:tc>
          <w:tcPr>
            <w:tcW w:w="759" w:type="dxa"/>
            <w:tcBorders>
              <w:bottom w:val="single" w:sz="4" w:space="0" w:color="auto"/>
            </w:tcBorders>
            <w:shd w:val="clear" w:color="000000" w:fill="FFFFFF"/>
            <w:noWrap/>
            <w:vAlign w:val="bottom"/>
            <w:hideMark/>
          </w:tcPr>
          <w:p w:rsidR="00BB342A" w:rsidRPr="00F83AA5" w:rsidRDefault="00BB342A" w:rsidP="00BB342A">
            <w:pPr>
              <w:jc w:val="right"/>
              <w:rPr>
                <w:rFonts w:cs="Segoe UI"/>
                <w:sz w:val="18"/>
                <w:szCs w:val="18"/>
                <w:lang w:val="hr-HR"/>
              </w:rPr>
            </w:pPr>
          </w:p>
        </w:tc>
      </w:tr>
      <w:tr w:rsidR="00BB342A" w:rsidRPr="00F83AA5" w:rsidTr="00BB342A">
        <w:tblPrEx>
          <w:tblBorders>
            <w:top w:val="single" w:sz="4" w:space="0" w:color="auto"/>
            <w:left w:val="single" w:sz="4" w:space="0" w:color="auto"/>
            <w:bottom w:val="single" w:sz="4" w:space="0" w:color="auto"/>
            <w:right w:val="single" w:sz="4" w:space="0" w:color="auto"/>
          </w:tblBorders>
          <w:tblLook w:val="04A0"/>
        </w:tblPrEx>
        <w:trPr>
          <w:trHeight w:val="1020"/>
          <w:jc w:val="center"/>
        </w:trPr>
        <w:tc>
          <w:tcPr>
            <w:tcW w:w="9235" w:type="dxa"/>
            <w:gridSpan w:val="8"/>
            <w:tcBorders>
              <w:top w:val="single" w:sz="4" w:space="0" w:color="auto"/>
              <w:bottom w:val="single" w:sz="4" w:space="0" w:color="auto"/>
            </w:tcBorders>
            <w:shd w:val="clear" w:color="000000" w:fill="FFFFFF"/>
            <w:noWrap/>
            <w:hideMark/>
          </w:tcPr>
          <w:p w:rsidR="00BB342A" w:rsidRPr="00F83AA5" w:rsidRDefault="00BB7A7D" w:rsidP="00BB7A7D">
            <w:pPr>
              <w:spacing w:before="40"/>
              <w:rPr>
                <w:rFonts w:cs="Segoe UI"/>
                <w:sz w:val="18"/>
                <w:szCs w:val="18"/>
                <w:lang w:val="hr-HR"/>
              </w:rPr>
            </w:pPr>
            <w:r>
              <w:rPr>
                <w:rFonts w:cs="Segoe UI"/>
                <w:sz w:val="18"/>
                <w:szCs w:val="18"/>
                <w:lang w:val="hr-HR"/>
              </w:rPr>
              <w:lastRenderedPageBreak/>
              <w:t>Izvori</w:t>
            </w:r>
            <w:r w:rsidR="00BB342A" w:rsidRPr="00F83AA5">
              <w:rPr>
                <w:rFonts w:cs="Segoe UI"/>
                <w:sz w:val="18"/>
                <w:szCs w:val="18"/>
                <w:lang w:val="hr-HR"/>
              </w:rPr>
              <w:t xml:space="preserve">: </w:t>
            </w:r>
            <w:r>
              <w:rPr>
                <w:rFonts w:cs="Segoe UI"/>
                <w:sz w:val="18"/>
                <w:szCs w:val="18"/>
                <w:lang w:val="hr-HR"/>
              </w:rPr>
              <w:t>Nadležni organi Crne Gore i procjene i projekcije zaposlenih MMF-a</w:t>
            </w:r>
          </w:p>
          <w:p w:rsidR="00BB342A" w:rsidRPr="00F83AA5" w:rsidRDefault="00B47A28" w:rsidP="00BB7A7D">
            <w:pPr>
              <w:rPr>
                <w:rFonts w:cs="Segoe UI"/>
                <w:sz w:val="18"/>
                <w:szCs w:val="18"/>
                <w:lang w:val="hr-HR"/>
              </w:rPr>
            </w:pPr>
            <w:r w:rsidRPr="00F83AA5">
              <w:rPr>
                <w:rFonts w:cs="Segoe UI"/>
                <w:sz w:val="18"/>
                <w:szCs w:val="18"/>
                <w:vertAlign w:val="superscript"/>
                <w:lang w:val="hr-HR"/>
              </w:rPr>
              <w:t>1</w:t>
            </w:r>
            <w:r w:rsidR="00BB342A" w:rsidRPr="00F83AA5">
              <w:rPr>
                <w:rFonts w:cs="Segoe UI"/>
                <w:sz w:val="18"/>
                <w:szCs w:val="18"/>
                <w:vertAlign w:val="superscript"/>
                <w:lang w:val="hr-HR"/>
              </w:rPr>
              <w:t>/</w:t>
            </w:r>
            <w:r w:rsidR="00BB342A" w:rsidRPr="00F83AA5">
              <w:rPr>
                <w:rFonts w:cs="Segoe UI"/>
                <w:sz w:val="18"/>
                <w:szCs w:val="18"/>
                <w:lang w:val="hr-HR"/>
              </w:rPr>
              <w:t xml:space="preserve"> </w:t>
            </w:r>
            <w:r w:rsidR="00A92CA1">
              <w:rPr>
                <w:rFonts w:cs="Segoe UI"/>
                <w:sz w:val="18"/>
                <w:szCs w:val="18"/>
                <w:lang w:val="hr-HR"/>
              </w:rPr>
              <w:t>U</w:t>
            </w:r>
            <w:r w:rsidR="00BB7A7D">
              <w:rPr>
                <w:rFonts w:cs="Segoe UI"/>
                <w:sz w:val="18"/>
                <w:szCs w:val="18"/>
                <w:lang w:val="hr-HR"/>
              </w:rPr>
              <w:t>ključuje vanbudžetske fondove i lokalne uprave, ali ne i javna preduzeća</w:t>
            </w:r>
            <w:r w:rsidR="00BB342A" w:rsidRPr="00F83AA5">
              <w:rPr>
                <w:rFonts w:cs="Segoe UI"/>
                <w:sz w:val="18"/>
                <w:szCs w:val="18"/>
                <w:lang w:val="hr-HR"/>
              </w:rPr>
              <w:t>.</w:t>
            </w:r>
          </w:p>
          <w:p w:rsidR="00B47A28" w:rsidRPr="00F83AA5" w:rsidRDefault="00B47A28" w:rsidP="00A92CA1">
            <w:pPr>
              <w:rPr>
                <w:rFonts w:cs="Segoe UI"/>
                <w:sz w:val="18"/>
                <w:szCs w:val="18"/>
                <w:lang w:val="hr-HR"/>
              </w:rPr>
            </w:pPr>
            <w:r w:rsidRPr="00F83AA5">
              <w:rPr>
                <w:rFonts w:cs="Segoe UI"/>
                <w:sz w:val="18"/>
                <w:szCs w:val="18"/>
                <w:vertAlign w:val="superscript"/>
                <w:lang w:val="hr-HR"/>
              </w:rPr>
              <w:t>2/</w:t>
            </w:r>
            <w:r w:rsidRPr="00F83AA5">
              <w:rPr>
                <w:rFonts w:cs="Segoe UI"/>
                <w:sz w:val="18"/>
                <w:szCs w:val="18"/>
                <w:lang w:val="hr-HR"/>
              </w:rPr>
              <w:t xml:space="preserve"> </w:t>
            </w:r>
            <w:r w:rsidR="00A92CA1">
              <w:rPr>
                <w:rFonts w:cs="Segoe UI"/>
                <w:sz w:val="18"/>
                <w:szCs w:val="18"/>
                <w:lang w:val="hr-HR"/>
              </w:rPr>
              <w:t>Nadležni organi ne uključuju zaostale obaveze lokalnih uprava u svoju definiciju bruto duga opšteg nivoa države</w:t>
            </w:r>
            <w:r w:rsidRPr="00F83AA5">
              <w:rPr>
                <w:rFonts w:cs="Segoe UI"/>
                <w:sz w:val="18"/>
                <w:szCs w:val="18"/>
                <w:lang w:val="hr-HR"/>
              </w:rPr>
              <w:t>.</w:t>
            </w:r>
          </w:p>
          <w:p w:rsidR="00BB342A" w:rsidRPr="00F83AA5" w:rsidRDefault="00BB342A" w:rsidP="00A92CA1">
            <w:pPr>
              <w:rPr>
                <w:rFonts w:cs="Segoe UI"/>
                <w:sz w:val="18"/>
                <w:szCs w:val="18"/>
                <w:lang w:val="hr-HR"/>
              </w:rPr>
            </w:pPr>
            <w:r w:rsidRPr="00F83AA5">
              <w:rPr>
                <w:rFonts w:cs="Segoe UI"/>
                <w:sz w:val="18"/>
                <w:szCs w:val="18"/>
                <w:vertAlign w:val="superscript"/>
                <w:lang w:val="hr-HR"/>
              </w:rPr>
              <w:t>3/</w:t>
            </w:r>
            <w:r w:rsidRPr="00F83AA5">
              <w:rPr>
                <w:rFonts w:cs="Segoe UI"/>
                <w:sz w:val="18"/>
                <w:szCs w:val="18"/>
                <w:lang w:val="hr-HR"/>
              </w:rPr>
              <w:t xml:space="preserve"> </w:t>
            </w:r>
            <w:r w:rsidR="00A92CA1">
              <w:rPr>
                <w:rFonts w:cs="Segoe UI"/>
                <w:sz w:val="18"/>
                <w:szCs w:val="18"/>
                <w:lang w:val="hr-HR"/>
              </w:rPr>
              <w:t>Procjene zaposlenih MMF-a, zato što se statistika o privatnom dugu ne objavljuje zvanično</w:t>
            </w:r>
            <w:r w:rsidRPr="00F83AA5">
              <w:rPr>
                <w:rFonts w:cs="Segoe UI"/>
                <w:sz w:val="18"/>
                <w:szCs w:val="18"/>
                <w:lang w:val="hr-HR"/>
              </w:rPr>
              <w:t>.</w:t>
            </w:r>
          </w:p>
        </w:tc>
      </w:tr>
    </w:tbl>
    <w:p w:rsidR="00BB342A" w:rsidRPr="00F83AA5" w:rsidRDefault="00BB342A">
      <w:pPr>
        <w:spacing w:line="22" w:lineRule="auto"/>
        <w:rPr>
          <w:rFonts w:ascii="Times New Roman" w:hAnsi="Times New Roman"/>
          <w:b/>
          <w:sz w:val="24"/>
          <w:lang w:val="hr-HR"/>
        </w:rPr>
      </w:pPr>
    </w:p>
    <w:sectPr w:rsidR="00BB342A" w:rsidRPr="00F83AA5" w:rsidSect="006C5AD1">
      <w:headerReference w:type="even" r:id="rId10"/>
      <w:headerReference w:type="default" r:id="rId11"/>
      <w:footnotePr>
        <w:numRestart w:val="eachSect"/>
      </w:footnotePr>
      <w:pgSz w:w="12240" w:h="15840" w:code="1"/>
      <w:pgMar w:top="1440" w:right="144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703" w:rsidRDefault="009E4703">
      <w:r>
        <w:separator/>
      </w:r>
    </w:p>
  </w:endnote>
  <w:endnote w:type="continuationSeparator" w:id="0">
    <w:p w:rsidR="009E4703" w:rsidRDefault="009E47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Frutiger LT Std 55 Roman">
    <w:altName w:val="Arial"/>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703" w:rsidRDefault="009E4703">
      <w:r>
        <w:separator/>
      </w:r>
    </w:p>
  </w:footnote>
  <w:footnote w:type="continuationSeparator" w:id="0">
    <w:p w:rsidR="009E4703" w:rsidRDefault="009E4703">
      <w:r>
        <w:continuationSeparator/>
      </w:r>
    </w:p>
  </w:footnote>
  <w:footnote w:type="continuationNotice" w:id="1">
    <w:p w:rsidR="009E4703" w:rsidRDefault="009E4703">
      <w:pPr>
        <w:jc w:val="right"/>
      </w:pPr>
      <w:r>
        <w:t>(continued)</w:t>
      </w:r>
    </w:p>
  </w:footnote>
  <w:footnote w:id="2">
    <w:p w:rsidR="00BB342A" w:rsidRPr="00A472BF" w:rsidRDefault="00BB342A" w:rsidP="00A472BF">
      <w:pPr>
        <w:pStyle w:val="FootnoteText"/>
        <w:spacing w:after="0"/>
        <w:rPr>
          <w:rFonts w:ascii="Times New Roman" w:hAnsi="Times New Roman"/>
          <w:sz w:val="20"/>
          <w:lang w:val="hr-HR"/>
        </w:rPr>
      </w:pPr>
      <w:r w:rsidRPr="00A472BF">
        <w:rPr>
          <w:rStyle w:val="FootnoteReference"/>
          <w:rFonts w:ascii="Times New Roman" w:hAnsi="Times New Roman"/>
          <w:lang w:val="hr-HR"/>
        </w:rPr>
        <w:t>1</w:t>
      </w:r>
      <w:r w:rsidRPr="00A472BF">
        <w:rPr>
          <w:rFonts w:ascii="Times New Roman" w:hAnsi="Times New Roman"/>
          <w:sz w:val="20"/>
          <w:lang w:val="hr-HR"/>
        </w:rPr>
        <w:t xml:space="preserve"> </w:t>
      </w:r>
      <w:r w:rsidR="00A472BF">
        <w:rPr>
          <w:rFonts w:ascii="Times New Roman" w:hAnsi="Times New Roman"/>
          <w:sz w:val="20"/>
          <w:lang w:val="hr-HR"/>
        </w:rPr>
        <w:t>U skladu sa članom IV Ugovora o osnivanju MMF-a, MMF održava bilateralne razgovore sa članicama obično svake godine.  Tim zaposlenih MMF-a posjeti zemlju, prikupi ekonomske i finansijske informacije i razgovara sa zavničnicima u zemlji o ekonomskim trendovima i politikama.  Po povratku u centralu, zaposleni MMF-a pripreme izvještaj, koji predstavlja osnovu za diskusiju Izvršnog odbora</w:t>
      </w:r>
      <w:r w:rsidRPr="00A472BF">
        <w:rPr>
          <w:rFonts w:ascii="Times New Roman" w:hAnsi="Times New Roman"/>
          <w:sz w:val="20"/>
          <w:lang w:val="hr-HR"/>
        </w:rPr>
        <w:t>.</w:t>
      </w:r>
    </w:p>
  </w:footnote>
  <w:footnote w:id="3">
    <w:p w:rsidR="00BB342A" w:rsidRPr="00F0153D" w:rsidRDefault="00BB342A" w:rsidP="00EF60FE">
      <w:pPr>
        <w:pStyle w:val="FootnoteText"/>
        <w:rPr>
          <w:rFonts w:ascii="Times New Roman" w:hAnsi="Times New Roman"/>
          <w:sz w:val="20"/>
          <w:lang w:val="hr-HR"/>
        </w:rPr>
      </w:pPr>
      <w:r w:rsidRPr="00F0153D">
        <w:rPr>
          <w:rStyle w:val="FootnoteReference"/>
          <w:rFonts w:ascii="Times New Roman" w:hAnsi="Times New Roman"/>
          <w:lang w:val="hr-HR"/>
        </w:rPr>
        <w:footnoteRef/>
      </w:r>
      <w:r w:rsidRPr="00F0153D">
        <w:rPr>
          <w:rFonts w:ascii="Times New Roman" w:hAnsi="Times New Roman"/>
          <w:sz w:val="20"/>
          <w:lang w:val="hr-HR"/>
        </w:rPr>
        <w:t xml:space="preserve"> </w:t>
      </w:r>
      <w:r w:rsidR="00F0153D">
        <w:rPr>
          <w:rFonts w:ascii="Times New Roman" w:hAnsi="Times New Roman"/>
          <w:sz w:val="20"/>
          <w:lang w:val="hr-HR"/>
        </w:rPr>
        <w:t xml:space="preserve">Kao zaključak diskusije, Generalni direktor, kao Predsjednik Odbora, daje rezime viđenja izvršnih direktora i taj rezime se predaje nadležnim organima u zemlji.  </w:t>
      </w:r>
      <w:r w:rsidR="00EF60FE">
        <w:rPr>
          <w:rFonts w:ascii="Times New Roman" w:hAnsi="Times New Roman"/>
          <w:sz w:val="20"/>
          <w:lang w:val="hr-HR"/>
        </w:rPr>
        <w:t>Objašnjenje bilo koje od kvalifikacija koje se koriste u reziiranju se može naći ovdje</w:t>
      </w:r>
      <w:r w:rsidRPr="00F0153D">
        <w:rPr>
          <w:rFonts w:ascii="Times New Roman" w:hAnsi="Times New Roman"/>
          <w:sz w:val="20"/>
          <w:lang w:val="hr-HR"/>
        </w:rPr>
        <w:t xml:space="preserve">: </w:t>
      </w:r>
      <w:hyperlink r:id="rId1" w:history="1">
        <w:r w:rsidRPr="00F0153D">
          <w:rPr>
            <w:rStyle w:val="Hyperlink"/>
            <w:rFonts w:ascii="Times New Roman" w:hAnsi="Times New Roman"/>
            <w:sz w:val="20"/>
            <w:lang w:val="hr-HR"/>
          </w:rPr>
          <w:t>http://www.imf.org/external/np/sec/misc/qualifiers.htm</w:t>
        </w:r>
      </w:hyperlink>
      <w:r w:rsidRPr="00F0153D">
        <w:rPr>
          <w:rFonts w:ascii="Times New Roman" w:hAnsi="Times New Roman"/>
          <w:sz w:val="20"/>
          <w:lang w:val="hr-HR"/>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42A" w:rsidRDefault="00791D7A" w:rsidP="00594CA6">
    <w:pPr>
      <w:pStyle w:val="Header"/>
      <w:jc w:val="center"/>
    </w:pPr>
    <w:r>
      <w:rPr>
        <w:rStyle w:val="PageNumber"/>
      </w:rPr>
      <w:fldChar w:fldCharType="begin"/>
    </w:r>
    <w:r w:rsidR="00BB342A">
      <w:rPr>
        <w:rStyle w:val="PageNumber"/>
      </w:rPr>
      <w:instrText xml:space="preserve"> PAGE </w:instrText>
    </w:r>
    <w:r>
      <w:rPr>
        <w:rStyle w:val="PageNumber"/>
      </w:rPr>
      <w:fldChar w:fldCharType="separate"/>
    </w:r>
    <w:r w:rsidR="00A92CA1">
      <w:rPr>
        <w:rStyle w:val="PageNumber"/>
        <w:noProof/>
      </w:rPr>
      <w:t>4</w:t>
    </w:r>
    <w:r>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42A" w:rsidRDefault="00791D7A" w:rsidP="00594CA6">
    <w:pPr>
      <w:pStyle w:val="Header"/>
      <w:jc w:val="center"/>
    </w:pPr>
    <w:r>
      <w:rPr>
        <w:rStyle w:val="PageNumber"/>
      </w:rPr>
      <w:fldChar w:fldCharType="begin"/>
    </w:r>
    <w:r w:rsidR="00BB342A">
      <w:rPr>
        <w:rStyle w:val="PageNumber"/>
      </w:rPr>
      <w:instrText xml:space="preserve"> PAGE </w:instrText>
    </w:r>
    <w:r>
      <w:rPr>
        <w:rStyle w:val="PageNumber"/>
      </w:rPr>
      <w:fldChar w:fldCharType="separate"/>
    </w:r>
    <w:r w:rsidR="00A92CA1">
      <w:rPr>
        <w:rStyle w:val="PageNumber"/>
        <w:noProof/>
      </w:rPr>
      <w:t>3</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1F9E495C"/>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1"/>
    <w:multiLevelType w:val="singleLevel"/>
    <w:tmpl w:val="FB72F900"/>
    <w:lvl w:ilvl="0">
      <w:start w:val="1"/>
      <w:numFmt w:val="bullet"/>
      <w:pStyle w:val="ListBullet4"/>
      <w:lvlText w:val=""/>
      <w:lvlJc w:val="left"/>
      <w:pPr>
        <w:tabs>
          <w:tab w:val="num" w:pos="1440"/>
        </w:tabs>
        <w:ind w:left="1440" w:hanging="360"/>
      </w:pPr>
      <w:rPr>
        <w:rFonts w:ascii="Symbol" w:hAnsi="Symbol" w:hint="default"/>
      </w:rPr>
    </w:lvl>
  </w:abstractNum>
  <w:abstractNum w:abstractNumId="2">
    <w:nsid w:val="FFFFFF82"/>
    <w:multiLevelType w:val="singleLevel"/>
    <w:tmpl w:val="695C684A"/>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D976226E"/>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8"/>
    <w:multiLevelType w:val="singleLevel"/>
    <w:tmpl w:val="AB906120"/>
    <w:lvl w:ilvl="0">
      <w:start w:val="1"/>
      <w:numFmt w:val="decimal"/>
      <w:pStyle w:val="ListNumber"/>
      <w:lvlText w:val="%1."/>
      <w:lvlJc w:val="left"/>
      <w:pPr>
        <w:tabs>
          <w:tab w:val="num" w:pos="360"/>
        </w:tabs>
        <w:ind w:left="360" w:hanging="360"/>
      </w:pPr>
    </w:lvl>
  </w:abstractNum>
  <w:abstractNum w:abstractNumId="5">
    <w:nsid w:val="FFFFFF89"/>
    <w:multiLevelType w:val="singleLevel"/>
    <w:tmpl w:val="5D04F296"/>
    <w:lvl w:ilvl="0">
      <w:start w:val="1"/>
      <w:numFmt w:val="bullet"/>
      <w:pStyle w:val="ListBullet"/>
      <w:lvlText w:val=""/>
      <w:lvlJc w:val="left"/>
      <w:pPr>
        <w:ind w:left="360" w:hanging="360"/>
      </w:pPr>
      <w:rPr>
        <w:rFonts w:ascii="Symbol" w:hAnsi="Symbol" w:hint="default"/>
        <w:color w:val="4B82AD"/>
        <w:sz w:val="21"/>
      </w:rPr>
    </w:lvl>
  </w:abstractNum>
  <w:abstractNum w:abstractNumId="6">
    <w:nsid w:val="00000001"/>
    <w:multiLevelType w:val="multilevel"/>
    <w:tmpl w:val="00000000"/>
    <w:lvl w:ilvl="0">
      <w:start w:val="1"/>
      <w:numFmt w:val="decimal"/>
      <w:pStyle w:val="Level1"/>
      <w:lvlText w:val="%1."/>
      <w:lvlJc w:val="left"/>
      <w:pPr>
        <w:tabs>
          <w:tab w:val="num" w:pos="720"/>
        </w:tabs>
      </w:p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7">
    <w:nsid w:val="2972299F"/>
    <w:multiLevelType w:val="hybridMultilevel"/>
    <w:tmpl w:val="F94A196E"/>
    <w:lvl w:ilvl="0" w:tplc="95DA5550">
      <w:start w:val="1"/>
      <w:numFmt w:val="upperLetter"/>
      <w:pStyle w:val="Heading5"/>
      <w:lvlText w:val="%1."/>
      <w:lvlJc w:val="left"/>
      <w:pPr>
        <w:ind w:left="720" w:hanging="360"/>
      </w:pPr>
      <w:rPr>
        <w:rFonts w:ascii="Segoe UI" w:hAnsi="Segoe UI" w:cs="Segoe UI" w:hint="default"/>
        <w:b/>
        <w:i w:val="0"/>
        <w:color w:val="4B82AD"/>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CD6BF5"/>
    <w:multiLevelType w:val="hybridMultilevel"/>
    <w:tmpl w:val="A378ABA2"/>
    <w:lvl w:ilvl="0" w:tplc="EF02E5FA">
      <w:start w:val="1"/>
      <w:numFmt w:val="bullet"/>
      <w:pStyle w:val="BoxBullet"/>
      <w:lvlText w:val=""/>
      <w:lvlJc w:val="left"/>
      <w:pPr>
        <w:ind w:left="720" w:hanging="360"/>
      </w:pPr>
      <w:rPr>
        <w:rFonts w:ascii="Symbol" w:hAnsi="Symbol" w:hint="default"/>
        <w:color w:val="4B82AD"/>
        <w:sz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BB4A2B"/>
    <w:multiLevelType w:val="hybridMultilevel"/>
    <w:tmpl w:val="7DA4A12C"/>
    <w:lvl w:ilvl="0" w:tplc="08168644">
      <w:start w:val="1"/>
      <w:numFmt w:val="decimal"/>
      <w:pStyle w:val="AnnAppParagraphNumbering"/>
      <w:lvlText w:val="%1.     "/>
      <w:lvlJc w:val="left"/>
      <w:pPr>
        <w:ind w:left="360" w:hanging="360"/>
      </w:pPr>
      <w:rPr>
        <w:rFonts w:ascii="Segoe UI" w:hAnsi="Segoe UI" w:cs="Segoe UI" w:hint="default"/>
        <w:b w:val="0"/>
        <w:bCs/>
        <w:i w:val="0"/>
        <w:iCs w:val="0"/>
        <w:sz w:val="21"/>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3D7BB7"/>
    <w:multiLevelType w:val="hybridMultilevel"/>
    <w:tmpl w:val="5254E45C"/>
    <w:lvl w:ilvl="0" w:tplc="59AA588C">
      <w:start w:val="1"/>
      <w:numFmt w:val="decimal"/>
      <w:pStyle w:val="ParagraphNumbering"/>
      <w:lvlText w:val="%1.     "/>
      <w:lvlJc w:val="left"/>
      <w:pPr>
        <w:ind w:left="360" w:hanging="360"/>
      </w:pPr>
      <w:rPr>
        <w:rFonts w:ascii="Segoe UI" w:hAnsi="Segoe UI" w:cs="Segoe UI" w:hint="default"/>
        <w:b/>
        <w:bCs/>
        <w:i w:val="0"/>
        <w:iCs w:val="0"/>
        <w:caps w:val="0"/>
        <w:smallCaps w:val="0"/>
        <w:strike w:val="0"/>
        <w:dstrike w:val="0"/>
        <w:noProof w:val="0"/>
        <w:vanish w:val="0"/>
        <w:color w:val="000000"/>
        <w:spacing w:val="0"/>
        <w:kern w:val="0"/>
        <w:position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4C2B39"/>
    <w:multiLevelType w:val="hybridMultilevel"/>
    <w:tmpl w:val="B62EB9A6"/>
    <w:lvl w:ilvl="0" w:tplc="D7DE0546">
      <w:numFmt w:val="bullet"/>
      <w:lvlText w:val=""/>
      <w:lvlJc w:val="left"/>
      <w:pPr>
        <w:ind w:left="720" w:hanging="360"/>
      </w:pPr>
      <w:rPr>
        <w:rFonts w:ascii="Symbol" w:hAnsi="Symbol" w:cs="Times New Roman" w:hint="default"/>
        <w:color w:val="4F81BD" w:themeColor="accent1"/>
      </w:rPr>
    </w:lvl>
    <w:lvl w:ilvl="1" w:tplc="0409001B"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
    <w:nsid w:val="3B2D6A99"/>
    <w:multiLevelType w:val="hybridMultilevel"/>
    <w:tmpl w:val="A0764970"/>
    <w:lvl w:ilvl="0" w:tplc="7638D8F2">
      <w:start w:val="1"/>
      <w:numFmt w:val="bullet"/>
      <w:pStyle w:val="AnnAppListBullets"/>
      <w:lvlText w:val=""/>
      <w:lvlJc w:val="left"/>
      <w:pPr>
        <w:ind w:left="720" w:hanging="360"/>
      </w:pPr>
      <w:rPr>
        <w:rFonts w:ascii="Symbol" w:hAnsi="Symbol" w:hint="default"/>
        <w:color w:val="4B82AD"/>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9277D4"/>
    <w:multiLevelType w:val="hybridMultilevel"/>
    <w:tmpl w:val="21EC9F6A"/>
    <w:lvl w:ilvl="0" w:tplc="D7DE0546">
      <w:start w:val="1"/>
      <w:numFmt w:val="decimal"/>
      <w:lvlText w:val="%1."/>
      <w:lvlJc w:val="left"/>
      <w:pPr>
        <w:ind w:left="360" w:hanging="360"/>
      </w:pPr>
      <w:rPr>
        <w:b w:val="0"/>
      </w:rPr>
    </w:lvl>
    <w:lvl w:ilvl="1" w:tplc="0409001B"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0EA15A1"/>
    <w:multiLevelType w:val="multilevel"/>
    <w:tmpl w:val="FAA42BFC"/>
    <w:lvl w:ilvl="0">
      <w:start w:val="1"/>
      <w:numFmt w:val="upperRoman"/>
      <w:suff w:val="nothing"/>
      <w:lvlText w:val="%1.   "/>
      <w:lvlJc w:val="left"/>
      <w:pPr>
        <w:ind w:left="0" w:firstLine="0"/>
      </w:pPr>
      <w:rPr>
        <w:rFonts w:hint="default"/>
      </w:rPr>
    </w:lvl>
    <w:lvl w:ilvl="1">
      <w:start w:val="1"/>
      <w:numFmt w:val="upperLetter"/>
      <w:pStyle w:val="Heading2"/>
      <w:suff w:val="nothing"/>
      <w:lvlText w:val="%2.   "/>
      <w:lvlJc w:val="left"/>
      <w:pPr>
        <w:ind w:left="0" w:firstLine="0"/>
      </w:pPr>
      <w:rPr>
        <w:rFonts w:hint="default"/>
      </w:rPr>
    </w:lvl>
    <w:lvl w:ilvl="2">
      <w:start w:val="1"/>
      <w:numFmt w:val="decimal"/>
      <w:lvlText w:val="%3."/>
      <w:lvlJc w:val="left"/>
      <w:pPr>
        <w:tabs>
          <w:tab w:val="num" w:pos="1080"/>
        </w:tabs>
        <w:ind w:left="720" w:firstLine="0"/>
      </w:pPr>
      <w:rPr>
        <w:rFonts w:hint="default"/>
      </w:rPr>
    </w:lvl>
    <w:lvl w:ilvl="3">
      <w:start w:val="1"/>
      <w:numFmt w:val="lowerLetter"/>
      <w:lvlText w:val="%4)"/>
      <w:lvlJc w:val="left"/>
      <w:pPr>
        <w:tabs>
          <w:tab w:val="num" w:pos="1800"/>
        </w:tabs>
        <w:ind w:left="1440" w:firstLine="0"/>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1"/>
  </w:num>
  <w:num w:numId="8">
    <w:abstractNumId w:val="13"/>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num>
  <w:num w:numId="12">
    <w:abstractNumId w:val="14"/>
  </w:num>
  <w:num w:numId="13">
    <w:abstractNumId w:val="7"/>
  </w:num>
  <w:num w:numId="14">
    <w:abstractNumId w:val="5"/>
  </w:num>
  <w:num w:numId="15">
    <w:abstractNumId w:val="8"/>
  </w:num>
  <w:num w:numId="16">
    <w:abstractNumId w:val="12"/>
  </w:num>
  <w:num w:numId="17">
    <w:abstractNumId w:val="9"/>
  </w:num>
  <w:num w:numId="18">
    <w:abstractNumId w:val="10"/>
  </w:num>
  <w:num w:numId="19">
    <w:abstractNumId w:val="10"/>
    <w:lvlOverride w:ilvl="0">
      <w:startOverride w:val="1"/>
    </w:lvlOverride>
  </w:num>
  <w:num w:numId="20">
    <w:abstractNumId w:val="10"/>
    <w:lvlOverride w:ilvl="0">
      <w:startOverride w:val="1"/>
    </w:lvlOverride>
  </w:num>
  <w:num w:numId="21">
    <w:abstractNumId w:val="10"/>
    <w:lvlOverride w:ilvl="0">
      <w:startOverride w:val="1"/>
    </w:lvlOverride>
  </w:num>
  <w:num w:numId="22">
    <w:abstractNumId w:val="10"/>
    <w:lvlOverride w:ilvl="0">
      <w:startOverride w:val="1"/>
    </w:lvlOverride>
  </w:num>
  <w:num w:numId="23">
    <w:abstractNumId w:val="10"/>
    <w:lvlOverride w:ilvl="0">
      <w:startOverride w:val="1"/>
    </w:lvlOverride>
  </w:num>
  <w:num w:numId="24">
    <w:abstractNumId w:val="10"/>
    <w:lvlOverride w:ilvl="0">
      <w:startOverride w:val="1"/>
    </w:lvlOverride>
  </w:num>
  <w:num w:numId="25">
    <w:abstractNumId w:val="10"/>
    <w:lvlOverride w:ilvl="0">
      <w:startOverride w:val="1"/>
    </w:lvlOverride>
  </w:num>
  <w:num w:numId="26">
    <w:abstractNumId w:val="10"/>
    <w:lvlOverride w:ilvl="0">
      <w:startOverride w:val="1"/>
    </w:lvlOverride>
  </w:num>
  <w:num w:numId="27">
    <w:abstractNumId w:val="6"/>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embedSystemFonts/>
  <w:bordersDoNotSurroundHeader/>
  <w:bordersDoNotSurroundFooter/>
  <w:proofState w:spelling="clean" w:grammar="clean"/>
  <w:attachedTemplate r:id="rId1"/>
  <w:stylePaneFormatFilter w:val="3F01"/>
  <w:defaultTabStop w:val="720"/>
  <w:evenAndOddHeaders/>
  <w:drawingGridHorizontalSpacing w:val="105"/>
  <w:displayHorizontalDrawingGridEvery w:val="2"/>
  <w:displayVerticalDrawingGridEvery w:val="2"/>
  <w:noPunctuationKerning/>
  <w:characterSpacingControl w:val="doNotCompress"/>
  <w:hdrShapeDefaults>
    <o:shapedefaults v:ext="edit" spidmax="17410">
      <v:textbox inset="5.85pt,.7pt,5.85pt,.7pt"/>
    </o:shapedefaults>
  </w:hdrShapeDefaults>
  <w:footnotePr>
    <w:numRestart w:val="eachSect"/>
    <w:footnote w:id="-1"/>
    <w:footnote w:id="0"/>
    <w:footnote w:id="1"/>
  </w:footnotePr>
  <w:endnotePr>
    <w:endnote w:id="-1"/>
    <w:endnote w:id="0"/>
  </w:endnotePr>
  <w:compat>
    <w:useFELayout/>
  </w:compat>
  <w:rsids>
    <w:rsidRoot w:val="000749AE"/>
    <w:rsid w:val="00000870"/>
    <w:rsid w:val="00002907"/>
    <w:rsid w:val="00002AA6"/>
    <w:rsid w:val="00005375"/>
    <w:rsid w:val="000069B7"/>
    <w:rsid w:val="00006F3C"/>
    <w:rsid w:val="00007A9B"/>
    <w:rsid w:val="000101B2"/>
    <w:rsid w:val="00010D36"/>
    <w:rsid w:val="000119E2"/>
    <w:rsid w:val="0001230A"/>
    <w:rsid w:val="00012738"/>
    <w:rsid w:val="00012B85"/>
    <w:rsid w:val="0001365B"/>
    <w:rsid w:val="00013DA3"/>
    <w:rsid w:val="0001457D"/>
    <w:rsid w:val="00015344"/>
    <w:rsid w:val="0001565A"/>
    <w:rsid w:val="00015991"/>
    <w:rsid w:val="00016083"/>
    <w:rsid w:val="00016986"/>
    <w:rsid w:val="000203AF"/>
    <w:rsid w:val="0002169B"/>
    <w:rsid w:val="000236E2"/>
    <w:rsid w:val="00025107"/>
    <w:rsid w:val="00025389"/>
    <w:rsid w:val="00025792"/>
    <w:rsid w:val="00030256"/>
    <w:rsid w:val="00030626"/>
    <w:rsid w:val="00030D76"/>
    <w:rsid w:val="00030F7E"/>
    <w:rsid w:val="00032849"/>
    <w:rsid w:val="000339ED"/>
    <w:rsid w:val="00033EC7"/>
    <w:rsid w:val="00034B2B"/>
    <w:rsid w:val="0003704B"/>
    <w:rsid w:val="00037950"/>
    <w:rsid w:val="00037DCC"/>
    <w:rsid w:val="00037F61"/>
    <w:rsid w:val="00040D64"/>
    <w:rsid w:val="00041D2E"/>
    <w:rsid w:val="000420D4"/>
    <w:rsid w:val="00042560"/>
    <w:rsid w:val="00042E8B"/>
    <w:rsid w:val="0004374E"/>
    <w:rsid w:val="000442C9"/>
    <w:rsid w:val="00045290"/>
    <w:rsid w:val="00046070"/>
    <w:rsid w:val="00046E7E"/>
    <w:rsid w:val="00047948"/>
    <w:rsid w:val="00050036"/>
    <w:rsid w:val="00052125"/>
    <w:rsid w:val="00053346"/>
    <w:rsid w:val="00055E7A"/>
    <w:rsid w:val="00056CBC"/>
    <w:rsid w:val="00057854"/>
    <w:rsid w:val="00060746"/>
    <w:rsid w:val="0006211B"/>
    <w:rsid w:val="00062BAB"/>
    <w:rsid w:val="00064028"/>
    <w:rsid w:val="000641EC"/>
    <w:rsid w:val="00064274"/>
    <w:rsid w:val="00064318"/>
    <w:rsid w:val="0006462A"/>
    <w:rsid w:val="000653DD"/>
    <w:rsid w:val="000662C7"/>
    <w:rsid w:val="00066DBA"/>
    <w:rsid w:val="00067E0C"/>
    <w:rsid w:val="0007080D"/>
    <w:rsid w:val="0007318B"/>
    <w:rsid w:val="00073790"/>
    <w:rsid w:val="00073885"/>
    <w:rsid w:val="000742D7"/>
    <w:rsid w:val="000748E1"/>
    <w:rsid w:val="000749AE"/>
    <w:rsid w:val="00076BE3"/>
    <w:rsid w:val="000773B5"/>
    <w:rsid w:val="000806C6"/>
    <w:rsid w:val="00080CB9"/>
    <w:rsid w:val="000819B0"/>
    <w:rsid w:val="00081AC6"/>
    <w:rsid w:val="00081BC6"/>
    <w:rsid w:val="000824CA"/>
    <w:rsid w:val="00084C8B"/>
    <w:rsid w:val="00085727"/>
    <w:rsid w:val="00087AB0"/>
    <w:rsid w:val="000904BD"/>
    <w:rsid w:val="000922F4"/>
    <w:rsid w:val="000926EA"/>
    <w:rsid w:val="00092A16"/>
    <w:rsid w:val="00093106"/>
    <w:rsid w:val="000A187C"/>
    <w:rsid w:val="000A32A8"/>
    <w:rsid w:val="000A3561"/>
    <w:rsid w:val="000A4032"/>
    <w:rsid w:val="000A7AB5"/>
    <w:rsid w:val="000A7AD1"/>
    <w:rsid w:val="000A7E0C"/>
    <w:rsid w:val="000B2921"/>
    <w:rsid w:val="000B2DCD"/>
    <w:rsid w:val="000B3AA2"/>
    <w:rsid w:val="000B5682"/>
    <w:rsid w:val="000B6D2C"/>
    <w:rsid w:val="000B71CC"/>
    <w:rsid w:val="000B7977"/>
    <w:rsid w:val="000C0785"/>
    <w:rsid w:val="000C0E90"/>
    <w:rsid w:val="000C19B9"/>
    <w:rsid w:val="000C21BF"/>
    <w:rsid w:val="000C2840"/>
    <w:rsid w:val="000C2BEA"/>
    <w:rsid w:val="000C39CA"/>
    <w:rsid w:val="000C3C82"/>
    <w:rsid w:val="000C3E45"/>
    <w:rsid w:val="000C3FAE"/>
    <w:rsid w:val="000C467F"/>
    <w:rsid w:val="000D2EB3"/>
    <w:rsid w:val="000D2F50"/>
    <w:rsid w:val="000D3BD9"/>
    <w:rsid w:val="000D6634"/>
    <w:rsid w:val="000D6692"/>
    <w:rsid w:val="000D67B5"/>
    <w:rsid w:val="000D6D18"/>
    <w:rsid w:val="000E4648"/>
    <w:rsid w:val="000E4CEE"/>
    <w:rsid w:val="000E4DBD"/>
    <w:rsid w:val="000E5949"/>
    <w:rsid w:val="000E782F"/>
    <w:rsid w:val="000E7F0B"/>
    <w:rsid w:val="000E7FB2"/>
    <w:rsid w:val="000F0A9E"/>
    <w:rsid w:val="000F2324"/>
    <w:rsid w:val="000F2A5E"/>
    <w:rsid w:val="000F2CB0"/>
    <w:rsid w:val="000F329F"/>
    <w:rsid w:val="000F604B"/>
    <w:rsid w:val="000F617B"/>
    <w:rsid w:val="000F7676"/>
    <w:rsid w:val="001004EC"/>
    <w:rsid w:val="00100910"/>
    <w:rsid w:val="00101841"/>
    <w:rsid w:val="00102284"/>
    <w:rsid w:val="00102850"/>
    <w:rsid w:val="00103D98"/>
    <w:rsid w:val="001045A3"/>
    <w:rsid w:val="00105176"/>
    <w:rsid w:val="00105BDA"/>
    <w:rsid w:val="00106EEC"/>
    <w:rsid w:val="001070F3"/>
    <w:rsid w:val="0010724F"/>
    <w:rsid w:val="001075B2"/>
    <w:rsid w:val="00110657"/>
    <w:rsid w:val="0011174D"/>
    <w:rsid w:val="001118BD"/>
    <w:rsid w:val="00111B25"/>
    <w:rsid w:val="00111FF6"/>
    <w:rsid w:val="00112378"/>
    <w:rsid w:val="00112FA3"/>
    <w:rsid w:val="00116C03"/>
    <w:rsid w:val="0012097A"/>
    <w:rsid w:val="00121321"/>
    <w:rsid w:val="0012222E"/>
    <w:rsid w:val="00122AAA"/>
    <w:rsid w:val="00122D61"/>
    <w:rsid w:val="00123215"/>
    <w:rsid w:val="00123428"/>
    <w:rsid w:val="0012605A"/>
    <w:rsid w:val="00126959"/>
    <w:rsid w:val="00126AE3"/>
    <w:rsid w:val="00126BB5"/>
    <w:rsid w:val="001274FB"/>
    <w:rsid w:val="0013051D"/>
    <w:rsid w:val="00131A4A"/>
    <w:rsid w:val="001336D8"/>
    <w:rsid w:val="00135214"/>
    <w:rsid w:val="0013592B"/>
    <w:rsid w:val="00136D35"/>
    <w:rsid w:val="00137108"/>
    <w:rsid w:val="0013755F"/>
    <w:rsid w:val="0013771F"/>
    <w:rsid w:val="00137A89"/>
    <w:rsid w:val="00137E50"/>
    <w:rsid w:val="00141501"/>
    <w:rsid w:val="001420E0"/>
    <w:rsid w:val="00142DBA"/>
    <w:rsid w:val="001437B9"/>
    <w:rsid w:val="00143ACF"/>
    <w:rsid w:val="00143E1F"/>
    <w:rsid w:val="00145588"/>
    <w:rsid w:val="001466D2"/>
    <w:rsid w:val="00150B93"/>
    <w:rsid w:val="001517C1"/>
    <w:rsid w:val="00151977"/>
    <w:rsid w:val="00151A90"/>
    <w:rsid w:val="00151AEF"/>
    <w:rsid w:val="0015268B"/>
    <w:rsid w:val="00152D21"/>
    <w:rsid w:val="00152F73"/>
    <w:rsid w:val="0015438B"/>
    <w:rsid w:val="001544D3"/>
    <w:rsid w:val="00154F8C"/>
    <w:rsid w:val="001566B1"/>
    <w:rsid w:val="00156E1B"/>
    <w:rsid w:val="00156FEC"/>
    <w:rsid w:val="001579D6"/>
    <w:rsid w:val="00157EDA"/>
    <w:rsid w:val="001621BD"/>
    <w:rsid w:val="00162719"/>
    <w:rsid w:val="00163C80"/>
    <w:rsid w:val="00165E61"/>
    <w:rsid w:val="00166CDC"/>
    <w:rsid w:val="00167B74"/>
    <w:rsid w:val="00170740"/>
    <w:rsid w:val="00170EDD"/>
    <w:rsid w:val="001710A0"/>
    <w:rsid w:val="001718DD"/>
    <w:rsid w:val="0017263E"/>
    <w:rsid w:val="00172C20"/>
    <w:rsid w:val="0017325E"/>
    <w:rsid w:val="001732A4"/>
    <w:rsid w:val="00173323"/>
    <w:rsid w:val="00174A97"/>
    <w:rsid w:val="00176000"/>
    <w:rsid w:val="001761C4"/>
    <w:rsid w:val="001762DA"/>
    <w:rsid w:val="001769A6"/>
    <w:rsid w:val="00176E90"/>
    <w:rsid w:val="00176ECF"/>
    <w:rsid w:val="001777FF"/>
    <w:rsid w:val="00177F0A"/>
    <w:rsid w:val="001802E4"/>
    <w:rsid w:val="00180A4F"/>
    <w:rsid w:val="00182065"/>
    <w:rsid w:val="00185088"/>
    <w:rsid w:val="00185FC2"/>
    <w:rsid w:val="00186D6D"/>
    <w:rsid w:val="00187E25"/>
    <w:rsid w:val="00187E96"/>
    <w:rsid w:val="001902CD"/>
    <w:rsid w:val="001903B2"/>
    <w:rsid w:val="00190BEA"/>
    <w:rsid w:val="00191282"/>
    <w:rsid w:val="0019334D"/>
    <w:rsid w:val="001939F4"/>
    <w:rsid w:val="00193F0C"/>
    <w:rsid w:val="00195047"/>
    <w:rsid w:val="00196316"/>
    <w:rsid w:val="00196F78"/>
    <w:rsid w:val="001A15C9"/>
    <w:rsid w:val="001A19B1"/>
    <w:rsid w:val="001A27E0"/>
    <w:rsid w:val="001A2F88"/>
    <w:rsid w:val="001A32E3"/>
    <w:rsid w:val="001A5498"/>
    <w:rsid w:val="001A6A60"/>
    <w:rsid w:val="001A6ACC"/>
    <w:rsid w:val="001A6C8F"/>
    <w:rsid w:val="001B0681"/>
    <w:rsid w:val="001B0D59"/>
    <w:rsid w:val="001B1223"/>
    <w:rsid w:val="001B1CCC"/>
    <w:rsid w:val="001B34DB"/>
    <w:rsid w:val="001B41F6"/>
    <w:rsid w:val="001B517A"/>
    <w:rsid w:val="001B68F2"/>
    <w:rsid w:val="001B69E7"/>
    <w:rsid w:val="001B7A9F"/>
    <w:rsid w:val="001C1AA5"/>
    <w:rsid w:val="001C1CE8"/>
    <w:rsid w:val="001C2012"/>
    <w:rsid w:val="001C2A4F"/>
    <w:rsid w:val="001C3114"/>
    <w:rsid w:val="001C3A6B"/>
    <w:rsid w:val="001C4B0D"/>
    <w:rsid w:val="001C4D1A"/>
    <w:rsid w:val="001C513B"/>
    <w:rsid w:val="001C5190"/>
    <w:rsid w:val="001C55F6"/>
    <w:rsid w:val="001C641C"/>
    <w:rsid w:val="001C6865"/>
    <w:rsid w:val="001D0000"/>
    <w:rsid w:val="001D1785"/>
    <w:rsid w:val="001D25AA"/>
    <w:rsid w:val="001D5889"/>
    <w:rsid w:val="001D6BD7"/>
    <w:rsid w:val="001D7183"/>
    <w:rsid w:val="001E04DD"/>
    <w:rsid w:val="001E0D8E"/>
    <w:rsid w:val="001E16EF"/>
    <w:rsid w:val="001E382A"/>
    <w:rsid w:val="001E5D39"/>
    <w:rsid w:val="001E604A"/>
    <w:rsid w:val="001E6557"/>
    <w:rsid w:val="001E6973"/>
    <w:rsid w:val="001E697E"/>
    <w:rsid w:val="001E7002"/>
    <w:rsid w:val="001E77B2"/>
    <w:rsid w:val="001E781A"/>
    <w:rsid w:val="001E7986"/>
    <w:rsid w:val="001F1509"/>
    <w:rsid w:val="001F2883"/>
    <w:rsid w:val="001F448B"/>
    <w:rsid w:val="001F5799"/>
    <w:rsid w:val="001F7702"/>
    <w:rsid w:val="001F7B50"/>
    <w:rsid w:val="00201E18"/>
    <w:rsid w:val="002030FD"/>
    <w:rsid w:val="0020366C"/>
    <w:rsid w:val="0020379C"/>
    <w:rsid w:val="00206D42"/>
    <w:rsid w:val="00212B24"/>
    <w:rsid w:val="00212C41"/>
    <w:rsid w:val="00213962"/>
    <w:rsid w:val="00215346"/>
    <w:rsid w:val="0021555C"/>
    <w:rsid w:val="00216D83"/>
    <w:rsid w:val="00217D6A"/>
    <w:rsid w:val="00217F4B"/>
    <w:rsid w:val="0022112F"/>
    <w:rsid w:val="002219B4"/>
    <w:rsid w:val="00221C46"/>
    <w:rsid w:val="00221E8B"/>
    <w:rsid w:val="002221C9"/>
    <w:rsid w:val="00222326"/>
    <w:rsid w:val="002226B2"/>
    <w:rsid w:val="00223476"/>
    <w:rsid w:val="00223794"/>
    <w:rsid w:val="00224730"/>
    <w:rsid w:val="00226C8B"/>
    <w:rsid w:val="002273D9"/>
    <w:rsid w:val="00227792"/>
    <w:rsid w:val="00227841"/>
    <w:rsid w:val="002279AB"/>
    <w:rsid w:val="0023043C"/>
    <w:rsid w:val="00230F32"/>
    <w:rsid w:val="00231217"/>
    <w:rsid w:val="002312E9"/>
    <w:rsid w:val="0023331D"/>
    <w:rsid w:val="00234403"/>
    <w:rsid w:val="00235127"/>
    <w:rsid w:val="00237126"/>
    <w:rsid w:val="00237491"/>
    <w:rsid w:val="0024038A"/>
    <w:rsid w:val="0024124D"/>
    <w:rsid w:val="00241A10"/>
    <w:rsid w:val="00241FAE"/>
    <w:rsid w:val="00242199"/>
    <w:rsid w:val="00242947"/>
    <w:rsid w:val="00242986"/>
    <w:rsid w:val="00243B77"/>
    <w:rsid w:val="00243ED1"/>
    <w:rsid w:val="00244026"/>
    <w:rsid w:val="00244036"/>
    <w:rsid w:val="002445B1"/>
    <w:rsid w:val="0024594F"/>
    <w:rsid w:val="00245EF4"/>
    <w:rsid w:val="00246060"/>
    <w:rsid w:val="002461F7"/>
    <w:rsid w:val="00247326"/>
    <w:rsid w:val="00247BA6"/>
    <w:rsid w:val="00250121"/>
    <w:rsid w:val="0025270E"/>
    <w:rsid w:val="00252C6F"/>
    <w:rsid w:val="002557C9"/>
    <w:rsid w:val="00256085"/>
    <w:rsid w:val="002563A3"/>
    <w:rsid w:val="00257BE1"/>
    <w:rsid w:val="002609FD"/>
    <w:rsid w:val="00260C46"/>
    <w:rsid w:val="00260EF0"/>
    <w:rsid w:val="00261402"/>
    <w:rsid w:val="002632EE"/>
    <w:rsid w:val="00265BD3"/>
    <w:rsid w:val="00265E61"/>
    <w:rsid w:val="00265F65"/>
    <w:rsid w:val="002670CC"/>
    <w:rsid w:val="00267780"/>
    <w:rsid w:val="00270375"/>
    <w:rsid w:val="00271728"/>
    <w:rsid w:val="00271B76"/>
    <w:rsid w:val="00271E8A"/>
    <w:rsid w:val="00273775"/>
    <w:rsid w:val="00273D7B"/>
    <w:rsid w:val="00274903"/>
    <w:rsid w:val="0027686A"/>
    <w:rsid w:val="00276A15"/>
    <w:rsid w:val="002773E2"/>
    <w:rsid w:val="002774F0"/>
    <w:rsid w:val="002778FF"/>
    <w:rsid w:val="0028042B"/>
    <w:rsid w:val="00280AC1"/>
    <w:rsid w:val="00280E05"/>
    <w:rsid w:val="0028267B"/>
    <w:rsid w:val="002829A3"/>
    <w:rsid w:val="00282D75"/>
    <w:rsid w:val="00283445"/>
    <w:rsid w:val="00284864"/>
    <w:rsid w:val="002848F7"/>
    <w:rsid w:val="00286410"/>
    <w:rsid w:val="0028661A"/>
    <w:rsid w:val="002871FC"/>
    <w:rsid w:val="00290A37"/>
    <w:rsid w:val="00290E6B"/>
    <w:rsid w:val="00291A32"/>
    <w:rsid w:val="00291D36"/>
    <w:rsid w:val="00292B86"/>
    <w:rsid w:val="002954F8"/>
    <w:rsid w:val="002958D5"/>
    <w:rsid w:val="00296701"/>
    <w:rsid w:val="00296BD4"/>
    <w:rsid w:val="002A0EA8"/>
    <w:rsid w:val="002A144B"/>
    <w:rsid w:val="002A16EB"/>
    <w:rsid w:val="002A1EA0"/>
    <w:rsid w:val="002A2666"/>
    <w:rsid w:val="002A3387"/>
    <w:rsid w:val="002A5963"/>
    <w:rsid w:val="002A6ACC"/>
    <w:rsid w:val="002A6CEA"/>
    <w:rsid w:val="002A73B9"/>
    <w:rsid w:val="002B23BB"/>
    <w:rsid w:val="002B2636"/>
    <w:rsid w:val="002B2D63"/>
    <w:rsid w:val="002B3093"/>
    <w:rsid w:val="002B3373"/>
    <w:rsid w:val="002B3F9F"/>
    <w:rsid w:val="002B5FAA"/>
    <w:rsid w:val="002B6E42"/>
    <w:rsid w:val="002B7B6B"/>
    <w:rsid w:val="002C2506"/>
    <w:rsid w:val="002C30B4"/>
    <w:rsid w:val="002C399F"/>
    <w:rsid w:val="002C3E2A"/>
    <w:rsid w:val="002C4ABE"/>
    <w:rsid w:val="002C591A"/>
    <w:rsid w:val="002C6088"/>
    <w:rsid w:val="002C7687"/>
    <w:rsid w:val="002C7B19"/>
    <w:rsid w:val="002D00CA"/>
    <w:rsid w:val="002D14A2"/>
    <w:rsid w:val="002D1BB7"/>
    <w:rsid w:val="002D3880"/>
    <w:rsid w:val="002D3DC7"/>
    <w:rsid w:val="002D409E"/>
    <w:rsid w:val="002D45B5"/>
    <w:rsid w:val="002D47B1"/>
    <w:rsid w:val="002D4A57"/>
    <w:rsid w:val="002D4B3F"/>
    <w:rsid w:val="002D5A2F"/>
    <w:rsid w:val="002D5D45"/>
    <w:rsid w:val="002D67E6"/>
    <w:rsid w:val="002D7334"/>
    <w:rsid w:val="002E0D6C"/>
    <w:rsid w:val="002E0FA3"/>
    <w:rsid w:val="002E19FD"/>
    <w:rsid w:val="002E20D7"/>
    <w:rsid w:val="002E2D03"/>
    <w:rsid w:val="002E3AE8"/>
    <w:rsid w:val="002E47BD"/>
    <w:rsid w:val="002E490D"/>
    <w:rsid w:val="002E4AF6"/>
    <w:rsid w:val="002E4DC1"/>
    <w:rsid w:val="002E4FDC"/>
    <w:rsid w:val="002E5A86"/>
    <w:rsid w:val="002E641E"/>
    <w:rsid w:val="002E7054"/>
    <w:rsid w:val="002F0D75"/>
    <w:rsid w:val="002F2716"/>
    <w:rsid w:val="002F29DD"/>
    <w:rsid w:val="002F4760"/>
    <w:rsid w:val="002F6201"/>
    <w:rsid w:val="003007C4"/>
    <w:rsid w:val="00300DF2"/>
    <w:rsid w:val="0030307D"/>
    <w:rsid w:val="00303A3C"/>
    <w:rsid w:val="00303F59"/>
    <w:rsid w:val="003044C7"/>
    <w:rsid w:val="0030644C"/>
    <w:rsid w:val="0030774C"/>
    <w:rsid w:val="00307D5D"/>
    <w:rsid w:val="00310817"/>
    <w:rsid w:val="00310954"/>
    <w:rsid w:val="003112C8"/>
    <w:rsid w:val="00311CD0"/>
    <w:rsid w:val="00311FE2"/>
    <w:rsid w:val="00311FF7"/>
    <w:rsid w:val="00313954"/>
    <w:rsid w:val="00313AD3"/>
    <w:rsid w:val="003154CC"/>
    <w:rsid w:val="00315CD1"/>
    <w:rsid w:val="00315EF3"/>
    <w:rsid w:val="00315FE4"/>
    <w:rsid w:val="00316159"/>
    <w:rsid w:val="00316356"/>
    <w:rsid w:val="00316A16"/>
    <w:rsid w:val="003174ED"/>
    <w:rsid w:val="00317FD9"/>
    <w:rsid w:val="00324BDA"/>
    <w:rsid w:val="0032606D"/>
    <w:rsid w:val="003272D5"/>
    <w:rsid w:val="00327493"/>
    <w:rsid w:val="00327D60"/>
    <w:rsid w:val="00331392"/>
    <w:rsid w:val="00331BE5"/>
    <w:rsid w:val="00332D90"/>
    <w:rsid w:val="00334B04"/>
    <w:rsid w:val="003350F8"/>
    <w:rsid w:val="00335253"/>
    <w:rsid w:val="00337AB5"/>
    <w:rsid w:val="003410D1"/>
    <w:rsid w:val="00344F4F"/>
    <w:rsid w:val="00350610"/>
    <w:rsid w:val="00350753"/>
    <w:rsid w:val="0035083B"/>
    <w:rsid w:val="0035196B"/>
    <w:rsid w:val="00351E29"/>
    <w:rsid w:val="00352118"/>
    <w:rsid w:val="00352C27"/>
    <w:rsid w:val="00352C6F"/>
    <w:rsid w:val="00354430"/>
    <w:rsid w:val="0035653F"/>
    <w:rsid w:val="00357204"/>
    <w:rsid w:val="00360DBA"/>
    <w:rsid w:val="00361C11"/>
    <w:rsid w:val="0036243D"/>
    <w:rsid w:val="003640F2"/>
    <w:rsid w:val="003647D8"/>
    <w:rsid w:val="003659FA"/>
    <w:rsid w:val="00366005"/>
    <w:rsid w:val="00366168"/>
    <w:rsid w:val="00366A7C"/>
    <w:rsid w:val="0036793E"/>
    <w:rsid w:val="0037124D"/>
    <w:rsid w:val="00371C28"/>
    <w:rsid w:val="00371D01"/>
    <w:rsid w:val="00372B5C"/>
    <w:rsid w:val="00373B07"/>
    <w:rsid w:val="00375232"/>
    <w:rsid w:val="00375337"/>
    <w:rsid w:val="0038082B"/>
    <w:rsid w:val="00380CE6"/>
    <w:rsid w:val="00380EE2"/>
    <w:rsid w:val="00383BA3"/>
    <w:rsid w:val="0038589C"/>
    <w:rsid w:val="00385B3B"/>
    <w:rsid w:val="003865B0"/>
    <w:rsid w:val="0038706B"/>
    <w:rsid w:val="003877F8"/>
    <w:rsid w:val="00387E82"/>
    <w:rsid w:val="00390462"/>
    <w:rsid w:val="00397785"/>
    <w:rsid w:val="003A0623"/>
    <w:rsid w:val="003A3330"/>
    <w:rsid w:val="003A36E6"/>
    <w:rsid w:val="003A3FDE"/>
    <w:rsid w:val="003A5983"/>
    <w:rsid w:val="003A621C"/>
    <w:rsid w:val="003A7481"/>
    <w:rsid w:val="003B1087"/>
    <w:rsid w:val="003B286E"/>
    <w:rsid w:val="003B2AC9"/>
    <w:rsid w:val="003B2F8C"/>
    <w:rsid w:val="003B3113"/>
    <w:rsid w:val="003B6B43"/>
    <w:rsid w:val="003B6C5E"/>
    <w:rsid w:val="003B7686"/>
    <w:rsid w:val="003B76D1"/>
    <w:rsid w:val="003B7D37"/>
    <w:rsid w:val="003C0113"/>
    <w:rsid w:val="003C02B9"/>
    <w:rsid w:val="003C1C25"/>
    <w:rsid w:val="003C1F75"/>
    <w:rsid w:val="003C2E0F"/>
    <w:rsid w:val="003C3799"/>
    <w:rsid w:val="003C49CC"/>
    <w:rsid w:val="003C6BB9"/>
    <w:rsid w:val="003D00B3"/>
    <w:rsid w:val="003D13F0"/>
    <w:rsid w:val="003D2098"/>
    <w:rsid w:val="003D3934"/>
    <w:rsid w:val="003D3FB7"/>
    <w:rsid w:val="003D4042"/>
    <w:rsid w:val="003D4A53"/>
    <w:rsid w:val="003D4E51"/>
    <w:rsid w:val="003D6099"/>
    <w:rsid w:val="003D614D"/>
    <w:rsid w:val="003E094B"/>
    <w:rsid w:val="003E1429"/>
    <w:rsid w:val="003E166B"/>
    <w:rsid w:val="003E26D9"/>
    <w:rsid w:val="003E3F0D"/>
    <w:rsid w:val="003E4056"/>
    <w:rsid w:val="003E5419"/>
    <w:rsid w:val="003E6803"/>
    <w:rsid w:val="003E7BE2"/>
    <w:rsid w:val="003F009C"/>
    <w:rsid w:val="003F00B0"/>
    <w:rsid w:val="003F1706"/>
    <w:rsid w:val="003F1B2A"/>
    <w:rsid w:val="003F1EE1"/>
    <w:rsid w:val="003F2623"/>
    <w:rsid w:val="003F62BA"/>
    <w:rsid w:val="003F77D0"/>
    <w:rsid w:val="003F796F"/>
    <w:rsid w:val="00401273"/>
    <w:rsid w:val="00403693"/>
    <w:rsid w:val="00404B4E"/>
    <w:rsid w:val="0040558F"/>
    <w:rsid w:val="00406553"/>
    <w:rsid w:val="004065DE"/>
    <w:rsid w:val="004068CB"/>
    <w:rsid w:val="00407C89"/>
    <w:rsid w:val="00407F10"/>
    <w:rsid w:val="004128E9"/>
    <w:rsid w:val="00412977"/>
    <w:rsid w:val="00412EE5"/>
    <w:rsid w:val="00413367"/>
    <w:rsid w:val="00416929"/>
    <w:rsid w:val="00416A7C"/>
    <w:rsid w:val="004175C4"/>
    <w:rsid w:val="004200C6"/>
    <w:rsid w:val="00420611"/>
    <w:rsid w:val="00421527"/>
    <w:rsid w:val="00422864"/>
    <w:rsid w:val="00423EB3"/>
    <w:rsid w:val="004252CF"/>
    <w:rsid w:val="00425445"/>
    <w:rsid w:val="00425663"/>
    <w:rsid w:val="00426054"/>
    <w:rsid w:val="004267C5"/>
    <w:rsid w:val="00427455"/>
    <w:rsid w:val="004276D4"/>
    <w:rsid w:val="00430110"/>
    <w:rsid w:val="00431E77"/>
    <w:rsid w:val="004332A4"/>
    <w:rsid w:val="00433ECD"/>
    <w:rsid w:val="0043486E"/>
    <w:rsid w:val="00436245"/>
    <w:rsid w:val="00436999"/>
    <w:rsid w:val="00436C19"/>
    <w:rsid w:val="0043761A"/>
    <w:rsid w:val="00437A7B"/>
    <w:rsid w:val="00437B6E"/>
    <w:rsid w:val="00440F55"/>
    <w:rsid w:val="004415C7"/>
    <w:rsid w:val="004421A3"/>
    <w:rsid w:val="00442958"/>
    <w:rsid w:val="00444046"/>
    <w:rsid w:val="0044501D"/>
    <w:rsid w:val="0044537C"/>
    <w:rsid w:val="00445637"/>
    <w:rsid w:val="004457E1"/>
    <w:rsid w:val="00445E4D"/>
    <w:rsid w:val="00446F1F"/>
    <w:rsid w:val="004479A8"/>
    <w:rsid w:val="00450BB8"/>
    <w:rsid w:val="0045111C"/>
    <w:rsid w:val="00451B80"/>
    <w:rsid w:val="004528E8"/>
    <w:rsid w:val="00454A81"/>
    <w:rsid w:val="00455E01"/>
    <w:rsid w:val="00456474"/>
    <w:rsid w:val="00456B6C"/>
    <w:rsid w:val="00456EDF"/>
    <w:rsid w:val="004571B0"/>
    <w:rsid w:val="0045742B"/>
    <w:rsid w:val="00457685"/>
    <w:rsid w:val="00457D01"/>
    <w:rsid w:val="00460478"/>
    <w:rsid w:val="00461100"/>
    <w:rsid w:val="00461CBC"/>
    <w:rsid w:val="00461D1A"/>
    <w:rsid w:val="00461F3E"/>
    <w:rsid w:val="004623B0"/>
    <w:rsid w:val="0046248B"/>
    <w:rsid w:val="00462A1D"/>
    <w:rsid w:val="00462D50"/>
    <w:rsid w:val="00464077"/>
    <w:rsid w:val="00464187"/>
    <w:rsid w:val="00464617"/>
    <w:rsid w:val="00465AA0"/>
    <w:rsid w:val="00466DD6"/>
    <w:rsid w:val="0046743E"/>
    <w:rsid w:val="004674FD"/>
    <w:rsid w:val="00467C82"/>
    <w:rsid w:val="00470F56"/>
    <w:rsid w:val="004721E1"/>
    <w:rsid w:val="004742DE"/>
    <w:rsid w:val="00474EFB"/>
    <w:rsid w:val="0047676B"/>
    <w:rsid w:val="00476D1A"/>
    <w:rsid w:val="00477D98"/>
    <w:rsid w:val="00480275"/>
    <w:rsid w:val="00480ADB"/>
    <w:rsid w:val="0048138D"/>
    <w:rsid w:val="00484206"/>
    <w:rsid w:val="004845A6"/>
    <w:rsid w:val="00487130"/>
    <w:rsid w:val="004872A5"/>
    <w:rsid w:val="004872AE"/>
    <w:rsid w:val="004874DD"/>
    <w:rsid w:val="0048775E"/>
    <w:rsid w:val="00490AA6"/>
    <w:rsid w:val="00490E5A"/>
    <w:rsid w:val="00492BC3"/>
    <w:rsid w:val="0049339A"/>
    <w:rsid w:val="0049427E"/>
    <w:rsid w:val="004943C6"/>
    <w:rsid w:val="00494CF2"/>
    <w:rsid w:val="00495077"/>
    <w:rsid w:val="00495BE3"/>
    <w:rsid w:val="004A0865"/>
    <w:rsid w:val="004A09D1"/>
    <w:rsid w:val="004A0BD7"/>
    <w:rsid w:val="004A236B"/>
    <w:rsid w:val="004A242A"/>
    <w:rsid w:val="004A2A94"/>
    <w:rsid w:val="004A4D14"/>
    <w:rsid w:val="004A5B08"/>
    <w:rsid w:val="004B0229"/>
    <w:rsid w:val="004B1653"/>
    <w:rsid w:val="004B2A92"/>
    <w:rsid w:val="004B2C14"/>
    <w:rsid w:val="004B32D9"/>
    <w:rsid w:val="004B3A9A"/>
    <w:rsid w:val="004B4182"/>
    <w:rsid w:val="004B5691"/>
    <w:rsid w:val="004B6917"/>
    <w:rsid w:val="004B77F6"/>
    <w:rsid w:val="004C0E15"/>
    <w:rsid w:val="004C0ECC"/>
    <w:rsid w:val="004C176E"/>
    <w:rsid w:val="004C22C8"/>
    <w:rsid w:val="004C248F"/>
    <w:rsid w:val="004C412E"/>
    <w:rsid w:val="004C4B09"/>
    <w:rsid w:val="004C5B48"/>
    <w:rsid w:val="004C5B9F"/>
    <w:rsid w:val="004C64D8"/>
    <w:rsid w:val="004D0E82"/>
    <w:rsid w:val="004D293A"/>
    <w:rsid w:val="004D2969"/>
    <w:rsid w:val="004D30E5"/>
    <w:rsid w:val="004D414B"/>
    <w:rsid w:val="004D56DB"/>
    <w:rsid w:val="004D5FD9"/>
    <w:rsid w:val="004D61AE"/>
    <w:rsid w:val="004D6A26"/>
    <w:rsid w:val="004E048E"/>
    <w:rsid w:val="004E26F2"/>
    <w:rsid w:val="004E44BF"/>
    <w:rsid w:val="004E5972"/>
    <w:rsid w:val="004E7161"/>
    <w:rsid w:val="004E7868"/>
    <w:rsid w:val="004F142B"/>
    <w:rsid w:val="004F304D"/>
    <w:rsid w:val="004F3ABC"/>
    <w:rsid w:val="004F3FB0"/>
    <w:rsid w:val="004F42B6"/>
    <w:rsid w:val="004F435E"/>
    <w:rsid w:val="004F452C"/>
    <w:rsid w:val="004F5573"/>
    <w:rsid w:val="004F71BF"/>
    <w:rsid w:val="004F73C2"/>
    <w:rsid w:val="00502FA4"/>
    <w:rsid w:val="00504AE2"/>
    <w:rsid w:val="005055B8"/>
    <w:rsid w:val="00505A9C"/>
    <w:rsid w:val="00506767"/>
    <w:rsid w:val="0050795D"/>
    <w:rsid w:val="00507CB6"/>
    <w:rsid w:val="00511663"/>
    <w:rsid w:val="00511EEC"/>
    <w:rsid w:val="00516FCA"/>
    <w:rsid w:val="005174C5"/>
    <w:rsid w:val="00517821"/>
    <w:rsid w:val="00517944"/>
    <w:rsid w:val="005203F1"/>
    <w:rsid w:val="005222CF"/>
    <w:rsid w:val="005223D2"/>
    <w:rsid w:val="00524055"/>
    <w:rsid w:val="005240A5"/>
    <w:rsid w:val="00524C92"/>
    <w:rsid w:val="00525C3B"/>
    <w:rsid w:val="005269D2"/>
    <w:rsid w:val="00526C8B"/>
    <w:rsid w:val="005301E7"/>
    <w:rsid w:val="005309B7"/>
    <w:rsid w:val="00530BC0"/>
    <w:rsid w:val="00530CEE"/>
    <w:rsid w:val="005329A8"/>
    <w:rsid w:val="00533B0F"/>
    <w:rsid w:val="005340A4"/>
    <w:rsid w:val="00534818"/>
    <w:rsid w:val="0053561B"/>
    <w:rsid w:val="00537118"/>
    <w:rsid w:val="00537335"/>
    <w:rsid w:val="00537C7A"/>
    <w:rsid w:val="005412EB"/>
    <w:rsid w:val="00541726"/>
    <w:rsid w:val="00542029"/>
    <w:rsid w:val="00542914"/>
    <w:rsid w:val="00542C2D"/>
    <w:rsid w:val="00542F22"/>
    <w:rsid w:val="00543241"/>
    <w:rsid w:val="00543C09"/>
    <w:rsid w:val="0054450E"/>
    <w:rsid w:val="00546A6D"/>
    <w:rsid w:val="00547CDC"/>
    <w:rsid w:val="00547FAA"/>
    <w:rsid w:val="00552019"/>
    <w:rsid w:val="005523A3"/>
    <w:rsid w:val="005535EA"/>
    <w:rsid w:val="005553DC"/>
    <w:rsid w:val="0055621D"/>
    <w:rsid w:val="00556379"/>
    <w:rsid w:val="00560883"/>
    <w:rsid w:val="005628CC"/>
    <w:rsid w:val="00562A06"/>
    <w:rsid w:val="00562BE0"/>
    <w:rsid w:val="00565F35"/>
    <w:rsid w:val="005668F7"/>
    <w:rsid w:val="00567594"/>
    <w:rsid w:val="005705FC"/>
    <w:rsid w:val="005746BC"/>
    <w:rsid w:val="00575022"/>
    <w:rsid w:val="00575F3D"/>
    <w:rsid w:val="0057659D"/>
    <w:rsid w:val="00581A81"/>
    <w:rsid w:val="0058285E"/>
    <w:rsid w:val="00584074"/>
    <w:rsid w:val="005840E2"/>
    <w:rsid w:val="00584A4F"/>
    <w:rsid w:val="00584A97"/>
    <w:rsid w:val="00585350"/>
    <w:rsid w:val="00586E69"/>
    <w:rsid w:val="0058785D"/>
    <w:rsid w:val="00587B9E"/>
    <w:rsid w:val="005902D9"/>
    <w:rsid w:val="005911BB"/>
    <w:rsid w:val="00592FF2"/>
    <w:rsid w:val="00594CA6"/>
    <w:rsid w:val="00595861"/>
    <w:rsid w:val="005A00A3"/>
    <w:rsid w:val="005A12AE"/>
    <w:rsid w:val="005A2DDE"/>
    <w:rsid w:val="005A2E3D"/>
    <w:rsid w:val="005A32CD"/>
    <w:rsid w:val="005A33E8"/>
    <w:rsid w:val="005A393B"/>
    <w:rsid w:val="005A40B5"/>
    <w:rsid w:val="005A5285"/>
    <w:rsid w:val="005A5779"/>
    <w:rsid w:val="005B0971"/>
    <w:rsid w:val="005B0DE7"/>
    <w:rsid w:val="005B197F"/>
    <w:rsid w:val="005B1C24"/>
    <w:rsid w:val="005B27FC"/>
    <w:rsid w:val="005B2E85"/>
    <w:rsid w:val="005B3339"/>
    <w:rsid w:val="005B3554"/>
    <w:rsid w:val="005B4931"/>
    <w:rsid w:val="005B54C7"/>
    <w:rsid w:val="005B63C9"/>
    <w:rsid w:val="005C039F"/>
    <w:rsid w:val="005C0409"/>
    <w:rsid w:val="005C0928"/>
    <w:rsid w:val="005C2481"/>
    <w:rsid w:val="005C3A13"/>
    <w:rsid w:val="005C3AA5"/>
    <w:rsid w:val="005C3FE8"/>
    <w:rsid w:val="005C4224"/>
    <w:rsid w:val="005C486B"/>
    <w:rsid w:val="005C5598"/>
    <w:rsid w:val="005C5929"/>
    <w:rsid w:val="005C5AB0"/>
    <w:rsid w:val="005C5B16"/>
    <w:rsid w:val="005C5F46"/>
    <w:rsid w:val="005C708C"/>
    <w:rsid w:val="005C779B"/>
    <w:rsid w:val="005C7ED3"/>
    <w:rsid w:val="005D1C25"/>
    <w:rsid w:val="005D1D51"/>
    <w:rsid w:val="005D366E"/>
    <w:rsid w:val="005D4420"/>
    <w:rsid w:val="005D5DFC"/>
    <w:rsid w:val="005D69A1"/>
    <w:rsid w:val="005D794A"/>
    <w:rsid w:val="005D7B96"/>
    <w:rsid w:val="005E10DD"/>
    <w:rsid w:val="005E43E2"/>
    <w:rsid w:val="005E458D"/>
    <w:rsid w:val="005E4784"/>
    <w:rsid w:val="005E4820"/>
    <w:rsid w:val="005E48AB"/>
    <w:rsid w:val="005E5293"/>
    <w:rsid w:val="005E581B"/>
    <w:rsid w:val="005F01A7"/>
    <w:rsid w:val="005F0FCE"/>
    <w:rsid w:val="005F104E"/>
    <w:rsid w:val="005F29BA"/>
    <w:rsid w:val="005F39A3"/>
    <w:rsid w:val="005F4276"/>
    <w:rsid w:val="005F484C"/>
    <w:rsid w:val="005F502E"/>
    <w:rsid w:val="005F5203"/>
    <w:rsid w:val="005F60AB"/>
    <w:rsid w:val="005F6680"/>
    <w:rsid w:val="005F7EA0"/>
    <w:rsid w:val="00600D62"/>
    <w:rsid w:val="00601241"/>
    <w:rsid w:val="00601C03"/>
    <w:rsid w:val="00604030"/>
    <w:rsid w:val="00604927"/>
    <w:rsid w:val="00604D76"/>
    <w:rsid w:val="00604DFA"/>
    <w:rsid w:val="00604F15"/>
    <w:rsid w:val="006051B2"/>
    <w:rsid w:val="00606405"/>
    <w:rsid w:val="006069FB"/>
    <w:rsid w:val="0061018E"/>
    <w:rsid w:val="00610463"/>
    <w:rsid w:val="00610C66"/>
    <w:rsid w:val="00610E03"/>
    <w:rsid w:val="00611111"/>
    <w:rsid w:val="00611C6E"/>
    <w:rsid w:val="0061266C"/>
    <w:rsid w:val="00613063"/>
    <w:rsid w:val="006140CE"/>
    <w:rsid w:val="00614105"/>
    <w:rsid w:val="00615218"/>
    <w:rsid w:val="006176C4"/>
    <w:rsid w:val="006177EB"/>
    <w:rsid w:val="00617EBB"/>
    <w:rsid w:val="0062076E"/>
    <w:rsid w:val="00621089"/>
    <w:rsid w:val="00622E27"/>
    <w:rsid w:val="0062481B"/>
    <w:rsid w:val="006261AE"/>
    <w:rsid w:val="0063073C"/>
    <w:rsid w:val="006307DE"/>
    <w:rsid w:val="00630DDA"/>
    <w:rsid w:val="006323D9"/>
    <w:rsid w:val="006325E2"/>
    <w:rsid w:val="00632A4A"/>
    <w:rsid w:val="00632DED"/>
    <w:rsid w:val="00632EE1"/>
    <w:rsid w:val="00633556"/>
    <w:rsid w:val="00634ABE"/>
    <w:rsid w:val="00634D62"/>
    <w:rsid w:val="006351D6"/>
    <w:rsid w:val="00641742"/>
    <w:rsid w:val="00643ECC"/>
    <w:rsid w:val="00644B23"/>
    <w:rsid w:val="00645312"/>
    <w:rsid w:val="00645D65"/>
    <w:rsid w:val="00646D0E"/>
    <w:rsid w:val="00647B6E"/>
    <w:rsid w:val="00647DC3"/>
    <w:rsid w:val="00654912"/>
    <w:rsid w:val="006554C7"/>
    <w:rsid w:val="006558F3"/>
    <w:rsid w:val="006601CF"/>
    <w:rsid w:val="00660913"/>
    <w:rsid w:val="00660AD3"/>
    <w:rsid w:val="006615F2"/>
    <w:rsid w:val="006617CC"/>
    <w:rsid w:val="0066301D"/>
    <w:rsid w:val="0066323E"/>
    <w:rsid w:val="006637C3"/>
    <w:rsid w:val="00663C88"/>
    <w:rsid w:val="00664862"/>
    <w:rsid w:val="0066574A"/>
    <w:rsid w:val="00665DDA"/>
    <w:rsid w:val="00667B73"/>
    <w:rsid w:val="0067075F"/>
    <w:rsid w:val="00670D64"/>
    <w:rsid w:val="006715A7"/>
    <w:rsid w:val="00672B58"/>
    <w:rsid w:val="00672E42"/>
    <w:rsid w:val="00674327"/>
    <w:rsid w:val="006744DF"/>
    <w:rsid w:val="00674EEE"/>
    <w:rsid w:val="006807B5"/>
    <w:rsid w:val="00680B22"/>
    <w:rsid w:val="006811A2"/>
    <w:rsid w:val="00681E32"/>
    <w:rsid w:val="006834CF"/>
    <w:rsid w:val="0068375F"/>
    <w:rsid w:val="006846A8"/>
    <w:rsid w:val="00684D31"/>
    <w:rsid w:val="00685A45"/>
    <w:rsid w:val="00687AAB"/>
    <w:rsid w:val="00687C3E"/>
    <w:rsid w:val="006903B0"/>
    <w:rsid w:val="00690B5C"/>
    <w:rsid w:val="00691B20"/>
    <w:rsid w:val="00691B21"/>
    <w:rsid w:val="0069234E"/>
    <w:rsid w:val="006941AE"/>
    <w:rsid w:val="00694BAE"/>
    <w:rsid w:val="006A102E"/>
    <w:rsid w:val="006A1099"/>
    <w:rsid w:val="006A2267"/>
    <w:rsid w:val="006A259E"/>
    <w:rsid w:val="006A2CA3"/>
    <w:rsid w:val="006A50B5"/>
    <w:rsid w:val="006A5260"/>
    <w:rsid w:val="006A602C"/>
    <w:rsid w:val="006A6138"/>
    <w:rsid w:val="006A6CB1"/>
    <w:rsid w:val="006A7BC2"/>
    <w:rsid w:val="006B007E"/>
    <w:rsid w:val="006B0086"/>
    <w:rsid w:val="006B0CBA"/>
    <w:rsid w:val="006B1344"/>
    <w:rsid w:val="006B1458"/>
    <w:rsid w:val="006B1604"/>
    <w:rsid w:val="006B234F"/>
    <w:rsid w:val="006B3CE1"/>
    <w:rsid w:val="006B4A20"/>
    <w:rsid w:val="006B5DD6"/>
    <w:rsid w:val="006B7E73"/>
    <w:rsid w:val="006B7E88"/>
    <w:rsid w:val="006C0774"/>
    <w:rsid w:val="006C19EE"/>
    <w:rsid w:val="006C38CC"/>
    <w:rsid w:val="006C3B41"/>
    <w:rsid w:val="006C3F7B"/>
    <w:rsid w:val="006C4FB8"/>
    <w:rsid w:val="006C5AD1"/>
    <w:rsid w:val="006C5B6E"/>
    <w:rsid w:val="006C6338"/>
    <w:rsid w:val="006C6BDA"/>
    <w:rsid w:val="006D1197"/>
    <w:rsid w:val="006D189D"/>
    <w:rsid w:val="006D1997"/>
    <w:rsid w:val="006D2BCA"/>
    <w:rsid w:val="006D2BFA"/>
    <w:rsid w:val="006D34D4"/>
    <w:rsid w:val="006D3A20"/>
    <w:rsid w:val="006D3E42"/>
    <w:rsid w:val="006D531C"/>
    <w:rsid w:val="006D6013"/>
    <w:rsid w:val="006D6ADF"/>
    <w:rsid w:val="006D7650"/>
    <w:rsid w:val="006D7C38"/>
    <w:rsid w:val="006E0A8C"/>
    <w:rsid w:val="006E0B8C"/>
    <w:rsid w:val="006E21D6"/>
    <w:rsid w:val="006E3131"/>
    <w:rsid w:val="006E3234"/>
    <w:rsid w:val="006E3908"/>
    <w:rsid w:val="006E3A07"/>
    <w:rsid w:val="006E3A2A"/>
    <w:rsid w:val="006E4AD3"/>
    <w:rsid w:val="006E4E6E"/>
    <w:rsid w:val="006E5D4A"/>
    <w:rsid w:val="006E5D9A"/>
    <w:rsid w:val="006E660A"/>
    <w:rsid w:val="006E6D9D"/>
    <w:rsid w:val="006E6F1E"/>
    <w:rsid w:val="006E761C"/>
    <w:rsid w:val="006F0163"/>
    <w:rsid w:val="006F0A7B"/>
    <w:rsid w:val="006F2BDB"/>
    <w:rsid w:val="006F5505"/>
    <w:rsid w:val="006F66CE"/>
    <w:rsid w:val="0070069A"/>
    <w:rsid w:val="00700C91"/>
    <w:rsid w:val="00701888"/>
    <w:rsid w:val="00702C94"/>
    <w:rsid w:val="00703112"/>
    <w:rsid w:val="00704CF5"/>
    <w:rsid w:val="00705086"/>
    <w:rsid w:val="00705FD3"/>
    <w:rsid w:val="00706322"/>
    <w:rsid w:val="0070685C"/>
    <w:rsid w:val="00706EBC"/>
    <w:rsid w:val="007078BF"/>
    <w:rsid w:val="00707DCA"/>
    <w:rsid w:val="00710182"/>
    <w:rsid w:val="007107B5"/>
    <w:rsid w:val="00713A9C"/>
    <w:rsid w:val="007141E9"/>
    <w:rsid w:val="007155CD"/>
    <w:rsid w:val="007162A0"/>
    <w:rsid w:val="0071738E"/>
    <w:rsid w:val="00717886"/>
    <w:rsid w:val="007246CF"/>
    <w:rsid w:val="00725847"/>
    <w:rsid w:val="00725D10"/>
    <w:rsid w:val="00731E1D"/>
    <w:rsid w:val="007326EA"/>
    <w:rsid w:val="007332C4"/>
    <w:rsid w:val="00733B26"/>
    <w:rsid w:val="0073497E"/>
    <w:rsid w:val="00734C6E"/>
    <w:rsid w:val="007376A5"/>
    <w:rsid w:val="00740639"/>
    <w:rsid w:val="00743CAA"/>
    <w:rsid w:val="00743E5E"/>
    <w:rsid w:val="007460F7"/>
    <w:rsid w:val="00747BC8"/>
    <w:rsid w:val="0075113D"/>
    <w:rsid w:val="007521EA"/>
    <w:rsid w:val="00752670"/>
    <w:rsid w:val="007528D5"/>
    <w:rsid w:val="007540DD"/>
    <w:rsid w:val="007544CB"/>
    <w:rsid w:val="00756A0F"/>
    <w:rsid w:val="007600FF"/>
    <w:rsid w:val="0076018A"/>
    <w:rsid w:val="0076432C"/>
    <w:rsid w:val="00770A8B"/>
    <w:rsid w:val="00770D2F"/>
    <w:rsid w:val="00770E8C"/>
    <w:rsid w:val="00771834"/>
    <w:rsid w:val="00771B94"/>
    <w:rsid w:val="00772371"/>
    <w:rsid w:val="007733E3"/>
    <w:rsid w:val="007756EC"/>
    <w:rsid w:val="00776ECB"/>
    <w:rsid w:val="007776B6"/>
    <w:rsid w:val="00777820"/>
    <w:rsid w:val="00780411"/>
    <w:rsid w:val="00780B94"/>
    <w:rsid w:val="00780C39"/>
    <w:rsid w:val="007838E2"/>
    <w:rsid w:val="00783B12"/>
    <w:rsid w:val="0078556F"/>
    <w:rsid w:val="00785CE1"/>
    <w:rsid w:val="0078656A"/>
    <w:rsid w:val="00786750"/>
    <w:rsid w:val="00787F1C"/>
    <w:rsid w:val="00791184"/>
    <w:rsid w:val="00791D7A"/>
    <w:rsid w:val="00793C37"/>
    <w:rsid w:val="00794848"/>
    <w:rsid w:val="00794A9A"/>
    <w:rsid w:val="00794E2D"/>
    <w:rsid w:val="00795358"/>
    <w:rsid w:val="00796A9F"/>
    <w:rsid w:val="007A00A6"/>
    <w:rsid w:val="007A03A7"/>
    <w:rsid w:val="007A110E"/>
    <w:rsid w:val="007A15EF"/>
    <w:rsid w:val="007A2B35"/>
    <w:rsid w:val="007A307A"/>
    <w:rsid w:val="007A3DCF"/>
    <w:rsid w:val="007A414B"/>
    <w:rsid w:val="007A4998"/>
    <w:rsid w:val="007A4F80"/>
    <w:rsid w:val="007A5D78"/>
    <w:rsid w:val="007A6D0B"/>
    <w:rsid w:val="007A7133"/>
    <w:rsid w:val="007B1505"/>
    <w:rsid w:val="007B1C33"/>
    <w:rsid w:val="007B3BE3"/>
    <w:rsid w:val="007B3D8E"/>
    <w:rsid w:val="007B7DA0"/>
    <w:rsid w:val="007B7FE8"/>
    <w:rsid w:val="007C0E4A"/>
    <w:rsid w:val="007C14AF"/>
    <w:rsid w:val="007C20FE"/>
    <w:rsid w:val="007C2CCE"/>
    <w:rsid w:val="007C3178"/>
    <w:rsid w:val="007C3632"/>
    <w:rsid w:val="007C3B90"/>
    <w:rsid w:val="007C5CC6"/>
    <w:rsid w:val="007C7319"/>
    <w:rsid w:val="007D00B6"/>
    <w:rsid w:val="007D117F"/>
    <w:rsid w:val="007D222E"/>
    <w:rsid w:val="007D2387"/>
    <w:rsid w:val="007D6A9C"/>
    <w:rsid w:val="007D6B5A"/>
    <w:rsid w:val="007E0A22"/>
    <w:rsid w:val="007E126D"/>
    <w:rsid w:val="007E1C6C"/>
    <w:rsid w:val="007E23F6"/>
    <w:rsid w:val="007E3B45"/>
    <w:rsid w:val="007E4B22"/>
    <w:rsid w:val="007E53EE"/>
    <w:rsid w:val="007E7153"/>
    <w:rsid w:val="007E74D2"/>
    <w:rsid w:val="007F0B3D"/>
    <w:rsid w:val="007F159C"/>
    <w:rsid w:val="007F1F23"/>
    <w:rsid w:val="007F4422"/>
    <w:rsid w:val="007F4BA0"/>
    <w:rsid w:val="007F5131"/>
    <w:rsid w:val="007F6295"/>
    <w:rsid w:val="00800458"/>
    <w:rsid w:val="008017A4"/>
    <w:rsid w:val="0080196B"/>
    <w:rsid w:val="00801AE2"/>
    <w:rsid w:val="00801BE9"/>
    <w:rsid w:val="00801EAC"/>
    <w:rsid w:val="00802E7B"/>
    <w:rsid w:val="008053DD"/>
    <w:rsid w:val="008058DB"/>
    <w:rsid w:val="008067DB"/>
    <w:rsid w:val="008074BD"/>
    <w:rsid w:val="00807C40"/>
    <w:rsid w:val="0081009C"/>
    <w:rsid w:val="00811654"/>
    <w:rsid w:val="00811689"/>
    <w:rsid w:val="008116E6"/>
    <w:rsid w:val="0081184D"/>
    <w:rsid w:val="00811951"/>
    <w:rsid w:val="0081242C"/>
    <w:rsid w:val="00813197"/>
    <w:rsid w:val="00813B98"/>
    <w:rsid w:val="00813E40"/>
    <w:rsid w:val="00814DD7"/>
    <w:rsid w:val="00815FC9"/>
    <w:rsid w:val="00817E46"/>
    <w:rsid w:val="008215B9"/>
    <w:rsid w:val="00821B15"/>
    <w:rsid w:val="00821D41"/>
    <w:rsid w:val="00822432"/>
    <w:rsid w:val="00822B61"/>
    <w:rsid w:val="00822C49"/>
    <w:rsid w:val="00823552"/>
    <w:rsid w:val="00823B0E"/>
    <w:rsid w:val="00824428"/>
    <w:rsid w:val="00824C3B"/>
    <w:rsid w:val="00824F69"/>
    <w:rsid w:val="00825DCE"/>
    <w:rsid w:val="00826631"/>
    <w:rsid w:val="00826945"/>
    <w:rsid w:val="00827240"/>
    <w:rsid w:val="00827A1A"/>
    <w:rsid w:val="00827C1C"/>
    <w:rsid w:val="00836205"/>
    <w:rsid w:val="0083782F"/>
    <w:rsid w:val="00837E10"/>
    <w:rsid w:val="00840161"/>
    <w:rsid w:val="0084045D"/>
    <w:rsid w:val="00840E44"/>
    <w:rsid w:val="00844088"/>
    <w:rsid w:val="0084479A"/>
    <w:rsid w:val="0084502A"/>
    <w:rsid w:val="00845B0E"/>
    <w:rsid w:val="00845E48"/>
    <w:rsid w:val="0084634F"/>
    <w:rsid w:val="00850109"/>
    <w:rsid w:val="00850C63"/>
    <w:rsid w:val="00851083"/>
    <w:rsid w:val="008522C0"/>
    <w:rsid w:val="00854224"/>
    <w:rsid w:val="00854B8F"/>
    <w:rsid w:val="008562CB"/>
    <w:rsid w:val="008564A1"/>
    <w:rsid w:val="008600FB"/>
    <w:rsid w:val="00860237"/>
    <w:rsid w:val="00860616"/>
    <w:rsid w:val="00864DD8"/>
    <w:rsid w:val="00865323"/>
    <w:rsid w:val="0086727E"/>
    <w:rsid w:val="00867B87"/>
    <w:rsid w:val="00867E2A"/>
    <w:rsid w:val="00870061"/>
    <w:rsid w:val="00870891"/>
    <w:rsid w:val="008717D9"/>
    <w:rsid w:val="008718E9"/>
    <w:rsid w:val="00872B14"/>
    <w:rsid w:val="0087360F"/>
    <w:rsid w:val="008737C3"/>
    <w:rsid w:val="00873D93"/>
    <w:rsid w:val="00873F04"/>
    <w:rsid w:val="008745EA"/>
    <w:rsid w:val="008808DF"/>
    <w:rsid w:val="00880A24"/>
    <w:rsid w:val="0088134C"/>
    <w:rsid w:val="00881654"/>
    <w:rsid w:val="008816B0"/>
    <w:rsid w:val="00890CB6"/>
    <w:rsid w:val="00890E49"/>
    <w:rsid w:val="008917AE"/>
    <w:rsid w:val="00891902"/>
    <w:rsid w:val="00891B80"/>
    <w:rsid w:val="0089297E"/>
    <w:rsid w:val="00892E7A"/>
    <w:rsid w:val="0089505A"/>
    <w:rsid w:val="00895EED"/>
    <w:rsid w:val="00896119"/>
    <w:rsid w:val="008964F1"/>
    <w:rsid w:val="00896B80"/>
    <w:rsid w:val="008A0837"/>
    <w:rsid w:val="008A25F0"/>
    <w:rsid w:val="008A30B4"/>
    <w:rsid w:val="008A394E"/>
    <w:rsid w:val="008A4EBF"/>
    <w:rsid w:val="008A4F0F"/>
    <w:rsid w:val="008A5E8C"/>
    <w:rsid w:val="008A6E92"/>
    <w:rsid w:val="008B1A52"/>
    <w:rsid w:val="008B1E1D"/>
    <w:rsid w:val="008B295B"/>
    <w:rsid w:val="008B3DF9"/>
    <w:rsid w:val="008B4759"/>
    <w:rsid w:val="008B4F69"/>
    <w:rsid w:val="008B6715"/>
    <w:rsid w:val="008C1079"/>
    <w:rsid w:val="008C34B6"/>
    <w:rsid w:val="008C4D6F"/>
    <w:rsid w:val="008C5CF6"/>
    <w:rsid w:val="008C610F"/>
    <w:rsid w:val="008C7CEF"/>
    <w:rsid w:val="008D24C7"/>
    <w:rsid w:val="008D350C"/>
    <w:rsid w:val="008D52B1"/>
    <w:rsid w:val="008D59CB"/>
    <w:rsid w:val="008D664B"/>
    <w:rsid w:val="008D737A"/>
    <w:rsid w:val="008D7F28"/>
    <w:rsid w:val="008E0F21"/>
    <w:rsid w:val="008E1209"/>
    <w:rsid w:val="008E12CB"/>
    <w:rsid w:val="008E2B3B"/>
    <w:rsid w:val="008E3FCD"/>
    <w:rsid w:val="008E5235"/>
    <w:rsid w:val="008E5635"/>
    <w:rsid w:val="008E5E57"/>
    <w:rsid w:val="008E70B1"/>
    <w:rsid w:val="008E759E"/>
    <w:rsid w:val="008F05A3"/>
    <w:rsid w:val="008F150C"/>
    <w:rsid w:val="008F2691"/>
    <w:rsid w:val="008F4D95"/>
    <w:rsid w:val="008F51D3"/>
    <w:rsid w:val="008F6490"/>
    <w:rsid w:val="008F6848"/>
    <w:rsid w:val="0090205D"/>
    <w:rsid w:val="009028B0"/>
    <w:rsid w:val="00903075"/>
    <w:rsid w:val="00905BBF"/>
    <w:rsid w:val="009076A1"/>
    <w:rsid w:val="00907F74"/>
    <w:rsid w:val="00911A3B"/>
    <w:rsid w:val="00912105"/>
    <w:rsid w:val="00912F10"/>
    <w:rsid w:val="0091445E"/>
    <w:rsid w:val="00916161"/>
    <w:rsid w:val="00916B0B"/>
    <w:rsid w:val="00917A00"/>
    <w:rsid w:val="00917E77"/>
    <w:rsid w:val="00917F13"/>
    <w:rsid w:val="00920BB9"/>
    <w:rsid w:val="0092125F"/>
    <w:rsid w:val="0092229C"/>
    <w:rsid w:val="009225B0"/>
    <w:rsid w:val="00923858"/>
    <w:rsid w:val="00924EF4"/>
    <w:rsid w:val="009266F0"/>
    <w:rsid w:val="00927693"/>
    <w:rsid w:val="00927D7E"/>
    <w:rsid w:val="009321B8"/>
    <w:rsid w:val="0093249C"/>
    <w:rsid w:val="00932A7E"/>
    <w:rsid w:val="00932BFB"/>
    <w:rsid w:val="009331E7"/>
    <w:rsid w:val="00934F5F"/>
    <w:rsid w:val="00935727"/>
    <w:rsid w:val="0093604B"/>
    <w:rsid w:val="009360A7"/>
    <w:rsid w:val="009362F4"/>
    <w:rsid w:val="00936583"/>
    <w:rsid w:val="009366AA"/>
    <w:rsid w:val="00936EA7"/>
    <w:rsid w:val="00937484"/>
    <w:rsid w:val="00937DCA"/>
    <w:rsid w:val="00940314"/>
    <w:rsid w:val="00940DC6"/>
    <w:rsid w:val="00941E50"/>
    <w:rsid w:val="00943E83"/>
    <w:rsid w:val="00944A2A"/>
    <w:rsid w:val="00946925"/>
    <w:rsid w:val="00947DE8"/>
    <w:rsid w:val="0095139F"/>
    <w:rsid w:val="00951778"/>
    <w:rsid w:val="00952688"/>
    <w:rsid w:val="009553CB"/>
    <w:rsid w:val="00955913"/>
    <w:rsid w:val="00955D04"/>
    <w:rsid w:val="00955D17"/>
    <w:rsid w:val="00962497"/>
    <w:rsid w:val="00962D11"/>
    <w:rsid w:val="00962F6B"/>
    <w:rsid w:val="00965DE9"/>
    <w:rsid w:val="00967072"/>
    <w:rsid w:val="00967118"/>
    <w:rsid w:val="0097164C"/>
    <w:rsid w:val="0097199E"/>
    <w:rsid w:val="00972412"/>
    <w:rsid w:val="00972671"/>
    <w:rsid w:val="00972693"/>
    <w:rsid w:val="00972699"/>
    <w:rsid w:val="00973B21"/>
    <w:rsid w:val="00974AA6"/>
    <w:rsid w:val="00976E3F"/>
    <w:rsid w:val="0098003A"/>
    <w:rsid w:val="00982A85"/>
    <w:rsid w:val="00983994"/>
    <w:rsid w:val="00984040"/>
    <w:rsid w:val="009845CF"/>
    <w:rsid w:val="00987605"/>
    <w:rsid w:val="00990C22"/>
    <w:rsid w:val="00991383"/>
    <w:rsid w:val="00992232"/>
    <w:rsid w:val="00993061"/>
    <w:rsid w:val="00993F31"/>
    <w:rsid w:val="00994A05"/>
    <w:rsid w:val="00994E2E"/>
    <w:rsid w:val="00996564"/>
    <w:rsid w:val="00997471"/>
    <w:rsid w:val="009A0A03"/>
    <w:rsid w:val="009A1049"/>
    <w:rsid w:val="009A151F"/>
    <w:rsid w:val="009A1B28"/>
    <w:rsid w:val="009A3614"/>
    <w:rsid w:val="009A3EAB"/>
    <w:rsid w:val="009A3FA7"/>
    <w:rsid w:val="009A5D4A"/>
    <w:rsid w:val="009A6646"/>
    <w:rsid w:val="009A7991"/>
    <w:rsid w:val="009B0EBD"/>
    <w:rsid w:val="009B100A"/>
    <w:rsid w:val="009B2412"/>
    <w:rsid w:val="009B348B"/>
    <w:rsid w:val="009B4FDD"/>
    <w:rsid w:val="009B768C"/>
    <w:rsid w:val="009B7787"/>
    <w:rsid w:val="009C1351"/>
    <w:rsid w:val="009C15CA"/>
    <w:rsid w:val="009C1609"/>
    <w:rsid w:val="009C1934"/>
    <w:rsid w:val="009C2572"/>
    <w:rsid w:val="009C2B8A"/>
    <w:rsid w:val="009C61BE"/>
    <w:rsid w:val="009C750A"/>
    <w:rsid w:val="009C77CB"/>
    <w:rsid w:val="009D0EF4"/>
    <w:rsid w:val="009D10C1"/>
    <w:rsid w:val="009D13DA"/>
    <w:rsid w:val="009D2E12"/>
    <w:rsid w:val="009D31D6"/>
    <w:rsid w:val="009D3579"/>
    <w:rsid w:val="009D79EF"/>
    <w:rsid w:val="009E0779"/>
    <w:rsid w:val="009E07C0"/>
    <w:rsid w:val="009E25CE"/>
    <w:rsid w:val="009E46B7"/>
    <w:rsid w:val="009E4703"/>
    <w:rsid w:val="009E49CA"/>
    <w:rsid w:val="009E4FE7"/>
    <w:rsid w:val="009E5A25"/>
    <w:rsid w:val="009E618C"/>
    <w:rsid w:val="009E6A9D"/>
    <w:rsid w:val="009E6C21"/>
    <w:rsid w:val="009F03C8"/>
    <w:rsid w:val="009F13F4"/>
    <w:rsid w:val="009F1CC0"/>
    <w:rsid w:val="009F1DA5"/>
    <w:rsid w:val="009F452D"/>
    <w:rsid w:val="009F481A"/>
    <w:rsid w:val="009F51CE"/>
    <w:rsid w:val="009F5696"/>
    <w:rsid w:val="009F6EEF"/>
    <w:rsid w:val="009F6EFC"/>
    <w:rsid w:val="009F7991"/>
    <w:rsid w:val="009F7A9A"/>
    <w:rsid w:val="009F7F7A"/>
    <w:rsid w:val="00A00005"/>
    <w:rsid w:val="00A0007F"/>
    <w:rsid w:val="00A00356"/>
    <w:rsid w:val="00A00641"/>
    <w:rsid w:val="00A012EE"/>
    <w:rsid w:val="00A033B5"/>
    <w:rsid w:val="00A03462"/>
    <w:rsid w:val="00A04748"/>
    <w:rsid w:val="00A04EBA"/>
    <w:rsid w:val="00A05511"/>
    <w:rsid w:val="00A06134"/>
    <w:rsid w:val="00A065D8"/>
    <w:rsid w:val="00A0680D"/>
    <w:rsid w:val="00A107FF"/>
    <w:rsid w:val="00A129DE"/>
    <w:rsid w:val="00A14317"/>
    <w:rsid w:val="00A149CD"/>
    <w:rsid w:val="00A14CF2"/>
    <w:rsid w:val="00A1516F"/>
    <w:rsid w:val="00A153F1"/>
    <w:rsid w:val="00A175A9"/>
    <w:rsid w:val="00A17BBB"/>
    <w:rsid w:val="00A17C8B"/>
    <w:rsid w:val="00A21960"/>
    <w:rsid w:val="00A22F49"/>
    <w:rsid w:val="00A231D1"/>
    <w:rsid w:val="00A23716"/>
    <w:rsid w:val="00A2382C"/>
    <w:rsid w:val="00A252A0"/>
    <w:rsid w:val="00A258CC"/>
    <w:rsid w:val="00A259BD"/>
    <w:rsid w:val="00A2624E"/>
    <w:rsid w:val="00A26F59"/>
    <w:rsid w:val="00A27343"/>
    <w:rsid w:val="00A303C1"/>
    <w:rsid w:val="00A30601"/>
    <w:rsid w:val="00A312E7"/>
    <w:rsid w:val="00A32268"/>
    <w:rsid w:val="00A33FA2"/>
    <w:rsid w:val="00A34847"/>
    <w:rsid w:val="00A372DC"/>
    <w:rsid w:val="00A37AB0"/>
    <w:rsid w:val="00A40434"/>
    <w:rsid w:val="00A4107F"/>
    <w:rsid w:val="00A42093"/>
    <w:rsid w:val="00A426E6"/>
    <w:rsid w:val="00A436AE"/>
    <w:rsid w:val="00A438D3"/>
    <w:rsid w:val="00A45143"/>
    <w:rsid w:val="00A452C7"/>
    <w:rsid w:val="00A45A10"/>
    <w:rsid w:val="00A472BF"/>
    <w:rsid w:val="00A47ADE"/>
    <w:rsid w:val="00A501E9"/>
    <w:rsid w:val="00A50D40"/>
    <w:rsid w:val="00A50E88"/>
    <w:rsid w:val="00A536CC"/>
    <w:rsid w:val="00A542D0"/>
    <w:rsid w:val="00A56F03"/>
    <w:rsid w:val="00A576A3"/>
    <w:rsid w:val="00A57968"/>
    <w:rsid w:val="00A57A03"/>
    <w:rsid w:val="00A57BD9"/>
    <w:rsid w:val="00A605DE"/>
    <w:rsid w:val="00A6109C"/>
    <w:rsid w:val="00A61627"/>
    <w:rsid w:val="00A62311"/>
    <w:rsid w:val="00A62C6D"/>
    <w:rsid w:val="00A62D97"/>
    <w:rsid w:val="00A63E49"/>
    <w:rsid w:val="00A641B3"/>
    <w:rsid w:val="00A6656A"/>
    <w:rsid w:val="00A67EEB"/>
    <w:rsid w:val="00A703B8"/>
    <w:rsid w:val="00A7298F"/>
    <w:rsid w:val="00A74C8B"/>
    <w:rsid w:val="00A74E28"/>
    <w:rsid w:val="00A75EC1"/>
    <w:rsid w:val="00A76F59"/>
    <w:rsid w:val="00A771C5"/>
    <w:rsid w:val="00A77292"/>
    <w:rsid w:val="00A800F6"/>
    <w:rsid w:val="00A8205A"/>
    <w:rsid w:val="00A8258B"/>
    <w:rsid w:val="00A8311A"/>
    <w:rsid w:val="00A84271"/>
    <w:rsid w:val="00A84DA3"/>
    <w:rsid w:val="00A8557D"/>
    <w:rsid w:val="00A9049F"/>
    <w:rsid w:val="00A92330"/>
    <w:rsid w:val="00A92CA1"/>
    <w:rsid w:val="00A9349B"/>
    <w:rsid w:val="00A95015"/>
    <w:rsid w:val="00A95F0C"/>
    <w:rsid w:val="00A95F61"/>
    <w:rsid w:val="00A96D08"/>
    <w:rsid w:val="00A973A2"/>
    <w:rsid w:val="00A97AA6"/>
    <w:rsid w:val="00AA26D2"/>
    <w:rsid w:val="00AA50BF"/>
    <w:rsid w:val="00AA5796"/>
    <w:rsid w:val="00AA5BBE"/>
    <w:rsid w:val="00AA72DB"/>
    <w:rsid w:val="00AB0C3B"/>
    <w:rsid w:val="00AB12CC"/>
    <w:rsid w:val="00AB2A06"/>
    <w:rsid w:val="00AB2C8B"/>
    <w:rsid w:val="00AB41A0"/>
    <w:rsid w:val="00AB4583"/>
    <w:rsid w:val="00AB75C4"/>
    <w:rsid w:val="00AB762A"/>
    <w:rsid w:val="00AC29F7"/>
    <w:rsid w:val="00AC6D41"/>
    <w:rsid w:val="00AD08DA"/>
    <w:rsid w:val="00AD0D46"/>
    <w:rsid w:val="00AD0F3D"/>
    <w:rsid w:val="00AD0F97"/>
    <w:rsid w:val="00AD192E"/>
    <w:rsid w:val="00AD2B13"/>
    <w:rsid w:val="00AD373F"/>
    <w:rsid w:val="00AD3744"/>
    <w:rsid w:val="00AD3C4A"/>
    <w:rsid w:val="00AD3C67"/>
    <w:rsid w:val="00AD4AC2"/>
    <w:rsid w:val="00AD5C2D"/>
    <w:rsid w:val="00AD7D0C"/>
    <w:rsid w:val="00AE0556"/>
    <w:rsid w:val="00AE0CCF"/>
    <w:rsid w:val="00AE0E40"/>
    <w:rsid w:val="00AE2B73"/>
    <w:rsid w:val="00AE3B6D"/>
    <w:rsid w:val="00AE559D"/>
    <w:rsid w:val="00AE6611"/>
    <w:rsid w:val="00AE6681"/>
    <w:rsid w:val="00AE6827"/>
    <w:rsid w:val="00AE6C05"/>
    <w:rsid w:val="00AE6FA0"/>
    <w:rsid w:val="00AF098D"/>
    <w:rsid w:val="00AF2128"/>
    <w:rsid w:val="00AF21EE"/>
    <w:rsid w:val="00AF30CF"/>
    <w:rsid w:val="00AF36FB"/>
    <w:rsid w:val="00AF410F"/>
    <w:rsid w:val="00AF42E9"/>
    <w:rsid w:val="00AF4988"/>
    <w:rsid w:val="00AF4B66"/>
    <w:rsid w:val="00AF51B1"/>
    <w:rsid w:val="00AF65B9"/>
    <w:rsid w:val="00AF786D"/>
    <w:rsid w:val="00B00288"/>
    <w:rsid w:val="00B018E1"/>
    <w:rsid w:val="00B0243E"/>
    <w:rsid w:val="00B02FD0"/>
    <w:rsid w:val="00B04337"/>
    <w:rsid w:val="00B05680"/>
    <w:rsid w:val="00B06798"/>
    <w:rsid w:val="00B06A54"/>
    <w:rsid w:val="00B07FC3"/>
    <w:rsid w:val="00B1013E"/>
    <w:rsid w:val="00B1074B"/>
    <w:rsid w:val="00B11CD4"/>
    <w:rsid w:val="00B13166"/>
    <w:rsid w:val="00B131DE"/>
    <w:rsid w:val="00B1363C"/>
    <w:rsid w:val="00B146ED"/>
    <w:rsid w:val="00B14E92"/>
    <w:rsid w:val="00B15EA6"/>
    <w:rsid w:val="00B17D93"/>
    <w:rsid w:val="00B17E32"/>
    <w:rsid w:val="00B20A90"/>
    <w:rsid w:val="00B20D41"/>
    <w:rsid w:val="00B20EDB"/>
    <w:rsid w:val="00B22249"/>
    <w:rsid w:val="00B22A55"/>
    <w:rsid w:val="00B2378C"/>
    <w:rsid w:val="00B27282"/>
    <w:rsid w:val="00B27E27"/>
    <w:rsid w:val="00B309B1"/>
    <w:rsid w:val="00B33017"/>
    <w:rsid w:val="00B33451"/>
    <w:rsid w:val="00B34FEC"/>
    <w:rsid w:val="00B35B90"/>
    <w:rsid w:val="00B35BC0"/>
    <w:rsid w:val="00B36DE6"/>
    <w:rsid w:val="00B37B8E"/>
    <w:rsid w:val="00B401AE"/>
    <w:rsid w:val="00B407C6"/>
    <w:rsid w:val="00B41292"/>
    <w:rsid w:val="00B424CF"/>
    <w:rsid w:val="00B4542C"/>
    <w:rsid w:val="00B47A28"/>
    <w:rsid w:val="00B50170"/>
    <w:rsid w:val="00B516A3"/>
    <w:rsid w:val="00B53D58"/>
    <w:rsid w:val="00B541F1"/>
    <w:rsid w:val="00B5608B"/>
    <w:rsid w:val="00B564ED"/>
    <w:rsid w:val="00B603B5"/>
    <w:rsid w:val="00B604DB"/>
    <w:rsid w:val="00B63123"/>
    <w:rsid w:val="00B64722"/>
    <w:rsid w:val="00B65EDB"/>
    <w:rsid w:val="00B70065"/>
    <w:rsid w:val="00B70F82"/>
    <w:rsid w:val="00B714BD"/>
    <w:rsid w:val="00B7176D"/>
    <w:rsid w:val="00B71E69"/>
    <w:rsid w:val="00B739C9"/>
    <w:rsid w:val="00B75ED6"/>
    <w:rsid w:val="00B77308"/>
    <w:rsid w:val="00B7752E"/>
    <w:rsid w:val="00B779BE"/>
    <w:rsid w:val="00B77B7B"/>
    <w:rsid w:val="00B77E5C"/>
    <w:rsid w:val="00B82F98"/>
    <w:rsid w:val="00B84CF9"/>
    <w:rsid w:val="00B85654"/>
    <w:rsid w:val="00B902CA"/>
    <w:rsid w:val="00B90F1D"/>
    <w:rsid w:val="00B92F43"/>
    <w:rsid w:val="00B93584"/>
    <w:rsid w:val="00B9421F"/>
    <w:rsid w:val="00B94999"/>
    <w:rsid w:val="00B950AE"/>
    <w:rsid w:val="00B95909"/>
    <w:rsid w:val="00B95BC6"/>
    <w:rsid w:val="00B95EFB"/>
    <w:rsid w:val="00B97FF9"/>
    <w:rsid w:val="00BA0617"/>
    <w:rsid w:val="00BA244D"/>
    <w:rsid w:val="00BA341D"/>
    <w:rsid w:val="00BA482C"/>
    <w:rsid w:val="00BA4D5C"/>
    <w:rsid w:val="00BA5C05"/>
    <w:rsid w:val="00BA7BB8"/>
    <w:rsid w:val="00BB01A4"/>
    <w:rsid w:val="00BB058D"/>
    <w:rsid w:val="00BB0793"/>
    <w:rsid w:val="00BB0E7E"/>
    <w:rsid w:val="00BB1442"/>
    <w:rsid w:val="00BB1A52"/>
    <w:rsid w:val="00BB2A23"/>
    <w:rsid w:val="00BB342A"/>
    <w:rsid w:val="00BB3C7A"/>
    <w:rsid w:val="00BB6128"/>
    <w:rsid w:val="00BB6A63"/>
    <w:rsid w:val="00BB7A7D"/>
    <w:rsid w:val="00BC0936"/>
    <w:rsid w:val="00BC0B12"/>
    <w:rsid w:val="00BC0E61"/>
    <w:rsid w:val="00BC1410"/>
    <w:rsid w:val="00BC39BA"/>
    <w:rsid w:val="00BC4BC7"/>
    <w:rsid w:val="00BC55C1"/>
    <w:rsid w:val="00BC565D"/>
    <w:rsid w:val="00BC63A0"/>
    <w:rsid w:val="00BC64AE"/>
    <w:rsid w:val="00BC7319"/>
    <w:rsid w:val="00BC7808"/>
    <w:rsid w:val="00BC7A7F"/>
    <w:rsid w:val="00BC7A85"/>
    <w:rsid w:val="00BC7CD5"/>
    <w:rsid w:val="00BD0AB0"/>
    <w:rsid w:val="00BD0D4B"/>
    <w:rsid w:val="00BD2198"/>
    <w:rsid w:val="00BD267A"/>
    <w:rsid w:val="00BD29DC"/>
    <w:rsid w:val="00BD30EA"/>
    <w:rsid w:val="00BD4608"/>
    <w:rsid w:val="00BD5A67"/>
    <w:rsid w:val="00BD78B4"/>
    <w:rsid w:val="00BD7F72"/>
    <w:rsid w:val="00BE1201"/>
    <w:rsid w:val="00BE190C"/>
    <w:rsid w:val="00BE2AC6"/>
    <w:rsid w:val="00BE3962"/>
    <w:rsid w:val="00BE3BD6"/>
    <w:rsid w:val="00BE4E52"/>
    <w:rsid w:val="00BE5DE5"/>
    <w:rsid w:val="00BE6245"/>
    <w:rsid w:val="00BE79EC"/>
    <w:rsid w:val="00BE7A24"/>
    <w:rsid w:val="00BF1FF6"/>
    <w:rsid w:val="00BF3B37"/>
    <w:rsid w:val="00BF5593"/>
    <w:rsid w:val="00BF5951"/>
    <w:rsid w:val="00BF663B"/>
    <w:rsid w:val="00BF6CFB"/>
    <w:rsid w:val="00BF7076"/>
    <w:rsid w:val="00BF7260"/>
    <w:rsid w:val="00BF7903"/>
    <w:rsid w:val="00BF7D8C"/>
    <w:rsid w:val="00C005A9"/>
    <w:rsid w:val="00C00893"/>
    <w:rsid w:val="00C01703"/>
    <w:rsid w:val="00C0173C"/>
    <w:rsid w:val="00C025A9"/>
    <w:rsid w:val="00C02625"/>
    <w:rsid w:val="00C02B2B"/>
    <w:rsid w:val="00C02D1E"/>
    <w:rsid w:val="00C02FF5"/>
    <w:rsid w:val="00C052CF"/>
    <w:rsid w:val="00C05529"/>
    <w:rsid w:val="00C0595C"/>
    <w:rsid w:val="00C06D9A"/>
    <w:rsid w:val="00C107B4"/>
    <w:rsid w:val="00C10999"/>
    <w:rsid w:val="00C10E98"/>
    <w:rsid w:val="00C1199B"/>
    <w:rsid w:val="00C16484"/>
    <w:rsid w:val="00C16A44"/>
    <w:rsid w:val="00C178FE"/>
    <w:rsid w:val="00C17EBA"/>
    <w:rsid w:val="00C211AE"/>
    <w:rsid w:val="00C2557A"/>
    <w:rsid w:val="00C25ABD"/>
    <w:rsid w:val="00C266DA"/>
    <w:rsid w:val="00C27584"/>
    <w:rsid w:val="00C32F49"/>
    <w:rsid w:val="00C3499B"/>
    <w:rsid w:val="00C353A7"/>
    <w:rsid w:val="00C35E1A"/>
    <w:rsid w:val="00C37120"/>
    <w:rsid w:val="00C3722A"/>
    <w:rsid w:val="00C37324"/>
    <w:rsid w:val="00C37447"/>
    <w:rsid w:val="00C40927"/>
    <w:rsid w:val="00C410E7"/>
    <w:rsid w:val="00C4166E"/>
    <w:rsid w:val="00C41DDB"/>
    <w:rsid w:val="00C42B2F"/>
    <w:rsid w:val="00C43129"/>
    <w:rsid w:val="00C435CC"/>
    <w:rsid w:val="00C43BFA"/>
    <w:rsid w:val="00C43EA5"/>
    <w:rsid w:val="00C45334"/>
    <w:rsid w:val="00C463CC"/>
    <w:rsid w:val="00C47876"/>
    <w:rsid w:val="00C47ACD"/>
    <w:rsid w:val="00C500E4"/>
    <w:rsid w:val="00C503D4"/>
    <w:rsid w:val="00C5074D"/>
    <w:rsid w:val="00C52B2A"/>
    <w:rsid w:val="00C53755"/>
    <w:rsid w:val="00C540EC"/>
    <w:rsid w:val="00C55696"/>
    <w:rsid w:val="00C56F4C"/>
    <w:rsid w:val="00C572D7"/>
    <w:rsid w:val="00C60354"/>
    <w:rsid w:val="00C61718"/>
    <w:rsid w:val="00C6186B"/>
    <w:rsid w:val="00C61946"/>
    <w:rsid w:val="00C63CD7"/>
    <w:rsid w:val="00C65455"/>
    <w:rsid w:val="00C6679F"/>
    <w:rsid w:val="00C6737F"/>
    <w:rsid w:val="00C70C75"/>
    <w:rsid w:val="00C71316"/>
    <w:rsid w:val="00C715BA"/>
    <w:rsid w:val="00C723EC"/>
    <w:rsid w:val="00C72ECD"/>
    <w:rsid w:val="00C75A04"/>
    <w:rsid w:val="00C76279"/>
    <w:rsid w:val="00C77F89"/>
    <w:rsid w:val="00C80B8D"/>
    <w:rsid w:val="00C810C2"/>
    <w:rsid w:val="00C81267"/>
    <w:rsid w:val="00C83BBA"/>
    <w:rsid w:val="00C8405C"/>
    <w:rsid w:val="00C842F9"/>
    <w:rsid w:val="00C85DE9"/>
    <w:rsid w:val="00C85F5C"/>
    <w:rsid w:val="00C9152D"/>
    <w:rsid w:val="00C91CE7"/>
    <w:rsid w:val="00C9360F"/>
    <w:rsid w:val="00C95C43"/>
    <w:rsid w:val="00C96E4E"/>
    <w:rsid w:val="00C977CB"/>
    <w:rsid w:val="00C97FFC"/>
    <w:rsid w:val="00CA0674"/>
    <w:rsid w:val="00CA078D"/>
    <w:rsid w:val="00CA115C"/>
    <w:rsid w:val="00CA1748"/>
    <w:rsid w:val="00CA26DA"/>
    <w:rsid w:val="00CA2ED5"/>
    <w:rsid w:val="00CA389A"/>
    <w:rsid w:val="00CA5024"/>
    <w:rsid w:val="00CA6051"/>
    <w:rsid w:val="00CA722E"/>
    <w:rsid w:val="00CB1E84"/>
    <w:rsid w:val="00CB2A7F"/>
    <w:rsid w:val="00CB3CFA"/>
    <w:rsid w:val="00CB4ACE"/>
    <w:rsid w:val="00CB4B18"/>
    <w:rsid w:val="00CB6F53"/>
    <w:rsid w:val="00CB7385"/>
    <w:rsid w:val="00CB7B6F"/>
    <w:rsid w:val="00CC06E5"/>
    <w:rsid w:val="00CC06F4"/>
    <w:rsid w:val="00CC4308"/>
    <w:rsid w:val="00CC5194"/>
    <w:rsid w:val="00CC52A0"/>
    <w:rsid w:val="00CC5FAD"/>
    <w:rsid w:val="00CD017B"/>
    <w:rsid w:val="00CD09C5"/>
    <w:rsid w:val="00CD0A54"/>
    <w:rsid w:val="00CD2290"/>
    <w:rsid w:val="00CD2BDB"/>
    <w:rsid w:val="00CD4010"/>
    <w:rsid w:val="00CD476A"/>
    <w:rsid w:val="00CD4C01"/>
    <w:rsid w:val="00CD52BF"/>
    <w:rsid w:val="00CD6EB8"/>
    <w:rsid w:val="00CD7A0C"/>
    <w:rsid w:val="00CD7B0F"/>
    <w:rsid w:val="00CE05E4"/>
    <w:rsid w:val="00CE1640"/>
    <w:rsid w:val="00CE1CB5"/>
    <w:rsid w:val="00CE3D83"/>
    <w:rsid w:val="00CE42A1"/>
    <w:rsid w:val="00CE44AA"/>
    <w:rsid w:val="00CF0075"/>
    <w:rsid w:val="00CF086D"/>
    <w:rsid w:val="00CF0DFB"/>
    <w:rsid w:val="00CF171A"/>
    <w:rsid w:val="00CF2799"/>
    <w:rsid w:val="00CF2FFD"/>
    <w:rsid w:val="00CF3061"/>
    <w:rsid w:val="00CF3346"/>
    <w:rsid w:val="00CF386C"/>
    <w:rsid w:val="00CF741A"/>
    <w:rsid w:val="00CF795E"/>
    <w:rsid w:val="00D001B3"/>
    <w:rsid w:val="00D00231"/>
    <w:rsid w:val="00D00EFC"/>
    <w:rsid w:val="00D01ABE"/>
    <w:rsid w:val="00D01AE0"/>
    <w:rsid w:val="00D0245F"/>
    <w:rsid w:val="00D036C1"/>
    <w:rsid w:val="00D0373E"/>
    <w:rsid w:val="00D03D6C"/>
    <w:rsid w:val="00D03DCA"/>
    <w:rsid w:val="00D04552"/>
    <w:rsid w:val="00D046D9"/>
    <w:rsid w:val="00D04714"/>
    <w:rsid w:val="00D057DF"/>
    <w:rsid w:val="00D059C5"/>
    <w:rsid w:val="00D05BC4"/>
    <w:rsid w:val="00D05E24"/>
    <w:rsid w:val="00D05F69"/>
    <w:rsid w:val="00D07A19"/>
    <w:rsid w:val="00D1007B"/>
    <w:rsid w:val="00D121AB"/>
    <w:rsid w:val="00D13D97"/>
    <w:rsid w:val="00D13F99"/>
    <w:rsid w:val="00D13FB2"/>
    <w:rsid w:val="00D14EBD"/>
    <w:rsid w:val="00D14EFF"/>
    <w:rsid w:val="00D152C2"/>
    <w:rsid w:val="00D15B60"/>
    <w:rsid w:val="00D165A5"/>
    <w:rsid w:val="00D17BD0"/>
    <w:rsid w:val="00D17C47"/>
    <w:rsid w:val="00D205CC"/>
    <w:rsid w:val="00D21E32"/>
    <w:rsid w:val="00D220B1"/>
    <w:rsid w:val="00D22797"/>
    <w:rsid w:val="00D22870"/>
    <w:rsid w:val="00D22AD9"/>
    <w:rsid w:val="00D25449"/>
    <w:rsid w:val="00D263C1"/>
    <w:rsid w:val="00D26AE2"/>
    <w:rsid w:val="00D26BB7"/>
    <w:rsid w:val="00D27205"/>
    <w:rsid w:val="00D278F9"/>
    <w:rsid w:val="00D32FFF"/>
    <w:rsid w:val="00D33D89"/>
    <w:rsid w:val="00D340EA"/>
    <w:rsid w:val="00D34633"/>
    <w:rsid w:val="00D4030E"/>
    <w:rsid w:val="00D4086A"/>
    <w:rsid w:val="00D4119F"/>
    <w:rsid w:val="00D412AA"/>
    <w:rsid w:val="00D42600"/>
    <w:rsid w:val="00D437B1"/>
    <w:rsid w:val="00D4472B"/>
    <w:rsid w:val="00D44E0F"/>
    <w:rsid w:val="00D4617D"/>
    <w:rsid w:val="00D46B86"/>
    <w:rsid w:val="00D47014"/>
    <w:rsid w:val="00D470D5"/>
    <w:rsid w:val="00D506B5"/>
    <w:rsid w:val="00D5081C"/>
    <w:rsid w:val="00D5103A"/>
    <w:rsid w:val="00D527F6"/>
    <w:rsid w:val="00D52B9F"/>
    <w:rsid w:val="00D53492"/>
    <w:rsid w:val="00D5490C"/>
    <w:rsid w:val="00D5609F"/>
    <w:rsid w:val="00D61440"/>
    <w:rsid w:val="00D61D31"/>
    <w:rsid w:val="00D61F71"/>
    <w:rsid w:val="00D63E62"/>
    <w:rsid w:val="00D66292"/>
    <w:rsid w:val="00D666B9"/>
    <w:rsid w:val="00D671C7"/>
    <w:rsid w:val="00D67470"/>
    <w:rsid w:val="00D67691"/>
    <w:rsid w:val="00D67EB8"/>
    <w:rsid w:val="00D67EDF"/>
    <w:rsid w:val="00D7076C"/>
    <w:rsid w:val="00D71AE1"/>
    <w:rsid w:val="00D72587"/>
    <w:rsid w:val="00D73297"/>
    <w:rsid w:val="00D75377"/>
    <w:rsid w:val="00D75FAB"/>
    <w:rsid w:val="00D76127"/>
    <w:rsid w:val="00D7660F"/>
    <w:rsid w:val="00D768D7"/>
    <w:rsid w:val="00D815F9"/>
    <w:rsid w:val="00D83700"/>
    <w:rsid w:val="00D83F41"/>
    <w:rsid w:val="00D8554A"/>
    <w:rsid w:val="00D85760"/>
    <w:rsid w:val="00D90090"/>
    <w:rsid w:val="00D911A5"/>
    <w:rsid w:val="00D92485"/>
    <w:rsid w:val="00D938F1"/>
    <w:rsid w:val="00D95786"/>
    <w:rsid w:val="00D95C53"/>
    <w:rsid w:val="00D962D4"/>
    <w:rsid w:val="00D96CA4"/>
    <w:rsid w:val="00D974C2"/>
    <w:rsid w:val="00D97E93"/>
    <w:rsid w:val="00DA019C"/>
    <w:rsid w:val="00DA0F9D"/>
    <w:rsid w:val="00DA337D"/>
    <w:rsid w:val="00DA537A"/>
    <w:rsid w:val="00DB0089"/>
    <w:rsid w:val="00DB1756"/>
    <w:rsid w:val="00DB2BE8"/>
    <w:rsid w:val="00DB330C"/>
    <w:rsid w:val="00DB3AEB"/>
    <w:rsid w:val="00DB4E05"/>
    <w:rsid w:val="00DB5154"/>
    <w:rsid w:val="00DB7192"/>
    <w:rsid w:val="00DB7247"/>
    <w:rsid w:val="00DC05CF"/>
    <w:rsid w:val="00DC20E5"/>
    <w:rsid w:val="00DC4123"/>
    <w:rsid w:val="00DC6FB2"/>
    <w:rsid w:val="00DC764F"/>
    <w:rsid w:val="00DC7782"/>
    <w:rsid w:val="00DC7EB4"/>
    <w:rsid w:val="00DD3A1A"/>
    <w:rsid w:val="00DD4703"/>
    <w:rsid w:val="00DD4C58"/>
    <w:rsid w:val="00DD7557"/>
    <w:rsid w:val="00DE004D"/>
    <w:rsid w:val="00DE0BD3"/>
    <w:rsid w:val="00DE31F8"/>
    <w:rsid w:val="00DE48EF"/>
    <w:rsid w:val="00DE4D45"/>
    <w:rsid w:val="00DE4ED7"/>
    <w:rsid w:val="00DE5905"/>
    <w:rsid w:val="00DE5D2E"/>
    <w:rsid w:val="00DE74DD"/>
    <w:rsid w:val="00DF0381"/>
    <w:rsid w:val="00DF0434"/>
    <w:rsid w:val="00DF2754"/>
    <w:rsid w:val="00DF290B"/>
    <w:rsid w:val="00DF3307"/>
    <w:rsid w:val="00DF3811"/>
    <w:rsid w:val="00DF3C5C"/>
    <w:rsid w:val="00DF76CD"/>
    <w:rsid w:val="00E00A03"/>
    <w:rsid w:val="00E03186"/>
    <w:rsid w:val="00E03BAD"/>
    <w:rsid w:val="00E05997"/>
    <w:rsid w:val="00E06B0A"/>
    <w:rsid w:val="00E06D3F"/>
    <w:rsid w:val="00E07125"/>
    <w:rsid w:val="00E10B08"/>
    <w:rsid w:val="00E10EE4"/>
    <w:rsid w:val="00E11E7E"/>
    <w:rsid w:val="00E12721"/>
    <w:rsid w:val="00E1289D"/>
    <w:rsid w:val="00E140CE"/>
    <w:rsid w:val="00E14F77"/>
    <w:rsid w:val="00E14F89"/>
    <w:rsid w:val="00E15A35"/>
    <w:rsid w:val="00E1790C"/>
    <w:rsid w:val="00E17AFC"/>
    <w:rsid w:val="00E17DAC"/>
    <w:rsid w:val="00E20AC8"/>
    <w:rsid w:val="00E234F7"/>
    <w:rsid w:val="00E2383A"/>
    <w:rsid w:val="00E25CF9"/>
    <w:rsid w:val="00E2679E"/>
    <w:rsid w:val="00E31308"/>
    <w:rsid w:val="00E31D76"/>
    <w:rsid w:val="00E32928"/>
    <w:rsid w:val="00E35245"/>
    <w:rsid w:val="00E4057C"/>
    <w:rsid w:val="00E41C9F"/>
    <w:rsid w:val="00E420D7"/>
    <w:rsid w:val="00E42DCF"/>
    <w:rsid w:val="00E43286"/>
    <w:rsid w:val="00E43575"/>
    <w:rsid w:val="00E43C88"/>
    <w:rsid w:val="00E4474E"/>
    <w:rsid w:val="00E44FD4"/>
    <w:rsid w:val="00E453C2"/>
    <w:rsid w:val="00E46358"/>
    <w:rsid w:val="00E46D17"/>
    <w:rsid w:val="00E5012F"/>
    <w:rsid w:val="00E5132E"/>
    <w:rsid w:val="00E51827"/>
    <w:rsid w:val="00E5323C"/>
    <w:rsid w:val="00E53F2F"/>
    <w:rsid w:val="00E54DEF"/>
    <w:rsid w:val="00E55B74"/>
    <w:rsid w:val="00E57C08"/>
    <w:rsid w:val="00E57EE1"/>
    <w:rsid w:val="00E6006A"/>
    <w:rsid w:val="00E6154C"/>
    <w:rsid w:val="00E636CF"/>
    <w:rsid w:val="00E6419A"/>
    <w:rsid w:val="00E64CE4"/>
    <w:rsid w:val="00E65214"/>
    <w:rsid w:val="00E6572F"/>
    <w:rsid w:val="00E66554"/>
    <w:rsid w:val="00E6758D"/>
    <w:rsid w:val="00E70448"/>
    <w:rsid w:val="00E70A5F"/>
    <w:rsid w:val="00E71A54"/>
    <w:rsid w:val="00E73A00"/>
    <w:rsid w:val="00E73CC5"/>
    <w:rsid w:val="00E74815"/>
    <w:rsid w:val="00E76EBA"/>
    <w:rsid w:val="00E77E0C"/>
    <w:rsid w:val="00E8186E"/>
    <w:rsid w:val="00E829B1"/>
    <w:rsid w:val="00E82AC8"/>
    <w:rsid w:val="00E8342E"/>
    <w:rsid w:val="00E83831"/>
    <w:rsid w:val="00E849BF"/>
    <w:rsid w:val="00E84B7B"/>
    <w:rsid w:val="00E84F3E"/>
    <w:rsid w:val="00E8578E"/>
    <w:rsid w:val="00E85A2D"/>
    <w:rsid w:val="00E85D58"/>
    <w:rsid w:val="00E86638"/>
    <w:rsid w:val="00E8687C"/>
    <w:rsid w:val="00E877E8"/>
    <w:rsid w:val="00E90F6D"/>
    <w:rsid w:val="00E919BF"/>
    <w:rsid w:val="00E91CA7"/>
    <w:rsid w:val="00E92470"/>
    <w:rsid w:val="00E9254C"/>
    <w:rsid w:val="00E9309B"/>
    <w:rsid w:val="00E939EF"/>
    <w:rsid w:val="00E94D15"/>
    <w:rsid w:val="00E97043"/>
    <w:rsid w:val="00E97122"/>
    <w:rsid w:val="00EA139B"/>
    <w:rsid w:val="00EA1E9E"/>
    <w:rsid w:val="00EA2915"/>
    <w:rsid w:val="00EA2F54"/>
    <w:rsid w:val="00EA35F5"/>
    <w:rsid w:val="00EA3779"/>
    <w:rsid w:val="00EA3BA4"/>
    <w:rsid w:val="00EA4A55"/>
    <w:rsid w:val="00EA597F"/>
    <w:rsid w:val="00EA7DB2"/>
    <w:rsid w:val="00EB0247"/>
    <w:rsid w:val="00EB15F2"/>
    <w:rsid w:val="00EB1803"/>
    <w:rsid w:val="00EB2F68"/>
    <w:rsid w:val="00EB3222"/>
    <w:rsid w:val="00EB3BF6"/>
    <w:rsid w:val="00EB40B5"/>
    <w:rsid w:val="00EB4FF6"/>
    <w:rsid w:val="00EB51E3"/>
    <w:rsid w:val="00EB5739"/>
    <w:rsid w:val="00EB5C68"/>
    <w:rsid w:val="00EB6A9F"/>
    <w:rsid w:val="00EB6B34"/>
    <w:rsid w:val="00EB7333"/>
    <w:rsid w:val="00EB7595"/>
    <w:rsid w:val="00EB7784"/>
    <w:rsid w:val="00EB7B19"/>
    <w:rsid w:val="00EB7D5D"/>
    <w:rsid w:val="00EC0847"/>
    <w:rsid w:val="00EC30BE"/>
    <w:rsid w:val="00EC399C"/>
    <w:rsid w:val="00EC50F2"/>
    <w:rsid w:val="00EC66BD"/>
    <w:rsid w:val="00EC67A0"/>
    <w:rsid w:val="00EC6C5E"/>
    <w:rsid w:val="00EC716A"/>
    <w:rsid w:val="00EC7DCA"/>
    <w:rsid w:val="00ED0639"/>
    <w:rsid w:val="00ED08A5"/>
    <w:rsid w:val="00ED2126"/>
    <w:rsid w:val="00ED26FB"/>
    <w:rsid w:val="00ED2DA5"/>
    <w:rsid w:val="00ED3CAA"/>
    <w:rsid w:val="00ED3DBD"/>
    <w:rsid w:val="00ED4C7C"/>
    <w:rsid w:val="00ED5B16"/>
    <w:rsid w:val="00ED61D0"/>
    <w:rsid w:val="00ED6983"/>
    <w:rsid w:val="00ED751F"/>
    <w:rsid w:val="00EE0EA8"/>
    <w:rsid w:val="00EE13BC"/>
    <w:rsid w:val="00EE17C6"/>
    <w:rsid w:val="00EE1ED6"/>
    <w:rsid w:val="00EE23E7"/>
    <w:rsid w:val="00EE306B"/>
    <w:rsid w:val="00EE5142"/>
    <w:rsid w:val="00EE5713"/>
    <w:rsid w:val="00EE6252"/>
    <w:rsid w:val="00EE6D70"/>
    <w:rsid w:val="00EE743A"/>
    <w:rsid w:val="00EE7934"/>
    <w:rsid w:val="00EF1CB4"/>
    <w:rsid w:val="00EF391E"/>
    <w:rsid w:val="00EF56DA"/>
    <w:rsid w:val="00EF60FE"/>
    <w:rsid w:val="00F008D9"/>
    <w:rsid w:val="00F00EF3"/>
    <w:rsid w:val="00F0153D"/>
    <w:rsid w:val="00F02E78"/>
    <w:rsid w:val="00F02EEC"/>
    <w:rsid w:val="00F03387"/>
    <w:rsid w:val="00F036FE"/>
    <w:rsid w:val="00F03CBA"/>
    <w:rsid w:val="00F04856"/>
    <w:rsid w:val="00F04F97"/>
    <w:rsid w:val="00F05BD3"/>
    <w:rsid w:val="00F06352"/>
    <w:rsid w:val="00F0638B"/>
    <w:rsid w:val="00F1007C"/>
    <w:rsid w:val="00F115D3"/>
    <w:rsid w:val="00F11DC6"/>
    <w:rsid w:val="00F130FE"/>
    <w:rsid w:val="00F1363E"/>
    <w:rsid w:val="00F13B1E"/>
    <w:rsid w:val="00F146B5"/>
    <w:rsid w:val="00F14BEE"/>
    <w:rsid w:val="00F1564E"/>
    <w:rsid w:val="00F15AEA"/>
    <w:rsid w:val="00F15F0F"/>
    <w:rsid w:val="00F160A3"/>
    <w:rsid w:val="00F160A6"/>
    <w:rsid w:val="00F16997"/>
    <w:rsid w:val="00F1784A"/>
    <w:rsid w:val="00F2037E"/>
    <w:rsid w:val="00F208DA"/>
    <w:rsid w:val="00F20908"/>
    <w:rsid w:val="00F21EA2"/>
    <w:rsid w:val="00F22A5D"/>
    <w:rsid w:val="00F22ED2"/>
    <w:rsid w:val="00F2553D"/>
    <w:rsid w:val="00F25F86"/>
    <w:rsid w:val="00F268E6"/>
    <w:rsid w:val="00F3181F"/>
    <w:rsid w:val="00F32424"/>
    <w:rsid w:val="00F32C5D"/>
    <w:rsid w:val="00F3380E"/>
    <w:rsid w:val="00F33815"/>
    <w:rsid w:val="00F33A33"/>
    <w:rsid w:val="00F33AC4"/>
    <w:rsid w:val="00F34135"/>
    <w:rsid w:val="00F34748"/>
    <w:rsid w:val="00F35A48"/>
    <w:rsid w:val="00F365C6"/>
    <w:rsid w:val="00F375D7"/>
    <w:rsid w:val="00F4006D"/>
    <w:rsid w:val="00F4060D"/>
    <w:rsid w:val="00F44876"/>
    <w:rsid w:val="00F51D6D"/>
    <w:rsid w:val="00F51D9E"/>
    <w:rsid w:val="00F51F95"/>
    <w:rsid w:val="00F52132"/>
    <w:rsid w:val="00F561E6"/>
    <w:rsid w:val="00F57442"/>
    <w:rsid w:val="00F579DD"/>
    <w:rsid w:val="00F60C03"/>
    <w:rsid w:val="00F61BDF"/>
    <w:rsid w:val="00F624D9"/>
    <w:rsid w:val="00F62752"/>
    <w:rsid w:val="00F633F2"/>
    <w:rsid w:val="00F643B9"/>
    <w:rsid w:val="00F64C2C"/>
    <w:rsid w:val="00F64CC7"/>
    <w:rsid w:val="00F65C0A"/>
    <w:rsid w:val="00F65D93"/>
    <w:rsid w:val="00F65DE3"/>
    <w:rsid w:val="00F674CA"/>
    <w:rsid w:val="00F679A0"/>
    <w:rsid w:val="00F67A2C"/>
    <w:rsid w:val="00F70076"/>
    <w:rsid w:val="00F70DEF"/>
    <w:rsid w:val="00F71747"/>
    <w:rsid w:val="00F72706"/>
    <w:rsid w:val="00F727CB"/>
    <w:rsid w:val="00F72F54"/>
    <w:rsid w:val="00F75213"/>
    <w:rsid w:val="00F75893"/>
    <w:rsid w:val="00F760EA"/>
    <w:rsid w:val="00F76D2B"/>
    <w:rsid w:val="00F77AF1"/>
    <w:rsid w:val="00F8028C"/>
    <w:rsid w:val="00F8123A"/>
    <w:rsid w:val="00F823C1"/>
    <w:rsid w:val="00F83AA5"/>
    <w:rsid w:val="00F85596"/>
    <w:rsid w:val="00F86185"/>
    <w:rsid w:val="00F862D4"/>
    <w:rsid w:val="00F862EE"/>
    <w:rsid w:val="00F86FA6"/>
    <w:rsid w:val="00F87028"/>
    <w:rsid w:val="00F92156"/>
    <w:rsid w:val="00F921AE"/>
    <w:rsid w:val="00F94039"/>
    <w:rsid w:val="00F9497F"/>
    <w:rsid w:val="00F9585E"/>
    <w:rsid w:val="00FA0A0F"/>
    <w:rsid w:val="00FA2562"/>
    <w:rsid w:val="00FA3464"/>
    <w:rsid w:val="00FA3A73"/>
    <w:rsid w:val="00FA4761"/>
    <w:rsid w:val="00FA5C80"/>
    <w:rsid w:val="00FA77C3"/>
    <w:rsid w:val="00FA7D85"/>
    <w:rsid w:val="00FB1E26"/>
    <w:rsid w:val="00FB27CE"/>
    <w:rsid w:val="00FB4287"/>
    <w:rsid w:val="00FB53D3"/>
    <w:rsid w:val="00FB659C"/>
    <w:rsid w:val="00FB65E2"/>
    <w:rsid w:val="00FB70B0"/>
    <w:rsid w:val="00FB76B3"/>
    <w:rsid w:val="00FB76D0"/>
    <w:rsid w:val="00FB77E1"/>
    <w:rsid w:val="00FC0051"/>
    <w:rsid w:val="00FC1038"/>
    <w:rsid w:val="00FC3EE2"/>
    <w:rsid w:val="00FC4B26"/>
    <w:rsid w:val="00FC4FDE"/>
    <w:rsid w:val="00FC5340"/>
    <w:rsid w:val="00FC6702"/>
    <w:rsid w:val="00FC7312"/>
    <w:rsid w:val="00FC7CC6"/>
    <w:rsid w:val="00FD00D7"/>
    <w:rsid w:val="00FD0484"/>
    <w:rsid w:val="00FD0F80"/>
    <w:rsid w:val="00FD14BF"/>
    <w:rsid w:val="00FD215C"/>
    <w:rsid w:val="00FD2E25"/>
    <w:rsid w:val="00FD34C9"/>
    <w:rsid w:val="00FD38D2"/>
    <w:rsid w:val="00FD48E2"/>
    <w:rsid w:val="00FD4E48"/>
    <w:rsid w:val="00FD5215"/>
    <w:rsid w:val="00FD59F8"/>
    <w:rsid w:val="00FD5CDB"/>
    <w:rsid w:val="00FD6109"/>
    <w:rsid w:val="00FD78DD"/>
    <w:rsid w:val="00FE0877"/>
    <w:rsid w:val="00FE0A9A"/>
    <w:rsid w:val="00FE189A"/>
    <w:rsid w:val="00FE1FDB"/>
    <w:rsid w:val="00FE23C2"/>
    <w:rsid w:val="00FE3E66"/>
    <w:rsid w:val="00FE49BA"/>
    <w:rsid w:val="00FE5225"/>
    <w:rsid w:val="00FE5453"/>
    <w:rsid w:val="00FE7BF2"/>
    <w:rsid w:val="00FF0AB5"/>
    <w:rsid w:val="00FF14A2"/>
    <w:rsid w:val="00FF1C19"/>
    <w:rsid w:val="00FF2D2C"/>
    <w:rsid w:val="00FF2D4B"/>
    <w:rsid w:val="00FF380E"/>
    <w:rsid w:val="00FF42B1"/>
    <w:rsid w:val="00FF4532"/>
    <w:rsid w:val="00FF55E8"/>
    <w:rsid w:val="00FF66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pPr>
        <w:spacing w:line="22" w:lineRule="auto"/>
      </w:pPr>
    </w:pPrDefault>
  </w:docDefaults>
  <w:latentStyles w:defLockedState="0" w:defUIPriority="8"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4" w:unhideWhenUsed="0" w:qFormat="1"/>
    <w:lsdException w:name="heading 4" w:uiPriority="4" w:qFormat="1"/>
    <w:lsdException w:name="heading 5" w:uiPriority="5" w:qFormat="1"/>
    <w:lsdException w:name="toc 1" w:uiPriority="39"/>
    <w:lsdException w:name="toc 2" w:uiPriority="39"/>
    <w:lsdException w:name="annotation text" w:uiPriority="99"/>
    <w:lsdException w:name="header" w:uiPriority="99"/>
    <w:lsdException w:name="caption" w:qFormat="1"/>
    <w:lsdException w:name="table of figures" w:uiPriority="99"/>
    <w:lsdException w:name="footnote reference" w:qFormat="1"/>
    <w:lsdException w:name="annotation reference" w:uiPriority="99"/>
    <w:lsdException w:name="page number" w:uiPriority="0"/>
    <w:lsdException w:name="toa heading" w:semiHidden="0" w:unhideWhenUsed="0"/>
    <w:lsdException w:name="List Bullet" w:uiPriority="2" w:qFormat="1"/>
    <w:lsdException w:name="List Number" w:semiHidden="0" w:unhideWhenUsed="0"/>
    <w:lsdException w:name="List 2" w:semiHidden="0" w:unhideWhenUsed="0"/>
    <w:lsdException w:name="Title" w:semiHidden="0" w:unhideWhenUsed="0"/>
    <w:lsdException w:name="Default Paragraph Font" w:uiPriority="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HTML Top of Form" w:uiPriority="0"/>
    <w:lsdException w:name="HTML Bottom of Form" w:uiPriority="0"/>
    <w:lsdException w:name="Normal (Web)" w:uiPriority="99"/>
    <w:lsdException w:name="Normal Table" w:uiPriority="0"/>
    <w:lsdException w:name="No List" w:uiPriority="99"/>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99" w:unhideWhenUsed="0"/>
    <w:lsdException w:name="Table Grid" w:semiHidden="0" w:uiPriority="0" w:unhideWhenUsed="0"/>
    <w:lsdException w:name="Table Theme" w:uiPriority="0"/>
    <w:lsdException w:name="Placeholder Text" w:uiPriority="99" w:unhideWhenUsed="0"/>
    <w:lsdException w:name="No Spacing" w:semiHidden="0" w:uiPriority="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42" w:unhideWhenUsed="0" w:qFormat="1"/>
    <w:lsdException w:name="Quote" w:semiHidden="0" w:uiPriority="37" w:unhideWhenUsed="0"/>
    <w:lsdException w:name="Intense Quote" w:semiHidden="0" w:uiPriority="38"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7" w:unhideWhenUsed="0"/>
    <w:lsdException w:name="Intense Emphasis" w:semiHidden="0" w:uiPriority="29" w:unhideWhenUsed="0"/>
    <w:lsdException w:name="Subtle Reference" w:semiHidden="0" w:uiPriority="39" w:unhideWhenUsed="0"/>
    <w:lsdException w:name="Intense Reference" w:semiHidden="0" w:uiPriority="40" w:unhideWhenUsed="0"/>
    <w:lsdException w:name="Book Title" w:semiHidden="0" w:uiPriority="41" w:unhideWhenUsed="0"/>
    <w:lsdException w:name="Bibliography" w:uiPriority="45"/>
    <w:lsdException w:name="TOC Heading" w:uiPriority="47" w:qFormat="1"/>
  </w:latentStyles>
  <w:style w:type="paragraph" w:default="1" w:styleId="Normal">
    <w:name w:val="Normal"/>
    <w:qFormat/>
    <w:rsid w:val="00752670"/>
    <w:pPr>
      <w:spacing w:line="300" w:lineRule="exact"/>
    </w:pPr>
    <w:rPr>
      <w:rFonts w:ascii="Segoe UI" w:hAnsi="Segoe UI"/>
      <w:sz w:val="21"/>
      <w:szCs w:val="24"/>
    </w:rPr>
  </w:style>
  <w:style w:type="paragraph" w:styleId="Heading1">
    <w:name w:val="heading 1"/>
    <w:basedOn w:val="Normal"/>
    <w:next w:val="Normal"/>
    <w:uiPriority w:val="1"/>
    <w:qFormat/>
    <w:rsid w:val="00752670"/>
    <w:pPr>
      <w:spacing w:after="240" w:line="520" w:lineRule="exact"/>
      <w:outlineLvl w:val="0"/>
    </w:pPr>
    <w:rPr>
      <w:rFonts w:eastAsia="Segoe UI" w:cs="Frutiger LT Std 55 Roman"/>
      <w:b/>
      <w:bCs/>
      <w:caps/>
      <w:kern w:val="28"/>
      <w:sz w:val="36"/>
      <w:szCs w:val="36"/>
    </w:rPr>
  </w:style>
  <w:style w:type="paragraph" w:styleId="Heading2">
    <w:name w:val="heading 2"/>
    <w:basedOn w:val="Normal"/>
    <w:next w:val="Normal"/>
    <w:link w:val="Heading2Char"/>
    <w:uiPriority w:val="1"/>
    <w:qFormat/>
    <w:rsid w:val="00752670"/>
    <w:pPr>
      <w:numPr>
        <w:ilvl w:val="1"/>
        <w:numId w:val="12"/>
      </w:numPr>
      <w:spacing w:after="240" w:line="400" w:lineRule="exact"/>
      <w:outlineLvl w:val="1"/>
    </w:pPr>
    <w:rPr>
      <w:rFonts w:eastAsia="Segoe UI" w:cs="Arial"/>
      <w:b/>
      <w:bCs/>
      <w:iCs/>
      <w:color w:val="4B82AD"/>
      <w:sz w:val="26"/>
      <w:szCs w:val="28"/>
    </w:rPr>
  </w:style>
  <w:style w:type="paragraph" w:styleId="Heading3">
    <w:name w:val="heading 3"/>
    <w:basedOn w:val="Normal"/>
    <w:next w:val="Normal"/>
    <w:uiPriority w:val="4"/>
    <w:qFormat/>
    <w:rsid w:val="00752670"/>
    <w:pPr>
      <w:spacing w:after="240"/>
      <w:outlineLvl w:val="2"/>
    </w:pPr>
    <w:rPr>
      <w:rFonts w:cs="Arial"/>
      <w:b/>
      <w:bCs/>
      <w:sz w:val="22"/>
      <w:szCs w:val="26"/>
    </w:rPr>
  </w:style>
  <w:style w:type="paragraph" w:styleId="Heading4">
    <w:name w:val="heading 4"/>
    <w:basedOn w:val="Normal"/>
    <w:next w:val="Normal"/>
    <w:uiPriority w:val="4"/>
    <w:qFormat/>
    <w:rsid w:val="00752670"/>
    <w:pPr>
      <w:spacing w:after="240"/>
      <w:outlineLvl w:val="3"/>
    </w:pPr>
    <w:rPr>
      <w:b/>
      <w:bCs/>
      <w:i/>
      <w:szCs w:val="28"/>
    </w:rPr>
  </w:style>
  <w:style w:type="paragraph" w:styleId="Heading5">
    <w:name w:val="heading 5"/>
    <w:aliases w:val="App/Annex Heading 2"/>
    <w:basedOn w:val="Heading2"/>
    <w:next w:val="Normal"/>
    <w:uiPriority w:val="5"/>
    <w:qFormat/>
    <w:rsid w:val="00752670"/>
    <w:pPr>
      <w:numPr>
        <w:ilvl w:val="0"/>
        <w:numId w:val="13"/>
      </w:numPr>
      <w:outlineLvl w:val="4"/>
    </w:pPr>
    <w:rPr>
      <w:szCs w:val="26"/>
    </w:rPr>
  </w:style>
  <w:style w:type="paragraph" w:styleId="Heading6">
    <w:name w:val="heading 6"/>
    <w:basedOn w:val="Normal"/>
    <w:next w:val="Normal"/>
    <w:uiPriority w:val="8"/>
    <w:rsid w:val="00327493"/>
    <w:pPr>
      <w:outlineLvl w:val="5"/>
    </w:pPr>
    <w:rPr>
      <w:bCs/>
      <w:szCs w:val="22"/>
    </w:rPr>
  </w:style>
  <w:style w:type="paragraph" w:styleId="Heading7">
    <w:name w:val="heading 7"/>
    <w:basedOn w:val="Normal"/>
    <w:next w:val="Normal"/>
    <w:uiPriority w:val="8"/>
    <w:rsid w:val="00327493"/>
    <w:pPr>
      <w:outlineLvl w:val="6"/>
    </w:pPr>
  </w:style>
  <w:style w:type="paragraph" w:styleId="Heading8">
    <w:name w:val="heading 8"/>
    <w:basedOn w:val="Normal"/>
    <w:next w:val="Normal"/>
    <w:uiPriority w:val="8"/>
    <w:rsid w:val="00327493"/>
    <w:pPr>
      <w:outlineLvl w:val="7"/>
    </w:pPr>
    <w:rPr>
      <w:iCs/>
    </w:rPr>
  </w:style>
  <w:style w:type="paragraph" w:styleId="Heading9">
    <w:name w:val="heading 9"/>
    <w:basedOn w:val="Normal"/>
    <w:next w:val="Normal"/>
    <w:uiPriority w:val="8"/>
    <w:rsid w:val="00327493"/>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A337D"/>
    <w:pPr>
      <w:tabs>
        <w:tab w:val="center" w:pos="4320"/>
        <w:tab w:val="right" w:pos="8640"/>
      </w:tabs>
    </w:pPr>
  </w:style>
  <w:style w:type="paragraph" w:styleId="FootnoteText">
    <w:name w:val="footnote text"/>
    <w:aliases w:val="Footnote Text Char Char Char Char Char Char,fn,single space,footnote text,FOOTNOTES,Footnote Text Char2 Char,Footnote Text Char1 Char Char,Footnote Text Char Char Char Char,Footnote Text Char2 Char Char Char Char,stile 1,Testo_note,f"/>
    <w:basedOn w:val="Normal"/>
    <w:link w:val="FootnoteTextChar"/>
    <w:uiPriority w:val="8"/>
    <w:rsid w:val="00687AAB"/>
    <w:pPr>
      <w:spacing w:after="120" w:line="220" w:lineRule="exact"/>
    </w:pPr>
    <w:rPr>
      <w:sz w:val="18"/>
      <w:szCs w:val="20"/>
    </w:rPr>
  </w:style>
  <w:style w:type="paragraph" w:customStyle="1" w:styleId="ParagraphNumbering">
    <w:name w:val="Paragraph Numbering"/>
    <w:basedOn w:val="Normal"/>
    <w:link w:val="ParagraphNumberingChar"/>
    <w:uiPriority w:val="1"/>
    <w:qFormat/>
    <w:rsid w:val="00752670"/>
    <w:pPr>
      <w:numPr>
        <w:numId w:val="18"/>
      </w:numPr>
      <w:spacing w:after="240"/>
    </w:pPr>
  </w:style>
  <w:style w:type="paragraph" w:styleId="Footer">
    <w:name w:val="footer"/>
    <w:basedOn w:val="Normal"/>
    <w:link w:val="FooterChar"/>
    <w:uiPriority w:val="8"/>
    <w:rsid w:val="00327493"/>
    <w:pPr>
      <w:tabs>
        <w:tab w:val="center" w:pos="4320"/>
        <w:tab w:val="right" w:pos="8640"/>
      </w:tabs>
    </w:pPr>
  </w:style>
  <w:style w:type="character" w:styleId="FootnoteReference">
    <w:name w:val="footnote reference"/>
    <w:aliases w:val="ftref,16 Point,Superscript 6 Point,Footnote Reference Number,SUPERS,EN Footnote Reference,number,fr,Footnote Reference_LVL6,Footnote Reference_LVL61,Footnote Reference_LVL62,Footnote Reference_LVL63,Footnote Reference_LVL64,Ref"/>
    <w:basedOn w:val="DefaultParagraphFont"/>
    <w:uiPriority w:val="8"/>
    <w:qFormat/>
    <w:rsid w:val="00327493"/>
    <w:rPr>
      <w:sz w:val="20"/>
      <w:vertAlign w:val="superscript"/>
    </w:rPr>
  </w:style>
  <w:style w:type="paragraph" w:customStyle="1" w:styleId="Appendix">
    <w:name w:val="Appendix"/>
    <w:basedOn w:val="Normal"/>
    <w:uiPriority w:val="8"/>
    <w:rsid w:val="00327493"/>
    <w:pPr>
      <w:jc w:val="center"/>
    </w:pPr>
    <w:rPr>
      <w:b/>
    </w:rPr>
  </w:style>
  <w:style w:type="paragraph" w:styleId="ListBullet">
    <w:name w:val="List Bullet"/>
    <w:aliases w:val="List Bullet Char2,List Bullet Char Char1,List Bullet Char1 Char Char,List Bullet Char Char Char Char,List Bullet Char1 Char1,List Bullet Char Char Char1,List Bullet Char1,List Bullet Char Char,List Bullet Char Char1 Char Char,List Bullet 1"/>
    <w:basedOn w:val="Normal"/>
    <w:uiPriority w:val="2"/>
    <w:qFormat/>
    <w:rsid w:val="00752670"/>
    <w:pPr>
      <w:numPr>
        <w:numId w:val="14"/>
      </w:numPr>
      <w:spacing w:after="240"/>
    </w:pPr>
  </w:style>
  <w:style w:type="paragraph" w:styleId="TOC1">
    <w:name w:val="toc 1"/>
    <w:basedOn w:val="Normal"/>
    <w:next w:val="Normal"/>
    <w:autoRedefine/>
    <w:uiPriority w:val="39"/>
    <w:rsid w:val="00327493"/>
    <w:pPr>
      <w:tabs>
        <w:tab w:val="right" w:leader="underscore" w:pos="9000"/>
      </w:tabs>
      <w:spacing w:before="240" w:line="240" w:lineRule="auto"/>
    </w:pPr>
    <w:rPr>
      <w:rFonts w:cs="Segoe UI"/>
      <w:b/>
      <w:caps/>
      <w:color w:val="4B82AD"/>
    </w:rPr>
  </w:style>
  <w:style w:type="paragraph" w:styleId="TOC2">
    <w:name w:val="toc 2"/>
    <w:basedOn w:val="Normal"/>
    <w:next w:val="Normal"/>
    <w:autoRedefine/>
    <w:uiPriority w:val="39"/>
    <w:rsid w:val="00327493"/>
    <w:pPr>
      <w:tabs>
        <w:tab w:val="right" w:leader="underscore" w:pos="9000"/>
      </w:tabs>
      <w:spacing w:line="240" w:lineRule="auto"/>
    </w:pPr>
    <w:rPr>
      <w:rFonts w:cs="Segoe UI"/>
      <w:color w:val="4B82AD"/>
    </w:rPr>
  </w:style>
  <w:style w:type="paragraph" w:styleId="TOC3">
    <w:name w:val="toc 3"/>
    <w:basedOn w:val="Normal"/>
    <w:next w:val="Normal"/>
    <w:autoRedefine/>
    <w:uiPriority w:val="8"/>
    <w:rsid w:val="00327493"/>
    <w:pPr>
      <w:tabs>
        <w:tab w:val="right" w:leader="underscore" w:pos="9000"/>
      </w:tabs>
      <w:spacing w:line="240" w:lineRule="auto"/>
      <w:ind w:left="1440"/>
    </w:pPr>
  </w:style>
  <w:style w:type="paragraph" w:styleId="TOC4">
    <w:name w:val="toc 4"/>
    <w:basedOn w:val="Normal"/>
    <w:next w:val="Normal"/>
    <w:uiPriority w:val="8"/>
    <w:rsid w:val="00327493"/>
    <w:pPr>
      <w:ind w:left="720"/>
    </w:pPr>
  </w:style>
  <w:style w:type="paragraph" w:styleId="TOC5">
    <w:name w:val="toc 5"/>
    <w:basedOn w:val="Normal"/>
    <w:next w:val="Normal"/>
    <w:uiPriority w:val="8"/>
    <w:rsid w:val="00327493"/>
    <w:pPr>
      <w:ind w:left="960"/>
    </w:pPr>
  </w:style>
  <w:style w:type="paragraph" w:styleId="TOC6">
    <w:name w:val="toc 6"/>
    <w:basedOn w:val="Normal"/>
    <w:next w:val="Normal"/>
    <w:uiPriority w:val="8"/>
    <w:rsid w:val="00327493"/>
    <w:pPr>
      <w:ind w:left="1200"/>
    </w:pPr>
  </w:style>
  <w:style w:type="paragraph" w:styleId="TOC7">
    <w:name w:val="toc 7"/>
    <w:basedOn w:val="Normal"/>
    <w:next w:val="Normal"/>
    <w:uiPriority w:val="8"/>
    <w:rsid w:val="00327493"/>
    <w:pPr>
      <w:ind w:left="1440"/>
    </w:pPr>
  </w:style>
  <w:style w:type="paragraph" w:styleId="TOC8">
    <w:name w:val="toc 8"/>
    <w:basedOn w:val="Normal"/>
    <w:next w:val="Normal"/>
    <w:uiPriority w:val="8"/>
    <w:rsid w:val="00327493"/>
    <w:pPr>
      <w:ind w:left="1680"/>
    </w:pPr>
  </w:style>
  <w:style w:type="paragraph" w:styleId="TOC9">
    <w:name w:val="toc 9"/>
    <w:basedOn w:val="Normal"/>
    <w:next w:val="Normal"/>
    <w:uiPriority w:val="8"/>
    <w:rsid w:val="00327493"/>
    <w:pPr>
      <w:ind w:left="1920"/>
    </w:pPr>
  </w:style>
  <w:style w:type="paragraph" w:styleId="Index1">
    <w:name w:val="index 1"/>
    <w:basedOn w:val="Normal"/>
    <w:next w:val="Normal"/>
    <w:uiPriority w:val="8"/>
    <w:rsid w:val="00327493"/>
    <w:pPr>
      <w:ind w:left="240" w:hanging="240"/>
    </w:pPr>
  </w:style>
  <w:style w:type="paragraph" w:styleId="Index2">
    <w:name w:val="index 2"/>
    <w:basedOn w:val="Normal"/>
    <w:next w:val="Normal"/>
    <w:uiPriority w:val="8"/>
    <w:rsid w:val="00327493"/>
    <w:pPr>
      <w:ind w:left="480" w:hanging="240"/>
    </w:pPr>
  </w:style>
  <w:style w:type="paragraph" w:styleId="Index3">
    <w:name w:val="index 3"/>
    <w:basedOn w:val="Normal"/>
    <w:next w:val="Normal"/>
    <w:uiPriority w:val="8"/>
    <w:rsid w:val="00327493"/>
    <w:pPr>
      <w:ind w:left="720" w:hanging="240"/>
    </w:pPr>
  </w:style>
  <w:style w:type="paragraph" w:styleId="Index4">
    <w:name w:val="index 4"/>
    <w:basedOn w:val="Normal"/>
    <w:next w:val="Normal"/>
    <w:uiPriority w:val="8"/>
    <w:rsid w:val="00327493"/>
    <w:pPr>
      <w:ind w:left="960" w:hanging="240"/>
    </w:pPr>
  </w:style>
  <w:style w:type="paragraph" w:styleId="Index5">
    <w:name w:val="index 5"/>
    <w:basedOn w:val="Normal"/>
    <w:next w:val="Normal"/>
    <w:uiPriority w:val="8"/>
    <w:rsid w:val="00327493"/>
    <w:pPr>
      <w:ind w:left="1200" w:hanging="240"/>
    </w:pPr>
  </w:style>
  <w:style w:type="paragraph" w:styleId="Index6">
    <w:name w:val="index 6"/>
    <w:basedOn w:val="Normal"/>
    <w:next w:val="Normal"/>
    <w:uiPriority w:val="8"/>
    <w:rsid w:val="00327493"/>
    <w:pPr>
      <w:ind w:left="1440" w:hanging="240"/>
    </w:pPr>
  </w:style>
  <w:style w:type="paragraph" w:styleId="Index7">
    <w:name w:val="index 7"/>
    <w:basedOn w:val="Normal"/>
    <w:next w:val="Normal"/>
    <w:uiPriority w:val="8"/>
    <w:rsid w:val="00327493"/>
    <w:pPr>
      <w:ind w:left="1680" w:hanging="240"/>
    </w:pPr>
  </w:style>
  <w:style w:type="paragraph" w:styleId="Index8">
    <w:name w:val="index 8"/>
    <w:basedOn w:val="Normal"/>
    <w:next w:val="Normal"/>
    <w:uiPriority w:val="8"/>
    <w:rsid w:val="00327493"/>
    <w:pPr>
      <w:ind w:left="1920" w:hanging="240"/>
    </w:pPr>
  </w:style>
  <w:style w:type="paragraph" w:styleId="Index9">
    <w:name w:val="index 9"/>
    <w:basedOn w:val="Normal"/>
    <w:next w:val="Normal"/>
    <w:uiPriority w:val="8"/>
    <w:rsid w:val="00327493"/>
    <w:pPr>
      <w:ind w:left="2160" w:hanging="240"/>
    </w:pPr>
  </w:style>
  <w:style w:type="paragraph" w:styleId="ListBullet2">
    <w:name w:val="List Bullet 2"/>
    <w:basedOn w:val="Normal"/>
    <w:uiPriority w:val="8"/>
    <w:rsid w:val="00327493"/>
    <w:pPr>
      <w:numPr>
        <w:numId w:val="3"/>
      </w:numPr>
    </w:pPr>
  </w:style>
  <w:style w:type="paragraph" w:styleId="ListBullet3">
    <w:name w:val="List Bullet 3"/>
    <w:basedOn w:val="Normal"/>
    <w:uiPriority w:val="8"/>
    <w:rsid w:val="00327493"/>
    <w:pPr>
      <w:numPr>
        <w:numId w:val="4"/>
      </w:numPr>
    </w:pPr>
  </w:style>
  <w:style w:type="paragraph" w:styleId="ListBullet4">
    <w:name w:val="List Bullet 4"/>
    <w:basedOn w:val="Normal"/>
    <w:uiPriority w:val="8"/>
    <w:rsid w:val="00327493"/>
    <w:pPr>
      <w:numPr>
        <w:numId w:val="5"/>
      </w:numPr>
    </w:pPr>
  </w:style>
  <w:style w:type="paragraph" w:styleId="ListBullet5">
    <w:name w:val="List Bullet 5"/>
    <w:basedOn w:val="Normal"/>
    <w:uiPriority w:val="8"/>
    <w:rsid w:val="00327493"/>
    <w:pPr>
      <w:numPr>
        <w:numId w:val="6"/>
      </w:numPr>
    </w:pPr>
  </w:style>
  <w:style w:type="paragraph" w:styleId="Title">
    <w:name w:val="Title"/>
    <w:link w:val="TitleChar"/>
    <w:uiPriority w:val="8"/>
    <w:rsid w:val="00687AAB"/>
    <w:pPr>
      <w:ind w:left="720" w:right="660"/>
    </w:pPr>
    <w:rPr>
      <w:rFonts w:ascii="Segoe UI" w:hAnsi="Segoe UI" w:cs="Segoe UI"/>
      <w:b/>
      <w:bCs/>
      <w:caps/>
      <w:sz w:val="60"/>
      <w:szCs w:val="52"/>
    </w:rPr>
  </w:style>
  <w:style w:type="paragraph" w:customStyle="1" w:styleId="Indent">
    <w:name w:val="Indent"/>
    <w:basedOn w:val="Normal"/>
    <w:uiPriority w:val="8"/>
    <w:rsid w:val="00327493"/>
    <w:pPr>
      <w:ind w:left="720" w:hanging="720"/>
    </w:pPr>
  </w:style>
  <w:style w:type="paragraph" w:customStyle="1" w:styleId="AnnexAppendixTitle">
    <w:name w:val="Annex/Appendix Title"/>
    <w:next w:val="Normal"/>
    <w:uiPriority w:val="5"/>
    <w:qFormat/>
    <w:rsid w:val="00752670"/>
    <w:pPr>
      <w:spacing w:after="240" w:line="400" w:lineRule="exact"/>
      <w:jc w:val="center"/>
    </w:pPr>
    <w:rPr>
      <w:rFonts w:ascii="Segoe UI" w:hAnsi="Segoe UI"/>
      <w:b/>
      <w:color w:val="4B82AD"/>
      <w:sz w:val="30"/>
      <w:szCs w:val="24"/>
    </w:rPr>
  </w:style>
  <w:style w:type="character" w:customStyle="1" w:styleId="HeaderChar">
    <w:name w:val="Header Char"/>
    <w:basedOn w:val="DefaultParagraphFont"/>
    <w:link w:val="Header"/>
    <w:uiPriority w:val="99"/>
    <w:rsid w:val="00DA337D"/>
    <w:rPr>
      <w:rFonts w:ascii="Segoe UI" w:hAnsi="Segoe UI"/>
      <w:sz w:val="21"/>
      <w:szCs w:val="24"/>
    </w:rPr>
  </w:style>
  <w:style w:type="paragraph" w:styleId="ListParagraph">
    <w:name w:val="List Paragraph"/>
    <w:basedOn w:val="Normal"/>
    <w:uiPriority w:val="42"/>
    <w:qFormat/>
    <w:rsid w:val="005E43E2"/>
    <w:pPr>
      <w:ind w:left="720"/>
      <w:contextualSpacing/>
    </w:pPr>
  </w:style>
  <w:style w:type="paragraph" w:styleId="BodyText">
    <w:name w:val="Body Text"/>
    <w:basedOn w:val="Normal"/>
    <w:link w:val="BodyTextChar"/>
    <w:uiPriority w:val="8"/>
    <w:rsid w:val="00A9049F"/>
    <w:pPr>
      <w:spacing w:after="120"/>
    </w:pPr>
  </w:style>
  <w:style w:type="character" w:customStyle="1" w:styleId="BodyTextChar">
    <w:name w:val="Body Text Char"/>
    <w:basedOn w:val="DefaultParagraphFont"/>
    <w:link w:val="BodyText"/>
    <w:uiPriority w:val="8"/>
    <w:rsid w:val="00A9049F"/>
    <w:rPr>
      <w:sz w:val="24"/>
      <w:szCs w:val="24"/>
    </w:rPr>
  </w:style>
  <w:style w:type="paragraph" w:styleId="ListNumber">
    <w:name w:val="List Number"/>
    <w:basedOn w:val="Normal"/>
    <w:uiPriority w:val="8"/>
    <w:rsid w:val="00C410E7"/>
    <w:pPr>
      <w:numPr>
        <w:numId w:val="2"/>
      </w:numPr>
      <w:contextualSpacing/>
    </w:pPr>
  </w:style>
  <w:style w:type="paragraph" w:styleId="BalloonText">
    <w:name w:val="Balloon Text"/>
    <w:basedOn w:val="Normal"/>
    <w:link w:val="BalloonTextChar"/>
    <w:uiPriority w:val="99"/>
    <w:rsid w:val="00C70C75"/>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rsid w:val="00C70C75"/>
    <w:rPr>
      <w:rFonts w:asciiTheme="majorHAnsi" w:eastAsiaTheme="majorEastAsia" w:hAnsiTheme="majorHAnsi" w:cstheme="majorBidi"/>
      <w:sz w:val="16"/>
      <w:szCs w:val="16"/>
    </w:rPr>
  </w:style>
  <w:style w:type="table" w:styleId="TableGrid">
    <w:name w:val="Table Grid"/>
    <w:basedOn w:val="TableNormal"/>
    <w:rsid w:val="009B2412"/>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erChar">
    <w:name w:val="Footer Char"/>
    <w:basedOn w:val="DefaultParagraphFont"/>
    <w:link w:val="Footer"/>
    <w:uiPriority w:val="8"/>
    <w:rsid w:val="00D7660F"/>
    <w:rPr>
      <w:sz w:val="24"/>
      <w:szCs w:val="24"/>
    </w:rPr>
  </w:style>
  <w:style w:type="character" w:styleId="PageNumber">
    <w:name w:val="page number"/>
    <w:basedOn w:val="DefaultParagraphFont"/>
    <w:rsid w:val="00BF5951"/>
  </w:style>
  <w:style w:type="paragraph" w:customStyle="1" w:styleId="SectionSummary">
    <w:name w:val="Section Summary"/>
    <w:basedOn w:val="Normal"/>
    <w:qFormat/>
    <w:rsid w:val="00752670"/>
    <w:pPr>
      <w:spacing w:after="240"/>
      <w:ind w:left="720" w:right="475"/>
    </w:pPr>
    <w:rPr>
      <w:i/>
      <w:szCs w:val="20"/>
    </w:rPr>
  </w:style>
  <w:style w:type="paragraph" w:customStyle="1" w:styleId="BoxText">
    <w:name w:val="Box Text"/>
    <w:basedOn w:val="Normal"/>
    <w:uiPriority w:val="3"/>
    <w:qFormat/>
    <w:rsid w:val="00752670"/>
    <w:pPr>
      <w:spacing w:after="120" w:line="240" w:lineRule="auto"/>
    </w:pPr>
    <w:rPr>
      <w:rFonts w:cs="Segoe UI"/>
      <w:sz w:val="19"/>
    </w:rPr>
  </w:style>
  <w:style w:type="paragraph" w:customStyle="1" w:styleId="BoxBullet">
    <w:name w:val="Box Bullet"/>
    <w:basedOn w:val="Normal"/>
    <w:uiPriority w:val="4"/>
    <w:qFormat/>
    <w:rsid w:val="00752670"/>
    <w:pPr>
      <w:numPr>
        <w:numId w:val="15"/>
      </w:numPr>
      <w:spacing w:after="120" w:line="240" w:lineRule="auto"/>
    </w:pPr>
    <w:rPr>
      <w:rFonts w:cs="Segoe UI"/>
      <w:sz w:val="19"/>
      <w:szCs w:val="20"/>
    </w:rPr>
  </w:style>
  <w:style w:type="paragraph" w:styleId="EndnoteText">
    <w:name w:val="endnote text"/>
    <w:basedOn w:val="Normal"/>
    <w:link w:val="EndnoteTextChar"/>
    <w:uiPriority w:val="8"/>
    <w:rsid w:val="00687AAB"/>
    <w:pPr>
      <w:spacing w:after="120"/>
    </w:pPr>
    <w:rPr>
      <w:szCs w:val="20"/>
    </w:rPr>
  </w:style>
  <w:style w:type="character" w:customStyle="1" w:styleId="EndnoteTextChar">
    <w:name w:val="Endnote Text Char"/>
    <w:basedOn w:val="DefaultParagraphFont"/>
    <w:link w:val="EndnoteText"/>
    <w:uiPriority w:val="8"/>
    <w:rsid w:val="00687AAB"/>
    <w:rPr>
      <w:rFonts w:ascii="Segoe UI" w:hAnsi="Segoe UI"/>
      <w:sz w:val="21"/>
    </w:rPr>
  </w:style>
  <w:style w:type="paragraph" w:customStyle="1" w:styleId="SubTitle">
    <w:name w:val="Sub Title"/>
    <w:uiPriority w:val="8"/>
    <w:rsid w:val="003E4056"/>
    <w:pPr>
      <w:spacing w:line="240" w:lineRule="auto"/>
      <w:ind w:left="720"/>
    </w:pPr>
    <w:rPr>
      <w:rFonts w:ascii="Segoe UI" w:hAnsi="Segoe UI" w:cs="Segoe UI"/>
      <w:b/>
      <w:bCs/>
      <w:color w:val="808080" w:themeColor="background1" w:themeShade="80"/>
      <w:sz w:val="29"/>
      <w:szCs w:val="29"/>
      <w:lang w:eastAsia="ja-JP" w:bidi="ml-IN"/>
    </w:rPr>
  </w:style>
  <w:style w:type="paragraph" w:customStyle="1" w:styleId="KeyIssues">
    <w:name w:val="Key Issues"/>
    <w:uiPriority w:val="8"/>
    <w:rsid w:val="00687AAB"/>
    <w:pPr>
      <w:tabs>
        <w:tab w:val="left" w:pos="-1080"/>
        <w:tab w:val="left" w:pos="-360"/>
        <w:tab w:val="left" w:pos="270"/>
        <w:tab w:val="left" w:pos="450"/>
        <w:tab w:val="left" w:pos="9000"/>
      </w:tabs>
      <w:spacing w:line="240" w:lineRule="auto"/>
      <w:ind w:left="720"/>
    </w:pPr>
    <w:rPr>
      <w:rFonts w:ascii="Segoe UI" w:hAnsi="Segoe UI" w:cs="Segoe UI"/>
      <w:b/>
      <w:color w:val="000000" w:themeColor="text1"/>
      <w:sz w:val="36"/>
      <w:szCs w:val="36"/>
    </w:rPr>
  </w:style>
  <w:style w:type="paragraph" w:customStyle="1" w:styleId="AppAnnexHeading1">
    <w:name w:val="App/Annex Heading 1"/>
    <w:next w:val="Normal"/>
    <w:uiPriority w:val="5"/>
    <w:qFormat/>
    <w:rsid w:val="00752670"/>
    <w:pPr>
      <w:spacing w:after="240" w:line="520" w:lineRule="exact"/>
    </w:pPr>
    <w:rPr>
      <w:rFonts w:ascii="Segoe UI" w:hAnsi="Segoe UI"/>
      <w:b/>
      <w:color w:val="000000" w:themeColor="text1"/>
      <w:sz w:val="28"/>
      <w:szCs w:val="28"/>
    </w:rPr>
  </w:style>
  <w:style w:type="paragraph" w:customStyle="1" w:styleId="AnnAppListBullets">
    <w:name w:val="Ann/App List Bullets"/>
    <w:uiPriority w:val="7"/>
    <w:qFormat/>
    <w:rsid w:val="00752670"/>
    <w:pPr>
      <w:numPr>
        <w:numId w:val="16"/>
      </w:numPr>
      <w:spacing w:after="240" w:line="240" w:lineRule="auto"/>
    </w:pPr>
    <w:rPr>
      <w:rFonts w:ascii="Segoe UI" w:hAnsi="Segoe UI"/>
      <w:sz w:val="21"/>
      <w:szCs w:val="24"/>
    </w:rPr>
  </w:style>
  <w:style w:type="paragraph" w:customStyle="1" w:styleId="AnnAppParagraphNumbering">
    <w:name w:val="Ann/App Paragraph Numbering"/>
    <w:uiPriority w:val="6"/>
    <w:qFormat/>
    <w:rsid w:val="00752670"/>
    <w:pPr>
      <w:numPr>
        <w:numId w:val="17"/>
      </w:numPr>
      <w:spacing w:after="240" w:line="240" w:lineRule="auto"/>
    </w:pPr>
    <w:rPr>
      <w:rFonts w:ascii="Segoe UI" w:hAnsi="Segoe UI" w:cs="Segoe UI"/>
      <w:sz w:val="21"/>
      <w:szCs w:val="24"/>
    </w:rPr>
  </w:style>
  <w:style w:type="character" w:customStyle="1" w:styleId="Heading2Char">
    <w:name w:val="Heading 2 Char"/>
    <w:basedOn w:val="DefaultParagraphFont"/>
    <w:link w:val="Heading2"/>
    <w:uiPriority w:val="1"/>
    <w:rsid w:val="000749AE"/>
    <w:rPr>
      <w:rFonts w:ascii="Segoe UI" w:eastAsia="Segoe UI" w:hAnsi="Segoe UI" w:cs="Arial"/>
      <w:b/>
      <w:bCs/>
      <w:iCs/>
      <w:color w:val="4B82AD"/>
      <w:sz w:val="26"/>
      <w:szCs w:val="28"/>
    </w:rPr>
  </w:style>
  <w:style w:type="character" w:customStyle="1" w:styleId="ParagraphNumberingChar">
    <w:name w:val="Paragraph Numbering Char"/>
    <w:basedOn w:val="DefaultParagraphFont"/>
    <w:link w:val="ParagraphNumbering"/>
    <w:uiPriority w:val="1"/>
    <w:locked/>
    <w:rsid w:val="000749AE"/>
    <w:rPr>
      <w:rFonts w:ascii="Segoe UI" w:hAnsi="Segoe UI"/>
      <w:sz w:val="21"/>
      <w:szCs w:val="24"/>
    </w:rPr>
  </w:style>
  <w:style w:type="character" w:customStyle="1" w:styleId="FootnoteTextChar">
    <w:name w:val="Footnote Text Char"/>
    <w:aliases w:val="Footnote Text Char Char Char Char Char Char Char,fn Char,single space Char,footnote text Char,FOOTNOTES Char,Footnote Text Char2 Char Char,Footnote Text Char1 Char Char Char,Footnote Text Char Char Char Char Char,stile 1 Char,f Char"/>
    <w:basedOn w:val="DefaultParagraphFont"/>
    <w:link w:val="FootnoteText"/>
    <w:uiPriority w:val="8"/>
    <w:locked/>
    <w:rsid w:val="000749AE"/>
    <w:rPr>
      <w:rFonts w:ascii="Segoe UI" w:hAnsi="Segoe UI"/>
      <w:sz w:val="18"/>
    </w:rPr>
  </w:style>
  <w:style w:type="paragraph" w:styleId="Caption">
    <w:name w:val="caption"/>
    <w:basedOn w:val="Normal"/>
    <w:next w:val="Normal"/>
    <w:uiPriority w:val="8"/>
    <w:semiHidden/>
    <w:unhideWhenUsed/>
    <w:qFormat/>
    <w:rsid w:val="000749AE"/>
    <w:pPr>
      <w:spacing w:after="200" w:line="240" w:lineRule="auto"/>
    </w:pPr>
    <w:rPr>
      <w:b/>
      <w:bCs/>
      <w:color w:val="4F81BD" w:themeColor="accent1"/>
      <w:sz w:val="18"/>
      <w:szCs w:val="18"/>
    </w:rPr>
  </w:style>
  <w:style w:type="character" w:customStyle="1" w:styleId="TitleChar">
    <w:name w:val="Title Char"/>
    <w:basedOn w:val="DefaultParagraphFont"/>
    <w:link w:val="Title"/>
    <w:uiPriority w:val="8"/>
    <w:rsid w:val="000749AE"/>
    <w:rPr>
      <w:rFonts w:ascii="Segoe UI" w:hAnsi="Segoe UI" w:cs="Segoe UI"/>
      <w:b/>
      <w:bCs/>
      <w:caps/>
      <w:sz w:val="60"/>
      <w:szCs w:val="52"/>
    </w:rPr>
  </w:style>
  <w:style w:type="paragraph" w:customStyle="1" w:styleId="UnNumberedHeading1">
    <w:name w:val="UnNumbered Heading 1"/>
    <w:basedOn w:val="Normal"/>
    <w:next w:val="Normal"/>
    <w:uiPriority w:val="8"/>
    <w:rsid w:val="000749AE"/>
    <w:pPr>
      <w:spacing w:line="264" w:lineRule="auto"/>
      <w:jc w:val="center"/>
    </w:pPr>
    <w:rPr>
      <w:rFonts w:ascii="Times New Roman" w:eastAsiaTheme="minorHAnsi" w:hAnsi="Times New Roman"/>
      <w:b/>
      <w:smallCaps/>
      <w:sz w:val="24"/>
    </w:rPr>
  </w:style>
  <w:style w:type="character" w:styleId="CommentReference">
    <w:name w:val="annotation reference"/>
    <w:basedOn w:val="DefaultParagraphFont"/>
    <w:uiPriority w:val="99"/>
    <w:rsid w:val="000749AE"/>
    <w:rPr>
      <w:sz w:val="16"/>
      <w:szCs w:val="16"/>
    </w:rPr>
  </w:style>
  <w:style w:type="paragraph" w:styleId="CommentText">
    <w:name w:val="annotation text"/>
    <w:basedOn w:val="Normal"/>
    <w:link w:val="CommentTextChar"/>
    <w:uiPriority w:val="99"/>
    <w:rsid w:val="000749AE"/>
    <w:pPr>
      <w:spacing w:line="240" w:lineRule="auto"/>
    </w:pPr>
    <w:rPr>
      <w:rFonts w:ascii="Times New Roman" w:eastAsiaTheme="minorHAnsi" w:hAnsi="Times New Roman"/>
      <w:sz w:val="20"/>
      <w:szCs w:val="20"/>
    </w:rPr>
  </w:style>
  <w:style w:type="character" w:customStyle="1" w:styleId="CommentTextChar">
    <w:name w:val="Comment Text Char"/>
    <w:basedOn w:val="DefaultParagraphFont"/>
    <w:link w:val="CommentText"/>
    <w:uiPriority w:val="99"/>
    <w:rsid w:val="000749AE"/>
    <w:rPr>
      <w:rFonts w:eastAsiaTheme="minorHAnsi"/>
    </w:rPr>
  </w:style>
  <w:style w:type="paragraph" w:styleId="CommentSubject">
    <w:name w:val="annotation subject"/>
    <w:basedOn w:val="CommentText"/>
    <w:next w:val="CommentText"/>
    <w:link w:val="CommentSubjectChar"/>
    <w:uiPriority w:val="8"/>
    <w:rsid w:val="000749AE"/>
    <w:rPr>
      <w:b/>
      <w:bCs/>
    </w:rPr>
  </w:style>
  <w:style w:type="character" w:customStyle="1" w:styleId="CommentSubjectChar">
    <w:name w:val="Comment Subject Char"/>
    <w:basedOn w:val="CommentTextChar"/>
    <w:link w:val="CommentSubject"/>
    <w:uiPriority w:val="8"/>
    <w:rsid w:val="000749AE"/>
    <w:rPr>
      <w:rFonts w:eastAsiaTheme="minorHAnsi"/>
      <w:b/>
      <w:bCs/>
    </w:rPr>
  </w:style>
  <w:style w:type="character" w:styleId="Hyperlink">
    <w:name w:val="Hyperlink"/>
    <w:basedOn w:val="DefaultParagraphFont"/>
    <w:uiPriority w:val="8"/>
    <w:rsid w:val="000749AE"/>
    <w:rPr>
      <w:color w:val="0000FF" w:themeColor="hyperlink"/>
      <w:u w:val="single"/>
    </w:rPr>
  </w:style>
  <w:style w:type="paragraph" w:styleId="NormalWeb">
    <w:name w:val="Normal (Web)"/>
    <w:basedOn w:val="Normal"/>
    <w:uiPriority w:val="99"/>
    <w:unhideWhenUsed/>
    <w:rsid w:val="000749AE"/>
    <w:pPr>
      <w:spacing w:before="100" w:beforeAutospacing="1" w:after="100" w:afterAutospacing="1" w:line="240" w:lineRule="auto"/>
    </w:pPr>
    <w:rPr>
      <w:rFonts w:ascii="Times New Roman" w:eastAsia="Times New Roman" w:hAnsi="Times New Roman"/>
      <w:sz w:val="24"/>
    </w:rPr>
  </w:style>
  <w:style w:type="paragraph" w:styleId="Revision">
    <w:name w:val="Revision"/>
    <w:hidden/>
    <w:uiPriority w:val="99"/>
    <w:semiHidden/>
    <w:rsid w:val="003D13F0"/>
    <w:pPr>
      <w:spacing w:line="240" w:lineRule="auto"/>
    </w:pPr>
    <w:rPr>
      <w:rFonts w:ascii="Segoe UI" w:hAnsi="Segoe UI"/>
      <w:sz w:val="21"/>
      <w:szCs w:val="24"/>
    </w:rPr>
  </w:style>
  <w:style w:type="character" w:styleId="PlaceholderText">
    <w:name w:val="Placeholder Text"/>
    <w:basedOn w:val="DefaultParagraphFont"/>
    <w:uiPriority w:val="99"/>
    <w:semiHidden/>
    <w:rsid w:val="00AF4988"/>
    <w:rPr>
      <w:color w:val="808080"/>
    </w:rPr>
  </w:style>
  <w:style w:type="paragraph" w:customStyle="1" w:styleId="BodyA">
    <w:name w:val="Body A"/>
    <w:rsid w:val="00456B6C"/>
    <w:pPr>
      <w:pBdr>
        <w:top w:val="nil"/>
        <w:left w:val="nil"/>
        <w:bottom w:val="nil"/>
        <w:right w:val="nil"/>
        <w:between w:val="nil"/>
        <w:bar w:val="nil"/>
      </w:pBdr>
      <w:spacing w:line="240" w:lineRule="auto"/>
    </w:pPr>
    <w:rPr>
      <w:rFonts w:ascii="Helvetica" w:eastAsia="Arial Unicode MS" w:hAnsi="Arial Unicode MS" w:cs="Arial Unicode MS"/>
      <w:color w:val="000000"/>
      <w:sz w:val="22"/>
      <w:szCs w:val="22"/>
      <w:u w:color="000000"/>
      <w:bdr w:val="nil"/>
    </w:rPr>
  </w:style>
  <w:style w:type="paragraph" w:styleId="TableofFigures">
    <w:name w:val="table of figures"/>
    <w:basedOn w:val="Normal"/>
    <w:next w:val="Normal"/>
    <w:uiPriority w:val="99"/>
    <w:rsid w:val="007E23F6"/>
    <w:pPr>
      <w:tabs>
        <w:tab w:val="right" w:leader="underscore" w:pos="9000"/>
      </w:tabs>
    </w:pPr>
    <w:rPr>
      <w:rFonts w:cs="Segoe UI"/>
      <w:color w:val="4B82AD"/>
    </w:rPr>
  </w:style>
  <w:style w:type="paragraph" w:customStyle="1" w:styleId="webLeft">
    <w:name w:val="_webLeft"/>
    <w:basedOn w:val="Normal"/>
    <w:rsid w:val="00E5012F"/>
    <w:pPr>
      <w:widowControl w:val="0"/>
      <w:spacing w:line="240" w:lineRule="auto"/>
    </w:pPr>
    <w:rPr>
      <w:rFonts w:ascii="Times New Roman" w:eastAsiaTheme="minorEastAsia" w:hAnsi="Times New Roman"/>
      <w:snapToGrid w:val="0"/>
      <w:sz w:val="24"/>
      <w:szCs w:val="20"/>
    </w:rPr>
  </w:style>
  <w:style w:type="paragraph" w:customStyle="1" w:styleId="webBold">
    <w:name w:val="_webBold"/>
    <w:basedOn w:val="Normal"/>
    <w:rsid w:val="00E5012F"/>
    <w:pPr>
      <w:widowControl w:val="0"/>
      <w:spacing w:line="240" w:lineRule="auto"/>
    </w:pPr>
    <w:rPr>
      <w:rFonts w:ascii="Times New Roman" w:eastAsiaTheme="minorEastAsia" w:hAnsi="Times New Roman"/>
      <w:b/>
      <w:snapToGrid w:val="0"/>
      <w:sz w:val="24"/>
      <w:szCs w:val="20"/>
    </w:rPr>
  </w:style>
  <w:style w:type="paragraph" w:customStyle="1" w:styleId="Level1">
    <w:name w:val="Level 1"/>
    <w:basedOn w:val="Normal"/>
    <w:rsid w:val="00185FC2"/>
    <w:pPr>
      <w:widowControl w:val="0"/>
      <w:numPr>
        <w:numId w:val="27"/>
      </w:numPr>
      <w:tabs>
        <w:tab w:val="left" w:pos="-1440"/>
      </w:tabs>
      <w:spacing w:after="240" w:line="240" w:lineRule="auto"/>
      <w:outlineLvl w:val="0"/>
    </w:pPr>
    <w:rPr>
      <w:rFonts w:ascii="Times New Roman" w:eastAsia="Times New Roman" w:hAnsi="Times New Roman"/>
      <w:snapToGrid w:val="0"/>
      <w:sz w:val="24"/>
      <w:szCs w:val="20"/>
    </w:rPr>
  </w:style>
</w:styles>
</file>

<file path=word/webSettings.xml><?xml version="1.0" encoding="utf-8"?>
<w:webSettings xmlns:r="http://schemas.openxmlformats.org/officeDocument/2006/relationships" xmlns:w="http://schemas.openxmlformats.org/wordprocessingml/2006/main">
  <w:divs>
    <w:div w:id="278880756">
      <w:bodyDiv w:val="1"/>
      <w:marLeft w:val="0"/>
      <w:marRight w:val="0"/>
      <w:marTop w:val="0"/>
      <w:marBottom w:val="0"/>
      <w:divBdr>
        <w:top w:val="none" w:sz="0" w:space="0" w:color="auto"/>
        <w:left w:val="none" w:sz="0" w:space="0" w:color="auto"/>
        <w:bottom w:val="none" w:sz="0" w:space="0" w:color="auto"/>
        <w:right w:val="none" w:sz="0" w:space="0" w:color="auto"/>
      </w:divBdr>
    </w:div>
    <w:div w:id="470634570">
      <w:bodyDiv w:val="1"/>
      <w:marLeft w:val="0"/>
      <w:marRight w:val="0"/>
      <w:marTop w:val="0"/>
      <w:marBottom w:val="0"/>
      <w:divBdr>
        <w:top w:val="none" w:sz="0" w:space="0" w:color="auto"/>
        <w:left w:val="none" w:sz="0" w:space="0" w:color="auto"/>
        <w:bottom w:val="none" w:sz="0" w:space="0" w:color="auto"/>
        <w:right w:val="none" w:sz="0" w:space="0" w:color="auto"/>
      </w:divBdr>
    </w:div>
    <w:div w:id="1006249577">
      <w:bodyDiv w:val="1"/>
      <w:marLeft w:val="0"/>
      <w:marRight w:val="0"/>
      <w:marTop w:val="0"/>
      <w:marBottom w:val="0"/>
      <w:divBdr>
        <w:top w:val="none" w:sz="0" w:space="0" w:color="auto"/>
        <w:left w:val="none" w:sz="0" w:space="0" w:color="auto"/>
        <w:bottom w:val="none" w:sz="0" w:space="0" w:color="auto"/>
        <w:right w:val="none" w:sz="0" w:space="0" w:color="auto"/>
      </w:divBdr>
    </w:div>
    <w:div w:id="1044981621">
      <w:bodyDiv w:val="1"/>
      <w:marLeft w:val="0"/>
      <w:marRight w:val="0"/>
      <w:marTop w:val="0"/>
      <w:marBottom w:val="0"/>
      <w:divBdr>
        <w:top w:val="none" w:sz="0" w:space="0" w:color="auto"/>
        <w:left w:val="none" w:sz="0" w:space="0" w:color="auto"/>
        <w:bottom w:val="none" w:sz="0" w:space="0" w:color="auto"/>
        <w:right w:val="none" w:sz="0" w:space="0" w:color="auto"/>
      </w:divBdr>
    </w:div>
    <w:div w:id="1133668442">
      <w:bodyDiv w:val="1"/>
      <w:marLeft w:val="0"/>
      <w:marRight w:val="0"/>
      <w:marTop w:val="0"/>
      <w:marBottom w:val="0"/>
      <w:divBdr>
        <w:top w:val="none" w:sz="0" w:space="0" w:color="auto"/>
        <w:left w:val="none" w:sz="0" w:space="0" w:color="auto"/>
        <w:bottom w:val="none" w:sz="0" w:space="0" w:color="auto"/>
        <w:right w:val="none" w:sz="0" w:space="0" w:color="auto"/>
      </w:divBdr>
    </w:div>
    <w:div w:id="1195656510">
      <w:bodyDiv w:val="1"/>
      <w:marLeft w:val="0"/>
      <w:marRight w:val="0"/>
      <w:marTop w:val="0"/>
      <w:marBottom w:val="0"/>
      <w:divBdr>
        <w:top w:val="none" w:sz="0" w:space="0" w:color="auto"/>
        <w:left w:val="none" w:sz="0" w:space="0" w:color="auto"/>
        <w:bottom w:val="none" w:sz="0" w:space="0" w:color="auto"/>
        <w:right w:val="none" w:sz="0" w:space="0" w:color="auto"/>
      </w:divBdr>
    </w:div>
    <w:div w:id="1506551232">
      <w:bodyDiv w:val="1"/>
      <w:marLeft w:val="0"/>
      <w:marRight w:val="0"/>
      <w:marTop w:val="0"/>
      <w:marBottom w:val="0"/>
      <w:divBdr>
        <w:top w:val="none" w:sz="0" w:space="0" w:color="auto"/>
        <w:left w:val="none" w:sz="0" w:space="0" w:color="auto"/>
        <w:bottom w:val="none" w:sz="0" w:space="0" w:color="auto"/>
        <w:right w:val="none" w:sz="0" w:space="0" w:color="auto"/>
      </w:divBdr>
    </w:div>
    <w:div w:id="1605381505">
      <w:bodyDiv w:val="1"/>
      <w:marLeft w:val="0"/>
      <w:marRight w:val="0"/>
      <w:marTop w:val="0"/>
      <w:marBottom w:val="0"/>
      <w:divBdr>
        <w:top w:val="none" w:sz="0" w:space="0" w:color="auto"/>
        <w:left w:val="none" w:sz="0" w:space="0" w:color="auto"/>
        <w:bottom w:val="none" w:sz="0" w:space="0" w:color="auto"/>
        <w:right w:val="none" w:sz="0" w:space="0" w:color="auto"/>
      </w:divBdr>
    </w:div>
    <w:div w:id="1607082095">
      <w:bodyDiv w:val="1"/>
      <w:marLeft w:val="0"/>
      <w:marRight w:val="0"/>
      <w:marTop w:val="0"/>
      <w:marBottom w:val="0"/>
      <w:divBdr>
        <w:top w:val="none" w:sz="0" w:space="0" w:color="auto"/>
        <w:left w:val="none" w:sz="0" w:space="0" w:color="auto"/>
        <w:bottom w:val="none" w:sz="0" w:space="0" w:color="auto"/>
        <w:right w:val="none" w:sz="0" w:space="0" w:color="auto"/>
      </w:divBdr>
    </w:div>
    <w:div w:id="184123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imf.org/external/np/sec/misc/qualifie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ffice12\IMF%20Templates\ArticleIV.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2011-02-02T00:00:00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5C15B8-BED7-4645-97AF-87B21C322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ArticleIV</Template>
  <TotalTime>72</TotalTime>
  <Pages>5</Pages>
  <Words>1244</Words>
  <Characters>6537</Characters>
  <Application>Microsoft Office Word</Application>
  <DocSecurity>0</DocSecurity>
  <Lines>176</Lines>
  <Paragraphs>80</Paragraphs>
  <ScaleCrop>false</ScaleCrop>
  <HeadingPairs>
    <vt:vector size="2" baseType="variant">
      <vt:variant>
        <vt:lpstr>Title</vt:lpstr>
      </vt:variant>
      <vt:variant>
        <vt:i4>1</vt:i4>
      </vt:variant>
    </vt:vector>
  </HeadingPairs>
  <TitlesOfParts>
    <vt:vector size="1" baseType="lpstr">
      <vt:lpstr/>
    </vt:vector>
  </TitlesOfParts>
  <Company>International Monetary Fund</Company>
  <LinksUpToDate>false</LinksUpToDate>
  <CharactersWithSpaces>7701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cfaircloth</dc:creator>
  <cp:lastModifiedBy>Tamara</cp:lastModifiedBy>
  <cp:revision>3</cp:revision>
  <cp:lastPrinted>2016-02-05T21:18:00Z</cp:lastPrinted>
  <dcterms:created xsi:type="dcterms:W3CDTF">2017-09-18T12:04:00Z</dcterms:created>
  <dcterms:modified xsi:type="dcterms:W3CDTF">2017-09-18T13:17:00Z</dcterms:modified>
</cp:coreProperties>
</file>