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3D074" w14:textId="77777777" w:rsidR="001D66F7" w:rsidRPr="001D66F7" w:rsidRDefault="001D66F7" w:rsidP="007A71CD">
      <w:pPr>
        <w:spacing w:line="240" w:lineRule="auto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14:paraId="0938C5CF" w14:textId="0BD6FA4B" w:rsidR="001D66F7" w:rsidRPr="001D66F7" w:rsidRDefault="001D66F7" w:rsidP="001D66F7">
      <w:pPr>
        <w:shd w:val="clear" w:color="auto" w:fill="FFC000"/>
        <w:spacing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1D66F7">
        <w:rPr>
          <w:rFonts w:ascii="Arial Narrow" w:hAnsi="Arial Narrow"/>
          <w:b/>
          <w:bCs/>
          <w:sz w:val="26"/>
          <w:szCs w:val="26"/>
        </w:rPr>
        <w:t>BEZBJEDNOSNE SMETNJE</w:t>
      </w:r>
    </w:p>
    <w:p w14:paraId="35EF19D2" w14:textId="6F9383EB" w:rsidR="007A71CD" w:rsidRPr="001D66F7" w:rsidRDefault="007A71CD" w:rsidP="007A71CD">
      <w:pPr>
        <w:spacing w:line="240" w:lineRule="auto"/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Bezbjednosno provjeravanje predstavlja službene mjere, aktivnosti, poslove i zadatke kojima se, u zakonski predviđenoj proceduri, uz uvažavanje principa profesionalne etike, utvrđuje bezbjednosna podobnost lica i daje mu se  ili uskraćuje „bezbjednosna dozvola“ za ostvarivanje nekog njegovog prava.</w:t>
      </w:r>
    </w:p>
    <w:p w14:paraId="14D49FA9" w14:textId="2C7F1EF5" w:rsidR="007A71CD" w:rsidRPr="001D66F7" w:rsidRDefault="007A71CD" w:rsidP="007A71CD">
      <w:pPr>
        <w:spacing w:line="240" w:lineRule="auto"/>
        <w:jc w:val="both"/>
        <w:rPr>
          <w:rFonts w:ascii="Arial Narrow" w:hAnsi="Arial Narrow" w:cstheme="minorHAnsi"/>
          <w:bCs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Svakako, bezbjednosne provjere koje se sprovode u Crnoj Gori, su u korelaciji  sa međunarodnim principima  iz Univerzalne deklaracije o ljudskim pravima, Međunarodnog pakta o građanskim i političkim pravima, Međunarodnog pakta o ekonomskim, socijalnim i kulturnim pravima, Evropske konvencije za zaštitu ljudskih prava i osnovnih sloboda, i drugih akata relevantnih za ovu oblast, kao i sa metodama koje sprovode države sa razvijenom demokratijom, posebno u kontekstu njenog intenziteta (intensity); njenog trajanja (duration); njene sigurnosti (certainity) i njene čistoće (purity – procjena izvora, saznanja). </w:t>
      </w:r>
    </w:p>
    <w:p w14:paraId="3BFDDE1A" w14:textId="77777777" w:rsidR="007A71CD" w:rsidRPr="001D66F7" w:rsidRDefault="007A71CD" w:rsidP="007A71CD">
      <w:pPr>
        <w:spacing w:line="240" w:lineRule="auto"/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U skladu sa prethodnim, podobnost podrazumijeva da je za kandidata pouzdano utvrđeno da on u prošlosti nije vršio nikakve nezakonite ili nemoralne radnje, niti se analizom njegovih osobina, ponašanja, sklonosti i navika može pouzdano pretpostaviti da bi u budućnosti mogao da vrši neke nezakonite radnje koje bi direktno ili indirektno mogle da utiču na kvalitet, zakonitost i etičnost njegovog profesionalnog angažovanja, a time i na kvalitet njegovog budućeg “servisiranja” građana i države.</w:t>
      </w:r>
    </w:p>
    <w:p w14:paraId="153E5EC5" w14:textId="77777777" w:rsidR="007A71CD" w:rsidRPr="001D66F7" w:rsidRDefault="007A71CD" w:rsidP="007A71C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Calibri Light"/>
          <w:sz w:val="26"/>
          <w:szCs w:val="26"/>
        </w:rPr>
      </w:pPr>
      <w:r w:rsidRPr="001D66F7">
        <w:rPr>
          <w:rFonts w:ascii="Arial Narrow" w:eastAsia="Times New Roman" w:hAnsi="Arial Narrow" w:cs="Calibri Light"/>
          <w:sz w:val="26"/>
          <w:szCs w:val="26"/>
        </w:rPr>
        <w:t>Dakle, postupak bezbjednosne provjere, kao sastavni dio cijelog procesa, sprovodi se radi pravilne selekcije postojećih i budućih službenika policije i službi bezbjednosti, a sve u cilju stvaranja, usavršavanja, ali i formiranja pouzdanog policijskog službenika, što je jedini način koji može garantovati efikasno vršenje policijskog poziva.</w:t>
      </w:r>
    </w:p>
    <w:p w14:paraId="74B0DE6E" w14:textId="77777777" w:rsidR="00DA31D6" w:rsidRPr="00B905E1" w:rsidRDefault="00DA31D6" w:rsidP="00B905E1">
      <w:pPr>
        <w:rPr>
          <w:rFonts w:ascii="Arial Narrow" w:hAnsi="Arial Narrow"/>
          <w:sz w:val="26"/>
          <w:szCs w:val="26"/>
        </w:rPr>
      </w:pPr>
    </w:p>
    <w:p w14:paraId="29F08DB5" w14:textId="11DD3702" w:rsidR="00B905E1" w:rsidRPr="001D66F7" w:rsidRDefault="00B905E1" w:rsidP="00B905E1">
      <w:pPr>
        <w:shd w:val="clear" w:color="auto" w:fill="FFC000"/>
        <w:jc w:val="center"/>
        <w:rPr>
          <w:rFonts w:ascii="Arial Narrow" w:hAnsi="Arial Narrow"/>
          <w:b/>
          <w:bCs/>
          <w:sz w:val="26"/>
          <w:szCs w:val="26"/>
        </w:rPr>
      </w:pPr>
      <w:r w:rsidRPr="001D66F7">
        <w:rPr>
          <w:rFonts w:ascii="Arial Narrow" w:hAnsi="Arial Narrow"/>
          <w:b/>
          <w:bCs/>
          <w:sz w:val="26"/>
          <w:szCs w:val="26"/>
        </w:rPr>
        <w:t>DEFINICIJA I VRSTE</w:t>
      </w:r>
    </w:p>
    <w:p w14:paraId="4A4D8A01" w14:textId="096C2F3C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Smatra se da postoje bezbjednosne smetnje</w:t>
      </w:r>
      <w:r w:rsidR="00EF6D48" w:rsidRPr="001D66F7">
        <w:rPr>
          <w:rFonts w:ascii="Arial Narrow" w:hAnsi="Arial Narrow"/>
          <w:sz w:val="26"/>
          <w:szCs w:val="26"/>
        </w:rPr>
        <w:t>,</w:t>
      </w:r>
      <w:r w:rsidRPr="001D66F7">
        <w:rPr>
          <w:rFonts w:ascii="Arial Narrow" w:hAnsi="Arial Narrow"/>
          <w:sz w:val="26"/>
          <w:szCs w:val="26"/>
        </w:rPr>
        <w:t xml:space="preserve"> u smislu </w:t>
      </w:r>
      <w:r w:rsidR="00EF6D48" w:rsidRPr="001D66F7">
        <w:rPr>
          <w:rFonts w:ascii="Arial Narrow" w:hAnsi="Arial Narrow"/>
          <w:sz w:val="26"/>
          <w:szCs w:val="26"/>
        </w:rPr>
        <w:t>Z</w:t>
      </w:r>
      <w:r w:rsidRPr="001D66F7">
        <w:rPr>
          <w:rFonts w:ascii="Arial Narrow" w:hAnsi="Arial Narrow"/>
          <w:sz w:val="26"/>
          <w:szCs w:val="26"/>
        </w:rPr>
        <w:t>akona</w:t>
      </w:r>
      <w:r w:rsidR="00EF6D48" w:rsidRPr="001D66F7">
        <w:rPr>
          <w:rFonts w:ascii="Arial Narrow" w:hAnsi="Arial Narrow"/>
          <w:sz w:val="26"/>
          <w:szCs w:val="26"/>
        </w:rPr>
        <w:t xml:space="preserve"> o unutrašnjim poslovima</w:t>
      </w:r>
      <w:r w:rsidRPr="001D66F7">
        <w:rPr>
          <w:rFonts w:ascii="Arial Narrow" w:hAnsi="Arial Narrow"/>
          <w:sz w:val="26"/>
          <w:szCs w:val="26"/>
        </w:rPr>
        <w:t>, ako:</w:t>
      </w:r>
    </w:p>
    <w:p w14:paraId="14B43B73" w14:textId="1000CB76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 1) je lice pravosnažnom presudom osuđeno za krivično djelo za koje se goni po službenoj dužnosti, osim za krivična</w:t>
      </w:r>
      <w:r w:rsidR="00EF6D48" w:rsidRPr="001D66F7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djela protiv bezbjednosti javnog saobraćaja za koja je propisana kazna zatvora do tri godine, ako nije brisana iz kaznene evidencije;</w:t>
      </w:r>
    </w:p>
    <w:p w14:paraId="3E2E0204" w14:textId="0F78512B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 2) je lice osuđeno na kaznu zatvora za krivično djelo sa elementima korupcije u smislu ovog zakona, ako nije brisana iz</w:t>
      </w:r>
      <w:r w:rsidR="00EF6D48" w:rsidRPr="001D66F7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evidencije;</w:t>
      </w:r>
    </w:p>
    <w:p w14:paraId="358C8915" w14:textId="15CE922D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 3) je lice registrovano u evidenciji uživaoca opojnih droga, koju vodi organ državne uprave nadležan za poslove zdravlja;</w:t>
      </w:r>
    </w:p>
    <w:p w14:paraId="5302E43D" w14:textId="2F47D50F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 4) je lice kažnjeno za prekršaj protiv javnog reda i mira sa elementima nasilja, nasilničkog ponašanja ili izazivanja težih sukoba u svojoj radnoj i životnoj sredini i porodici, ako nije brisan iz</w:t>
      </w:r>
      <w:r w:rsidR="00EF6D48" w:rsidRPr="001D66F7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prekršajne evidencije;</w:t>
      </w:r>
    </w:p>
    <w:p w14:paraId="30FAE3AF" w14:textId="77777777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5) dosadašnje ponašanje, navike ili sklonosti ukazuju na nepodobnost za rad u policijskom zvanju;</w:t>
      </w:r>
    </w:p>
    <w:p w14:paraId="4EB70D12" w14:textId="5A47A405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6) lice ima ili održava veze sa licima koja neovlašćeno prikupljaju tajne i druge podatke,teroristima, saboterima,</w:t>
      </w:r>
      <w:r w:rsidR="00EF6D48" w:rsidRPr="001D66F7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članovima organizovanih kriminalnih grupa ili licima za koja se osnovano sumnja da pripadaju takvim grupama;</w:t>
      </w:r>
    </w:p>
    <w:p w14:paraId="5F7D4574" w14:textId="165CB4FD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lastRenderedPageBreak/>
        <w:t>7) lice prikriva ili daje netačne podatke o sebi i članovima porodice, koji su od značaja za vršenje policijskih poslova; ili</w:t>
      </w:r>
    </w:p>
    <w:p w14:paraId="63DE4BC7" w14:textId="7D981D7B" w:rsidR="00143B0C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8) postoje druge okolnosti koje lice čine nedostojnim za rad u policijskom zvanju.</w:t>
      </w:r>
    </w:p>
    <w:p w14:paraId="408131CF" w14:textId="5D635DAE" w:rsidR="00B905E1" w:rsidRPr="001D66F7" w:rsidRDefault="00143B0C" w:rsidP="00EF6D4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Krivičnim djelima sa elementima korupcije,</w:t>
      </w:r>
      <w:r w:rsidR="00EF6D48" w:rsidRPr="001D66F7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smatraju se krivična djela:</w:t>
      </w:r>
      <w:r w:rsidR="003704E2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zloupotreba službenog položaja; prevara u službi;</w:t>
      </w:r>
      <w:r w:rsidR="003704E2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protivzakoniti uticaj;</w:t>
      </w:r>
      <w:r w:rsidR="003704E2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navođenje na protivzakoniti uticaj;</w:t>
      </w:r>
      <w:r w:rsidR="003704E2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primanje mita,- davanje mita, i</w:t>
      </w:r>
      <w:r w:rsidR="003704E2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sz w:val="26"/>
          <w:szCs w:val="26"/>
        </w:rPr>
        <w:t>zelenaštvo.</w:t>
      </w:r>
    </w:p>
    <w:p w14:paraId="528D8DEE" w14:textId="00FA7064" w:rsidR="00D72C74" w:rsidRPr="001D66F7" w:rsidRDefault="00D72C74" w:rsidP="00D72C74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Bezbjednosna smetnja, u ovom kontekstu, predstavlja okolnost, ponašanje ili činjenicu iz profesionalnog, bezbjednosnog, ličnog ili porodičnog života kandidata koja bi mogla ugroziti zakonito, profesionalno i bezbjedno obavljanje policijskih poslova, narušiti povjerenje građana u policiju, ukazivati na sklonost ka nezakonitom postupanju ili zloupotrebi službenog položaja, predstavljati rizik po nacionalnu, javnu ili operativnu bezbjednost.</w:t>
      </w:r>
    </w:p>
    <w:p w14:paraId="04DA058B" w14:textId="37B6E690" w:rsidR="00F60676" w:rsidRPr="00B905E1" w:rsidRDefault="00F60676" w:rsidP="00D72C74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Dakle, bezbjednosne smetnje predstavljaju okolnosti koje dovode u pitanje zakonitost, profesionalnost i bezbjednost obavljanja policijskih poslova.</w:t>
      </w:r>
    </w:p>
    <w:p w14:paraId="0C791753" w14:textId="195D8C61" w:rsidR="00B905E1" w:rsidRPr="001D66F7" w:rsidRDefault="00B905E1" w:rsidP="00B905E1">
      <w:pPr>
        <w:shd w:val="clear" w:color="auto" w:fill="FFC000"/>
        <w:jc w:val="center"/>
        <w:rPr>
          <w:rFonts w:ascii="Arial Narrow" w:hAnsi="Arial Narrow"/>
          <w:b/>
          <w:bCs/>
          <w:sz w:val="26"/>
          <w:szCs w:val="26"/>
        </w:rPr>
      </w:pPr>
      <w:r w:rsidRPr="001D66F7">
        <w:rPr>
          <w:rFonts w:ascii="Arial Narrow" w:hAnsi="Arial Narrow"/>
          <w:b/>
          <w:bCs/>
          <w:sz w:val="26"/>
          <w:szCs w:val="26"/>
        </w:rPr>
        <w:t>ZAKONSKA OSNOVA</w:t>
      </w:r>
    </w:p>
    <w:p w14:paraId="43C22C99" w14:textId="439C7E7F" w:rsidR="00D72C74" w:rsidRPr="001D66F7" w:rsidRDefault="00D72C74" w:rsidP="00D72C74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Bezbjednosne smetnje se prepoznaju i prate kroz nadležnosti koje su propisane Zakonom o unutrašnjim poslovima Crne Gore, i to:</w:t>
      </w:r>
    </w:p>
    <w:p w14:paraId="2A8EFBCE" w14:textId="1AB24307" w:rsidR="00B905E1" w:rsidRPr="001D66F7" w:rsidRDefault="00B905E1" w:rsidP="00B905E1">
      <w:pPr>
        <w:rPr>
          <w:rFonts w:ascii="Arial Narrow" w:hAnsi="Arial Narrow"/>
          <w:b/>
          <w:bCs/>
          <w:i/>
          <w:iCs/>
          <w:sz w:val="26"/>
          <w:szCs w:val="26"/>
        </w:rPr>
      </w:pPr>
      <w:r w:rsidRPr="001D66F7">
        <w:rPr>
          <w:rFonts w:ascii="Arial Narrow" w:hAnsi="Arial Narrow"/>
          <w:b/>
          <w:bCs/>
          <w:i/>
          <w:iCs/>
          <w:sz w:val="26"/>
          <w:szCs w:val="26"/>
        </w:rPr>
        <w:t>Član 128  i 133 Zakona o unutrašnjim poslovima</w:t>
      </w:r>
    </w:p>
    <w:p w14:paraId="513EE223" w14:textId="1A587A0D" w:rsidR="00B905E1" w:rsidRPr="001D66F7" w:rsidRDefault="00B905E1" w:rsidP="00B905E1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Bezbjednosne smetnje za </w:t>
      </w:r>
      <w:r w:rsidRPr="001D66F7">
        <w:rPr>
          <w:rFonts w:ascii="Arial Narrow" w:hAnsi="Arial Narrow"/>
          <w:b/>
          <w:bCs/>
          <w:sz w:val="26"/>
          <w:szCs w:val="26"/>
          <w:u w:val="single"/>
        </w:rPr>
        <w:t>lice koje zasniva radni odnos u zvanju policijskog službenika,</w:t>
      </w:r>
      <w:r w:rsidRPr="001D66F7">
        <w:rPr>
          <w:rFonts w:ascii="Arial Narrow" w:hAnsi="Arial Narrow"/>
          <w:sz w:val="26"/>
          <w:szCs w:val="26"/>
        </w:rPr>
        <w:t xml:space="preserve"> </w:t>
      </w:r>
      <w:r w:rsidRPr="001D66F7">
        <w:rPr>
          <w:rFonts w:ascii="Arial Narrow" w:hAnsi="Arial Narrow"/>
          <w:b/>
          <w:bCs/>
          <w:sz w:val="26"/>
          <w:szCs w:val="26"/>
          <w:u w:val="single"/>
        </w:rPr>
        <w:t>za prijem pripravnika i za prijem na osnovno, odnosno visoko policijsko obrazovanje</w:t>
      </w:r>
      <w:r w:rsidRPr="001D66F7">
        <w:rPr>
          <w:rFonts w:ascii="Arial Narrow" w:hAnsi="Arial Narrow"/>
          <w:sz w:val="26"/>
          <w:szCs w:val="26"/>
        </w:rPr>
        <w:t>, utvrđuje Komisija za provjeru bezbjednosnih smetnji koju obrazuje ministar.</w:t>
      </w:r>
    </w:p>
    <w:p w14:paraId="3543F105" w14:textId="33F2B5E4" w:rsidR="00B905E1" w:rsidRPr="001D66F7" w:rsidRDefault="00B905E1" w:rsidP="00B905E1">
      <w:pPr>
        <w:rPr>
          <w:rFonts w:ascii="Arial Narrow" w:hAnsi="Arial Narrow"/>
          <w:b/>
          <w:bCs/>
          <w:i/>
          <w:iCs/>
          <w:sz w:val="26"/>
          <w:szCs w:val="26"/>
        </w:rPr>
      </w:pPr>
      <w:r w:rsidRPr="001D66F7">
        <w:rPr>
          <w:rFonts w:ascii="Arial Narrow" w:hAnsi="Arial Narrow"/>
          <w:b/>
          <w:bCs/>
          <w:i/>
          <w:iCs/>
          <w:sz w:val="26"/>
          <w:szCs w:val="26"/>
        </w:rPr>
        <w:t>Član 162 Zakona o unutrašnjim poslovima</w:t>
      </w:r>
    </w:p>
    <w:p w14:paraId="56006A07" w14:textId="077DAA63" w:rsidR="00B905E1" w:rsidRPr="00B905E1" w:rsidRDefault="00B905E1" w:rsidP="00B905E1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Provjeru postojanja bezbjednosnih smetnji </w:t>
      </w:r>
      <w:r w:rsidRPr="001D66F7">
        <w:rPr>
          <w:rFonts w:ascii="Arial Narrow" w:hAnsi="Arial Narrow"/>
          <w:b/>
          <w:bCs/>
          <w:sz w:val="26"/>
          <w:szCs w:val="26"/>
          <w:u w:val="single"/>
        </w:rPr>
        <w:t>za dalji rad u policijskom zvanju</w:t>
      </w:r>
      <w:r w:rsidRPr="001D66F7">
        <w:rPr>
          <w:rFonts w:ascii="Arial Narrow" w:hAnsi="Arial Narrow"/>
          <w:sz w:val="26"/>
          <w:szCs w:val="26"/>
        </w:rPr>
        <w:t>, vrši Komisija za provjeru bezbjednosnih smetnji, koju obrazuje ministar.</w:t>
      </w:r>
    </w:p>
    <w:p w14:paraId="1C8071F8" w14:textId="3C087DEA" w:rsidR="00B905E1" w:rsidRPr="00B905E1" w:rsidRDefault="00B905E1" w:rsidP="00B905E1">
      <w:pPr>
        <w:shd w:val="clear" w:color="auto" w:fill="FFC000"/>
        <w:jc w:val="center"/>
        <w:rPr>
          <w:rFonts w:ascii="Arial Narrow" w:hAnsi="Arial Narrow"/>
          <w:b/>
          <w:bCs/>
          <w:sz w:val="26"/>
          <w:szCs w:val="26"/>
        </w:rPr>
      </w:pPr>
      <w:r w:rsidRPr="001D66F7">
        <w:rPr>
          <w:rFonts w:ascii="Arial Narrow" w:hAnsi="Arial Narrow"/>
          <w:b/>
          <w:bCs/>
          <w:sz w:val="26"/>
          <w:szCs w:val="26"/>
        </w:rPr>
        <w:t>KOMISIJA ZA PROVJERU BEZBJEDNOSNIH SMETNJI</w:t>
      </w:r>
    </w:p>
    <w:p w14:paraId="77909E5F" w14:textId="77777777" w:rsidR="00111D0D" w:rsidRPr="001D66F7" w:rsidRDefault="00111D0D" w:rsidP="00111D0D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U skladu sa Zakonom o unutrašnjim poslovima ("Službeni list CG", br. 70/2021, 123/2021, 3/2023 i 84/2024) donijet je Pravilnik o sastavu i načinu rada Komisije za provjeru bezbjednosnih smetnji za vršenje policijskih poslova koji je objavljen u "Službenom listu CG", br. 20/2022 od 25.2.2022. godine, a stupio je na snagu 5.3.2022. godine.</w:t>
      </w:r>
    </w:p>
    <w:p w14:paraId="769A2A1B" w14:textId="5BAA5F01" w:rsidR="00B905E1" w:rsidRPr="001D66F7" w:rsidRDefault="00111D0D" w:rsidP="007A71CD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Prva Komisija za provjeru bezbjednosnih smetnji za vršenje policijskih poslova, u skladu sa predmetnim Pravilnikom, forimirana je rješenjem ministra unutrašnjih poslova, dana 10.05.2022. godine</w:t>
      </w:r>
      <w:r w:rsidR="007A71CD" w:rsidRPr="001D66F7">
        <w:rPr>
          <w:rFonts w:ascii="Arial Narrow" w:hAnsi="Arial Narrow"/>
          <w:sz w:val="26"/>
          <w:szCs w:val="26"/>
        </w:rPr>
        <w:t>.</w:t>
      </w:r>
    </w:p>
    <w:p w14:paraId="798DBDF5" w14:textId="0ECF3118" w:rsidR="00F60676" w:rsidRPr="001D66F7" w:rsidRDefault="00F60676" w:rsidP="007A71CD">
      <w:pPr>
        <w:jc w:val="both"/>
        <w:rPr>
          <w:rFonts w:ascii="Arial Narrow" w:hAnsi="Arial Narrow"/>
          <w:sz w:val="26"/>
          <w:szCs w:val="26"/>
        </w:rPr>
      </w:pPr>
      <w:r w:rsidRPr="00F60676">
        <w:rPr>
          <w:rFonts w:ascii="Arial Narrow" w:hAnsi="Arial Narrow"/>
          <w:sz w:val="26"/>
          <w:szCs w:val="26"/>
        </w:rPr>
        <w:t>Komisija za provjeru bezbjednosnih smetnji</w:t>
      </w:r>
      <w:r w:rsidRPr="001D66F7">
        <w:rPr>
          <w:rFonts w:ascii="Arial Narrow" w:hAnsi="Arial Narrow"/>
          <w:sz w:val="26"/>
          <w:szCs w:val="26"/>
        </w:rPr>
        <w:t>, u skladu sa zakonskim normama,</w:t>
      </w:r>
      <w:r w:rsidRPr="00F60676">
        <w:rPr>
          <w:rFonts w:ascii="Arial Narrow" w:hAnsi="Arial Narrow"/>
          <w:sz w:val="26"/>
          <w:szCs w:val="26"/>
        </w:rPr>
        <w:t xml:space="preserve"> utvrđuje da li kod lica koje</w:t>
      </w:r>
      <w:r w:rsidRPr="001D66F7">
        <w:rPr>
          <w:rFonts w:ascii="Arial Narrow" w:hAnsi="Arial Narrow"/>
          <w:sz w:val="26"/>
          <w:szCs w:val="26"/>
        </w:rPr>
        <w:t xml:space="preserve"> </w:t>
      </w:r>
      <w:r w:rsidRPr="00F60676">
        <w:rPr>
          <w:rFonts w:ascii="Arial Narrow" w:hAnsi="Arial Narrow"/>
          <w:sz w:val="26"/>
          <w:szCs w:val="26"/>
        </w:rPr>
        <w:t>konkuriše za prijem u službu</w:t>
      </w:r>
      <w:r w:rsidRPr="001D66F7">
        <w:rPr>
          <w:rFonts w:ascii="Arial Narrow" w:hAnsi="Arial Narrow"/>
          <w:sz w:val="26"/>
          <w:szCs w:val="26"/>
        </w:rPr>
        <w:t xml:space="preserve">, </w:t>
      </w:r>
      <w:r w:rsidRPr="00F60676">
        <w:rPr>
          <w:rFonts w:ascii="Arial Narrow" w:hAnsi="Arial Narrow"/>
          <w:sz w:val="26"/>
          <w:szCs w:val="26"/>
        </w:rPr>
        <w:t>aplicira za pohađanje obrazovnih programa ili već obavlja policijske poslove</w:t>
      </w:r>
      <w:r w:rsidRPr="001D66F7">
        <w:rPr>
          <w:rFonts w:ascii="Arial Narrow" w:hAnsi="Arial Narrow"/>
          <w:sz w:val="26"/>
          <w:szCs w:val="26"/>
        </w:rPr>
        <w:t xml:space="preserve">, </w:t>
      </w:r>
      <w:r w:rsidRPr="00F60676">
        <w:rPr>
          <w:rFonts w:ascii="Arial Narrow" w:hAnsi="Arial Narrow"/>
          <w:sz w:val="26"/>
          <w:szCs w:val="26"/>
        </w:rPr>
        <w:t>postoje okolnosti koje predstavljaju bezbjednosnu smetnju, i time čini lice nepodobnim za rad u policijskim strukturama Crne Gore.</w:t>
      </w:r>
    </w:p>
    <w:p w14:paraId="06A0EE05" w14:textId="5EAA0732" w:rsidR="00B905E1" w:rsidRPr="00B905E1" w:rsidRDefault="00B905E1" w:rsidP="00B905E1">
      <w:pPr>
        <w:shd w:val="clear" w:color="auto" w:fill="FFC000"/>
        <w:jc w:val="center"/>
        <w:rPr>
          <w:rFonts w:ascii="Arial Narrow" w:hAnsi="Arial Narrow"/>
          <w:b/>
          <w:bCs/>
          <w:sz w:val="26"/>
          <w:szCs w:val="26"/>
        </w:rPr>
      </w:pPr>
      <w:r w:rsidRPr="001D66F7">
        <w:rPr>
          <w:rFonts w:ascii="Arial Narrow" w:hAnsi="Arial Narrow"/>
          <w:b/>
          <w:bCs/>
          <w:sz w:val="26"/>
          <w:szCs w:val="26"/>
        </w:rPr>
        <w:t>POSLJEDICE ZA SLU</w:t>
      </w:r>
      <w:r w:rsidRPr="001D66F7">
        <w:rPr>
          <w:rFonts w:ascii="Arial Narrow" w:hAnsi="Arial Narrow" w:cs="Aptos"/>
          <w:b/>
          <w:bCs/>
          <w:sz w:val="26"/>
          <w:szCs w:val="26"/>
        </w:rPr>
        <w:t>Ž</w:t>
      </w:r>
      <w:r w:rsidRPr="001D66F7">
        <w:rPr>
          <w:rFonts w:ascii="Arial Narrow" w:hAnsi="Arial Narrow"/>
          <w:b/>
          <w:bCs/>
          <w:sz w:val="26"/>
          <w:szCs w:val="26"/>
        </w:rPr>
        <w:t>BENIKA</w:t>
      </w:r>
    </w:p>
    <w:p w14:paraId="3E3EA47C" w14:textId="77777777" w:rsidR="00B245A8" w:rsidRPr="001D66F7" w:rsidRDefault="00B245A8" w:rsidP="00B245A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 xml:space="preserve">Radnje koje preduzima Komisija za provjeru bezbjednosnih provjera za vršenje policijskih poslova su u konačnom preventivni mehanizmi za ublažavanje koruptivnih rizika, bez obzira na to da li se korupcija događa kao pojedinačni incident ili pak kao sistemski problem i usmjerene su ka jačanju </w:t>
      </w:r>
      <w:r w:rsidRPr="001D66F7">
        <w:rPr>
          <w:rFonts w:ascii="Arial Narrow" w:hAnsi="Arial Narrow"/>
          <w:sz w:val="26"/>
          <w:szCs w:val="26"/>
        </w:rPr>
        <w:lastRenderedPageBreak/>
        <w:t>institucionalnog integriteta, a usklađene su sa međunarodno priznatim načelima i standardima u ovoj oblasti, sa jasnim kriterijumima na svim hijerarhijskim nivoima u organizaciji.</w:t>
      </w:r>
    </w:p>
    <w:p w14:paraId="0B67A0D0" w14:textId="0439109A" w:rsidR="00B905E1" w:rsidRPr="001D66F7" w:rsidRDefault="00B245A8" w:rsidP="00B245A8">
      <w:pPr>
        <w:jc w:val="both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sz w:val="26"/>
          <w:szCs w:val="26"/>
        </w:rPr>
        <w:t>Dakle, Komisija svojim djelovanjem identifikuje procesne i organizacione slabosti, otkriva individualne prestupe i na taj način vrši pozitivan uticaj na etiku, integritet i dugoročno sprječavanje korupcije.</w:t>
      </w:r>
    </w:p>
    <w:p w14:paraId="66D7EEC3" w14:textId="39F095F8" w:rsidR="00B905E1" w:rsidRPr="00B905E1" w:rsidRDefault="00DA31D6" w:rsidP="00DA31D6">
      <w:pPr>
        <w:shd w:val="clear" w:color="auto" w:fill="FFC000"/>
        <w:jc w:val="center"/>
        <w:rPr>
          <w:rFonts w:ascii="Arial Narrow" w:hAnsi="Arial Narrow"/>
          <w:sz w:val="26"/>
          <w:szCs w:val="26"/>
        </w:rPr>
      </w:pPr>
      <w:r w:rsidRPr="001D66F7">
        <w:rPr>
          <w:rFonts w:ascii="Arial Narrow" w:hAnsi="Arial Narrow"/>
          <w:b/>
          <w:bCs/>
          <w:sz w:val="26"/>
          <w:szCs w:val="26"/>
          <w:shd w:val="clear" w:color="auto" w:fill="FFC000"/>
        </w:rPr>
        <w:t xml:space="preserve">VEZA SA VETINGOM </w:t>
      </w:r>
    </w:p>
    <w:p w14:paraId="68F5574E" w14:textId="10CD4946" w:rsidR="00AD0F19" w:rsidRPr="001D66F7" w:rsidRDefault="00923886" w:rsidP="00923886">
      <w:pPr>
        <w:jc w:val="both"/>
        <w:rPr>
          <w:rFonts w:ascii="Arial Narrow" w:hAnsi="Arial Narrow"/>
          <w:sz w:val="26"/>
          <w:szCs w:val="26"/>
        </w:rPr>
      </w:pPr>
      <w:r w:rsidRPr="00923886">
        <w:rPr>
          <w:rFonts w:ascii="Arial Narrow" w:hAnsi="Arial Narrow"/>
          <w:sz w:val="26"/>
          <w:szCs w:val="26"/>
        </w:rPr>
        <w:t xml:space="preserve">Bezbjednosna provjera je </w:t>
      </w:r>
      <w:r w:rsidRPr="001D66F7">
        <w:rPr>
          <w:rFonts w:ascii="Arial Narrow" w:hAnsi="Arial Narrow"/>
          <w:sz w:val="26"/>
          <w:szCs w:val="26"/>
        </w:rPr>
        <w:t xml:space="preserve">svakako </w:t>
      </w:r>
      <w:r w:rsidRPr="00923886">
        <w:rPr>
          <w:rFonts w:ascii="Arial Narrow" w:hAnsi="Arial Narrow"/>
          <w:sz w:val="26"/>
          <w:szCs w:val="26"/>
        </w:rPr>
        <w:t>sastavni dio vetting procesa</w:t>
      </w:r>
      <w:r w:rsidRPr="001D66F7">
        <w:rPr>
          <w:rFonts w:ascii="Arial Narrow" w:hAnsi="Arial Narrow"/>
          <w:sz w:val="26"/>
          <w:szCs w:val="26"/>
        </w:rPr>
        <w:t xml:space="preserve">, odnosno </w:t>
      </w:r>
      <w:r w:rsidRPr="00923886">
        <w:rPr>
          <w:rFonts w:ascii="Arial Narrow" w:hAnsi="Arial Narrow"/>
          <w:sz w:val="26"/>
          <w:szCs w:val="26"/>
        </w:rPr>
        <w:t>sistemske kontrole integriteta i podobnosti lica koje obavljaju bezbjednosno-osjetljive poslove</w:t>
      </w:r>
      <w:r w:rsidR="00C318D4" w:rsidRPr="001D66F7">
        <w:rPr>
          <w:rFonts w:ascii="Arial Narrow" w:hAnsi="Arial Narrow"/>
          <w:sz w:val="26"/>
          <w:szCs w:val="26"/>
        </w:rPr>
        <w:t>, a sve sa ciljem j</w:t>
      </w:r>
      <w:r w:rsidRPr="001D66F7">
        <w:rPr>
          <w:rFonts w:ascii="Arial Narrow" w:hAnsi="Arial Narrow"/>
          <w:sz w:val="26"/>
          <w:szCs w:val="26"/>
        </w:rPr>
        <w:t>ača</w:t>
      </w:r>
      <w:r w:rsidR="00C318D4" w:rsidRPr="001D66F7">
        <w:rPr>
          <w:rFonts w:ascii="Arial Narrow" w:hAnsi="Arial Narrow"/>
          <w:sz w:val="26"/>
          <w:szCs w:val="26"/>
        </w:rPr>
        <w:t>nja</w:t>
      </w:r>
      <w:r w:rsidRPr="001D66F7">
        <w:rPr>
          <w:rFonts w:ascii="Arial Narrow" w:hAnsi="Arial Narrow"/>
          <w:sz w:val="26"/>
          <w:szCs w:val="26"/>
        </w:rPr>
        <w:t xml:space="preserve"> integritet</w:t>
      </w:r>
      <w:r w:rsidR="00C318D4" w:rsidRPr="001D66F7">
        <w:rPr>
          <w:rFonts w:ascii="Arial Narrow" w:hAnsi="Arial Narrow"/>
          <w:sz w:val="26"/>
          <w:szCs w:val="26"/>
        </w:rPr>
        <w:t>a</w:t>
      </w:r>
      <w:r w:rsidRPr="001D66F7">
        <w:rPr>
          <w:rFonts w:ascii="Arial Narrow" w:hAnsi="Arial Narrow"/>
          <w:sz w:val="26"/>
          <w:szCs w:val="26"/>
        </w:rPr>
        <w:t xml:space="preserve"> policije i službi bezbjednosti</w:t>
      </w:r>
      <w:r w:rsidR="00C318D4" w:rsidRPr="001D66F7">
        <w:rPr>
          <w:rFonts w:ascii="Arial Narrow" w:hAnsi="Arial Narrow"/>
          <w:sz w:val="26"/>
          <w:szCs w:val="26"/>
        </w:rPr>
        <w:t>, „u</w:t>
      </w:r>
      <w:r w:rsidRPr="001D66F7">
        <w:rPr>
          <w:rFonts w:ascii="Arial Narrow" w:hAnsi="Arial Narrow"/>
          <w:sz w:val="26"/>
          <w:szCs w:val="26"/>
        </w:rPr>
        <w:t>klanja</w:t>
      </w:r>
      <w:r w:rsidR="00C318D4" w:rsidRPr="001D66F7">
        <w:rPr>
          <w:rFonts w:ascii="Arial Narrow" w:hAnsi="Arial Narrow"/>
          <w:sz w:val="26"/>
          <w:szCs w:val="26"/>
        </w:rPr>
        <w:t>nja“</w:t>
      </w:r>
      <w:r w:rsidRPr="001D66F7">
        <w:rPr>
          <w:rFonts w:ascii="Arial Narrow" w:hAnsi="Arial Narrow"/>
          <w:sz w:val="26"/>
          <w:szCs w:val="26"/>
        </w:rPr>
        <w:t xml:space="preserve"> ili onemogućava pristup</w:t>
      </w:r>
      <w:r w:rsidR="00C318D4" w:rsidRPr="001D66F7">
        <w:rPr>
          <w:rFonts w:ascii="Arial Narrow" w:hAnsi="Arial Narrow"/>
          <w:sz w:val="26"/>
          <w:szCs w:val="26"/>
        </w:rPr>
        <w:t>a</w:t>
      </w:r>
      <w:r w:rsidRPr="001D66F7">
        <w:rPr>
          <w:rFonts w:ascii="Arial Narrow" w:hAnsi="Arial Narrow"/>
          <w:sz w:val="26"/>
          <w:szCs w:val="26"/>
        </w:rPr>
        <w:t xml:space="preserve"> </w:t>
      </w:r>
      <w:r w:rsidR="00C318D4" w:rsidRPr="001D66F7">
        <w:rPr>
          <w:rFonts w:ascii="Arial Narrow" w:hAnsi="Arial Narrow"/>
          <w:sz w:val="26"/>
          <w:szCs w:val="26"/>
        </w:rPr>
        <w:t>lici</w:t>
      </w:r>
      <w:r w:rsidRPr="001D66F7">
        <w:rPr>
          <w:rFonts w:ascii="Arial Narrow" w:hAnsi="Arial Narrow"/>
          <w:sz w:val="26"/>
          <w:szCs w:val="26"/>
        </w:rPr>
        <w:t>ma koj</w:t>
      </w:r>
      <w:r w:rsidR="00C318D4" w:rsidRPr="001D66F7">
        <w:rPr>
          <w:rFonts w:ascii="Arial Narrow" w:hAnsi="Arial Narrow"/>
          <w:sz w:val="26"/>
          <w:szCs w:val="26"/>
        </w:rPr>
        <w:t>a</w:t>
      </w:r>
      <w:r w:rsidRPr="001D66F7">
        <w:rPr>
          <w:rFonts w:ascii="Arial Narrow" w:hAnsi="Arial Narrow"/>
          <w:sz w:val="26"/>
          <w:szCs w:val="26"/>
        </w:rPr>
        <w:t xml:space="preserve"> su podložn</w:t>
      </w:r>
      <w:r w:rsidR="00C318D4" w:rsidRPr="001D66F7">
        <w:rPr>
          <w:rFonts w:ascii="Arial Narrow" w:hAnsi="Arial Narrow"/>
          <w:sz w:val="26"/>
          <w:szCs w:val="26"/>
        </w:rPr>
        <w:t>a</w:t>
      </w:r>
      <w:r w:rsidRPr="001D66F7">
        <w:rPr>
          <w:rFonts w:ascii="Arial Narrow" w:hAnsi="Arial Narrow"/>
          <w:sz w:val="26"/>
          <w:szCs w:val="26"/>
        </w:rPr>
        <w:t xml:space="preserve"> kriminalnim uticajima</w:t>
      </w:r>
      <w:r w:rsidR="00C318D4" w:rsidRPr="001D66F7">
        <w:rPr>
          <w:rFonts w:ascii="Arial Narrow" w:hAnsi="Arial Narrow"/>
          <w:sz w:val="26"/>
          <w:szCs w:val="26"/>
        </w:rPr>
        <w:t>, o</w:t>
      </w:r>
      <w:r w:rsidRPr="001D66F7">
        <w:rPr>
          <w:rFonts w:ascii="Arial Narrow" w:hAnsi="Arial Narrow"/>
          <w:sz w:val="26"/>
          <w:szCs w:val="26"/>
        </w:rPr>
        <w:t>sigurava</w:t>
      </w:r>
      <w:r w:rsidR="00C318D4" w:rsidRPr="001D66F7">
        <w:rPr>
          <w:rFonts w:ascii="Arial Narrow" w:hAnsi="Arial Narrow"/>
          <w:sz w:val="26"/>
          <w:szCs w:val="26"/>
        </w:rPr>
        <w:t>nja</w:t>
      </w:r>
      <w:r w:rsidRPr="001D66F7">
        <w:rPr>
          <w:rFonts w:ascii="Arial Narrow" w:hAnsi="Arial Narrow"/>
          <w:sz w:val="26"/>
          <w:szCs w:val="26"/>
        </w:rPr>
        <w:t xml:space="preserve"> da u sistemu ostanu samo osobe od povjerenja</w:t>
      </w:r>
      <w:r w:rsidR="00C318D4" w:rsidRPr="001D66F7">
        <w:rPr>
          <w:rFonts w:ascii="Arial Narrow" w:hAnsi="Arial Narrow"/>
          <w:sz w:val="26"/>
          <w:szCs w:val="26"/>
        </w:rPr>
        <w:t xml:space="preserve"> i ista d</w:t>
      </w:r>
      <w:r w:rsidRPr="001D66F7">
        <w:rPr>
          <w:rFonts w:ascii="Arial Narrow" w:hAnsi="Arial Narrow"/>
          <w:sz w:val="26"/>
          <w:szCs w:val="26"/>
        </w:rPr>
        <w:t>oprinosi borbi protiv korupcije, organizovanog kriminala u bezbjednosnom sektoru</w:t>
      </w:r>
      <w:r w:rsidR="00C318D4" w:rsidRPr="001D66F7">
        <w:rPr>
          <w:rFonts w:ascii="Arial Narrow" w:hAnsi="Arial Narrow"/>
          <w:sz w:val="26"/>
          <w:szCs w:val="26"/>
        </w:rPr>
        <w:t>.</w:t>
      </w:r>
    </w:p>
    <w:p w14:paraId="67C5E130" w14:textId="61D8D058" w:rsidR="00EC3B3B" w:rsidRPr="007A71CD" w:rsidRDefault="00EC3B3B" w:rsidP="00923886">
      <w:pPr>
        <w:jc w:val="both"/>
        <w:rPr>
          <w:rFonts w:ascii="Arial Narrow" w:hAnsi="Arial Narrow"/>
          <w:sz w:val="26"/>
          <w:szCs w:val="26"/>
        </w:rPr>
      </w:pPr>
    </w:p>
    <w:sectPr w:rsidR="00EC3B3B" w:rsidRPr="007A71CD" w:rsidSect="00F60676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F5"/>
    <w:multiLevelType w:val="multilevel"/>
    <w:tmpl w:val="262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D4EAB"/>
    <w:multiLevelType w:val="multilevel"/>
    <w:tmpl w:val="598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C1235"/>
    <w:multiLevelType w:val="hybridMultilevel"/>
    <w:tmpl w:val="4CC4525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81354"/>
    <w:multiLevelType w:val="multilevel"/>
    <w:tmpl w:val="EEB8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218E9"/>
    <w:multiLevelType w:val="multilevel"/>
    <w:tmpl w:val="CEA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477F8"/>
    <w:multiLevelType w:val="multilevel"/>
    <w:tmpl w:val="72FE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E1"/>
    <w:rsid w:val="00111D0D"/>
    <w:rsid w:val="00143B0C"/>
    <w:rsid w:val="001D66F7"/>
    <w:rsid w:val="003704E2"/>
    <w:rsid w:val="004B4D1B"/>
    <w:rsid w:val="00513F5F"/>
    <w:rsid w:val="007A5663"/>
    <w:rsid w:val="007A71CD"/>
    <w:rsid w:val="008121FA"/>
    <w:rsid w:val="00923886"/>
    <w:rsid w:val="00AD0F19"/>
    <w:rsid w:val="00B245A8"/>
    <w:rsid w:val="00B905E1"/>
    <w:rsid w:val="00C318D4"/>
    <w:rsid w:val="00CF047E"/>
    <w:rsid w:val="00D72C74"/>
    <w:rsid w:val="00DA31D6"/>
    <w:rsid w:val="00EC3B3B"/>
    <w:rsid w:val="00EF6D48"/>
    <w:rsid w:val="00F6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01CE666"/>
  <w15:chartTrackingRefBased/>
  <w15:docId w15:val="{4C288570-F8FE-40A9-8127-4ACF29EF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5E1"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5778</Characters>
  <Application>Microsoft Office Word</Application>
  <DocSecurity>0</DocSecurity>
  <Lines>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Pekic</dc:creator>
  <cp:keywords/>
  <dc:description/>
  <cp:lastModifiedBy>UP</cp:lastModifiedBy>
  <cp:revision>2</cp:revision>
  <dcterms:created xsi:type="dcterms:W3CDTF">2025-07-21T08:15:00Z</dcterms:created>
  <dcterms:modified xsi:type="dcterms:W3CDTF">2025-07-21T08:15:00Z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5865e700-18a6-452d-91fd-d9ef01f3484e</vt:lpwstr>
  </property>
</Properties>
</file>