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82E" w:rsidRDefault="0047783A">
      <w:pPr>
        <w:pStyle w:val="Heading1"/>
        <w:numPr>
          <w:ilvl w:val="0"/>
          <w:numId w:val="0"/>
        </w:numPr>
        <w:ind w:left="1"/>
      </w:pPr>
      <w:bookmarkStart w:id="0" w:name="_Toc42488069"/>
      <w:r w:rsidRPr="00E82463">
        <w:t>A.</w:t>
      </w:r>
      <w:r w:rsidRPr="00E82463">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1C7FD4">
        <w:rPr>
          <w:rFonts w:ascii="Times New Roman" w:hAnsi="Times New Roman"/>
          <w:szCs w:val="28"/>
          <w:lang w:val="en-GB"/>
        </w:rPr>
        <w:t>PUBLICATION REF.:</w:t>
      </w:r>
      <w:r w:rsidR="00E713C7" w:rsidRPr="001C7FD4">
        <w:rPr>
          <w:rFonts w:ascii="Times New Roman" w:hAnsi="Times New Roman"/>
          <w:szCs w:val="28"/>
          <w:lang w:val="en-GB"/>
        </w:rPr>
        <w:t xml:space="preserve"> </w:t>
      </w:r>
      <w:r w:rsidR="00131B4E" w:rsidRPr="001C7FD4">
        <w:rPr>
          <w:rFonts w:ascii="Times New Roman" w:hAnsi="Times New Roman"/>
          <w:szCs w:val="28"/>
          <w:lang w:val="en-GB"/>
        </w:rPr>
        <w:t>OP HRD 2012-2013/MNE/TA 4.2/3</w:t>
      </w:r>
    </w:p>
    <w:p w:rsidR="0047783A" w:rsidRPr="00BB2471" w:rsidRDefault="00121DE4" w:rsidP="001C7FD4">
      <w:pPr>
        <w:pStyle w:val="Subtitle"/>
        <w:spacing w:before="0" w:after="240"/>
        <w:jc w:val="both"/>
        <w:rPr>
          <w:rFonts w:ascii="Times New Roman" w:hAnsi="Times New Roman"/>
          <w:sz w:val="22"/>
          <w:szCs w:val="22"/>
          <w:lang w:val="en-GB"/>
        </w:rPr>
      </w:pPr>
      <w:r w:rsidRPr="00BB2471">
        <w:rPr>
          <w:rFonts w:ascii="Times New Roman" w:hAnsi="Times New Roman"/>
          <w:sz w:val="22"/>
          <w:szCs w:val="22"/>
          <w:lang w:val="en-GB"/>
        </w:rPr>
        <w:t xml:space="preserve">By </w:t>
      </w:r>
      <w:r w:rsidR="0047783A" w:rsidRPr="00BB2471">
        <w:rPr>
          <w:rFonts w:ascii="Times New Roman" w:hAnsi="Times New Roman"/>
          <w:sz w:val="22"/>
          <w:szCs w:val="22"/>
          <w:lang w:val="en-GB"/>
        </w:rPr>
        <w:t>submitting a tender, tenderer</w:t>
      </w:r>
      <w:r w:rsidRPr="00BB2471">
        <w:rPr>
          <w:rFonts w:ascii="Times New Roman" w:hAnsi="Times New Roman"/>
          <w:sz w:val="22"/>
          <w:szCs w:val="22"/>
          <w:lang w:val="en-GB"/>
        </w:rPr>
        <w:t>s</w:t>
      </w:r>
      <w:r w:rsidR="0047783A" w:rsidRPr="00BB2471">
        <w:rPr>
          <w:rFonts w:ascii="Times New Roman" w:hAnsi="Times New Roman"/>
          <w:sz w:val="22"/>
          <w:szCs w:val="22"/>
          <w:lang w:val="en-GB"/>
        </w:rPr>
        <w:t xml:space="preserve"> </w:t>
      </w:r>
      <w:r w:rsidRPr="00BB2471">
        <w:rPr>
          <w:rFonts w:ascii="Times New Roman" w:hAnsi="Times New Roman"/>
          <w:sz w:val="22"/>
          <w:szCs w:val="22"/>
          <w:lang w:val="en-GB"/>
        </w:rPr>
        <w:t xml:space="preserve">fully and unreservedly </w:t>
      </w:r>
      <w:r w:rsidR="0047783A" w:rsidRPr="00BB2471">
        <w:rPr>
          <w:rFonts w:ascii="Times New Roman" w:hAnsi="Times New Roman"/>
          <w:sz w:val="22"/>
          <w:szCs w:val="22"/>
          <w:lang w:val="en-GB"/>
        </w:rPr>
        <w:t xml:space="preserve">accept the special and general conditions governing the contract as the sole basis of this tendering procedure, whatever </w:t>
      </w:r>
      <w:r w:rsidRPr="00BB2471">
        <w:rPr>
          <w:rFonts w:ascii="Times New Roman" w:hAnsi="Times New Roman"/>
          <w:sz w:val="22"/>
          <w:szCs w:val="22"/>
          <w:lang w:val="en-GB"/>
        </w:rPr>
        <w:t xml:space="preserve">their </w:t>
      </w:r>
      <w:r w:rsidR="0047783A" w:rsidRPr="00BB2471">
        <w:rPr>
          <w:rFonts w:ascii="Times New Roman" w:hAnsi="Times New Roman"/>
          <w:sz w:val="22"/>
          <w:szCs w:val="22"/>
          <w:lang w:val="en-GB"/>
        </w:rPr>
        <w:t xml:space="preserve">own conditions of sale may be, which </w:t>
      </w:r>
      <w:r w:rsidRPr="00BB2471">
        <w:rPr>
          <w:rFonts w:ascii="Times New Roman" w:hAnsi="Times New Roman"/>
          <w:sz w:val="22"/>
          <w:szCs w:val="22"/>
          <w:lang w:val="en-GB"/>
        </w:rPr>
        <w:t xml:space="preserve">they </w:t>
      </w:r>
      <w:r w:rsidR="0047783A" w:rsidRPr="00BB2471">
        <w:rPr>
          <w:rFonts w:ascii="Times New Roman" w:hAnsi="Times New Roman"/>
          <w:sz w:val="22"/>
          <w:szCs w:val="22"/>
          <w:lang w:val="en-GB"/>
        </w:rPr>
        <w:t xml:space="preserve">hereby waive. Tenderers are expected to examine carefully and comply with all </w:t>
      </w:r>
      <w:r w:rsidR="00AD7C94">
        <w:rPr>
          <w:rFonts w:ascii="Times New Roman" w:hAnsi="Times New Roman"/>
          <w:sz w:val="22"/>
          <w:szCs w:val="22"/>
          <w:lang w:val="en-GB"/>
        </w:rPr>
        <w:t>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rsidR="00DA4D57" w:rsidRPr="00BB2471" w:rsidRDefault="00AD7C94" w:rsidP="001C7FD4">
      <w:pPr>
        <w:pStyle w:val="Subtitle"/>
        <w:spacing w:before="0" w:after="0"/>
        <w:jc w:val="both"/>
        <w:rPr>
          <w:rFonts w:ascii="Times New Roman" w:hAnsi="Times New Roman"/>
          <w:b w:val="0"/>
          <w:sz w:val="22"/>
          <w:szCs w:val="22"/>
          <w:lang w:val="en-GB"/>
        </w:rPr>
      </w:pPr>
      <w:r>
        <w:rPr>
          <w:rFonts w:ascii="Times New Roman" w:hAnsi="Times New Roman"/>
          <w:sz w:val="22"/>
          <w:szCs w:val="22"/>
          <w:lang w:val="en-GB"/>
        </w:rPr>
        <w:t xml:space="preserve">These Instructions set out the rules for the submission, selection and implementation of contracts financed under this call for tenders, in conformity with the Practical Guide (available on the Internet at: </w:t>
      </w:r>
      <w:hyperlink r:id="rId8" w:history="1">
        <w:r>
          <w:rPr>
            <w:rStyle w:val="Hyperlink"/>
            <w:rFonts w:ascii="Times New Roman" w:hAnsi="Times New Roman"/>
            <w:sz w:val="22"/>
            <w:szCs w:val="22"/>
            <w:lang w:val="en-GB"/>
          </w:rPr>
          <w:t>http://ec.europa.eu/europeaid/prag/document.do</w:t>
        </w:r>
      </w:hyperlink>
      <w:r w:rsidR="0047783A" w:rsidRPr="00BB2471">
        <w:rPr>
          <w:rFonts w:ascii="Times New Roman" w:hAnsi="Times New Roman"/>
          <w:sz w:val="22"/>
          <w:szCs w:val="22"/>
          <w:lang w:val="en-GB"/>
        </w:rPr>
        <w:t>).</w:t>
      </w:r>
    </w:p>
    <w:p w:rsidR="0047783A" w:rsidRPr="00BB2471" w:rsidRDefault="0047783A" w:rsidP="00BB2471">
      <w:pPr>
        <w:pStyle w:val="Heading1"/>
      </w:pPr>
      <w:bookmarkStart w:id="1" w:name="_Toc42488070"/>
      <w:r w:rsidRPr="00BB2471">
        <w:t>Supplies to be provided</w:t>
      </w:r>
      <w:bookmarkEnd w:id="1"/>
    </w:p>
    <w:p w:rsidR="0047783A" w:rsidRPr="00BB2471" w:rsidRDefault="0047783A" w:rsidP="00E82463">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1.1</w:t>
      </w:r>
      <w:r w:rsidRPr="00BB2471">
        <w:rPr>
          <w:rFonts w:ascii="Times New Roman" w:hAnsi="Times New Roman"/>
          <w:sz w:val="22"/>
          <w:szCs w:val="22"/>
          <w:lang w:val="en-GB"/>
        </w:rPr>
        <w:tab/>
        <w:t>The subject of the contract is the supply</w:t>
      </w:r>
      <w:r w:rsidR="00DA4D57" w:rsidRPr="00BB2471">
        <w:rPr>
          <w:rFonts w:ascii="Times New Roman" w:hAnsi="Times New Roman"/>
          <w:sz w:val="22"/>
          <w:szCs w:val="22"/>
          <w:lang w:val="en-GB"/>
        </w:rPr>
        <w:t>,</w:t>
      </w:r>
      <w:r w:rsidRPr="00BB2471">
        <w:rPr>
          <w:rFonts w:ascii="Times New Roman" w:hAnsi="Times New Roman"/>
          <w:sz w:val="22"/>
          <w:szCs w:val="22"/>
          <w:lang w:val="en-GB"/>
        </w:rPr>
        <w:t xml:space="preserve"> delivery</w:t>
      </w:r>
      <w:r w:rsidR="00BA705D" w:rsidRPr="00BB2471">
        <w:rPr>
          <w:rFonts w:ascii="Times New Roman" w:hAnsi="Times New Roman"/>
          <w:sz w:val="22"/>
          <w:szCs w:val="22"/>
          <w:lang w:val="en-GB"/>
        </w:rPr>
        <w:t>,</w:t>
      </w:r>
      <w:r w:rsidRPr="00BB2471">
        <w:rPr>
          <w:rFonts w:ascii="Times New Roman" w:hAnsi="Times New Roman"/>
          <w:sz w:val="22"/>
          <w:szCs w:val="22"/>
          <w:lang w:val="en-GB"/>
        </w:rPr>
        <w:t xml:space="preserve"> unloading</w:t>
      </w:r>
      <w:r w:rsidR="00BA705D" w:rsidRPr="00BB2471">
        <w:rPr>
          <w:rFonts w:ascii="Times New Roman" w:hAnsi="Times New Roman"/>
          <w:sz w:val="22"/>
          <w:szCs w:val="22"/>
          <w:lang w:val="en-GB"/>
        </w:rPr>
        <w:t>,</w:t>
      </w:r>
      <w:r w:rsidRPr="00BB2471">
        <w:rPr>
          <w:rFonts w:ascii="Times New Roman" w:hAnsi="Times New Roman"/>
          <w:sz w:val="22"/>
          <w:szCs w:val="22"/>
          <w:lang w:val="en-GB"/>
        </w:rPr>
        <w:t xml:space="preserve"> installation</w:t>
      </w:r>
      <w:r w:rsidR="00BA705D" w:rsidRPr="00BB2471">
        <w:rPr>
          <w:rFonts w:ascii="Times New Roman" w:hAnsi="Times New Roman"/>
          <w:sz w:val="22"/>
          <w:szCs w:val="22"/>
          <w:lang w:val="en-GB"/>
        </w:rPr>
        <w:t>,</w:t>
      </w:r>
      <w:r w:rsidRPr="00BB2471">
        <w:rPr>
          <w:rFonts w:ascii="Times New Roman" w:hAnsi="Times New Roman"/>
          <w:sz w:val="22"/>
          <w:szCs w:val="22"/>
          <w:lang w:val="en-GB"/>
        </w:rPr>
        <w:t xml:space="preserve"> </w:t>
      </w:r>
      <w:r w:rsidR="002A04C6" w:rsidRPr="00BB2471">
        <w:rPr>
          <w:rFonts w:ascii="Times New Roman" w:hAnsi="Times New Roman"/>
          <w:sz w:val="22"/>
          <w:szCs w:val="22"/>
          <w:lang w:val="en-GB"/>
        </w:rPr>
        <w:t xml:space="preserve"> testing </w:t>
      </w:r>
      <w:r w:rsidR="00131B4E" w:rsidRPr="00131B4E">
        <w:rPr>
          <w:rFonts w:ascii="Times New Roman" w:hAnsi="Times New Roman"/>
          <w:sz w:val="22"/>
          <w:szCs w:val="22"/>
          <w:lang w:val="en-GB"/>
        </w:rPr>
        <w:t>by the Contractor of the following goods in two lots:</w:t>
      </w:r>
    </w:p>
    <w:p w:rsidR="00BC75D8" w:rsidRPr="00BB2471" w:rsidRDefault="002E7AED" w:rsidP="002E7AED">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 xml:space="preserve">          </w:t>
      </w:r>
      <w:r w:rsidR="00BC75D8" w:rsidRPr="00BB2471">
        <w:rPr>
          <w:rFonts w:ascii="Times New Roman" w:hAnsi="Times New Roman"/>
          <w:sz w:val="22"/>
          <w:szCs w:val="22"/>
        </w:rPr>
        <w:t>LOT 1: Computers and Accessories (ICT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917"/>
        <w:gridCol w:w="2702"/>
      </w:tblGrid>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No</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Item</w:t>
            </w:r>
          </w:p>
        </w:tc>
        <w:tc>
          <w:tcPr>
            <w:tcW w:w="2702" w:type="dxa"/>
          </w:tcPr>
          <w:p w:rsidR="00D62654" w:rsidRPr="00BB2471" w:rsidRDefault="00131B4E" w:rsidP="00EE4E83">
            <w:pPr>
              <w:tabs>
                <w:tab w:val="left" w:pos="709"/>
                <w:tab w:val="left" w:pos="993"/>
                <w:tab w:val="left" w:pos="1276"/>
              </w:tabs>
              <w:spacing w:before="0"/>
              <w:jc w:val="both"/>
              <w:rPr>
                <w:rFonts w:ascii="Times New Roman" w:hAnsi="Times New Roman"/>
                <w:b/>
                <w:sz w:val="22"/>
                <w:szCs w:val="22"/>
              </w:rPr>
            </w:pPr>
            <w:r w:rsidRPr="00131B4E">
              <w:rPr>
                <w:rFonts w:ascii="Times New Roman" w:hAnsi="Times New Roman"/>
                <w:b/>
                <w:sz w:val="22"/>
                <w:szCs w:val="22"/>
              </w:rPr>
              <w:t>QTY</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1</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PERSONAL COMPUTER (PC) – TYPE 1</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8</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2</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PERSONAL COMPUTER (PC) – type 2</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2</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3</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NOTEBOOK COMPUTER - type 1</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20</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4</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NOTEBOOK COMPUTER – type 2</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2</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5</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A3 PRINTER / MULTIFUNCTIONAL DEVICE</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1</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6</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MULTIFUNCTION LASER PRINTER DEVICE</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7</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7</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VIDEO PROJECTOR</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2</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8</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PROJECTION SCREEN</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2</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9</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EXTERNAL HARD DRIVE</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6</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10</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FLAT TV</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1</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11</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DICTAPHONE</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3</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12</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DIGITAL PHOTO CAMERA</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3</w:t>
            </w:r>
          </w:p>
        </w:tc>
      </w:tr>
      <w:tr w:rsidR="00D62654" w:rsidRPr="00BB2471" w:rsidTr="002E7AED">
        <w:tc>
          <w:tcPr>
            <w:tcW w:w="675" w:type="dxa"/>
          </w:tcPr>
          <w:p w:rsidR="00D62654" w:rsidRPr="00BB2471" w:rsidRDefault="00D62654" w:rsidP="00EE4E83">
            <w:pPr>
              <w:tabs>
                <w:tab w:val="left" w:pos="709"/>
                <w:tab w:val="left" w:pos="993"/>
                <w:tab w:val="left" w:pos="1276"/>
              </w:tabs>
              <w:spacing w:before="0"/>
              <w:jc w:val="both"/>
              <w:rPr>
                <w:rFonts w:ascii="Times New Roman" w:hAnsi="Times New Roman"/>
                <w:b/>
                <w:sz w:val="22"/>
                <w:szCs w:val="22"/>
              </w:rPr>
            </w:pPr>
            <w:r w:rsidRPr="00BB2471">
              <w:rPr>
                <w:rFonts w:ascii="Times New Roman" w:hAnsi="Times New Roman"/>
                <w:b/>
                <w:sz w:val="22"/>
                <w:szCs w:val="22"/>
              </w:rPr>
              <w:t>13</w:t>
            </w:r>
          </w:p>
        </w:tc>
        <w:tc>
          <w:tcPr>
            <w:tcW w:w="4917"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NETWORK ATTACHED STORAGE (NAS)</w:t>
            </w:r>
          </w:p>
        </w:tc>
        <w:tc>
          <w:tcPr>
            <w:tcW w:w="2702" w:type="dxa"/>
          </w:tcPr>
          <w:p w:rsidR="00D62654" w:rsidRPr="00BB2471" w:rsidRDefault="00D62654" w:rsidP="00EE4E83">
            <w:pPr>
              <w:tabs>
                <w:tab w:val="left" w:pos="709"/>
                <w:tab w:val="left" w:pos="993"/>
                <w:tab w:val="left" w:pos="1276"/>
              </w:tabs>
              <w:spacing w:before="0"/>
              <w:jc w:val="both"/>
              <w:rPr>
                <w:rFonts w:ascii="Times New Roman" w:hAnsi="Times New Roman"/>
                <w:sz w:val="22"/>
                <w:szCs w:val="22"/>
              </w:rPr>
            </w:pPr>
            <w:r w:rsidRPr="00BB2471">
              <w:rPr>
                <w:rFonts w:ascii="Times New Roman" w:hAnsi="Times New Roman"/>
                <w:sz w:val="22"/>
                <w:szCs w:val="22"/>
              </w:rPr>
              <w:t>2</w:t>
            </w:r>
          </w:p>
        </w:tc>
      </w:tr>
    </w:tbl>
    <w:p w:rsidR="00D62654" w:rsidRPr="00BB2471" w:rsidRDefault="00D62654" w:rsidP="002E7AED">
      <w:pPr>
        <w:tabs>
          <w:tab w:val="left" w:pos="709"/>
          <w:tab w:val="left" w:pos="993"/>
          <w:tab w:val="left" w:pos="1276"/>
        </w:tabs>
        <w:spacing w:before="0"/>
        <w:ind w:left="710"/>
        <w:jc w:val="both"/>
        <w:rPr>
          <w:rFonts w:ascii="Times New Roman" w:hAnsi="Times New Roman"/>
          <w:sz w:val="22"/>
          <w:szCs w:val="22"/>
        </w:rPr>
      </w:pPr>
    </w:p>
    <w:p w:rsidR="00D62654" w:rsidRPr="00BB2471" w:rsidRDefault="00D62654" w:rsidP="002E7AED">
      <w:pPr>
        <w:tabs>
          <w:tab w:val="left" w:pos="709"/>
          <w:tab w:val="left" w:pos="993"/>
          <w:tab w:val="left" w:pos="1276"/>
        </w:tabs>
        <w:spacing w:before="0"/>
        <w:ind w:left="710"/>
        <w:jc w:val="both"/>
        <w:rPr>
          <w:rFonts w:ascii="Times New Roman" w:hAnsi="Times New Roman"/>
          <w:sz w:val="22"/>
          <w:szCs w:val="22"/>
        </w:rPr>
      </w:pPr>
    </w:p>
    <w:p w:rsidR="00BC75D8" w:rsidRPr="00BB2471" w:rsidRDefault="00320A5A" w:rsidP="002E7AED">
      <w:pPr>
        <w:tabs>
          <w:tab w:val="left" w:pos="709"/>
          <w:tab w:val="left" w:pos="993"/>
          <w:tab w:val="left" w:pos="1276"/>
        </w:tabs>
        <w:spacing w:before="0"/>
        <w:ind w:left="568"/>
        <w:jc w:val="both"/>
        <w:rPr>
          <w:rFonts w:ascii="Times New Roman" w:hAnsi="Times New Roman"/>
          <w:sz w:val="22"/>
          <w:szCs w:val="22"/>
        </w:rPr>
      </w:pPr>
      <w:r w:rsidRPr="00BB2471">
        <w:rPr>
          <w:rFonts w:ascii="Times New Roman" w:hAnsi="Times New Roman"/>
          <w:sz w:val="22"/>
          <w:szCs w:val="22"/>
        </w:rPr>
        <w:t xml:space="preserve">            </w:t>
      </w:r>
      <w:r w:rsidR="00BC75D8" w:rsidRPr="00BB2471">
        <w:rPr>
          <w:rFonts w:ascii="Times New Roman" w:hAnsi="Times New Roman"/>
          <w:sz w:val="22"/>
          <w:szCs w:val="22"/>
        </w:rPr>
        <w:t>LOT 2: Office furniture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880"/>
        <w:gridCol w:w="2739"/>
      </w:tblGrid>
      <w:tr w:rsidR="00D62654" w:rsidRPr="00BB2471" w:rsidTr="002E7AED">
        <w:tc>
          <w:tcPr>
            <w:tcW w:w="675" w:type="dxa"/>
          </w:tcPr>
          <w:p w:rsidR="00D62654" w:rsidRPr="00BB2471" w:rsidRDefault="00131B4E" w:rsidP="00EE4E83">
            <w:pPr>
              <w:tabs>
                <w:tab w:val="left" w:pos="709"/>
                <w:tab w:val="left" w:pos="993"/>
              </w:tabs>
              <w:spacing w:before="0"/>
              <w:jc w:val="both"/>
              <w:rPr>
                <w:rFonts w:ascii="Times New Roman" w:hAnsi="Times New Roman"/>
                <w:b/>
                <w:sz w:val="22"/>
                <w:szCs w:val="22"/>
              </w:rPr>
            </w:pPr>
            <w:r w:rsidRPr="00131B4E">
              <w:rPr>
                <w:rFonts w:ascii="Times New Roman" w:hAnsi="Times New Roman"/>
                <w:b/>
                <w:sz w:val="22"/>
                <w:szCs w:val="22"/>
              </w:rPr>
              <w:t>No</w:t>
            </w:r>
          </w:p>
        </w:tc>
        <w:tc>
          <w:tcPr>
            <w:tcW w:w="4880" w:type="dxa"/>
          </w:tcPr>
          <w:p w:rsidR="00D62654" w:rsidRPr="00BB2471" w:rsidRDefault="00131B4E" w:rsidP="00EE4E83">
            <w:pPr>
              <w:tabs>
                <w:tab w:val="left" w:pos="709"/>
                <w:tab w:val="left" w:pos="993"/>
              </w:tabs>
              <w:spacing w:before="0"/>
              <w:jc w:val="both"/>
              <w:rPr>
                <w:rFonts w:ascii="Times New Roman" w:hAnsi="Times New Roman"/>
                <w:b/>
                <w:sz w:val="22"/>
                <w:szCs w:val="22"/>
              </w:rPr>
            </w:pPr>
            <w:r w:rsidRPr="00131B4E">
              <w:rPr>
                <w:rFonts w:ascii="Times New Roman" w:hAnsi="Times New Roman"/>
                <w:b/>
                <w:sz w:val="22"/>
                <w:szCs w:val="22"/>
              </w:rPr>
              <w:t>Item</w:t>
            </w:r>
          </w:p>
        </w:tc>
        <w:tc>
          <w:tcPr>
            <w:tcW w:w="2739" w:type="dxa"/>
          </w:tcPr>
          <w:p w:rsidR="00D62654" w:rsidRPr="00BB2471" w:rsidRDefault="00131B4E" w:rsidP="00EE4E83">
            <w:pPr>
              <w:tabs>
                <w:tab w:val="left" w:pos="709"/>
                <w:tab w:val="left" w:pos="993"/>
              </w:tabs>
              <w:spacing w:before="0"/>
              <w:jc w:val="both"/>
              <w:rPr>
                <w:rFonts w:ascii="Times New Roman" w:hAnsi="Times New Roman"/>
                <w:b/>
                <w:sz w:val="22"/>
                <w:szCs w:val="22"/>
              </w:rPr>
            </w:pPr>
            <w:r w:rsidRPr="00131B4E">
              <w:rPr>
                <w:rFonts w:ascii="Times New Roman" w:hAnsi="Times New Roman"/>
                <w:b/>
                <w:sz w:val="22"/>
                <w:szCs w:val="22"/>
              </w:rPr>
              <w:t>QTY</w:t>
            </w:r>
          </w:p>
        </w:tc>
      </w:tr>
      <w:tr w:rsidR="00D62654" w:rsidRPr="00BB2471" w:rsidTr="002E7AED">
        <w:tc>
          <w:tcPr>
            <w:tcW w:w="675" w:type="dxa"/>
          </w:tcPr>
          <w:p w:rsidR="00D62654" w:rsidRPr="00BB2471" w:rsidRDefault="00D62654" w:rsidP="00EE4E83">
            <w:pPr>
              <w:tabs>
                <w:tab w:val="left" w:pos="709"/>
                <w:tab w:val="left" w:pos="993"/>
              </w:tabs>
              <w:spacing w:before="0"/>
              <w:jc w:val="both"/>
              <w:rPr>
                <w:rFonts w:ascii="Times New Roman" w:hAnsi="Times New Roman"/>
                <w:b/>
                <w:sz w:val="22"/>
                <w:szCs w:val="22"/>
              </w:rPr>
            </w:pPr>
            <w:r w:rsidRPr="00BB2471">
              <w:rPr>
                <w:rFonts w:ascii="Times New Roman" w:hAnsi="Times New Roman"/>
                <w:b/>
                <w:sz w:val="22"/>
                <w:szCs w:val="22"/>
              </w:rPr>
              <w:t>1</w:t>
            </w:r>
          </w:p>
        </w:tc>
        <w:tc>
          <w:tcPr>
            <w:tcW w:w="4880" w:type="dxa"/>
          </w:tcPr>
          <w:p w:rsidR="00D62654" w:rsidRPr="00BB2471" w:rsidRDefault="00D62654" w:rsidP="00EE4E83">
            <w:pPr>
              <w:tabs>
                <w:tab w:val="left" w:pos="709"/>
                <w:tab w:val="left" w:pos="993"/>
              </w:tabs>
              <w:spacing w:before="0"/>
              <w:jc w:val="both"/>
              <w:rPr>
                <w:rFonts w:ascii="Times New Roman" w:hAnsi="Times New Roman"/>
                <w:sz w:val="22"/>
                <w:szCs w:val="22"/>
              </w:rPr>
            </w:pPr>
            <w:r w:rsidRPr="00BB2471">
              <w:rPr>
                <w:rFonts w:ascii="Times New Roman" w:hAnsi="Times New Roman"/>
                <w:sz w:val="22"/>
                <w:szCs w:val="22"/>
              </w:rPr>
              <w:t>SPECIAL SAFETY FILING CABINET</w:t>
            </w:r>
          </w:p>
        </w:tc>
        <w:tc>
          <w:tcPr>
            <w:tcW w:w="2739" w:type="dxa"/>
          </w:tcPr>
          <w:p w:rsidR="00D62654" w:rsidRPr="00BB2471" w:rsidRDefault="00D62654" w:rsidP="00EE4E83">
            <w:pPr>
              <w:tabs>
                <w:tab w:val="left" w:pos="709"/>
                <w:tab w:val="left" w:pos="993"/>
              </w:tabs>
              <w:spacing w:before="0"/>
              <w:jc w:val="both"/>
              <w:rPr>
                <w:rFonts w:ascii="Times New Roman" w:hAnsi="Times New Roman"/>
                <w:sz w:val="22"/>
                <w:szCs w:val="22"/>
              </w:rPr>
            </w:pPr>
            <w:r w:rsidRPr="00BB2471">
              <w:rPr>
                <w:rFonts w:ascii="Times New Roman" w:hAnsi="Times New Roman"/>
                <w:sz w:val="22"/>
                <w:szCs w:val="22"/>
              </w:rPr>
              <w:t>2</w:t>
            </w:r>
          </w:p>
        </w:tc>
      </w:tr>
      <w:tr w:rsidR="00D62654" w:rsidRPr="00BB2471" w:rsidTr="002E7AED">
        <w:tc>
          <w:tcPr>
            <w:tcW w:w="675" w:type="dxa"/>
          </w:tcPr>
          <w:p w:rsidR="00D62654" w:rsidRPr="00BB2471" w:rsidRDefault="00D62654" w:rsidP="00EE4E83">
            <w:pPr>
              <w:tabs>
                <w:tab w:val="left" w:pos="709"/>
                <w:tab w:val="left" w:pos="993"/>
              </w:tabs>
              <w:spacing w:before="0"/>
              <w:jc w:val="both"/>
              <w:rPr>
                <w:rFonts w:ascii="Times New Roman" w:hAnsi="Times New Roman"/>
                <w:b/>
                <w:sz w:val="22"/>
                <w:szCs w:val="22"/>
              </w:rPr>
            </w:pPr>
            <w:r w:rsidRPr="00BB2471">
              <w:rPr>
                <w:rFonts w:ascii="Times New Roman" w:hAnsi="Times New Roman"/>
                <w:b/>
                <w:sz w:val="22"/>
                <w:szCs w:val="22"/>
              </w:rPr>
              <w:t>2</w:t>
            </w:r>
          </w:p>
        </w:tc>
        <w:tc>
          <w:tcPr>
            <w:tcW w:w="4880" w:type="dxa"/>
          </w:tcPr>
          <w:p w:rsidR="00D62654" w:rsidRPr="00BB2471" w:rsidRDefault="00D62654" w:rsidP="00EE4E83">
            <w:pPr>
              <w:tabs>
                <w:tab w:val="left" w:pos="709"/>
                <w:tab w:val="left" w:pos="993"/>
              </w:tabs>
              <w:spacing w:before="0"/>
              <w:jc w:val="both"/>
              <w:rPr>
                <w:rFonts w:ascii="Times New Roman" w:hAnsi="Times New Roman"/>
                <w:sz w:val="22"/>
                <w:szCs w:val="22"/>
              </w:rPr>
            </w:pPr>
            <w:r w:rsidRPr="00BB2471">
              <w:rPr>
                <w:rFonts w:ascii="Times New Roman" w:hAnsi="Times New Roman"/>
                <w:sz w:val="22"/>
                <w:szCs w:val="22"/>
              </w:rPr>
              <w:t>CUPBOARDS (FILING CABINETS)</w:t>
            </w:r>
          </w:p>
        </w:tc>
        <w:tc>
          <w:tcPr>
            <w:tcW w:w="2739" w:type="dxa"/>
          </w:tcPr>
          <w:p w:rsidR="00D62654" w:rsidRPr="00BB2471" w:rsidRDefault="00D62654" w:rsidP="00EE4E83">
            <w:pPr>
              <w:tabs>
                <w:tab w:val="left" w:pos="709"/>
                <w:tab w:val="left" w:pos="993"/>
              </w:tabs>
              <w:spacing w:before="0"/>
              <w:jc w:val="both"/>
              <w:rPr>
                <w:rFonts w:ascii="Times New Roman" w:hAnsi="Times New Roman"/>
                <w:sz w:val="22"/>
                <w:szCs w:val="22"/>
              </w:rPr>
            </w:pPr>
            <w:r w:rsidRPr="00BB2471">
              <w:rPr>
                <w:rFonts w:ascii="Times New Roman" w:hAnsi="Times New Roman"/>
                <w:sz w:val="22"/>
                <w:szCs w:val="22"/>
              </w:rPr>
              <w:t>6</w:t>
            </w:r>
          </w:p>
        </w:tc>
      </w:tr>
    </w:tbl>
    <w:p w:rsidR="00A66A48" w:rsidRPr="00BB2471" w:rsidRDefault="00A66A48" w:rsidP="002E7AED">
      <w:pPr>
        <w:tabs>
          <w:tab w:val="left" w:pos="709"/>
          <w:tab w:val="left" w:pos="993"/>
          <w:tab w:val="left" w:pos="1276"/>
        </w:tabs>
        <w:spacing w:before="0"/>
        <w:ind w:left="568"/>
        <w:jc w:val="both"/>
        <w:rPr>
          <w:rFonts w:ascii="Times New Roman" w:hAnsi="Times New Roman"/>
          <w:sz w:val="22"/>
          <w:szCs w:val="22"/>
        </w:rPr>
      </w:pPr>
    </w:p>
    <w:p w:rsidR="00320A5A" w:rsidRPr="00BB2471" w:rsidRDefault="00320A5A" w:rsidP="002E7AED">
      <w:pPr>
        <w:tabs>
          <w:tab w:val="left" w:pos="709"/>
          <w:tab w:val="left" w:pos="993"/>
          <w:tab w:val="left" w:pos="1276"/>
        </w:tabs>
        <w:spacing w:before="0"/>
        <w:ind w:left="568"/>
        <w:jc w:val="both"/>
        <w:rPr>
          <w:rFonts w:ascii="Times New Roman" w:hAnsi="Times New Roman"/>
          <w:sz w:val="22"/>
          <w:szCs w:val="22"/>
        </w:rPr>
      </w:pPr>
    </w:p>
    <w:p w:rsidR="003F5F58" w:rsidRPr="00BB2471" w:rsidRDefault="000B509A" w:rsidP="001C7FD4">
      <w:pPr>
        <w:tabs>
          <w:tab w:val="left" w:pos="709"/>
          <w:tab w:val="left" w:pos="993"/>
        </w:tabs>
        <w:jc w:val="both"/>
        <w:rPr>
          <w:rFonts w:ascii="Times New Roman" w:hAnsi="Times New Roman"/>
          <w:sz w:val="22"/>
          <w:szCs w:val="22"/>
        </w:rPr>
      </w:pPr>
      <w:r w:rsidRPr="00BB2471">
        <w:rPr>
          <w:rFonts w:ascii="Times New Roman" w:hAnsi="Times New Roman"/>
          <w:sz w:val="22"/>
          <w:szCs w:val="22"/>
        </w:rPr>
        <w:lastRenderedPageBreak/>
        <w:t>The place of acceptance of the supplies shall be to the premises as specified in Annex II + III: Technical Specifications + Technical Offer”, and the and the Incoterm applicable shall be DDP</w:t>
      </w:r>
      <w:r w:rsidRPr="00BB2471">
        <w:rPr>
          <w:rStyle w:val="FootnoteReference"/>
          <w:rFonts w:ascii="Times New Roman" w:hAnsi="Times New Roman"/>
          <w:sz w:val="22"/>
          <w:szCs w:val="22"/>
        </w:rPr>
        <w:footnoteReference w:id="2"/>
      </w:r>
      <w:r w:rsidRPr="00BB2471">
        <w:rPr>
          <w:rFonts w:ascii="Times New Roman" w:hAnsi="Times New Roman"/>
          <w:sz w:val="22"/>
          <w:szCs w:val="22"/>
        </w:rPr>
        <w:t>.</w:t>
      </w:r>
      <w:r w:rsidR="003F5F58" w:rsidRPr="00BB2471">
        <w:rPr>
          <w:rFonts w:ascii="Times New Roman" w:hAnsi="Times New Roman"/>
          <w:sz w:val="22"/>
          <w:szCs w:val="22"/>
        </w:rPr>
        <w:t>The period of implementation of tasks (supply, delivery, unloading, installation</w:t>
      </w:r>
      <w:bookmarkStart w:id="2" w:name="_GoBack"/>
      <w:bookmarkEnd w:id="2"/>
      <w:r w:rsidR="003F5F58" w:rsidRPr="00BB2471">
        <w:rPr>
          <w:rFonts w:ascii="Times New Roman" w:hAnsi="Times New Roman"/>
          <w:sz w:val="22"/>
          <w:szCs w:val="22"/>
        </w:rPr>
        <w:t>) starting from the contract signature date until the date of issuance of the Provisional Acceptance Certificate shall be 72 calendar days. The implementation period will include 30 calendar days of delivery period</w:t>
      </w:r>
    </w:p>
    <w:p w:rsidR="00A66A48" w:rsidRPr="00BB2471" w:rsidRDefault="00A66A48" w:rsidP="002E7AED">
      <w:pPr>
        <w:tabs>
          <w:tab w:val="left" w:pos="709"/>
          <w:tab w:val="left" w:pos="993"/>
          <w:tab w:val="left" w:pos="1276"/>
        </w:tabs>
        <w:spacing w:before="0"/>
        <w:ind w:left="568"/>
        <w:jc w:val="both"/>
        <w:rPr>
          <w:rFonts w:ascii="Times New Roman" w:hAnsi="Times New Roman"/>
          <w:sz w:val="22"/>
          <w:szCs w:val="22"/>
        </w:rPr>
      </w:pPr>
    </w:p>
    <w:p w:rsidR="0047783A" w:rsidRPr="00BB2471" w:rsidRDefault="00131B4E" w:rsidP="002E7AED">
      <w:pPr>
        <w:pStyle w:val="Heading2"/>
        <w:keepNext w:val="0"/>
        <w:ind w:left="568" w:hanging="567"/>
        <w:jc w:val="both"/>
        <w:rPr>
          <w:rFonts w:ascii="Times New Roman" w:hAnsi="Times New Roman"/>
          <w:sz w:val="22"/>
          <w:szCs w:val="22"/>
          <w:lang w:val="en-GB"/>
        </w:rPr>
      </w:pPr>
      <w:bookmarkStart w:id="3" w:name="_Ref499723935"/>
      <w:bookmarkStart w:id="4" w:name="_Ref500330319"/>
      <w:r w:rsidRPr="00131B4E">
        <w:rPr>
          <w:rFonts w:ascii="Times New Roman" w:hAnsi="Times New Roman"/>
          <w:sz w:val="22"/>
          <w:szCs w:val="22"/>
          <w:lang w:val="en-GB"/>
        </w:rPr>
        <w:t>1.2</w:t>
      </w:r>
      <w:r w:rsidRPr="00131B4E">
        <w:rPr>
          <w:rFonts w:ascii="Times New Roman" w:hAnsi="Times New Roman"/>
          <w:sz w:val="22"/>
          <w:szCs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BB2471" w:rsidRDefault="0047783A" w:rsidP="002E7AED">
      <w:pPr>
        <w:pStyle w:val="Heading2"/>
        <w:keepNext w:val="0"/>
        <w:tabs>
          <w:tab w:val="left" w:pos="709"/>
        </w:tabs>
        <w:ind w:left="568" w:hanging="567"/>
        <w:jc w:val="both"/>
        <w:rPr>
          <w:rFonts w:ascii="Times New Roman" w:hAnsi="Times New Roman"/>
          <w:sz w:val="22"/>
          <w:szCs w:val="22"/>
          <w:lang w:val="en-GB"/>
        </w:rPr>
      </w:pPr>
    </w:p>
    <w:p w:rsidR="0047783A" w:rsidRPr="00BB2471" w:rsidRDefault="0047783A" w:rsidP="002E7AED">
      <w:pPr>
        <w:pStyle w:val="Heading2"/>
        <w:ind w:left="568" w:hanging="567"/>
        <w:jc w:val="both"/>
        <w:rPr>
          <w:rFonts w:ascii="Times New Roman" w:hAnsi="Times New Roman"/>
          <w:sz w:val="22"/>
          <w:szCs w:val="22"/>
          <w:lang w:val="en-GB"/>
        </w:rPr>
      </w:pPr>
      <w:r w:rsidRPr="00BB2471">
        <w:rPr>
          <w:rFonts w:ascii="Times New Roman" w:hAnsi="Times New Roman"/>
          <w:sz w:val="22"/>
          <w:szCs w:val="22"/>
          <w:lang w:val="en-GB"/>
        </w:rPr>
        <w:t>1.</w:t>
      </w:r>
      <w:r w:rsidR="00AD1B04">
        <w:rPr>
          <w:rFonts w:ascii="Times New Roman" w:hAnsi="Times New Roman"/>
          <w:sz w:val="22"/>
          <w:szCs w:val="22"/>
          <w:lang w:val="en-GB"/>
        </w:rPr>
        <w:t>3.</w:t>
      </w:r>
      <w:r w:rsidRPr="00BB2471">
        <w:rPr>
          <w:rFonts w:ascii="Times New Roman" w:hAnsi="Times New Roman"/>
          <w:sz w:val="22"/>
          <w:szCs w:val="22"/>
          <w:lang w:val="en-GB"/>
        </w:rPr>
        <w:t xml:space="preserve"> </w:t>
      </w:r>
      <w:r w:rsidR="001F279F" w:rsidRPr="00BB2471">
        <w:rPr>
          <w:rFonts w:ascii="Times New Roman" w:hAnsi="Times New Roman"/>
          <w:sz w:val="22"/>
          <w:szCs w:val="22"/>
          <w:lang w:val="en-GB"/>
        </w:rPr>
        <w:t xml:space="preserve">    </w:t>
      </w:r>
      <w:r w:rsidRPr="00BB2471">
        <w:rPr>
          <w:rFonts w:ascii="Times New Roman" w:hAnsi="Times New Roman"/>
          <w:sz w:val="22"/>
          <w:szCs w:val="22"/>
          <w:lang w:val="en-GB"/>
        </w:rPr>
        <w:t>Tenderers are not authorised to tender for a variant</w:t>
      </w:r>
      <w:r w:rsidR="00A77708" w:rsidRPr="00BB2471">
        <w:rPr>
          <w:rFonts w:ascii="Times New Roman" w:hAnsi="Times New Roman"/>
          <w:sz w:val="22"/>
          <w:szCs w:val="22"/>
          <w:lang w:val="en-GB"/>
        </w:rPr>
        <w:t xml:space="preserve"> solution</w:t>
      </w:r>
      <w:r w:rsidRPr="00BB2471">
        <w:rPr>
          <w:rFonts w:ascii="Times New Roman" w:hAnsi="Times New Roman"/>
          <w:sz w:val="22"/>
          <w:szCs w:val="22"/>
          <w:lang w:val="en-GB"/>
        </w:rPr>
        <w:t xml:space="preserve"> in addition to the present tender.</w:t>
      </w:r>
      <w:r w:rsidR="001309AB" w:rsidRPr="00BB2471">
        <w:rPr>
          <w:rFonts w:ascii="Times New Roman" w:hAnsi="Times New Roman"/>
          <w:sz w:val="22"/>
          <w:szCs w:val="22"/>
          <w:lang w:val="en-GB"/>
        </w:rPr>
        <w:br/>
      </w:r>
    </w:p>
    <w:p w:rsidR="001E6A73" w:rsidRDefault="0047783A">
      <w:pPr>
        <w:pStyle w:val="Heading1"/>
      </w:pPr>
      <w:bookmarkStart w:id="5" w:name="_Toc42488071"/>
      <w:r w:rsidRPr="00BB2471">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BB2471" w:rsidTr="002E7AED">
        <w:tc>
          <w:tcPr>
            <w:tcW w:w="3969" w:type="dxa"/>
            <w:tcBorders>
              <w:bottom w:val="nil"/>
            </w:tcBorders>
          </w:tcPr>
          <w:p w:rsidR="0047783A" w:rsidRPr="00BB2471" w:rsidRDefault="0047783A">
            <w:pPr>
              <w:keepNext/>
              <w:jc w:val="both"/>
              <w:rPr>
                <w:rFonts w:ascii="Times New Roman" w:hAnsi="Times New Roman"/>
                <w:sz w:val="22"/>
                <w:szCs w:val="22"/>
              </w:rPr>
            </w:pPr>
          </w:p>
        </w:tc>
        <w:tc>
          <w:tcPr>
            <w:tcW w:w="2410" w:type="dxa"/>
            <w:shd w:val="pct10" w:color="auto" w:fill="FFFFFF"/>
          </w:tcPr>
          <w:p w:rsidR="0047783A" w:rsidRPr="00BB2471" w:rsidRDefault="0047783A">
            <w:pPr>
              <w:keepNext/>
              <w:jc w:val="both"/>
              <w:rPr>
                <w:rFonts w:ascii="Times New Roman" w:hAnsi="Times New Roman"/>
                <w:b/>
                <w:sz w:val="22"/>
                <w:szCs w:val="22"/>
              </w:rPr>
            </w:pPr>
            <w:r w:rsidRPr="00BB2471">
              <w:rPr>
                <w:rFonts w:ascii="Times New Roman" w:hAnsi="Times New Roman"/>
                <w:b/>
                <w:sz w:val="22"/>
                <w:szCs w:val="22"/>
              </w:rPr>
              <w:t>DATE</w:t>
            </w:r>
          </w:p>
        </w:tc>
        <w:tc>
          <w:tcPr>
            <w:tcW w:w="2268" w:type="dxa"/>
            <w:tcBorders>
              <w:bottom w:val="nil"/>
            </w:tcBorders>
            <w:shd w:val="pct10" w:color="auto" w:fill="FFFFFF"/>
          </w:tcPr>
          <w:p w:rsidR="0047783A" w:rsidRPr="00BB2471" w:rsidRDefault="0047783A">
            <w:pPr>
              <w:jc w:val="both"/>
              <w:rPr>
                <w:rFonts w:ascii="Times New Roman" w:hAnsi="Times New Roman"/>
                <w:b/>
                <w:sz w:val="22"/>
                <w:szCs w:val="22"/>
              </w:rPr>
            </w:pPr>
            <w:r w:rsidRPr="00BB2471">
              <w:rPr>
                <w:rFonts w:ascii="Times New Roman" w:hAnsi="Times New Roman"/>
                <w:b/>
                <w:sz w:val="22"/>
                <w:szCs w:val="22"/>
              </w:rPr>
              <w:t>TIME*</w:t>
            </w:r>
          </w:p>
        </w:tc>
      </w:tr>
      <w:tr w:rsidR="0047783A" w:rsidRPr="00BB2471" w:rsidTr="002E7AED">
        <w:tc>
          <w:tcPr>
            <w:tcW w:w="3969" w:type="dxa"/>
            <w:shd w:val="pct10" w:color="auto" w:fill="FFFFFF"/>
          </w:tcPr>
          <w:p w:rsidR="0047783A" w:rsidRPr="00BB2471" w:rsidRDefault="0047783A" w:rsidP="0047783A">
            <w:pPr>
              <w:jc w:val="both"/>
              <w:rPr>
                <w:rFonts w:ascii="Times New Roman" w:hAnsi="Times New Roman"/>
                <w:b/>
                <w:sz w:val="22"/>
                <w:szCs w:val="22"/>
              </w:rPr>
            </w:pPr>
            <w:r w:rsidRPr="00BB2471">
              <w:rPr>
                <w:rFonts w:ascii="Times New Roman" w:hAnsi="Times New Roman"/>
                <w:b/>
                <w:sz w:val="22"/>
                <w:szCs w:val="22"/>
              </w:rPr>
              <w:t>Clarification meeting / site visit (if any)</w:t>
            </w:r>
          </w:p>
        </w:tc>
        <w:tc>
          <w:tcPr>
            <w:tcW w:w="2410" w:type="dxa"/>
          </w:tcPr>
          <w:p w:rsidR="0047783A" w:rsidRPr="00BB2471" w:rsidRDefault="00DA4D57" w:rsidP="006B396A">
            <w:pPr>
              <w:rPr>
                <w:rFonts w:ascii="Times New Roman" w:hAnsi="Times New Roman"/>
                <w:sz w:val="22"/>
                <w:szCs w:val="22"/>
              </w:rPr>
            </w:pPr>
            <w:r w:rsidRPr="00BB2471">
              <w:rPr>
                <w:rFonts w:ascii="Times New Roman" w:hAnsi="Times New Roman"/>
                <w:sz w:val="22"/>
                <w:szCs w:val="22"/>
              </w:rPr>
              <w:t xml:space="preserve"> </w:t>
            </w:r>
            <w:r w:rsidR="0047783A" w:rsidRPr="00BB2471">
              <w:rPr>
                <w:rFonts w:ascii="Times New Roman" w:hAnsi="Times New Roman"/>
                <w:sz w:val="22"/>
                <w:szCs w:val="22"/>
              </w:rPr>
              <w:t>Not applicable</w:t>
            </w:r>
          </w:p>
        </w:tc>
        <w:tc>
          <w:tcPr>
            <w:tcW w:w="2268" w:type="dxa"/>
          </w:tcPr>
          <w:p w:rsidR="0047783A" w:rsidRPr="00BB2471" w:rsidRDefault="00DA4D57" w:rsidP="006B396A">
            <w:pPr>
              <w:rPr>
                <w:rFonts w:ascii="Times New Roman" w:hAnsi="Times New Roman"/>
                <w:sz w:val="22"/>
                <w:szCs w:val="22"/>
              </w:rPr>
            </w:pPr>
            <w:r w:rsidRPr="00BB2471">
              <w:rPr>
                <w:rFonts w:ascii="Times New Roman" w:hAnsi="Times New Roman"/>
                <w:sz w:val="22"/>
                <w:szCs w:val="22"/>
              </w:rPr>
              <w:t>Not applicable</w:t>
            </w:r>
          </w:p>
        </w:tc>
      </w:tr>
      <w:tr w:rsidR="0047783A" w:rsidRPr="00BB2471" w:rsidTr="002E7AED">
        <w:tc>
          <w:tcPr>
            <w:tcW w:w="3969" w:type="dxa"/>
            <w:shd w:val="pct10" w:color="auto" w:fill="FFFFFF"/>
          </w:tcPr>
          <w:p w:rsidR="0047783A" w:rsidRPr="00BB2471" w:rsidRDefault="0047783A">
            <w:pPr>
              <w:keepNext/>
              <w:rPr>
                <w:rFonts w:ascii="Times New Roman" w:hAnsi="Times New Roman"/>
                <w:b/>
                <w:sz w:val="22"/>
                <w:szCs w:val="22"/>
              </w:rPr>
            </w:pPr>
            <w:r w:rsidRPr="00BB2471">
              <w:rPr>
                <w:rFonts w:ascii="Times New Roman" w:hAnsi="Times New Roman"/>
                <w:b/>
                <w:sz w:val="22"/>
                <w:szCs w:val="22"/>
              </w:rPr>
              <w:t>Deadline for request</w:t>
            </w:r>
            <w:r w:rsidR="00335E06" w:rsidRPr="00BB2471">
              <w:rPr>
                <w:rFonts w:ascii="Times New Roman" w:hAnsi="Times New Roman"/>
                <w:b/>
                <w:sz w:val="22"/>
                <w:szCs w:val="22"/>
              </w:rPr>
              <w:t>ing</w:t>
            </w:r>
            <w:r w:rsidRPr="00BB2471">
              <w:rPr>
                <w:rFonts w:ascii="Times New Roman" w:hAnsi="Times New Roman"/>
                <w:b/>
                <w:sz w:val="22"/>
                <w:szCs w:val="22"/>
              </w:rPr>
              <w:t xml:space="preserve"> clarifications from the Contracting Authority</w:t>
            </w:r>
          </w:p>
        </w:tc>
        <w:tc>
          <w:tcPr>
            <w:tcW w:w="2410" w:type="dxa"/>
          </w:tcPr>
          <w:p w:rsidR="0047783A" w:rsidRPr="00BB2471" w:rsidRDefault="003942E1" w:rsidP="006B396A">
            <w:pPr>
              <w:rPr>
                <w:rFonts w:ascii="Times New Roman" w:hAnsi="Times New Roman"/>
                <w:sz w:val="22"/>
                <w:szCs w:val="22"/>
              </w:rPr>
            </w:pPr>
            <w:r>
              <w:rPr>
                <w:rFonts w:ascii="Times New Roman" w:hAnsi="Times New Roman"/>
                <w:sz w:val="22"/>
                <w:szCs w:val="22"/>
              </w:rPr>
              <w:t>2</w:t>
            </w:r>
            <w:r w:rsidR="00847853">
              <w:rPr>
                <w:rFonts w:ascii="Times New Roman" w:hAnsi="Times New Roman"/>
                <w:sz w:val="22"/>
                <w:szCs w:val="22"/>
              </w:rPr>
              <w:t>6.08.2016.</w:t>
            </w:r>
          </w:p>
        </w:tc>
        <w:tc>
          <w:tcPr>
            <w:tcW w:w="2268" w:type="dxa"/>
          </w:tcPr>
          <w:p w:rsidR="0047783A" w:rsidRPr="00BB2471" w:rsidRDefault="00131B4E" w:rsidP="006B396A">
            <w:pPr>
              <w:rPr>
                <w:rFonts w:ascii="Times New Roman" w:hAnsi="Times New Roman"/>
                <w:sz w:val="22"/>
                <w:szCs w:val="22"/>
              </w:rPr>
            </w:pPr>
            <w:r w:rsidRPr="00131B4E">
              <w:rPr>
                <w:rFonts w:ascii="Times New Roman" w:hAnsi="Times New Roman"/>
                <w:sz w:val="22"/>
                <w:szCs w:val="22"/>
              </w:rPr>
              <w:t>17:00h</w:t>
            </w:r>
          </w:p>
        </w:tc>
      </w:tr>
      <w:tr w:rsidR="0047783A" w:rsidRPr="00BB2471" w:rsidTr="002E7AED">
        <w:tc>
          <w:tcPr>
            <w:tcW w:w="3969" w:type="dxa"/>
            <w:shd w:val="pct10" w:color="auto" w:fill="FFFFFF"/>
          </w:tcPr>
          <w:p w:rsidR="0047783A" w:rsidRPr="00BB2471" w:rsidRDefault="0047783A">
            <w:pPr>
              <w:rPr>
                <w:rFonts w:ascii="Times New Roman" w:hAnsi="Times New Roman"/>
                <w:b/>
                <w:sz w:val="22"/>
                <w:szCs w:val="22"/>
              </w:rPr>
            </w:pPr>
            <w:r w:rsidRPr="00BB2471">
              <w:rPr>
                <w:rFonts w:ascii="Times New Roman" w:hAnsi="Times New Roman"/>
                <w:b/>
                <w:sz w:val="22"/>
                <w:szCs w:val="22"/>
              </w:rPr>
              <w:t>Last date on which clarifications are issued by the Contracting Authority</w:t>
            </w:r>
          </w:p>
        </w:tc>
        <w:tc>
          <w:tcPr>
            <w:tcW w:w="2410" w:type="dxa"/>
          </w:tcPr>
          <w:p w:rsidR="0047783A" w:rsidRPr="00BB2471" w:rsidRDefault="003942E1" w:rsidP="00847853">
            <w:pPr>
              <w:rPr>
                <w:rFonts w:ascii="Times New Roman" w:hAnsi="Times New Roman"/>
                <w:sz w:val="22"/>
                <w:szCs w:val="22"/>
              </w:rPr>
            </w:pPr>
            <w:r>
              <w:rPr>
                <w:rFonts w:ascii="Times New Roman" w:hAnsi="Times New Roman"/>
                <w:sz w:val="22"/>
                <w:szCs w:val="22"/>
              </w:rPr>
              <w:t>05.09</w:t>
            </w:r>
            <w:r w:rsidR="00847853">
              <w:rPr>
                <w:rFonts w:ascii="Times New Roman" w:hAnsi="Times New Roman"/>
                <w:sz w:val="22"/>
                <w:szCs w:val="22"/>
              </w:rPr>
              <w:t>.2016.</w:t>
            </w:r>
          </w:p>
        </w:tc>
        <w:tc>
          <w:tcPr>
            <w:tcW w:w="2268" w:type="dxa"/>
          </w:tcPr>
          <w:p w:rsidR="0047783A" w:rsidRPr="00BB2471" w:rsidRDefault="00A12449" w:rsidP="006B396A">
            <w:pPr>
              <w:rPr>
                <w:rFonts w:ascii="Times New Roman" w:hAnsi="Times New Roman"/>
                <w:sz w:val="22"/>
                <w:szCs w:val="22"/>
              </w:rPr>
            </w:pPr>
            <w:r w:rsidRPr="00BB2471">
              <w:rPr>
                <w:rFonts w:ascii="Times New Roman" w:hAnsi="Times New Roman"/>
                <w:sz w:val="22"/>
                <w:szCs w:val="22"/>
              </w:rPr>
              <w:t>-</w:t>
            </w:r>
          </w:p>
        </w:tc>
      </w:tr>
      <w:tr w:rsidR="0047783A" w:rsidRPr="00BB2471" w:rsidTr="002E7AED">
        <w:tc>
          <w:tcPr>
            <w:tcW w:w="3969" w:type="dxa"/>
            <w:shd w:val="pct10" w:color="auto" w:fill="FFFFFF"/>
          </w:tcPr>
          <w:p w:rsidR="0047783A" w:rsidRPr="00BB2471" w:rsidRDefault="0047783A">
            <w:pPr>
              <w:jc w:val="both"/>
              <w:rPr>
                <w:rFonts w:ascii="Times New Roman" w:hAnsi="Times New Roman"/>
                <w:b/>
                <w:sz w:val="22"/>
                <w:szCs w:val="22"/>
              </w:rPr>
            </w:pPr>
            <w:r w:rsidRPr="00BB2471">
              <w:rPr>
                <w:rFonts w:ascii="Times New Roman" w:hAnsi="Times New Roman"/>
                <w:b/>
                <w:sz w:val="22"/>
                <w:szCs w:val="22"/>
              </w:rPr>
              <w:t>Deadline for submission of tenders</w:t>
            </w:r>
          </w:p>
        </w:tc>
        <w:tc>
          <w:tcPr>
            <w:tcW w:w="2410" w:type="dxa"/>
          </w:tcPr>
          <w:p w:rsidR="0047783A" w:rsidRPr="00BB2471" w:rsidRDefault="003942E1" w:rsidP="006B396A">
            <w:pPr>
              <w:rPr>
                <w:rFonts w:ascii="Times New Roman" w:hAnsi="Times New Roman"/>
                <w:sz w:val="22"/>
                <w:szCs w:val="22"/>
              </w:rPr>
            </w:pPr>
            <w:r>
              <w:rPr>
                <w:rFonts w:ascii="Times New Roman" w:hAnsi="Times New Roman"/>
                <w:sz w:val="22"/>
                <w:szCs w:val="22"/>
              </w:rPr>
              <w:t>1</w:t>
            </w:r>
            <w:r w:rsidR="00847853">
              <w:rPr>
                <w:rFonts w:ascii="Times New Roman" w:hAnsi="Times New Roman"/>
                <w:sz w:val="22"/>
                <w:szCs w:val="22"/>
              </w:rPr>
              <w:t>5.09.2016.</w:t>
            </w:r>
          </w:p>
        </w:tc>
        <w:tc>
          <w:tcPr>
            <w:tcW w:w="2268" w:type="dxa"/>
          </w:tcPr>
          <w:p w:rsidR="0047783A" w:rsidRPr="00BB2471" w:rsidRDefault="00A12449" w:rsidP="006B396A">
            <w:pPr>
              <w:rPr>
                <w:rFonts w:ascii="Times New Roman" w:hAnsi="Times New Roman"/>
                <w:sz w:val="22"/>
                <w:szCs w:val="22"/>
              </w:rPr>
            </w:pPr>
            <w:r w:rsidRPr="00BB2471">
              <w:rPr>
                <w:rFonts w:ascii="Times New Roman" w:hAnsi="Times New Roman"/>
                <w:sz w:val="22"/>
                <w:szCs w:val="22"/>
              </w:rPr>
              <w:t>11:00 h</w:t>
            </w:r>
          </w:p>
        </w:tc>
      </w:tr>
      <w:tr w:rsidR="0047783A" w:rsidRPr="00BB2471" w:rsidTr="002E7AED">
        <w:tc>
          <w:tcPr>
            <w:tcW w:w="3969" w:type="dxa"/>
            <w:shd w:val="pct10" w:color="auto" w:fill="FFFFFF"/>
          </w:tcPr>
          <w:p w:rsidR="0047783A" w:rsidRPr="00BB2471" w:rsidRDefault="0047783A">
            <w:pPr>
              <w:jc w:val="both"/>
              <w:rPr>
                <w:rFonts w:ascii="Times New Roman" w:hAnsi="Times New Roman"/>
                <w:b/>
                <w:sz w:val="22"/>
                <w:szCs w:val="22"/>
              </w:rPr>
            </w:pPr>
            <w:r w:rsidRPr="00BB2471">
              <w:rPr>
                <w:rFonts w:ascii="Times New Roman" w:hAnsi="Times New Roman"/>
                <w:b/>
                <w:sz w:val="22"/>
                <w:szCs w:val="22"/>
              </w:rPr>
              <w:t>Tender opening session</w:t>
            </w:r>
          </w:p>
        </w:tc>
        <w:tc>
          <w:tcPr>
            <w:tcW w:w="2410" w:type="dxa"/>
          </w:tcPr>
          <w:p w:rsidR="0047783A" w:rsidRPr="00BB2471" w:rsidRDefault="003942E1" w:rsidP="006B396A">
            <w:pPr>
              <w:rPr>
                <w:rFonts w:ascii="Times New Roman" w:hAnsi="Times New Roman"/>
                <w:sz w:val="22"/>
                <w:szCs w:val="22"/>
              </w:rPr>
            </w:pPr>
            <w:r>
              <w:rPr>
                <w:rFonts w:ascii="Times New Roman" w:hAnsi="Times New Roman"/>
                <w:sz w:val="22"/>
                <w:szCs w:val="22"/>
              </w:rPr>
              <w:t>15</w:t>
            </w:r>
            <w:r w:rsidR="00847853">
              <w:rPr>
                <w:rFonts w:ascii="Times New Roman" w:hAnsi="Times New Roman"/>
                <w:sz w:val="22"/>
                <w:szCs w:val="22"/>
              </w:rPr>
              <w:t>.09.2016.</w:t>
            </w:r>
          </w:p>
        </w:tc>
        <w:tc>
          <w:tcPr>
            <w:tcW w:w="2268" w:type="dxa"/>
          </w:tcPr>
          <w:p w:rsidR="0047783A" w:rsidRPr="00BB2471" w:rsidRDefault="00BC75D8" w:rsidP="006B396A">
            <w:pPr>
              <w:rPr>
                <w:rFonts w:ascii="Times New Roman" w:hAnsi="Times New Roman"/>
                <w:sz w:val="22"/>
                <w:szCs w:val="22"/>
              </w:rPr>
            </w:pPr>
            <w:r w:rsidRPr="00BB2471">
              <w:rPr>
                <w:rFonts w:ascii="Times New Roman" w:hAnsi="Times New Roman"/>
                <w:sz w:val="22"/>
                <w:szCs w:val="22"/>
              </w:rPr>
              <w:t xml:space="preserve"> </w:t>
            </w:r>
            <w:r w:rsidR="00A12449" w:rsidRPr="00BB2471">
              <w:rPr>
                <w:rFonts w:ascii="Times New Roman" w:hAnsi="Times New Roman"/>
                <w:sz w:val="22"/>
                <w:szCs w:val="22"/>
              </w:rPr>
              <w:t>12:00h</w:t>
            </w:r>
          </w:p>
        </w:tc>
      </w:tr>
      <w:tr w:rsidR="0047783A" w:rsidRPr="00BB2471" w:rsidTr="002E7AED">
        <w:tc>
          <w:tcPr>
            <w:tcW w:w="3969" w:type="dxa"/>
            <w:shd w:val="pct10" w:color="auto" w:fill="FFFFFF"/>
          </w:tcPr>
          <w:p w:rsidR="0047783A" w:rsidRPr="00BB2471" w:rsidRDefault="0047783A">
            <w:pPr>
              <w:tabs>
                <w:tab w:val="left" w:pos="851"/>
              </w:tabs>
              <w:jc w:val="both"/>
              <w:rPr>
                <w:rFonts w:ascii="Times New Roman" w:hAnsi="Times New Roman"/>
                <w:b/>
                <w:sz w:val="22"/>
                <w:szCs w:val="22"/>
              </w:rPr>
            </w:pPr>
            <w:r w:rsidRPr="00BB2471">
              <w:rPr>
                <w:rFonts w:ascii="Times New Roman" w:hAnsi="Times New Roman"/>
                <w:b/>
                <w:sz w:val="22"/>
                <w:szCs w:val="22"/>
              </w:rPr>
              <w:t>Notification of award to the successful tenderer</w:t>
            </w:r>
          </w:p>
        </w:tc>
        <w:tc>
          <w:tcPr>
            <w:tcW w:w="2410" w:type="dxa"/>
          </w:tcPr>
          <w:p w:rsidR="0047783A" w:rsidRPr="00BB2471" w:rsidRDefault="0047783A" w:rsidP="006B396A">
            <w:pPr>
              <w:tabs>
                <w:tab w:val="left" w:pos="851"/>
              </w:tabs>
              <w:rPr>
                <w:rFonts w:ascii="Times New Roman" w:hAnsi="Times New Roman"/>
                <w:sz w:val="22"/>
                <w:szCs w:val="22"/>
              </w:rPr>
            </w:pPr>
            <w:r w:rsidRPr="00BB2471">
              <w:rPr>
                <w:rFonts w:ascii="Times New Roman" w:hAnsi="Times New Roman"/>
                <w:sz w:val="22"/>
                <w:szCs w:val="22"/>
              </w:rPr>
              <w:t>Date at most 90 days after deadline for tenders</w:t>
            </w:r>
          </w:p>
        </w:tc>
        <w:tc>
          <w:tcPr>
            <w:tcW w:w="2268" w:type="dxa"/>
          </w:tcPr>
          <w:p w:rsidR="0047783A" w:rsidRPr="00BB2471" w:rsidRDefault="00131B4E" w:rsidP="006B396A">
            <w:pPr>
              <w:tabs>
                <w:tab w:val="left" w:pos="851"/>
              </w:tabs>
              <w:rPr>
                <w:rFonts w:ascii="Times New Roman" w:hAnsi="Times New Roman"/>
                <w:sz w:val="22"/>
                <w:szCs w:val="22"/>
              </w:rPr>
            </w:pPr>
            <w:r w:rsidRPr="00131B4E">
              <w:rPr>
                <w:rFonts w:ascii="Times New Roman" w:hAnsi="Times New Roman"/>
                <w:sz w:val="22"/>
                <w:szCs w:val="22"/>
              </w:rPr>
              <w:t>-</w:t>
            </w:r>
          </w:p>
        </w:tc>
      </w:tr>
      <w:tr w:rsidR="0047783A" w:rsidRPr="00BB2471" w:rsidTr="002E7AED">
        <w:tc>
          <w:tcPr>
            <w:tcW w:w="3969" w:type="dxa"/>
            <w:shd w:val="pct10" w:color="auto" w:fill="FFFFFF"/>
          </w:tcPr>
          <w:p w:rsidR="0047783A" w:rsidRPr="00BB2471" w:rsidRDefault="0047783A">
            <w:pPr>
              <w:tabs>
                <w:tab w:val="left" w:pos="851"/>
              </w:tabs>
              <w:jc w:val="both"/>
              <w:rPr>
                <w:rFonts w:ascii="Times New Roman" w:hAnsi="Times New Roman"/>
                <w:b/>
                <w:sz w:val="22"/>
                <w:szCs w:val="22"/>
              </w:rPr>
            </w:pPr>
            <w:r w:rsidRPr="00BB2471">
              <w:rPr>
                <w:rFonts w:ascii="Times New Roman" w:hAnsi="Times New Roman"/>
                <w:b/>
                <w:sz w:val="22"/>
                <w:szCs w:val="22"/>
              </w:rPr>
              <w:t>Signature of the contract</w:t>
            </w:r>
          </w:p>
        </w:tc>
        <w:tc>
          <w:tcPr>
            <w:tcW w:w="2410" w:type="dxa"/>
          </w:tcPr>
          <w:p w:rsidR="0047783A" w:rsidRPr="00BB2471" w:rsidRDefault="0047783A" w:rsidP="006B396A">
            <w:pPr>
              <w:tabs>
                <w:tab w:val="left" w:pos="851"/>
              </w:tabs>
              <w:rPr>
                <w:rFonts w:ascii="Times New Roman" w:hAnsi="Times New Roman"/>
                <w:sz w:val="22"/>
                <w:szCs w:val="22"/>
              </w:rPr>
            </w:pPr>
            <w:r w:rsidRPr="00BB2471">
              <w:rPr>
                <w:rFonts w:ascii="Times New Roman" w:hAnsi="Times New Roman"/>
                <w:sz w:val="22"/>
                <w:szCs w:val="22"/>
              </w:rPr>
              <w:t>Date at most 150 days after deadline for tenders</w:t>
            </w:r>
          </w:p>
        </w:tc>
        <w:tc>
          <w:tcPr>
            <w:tcW w:w="2268" w:type="dxa"/>
          </w:tcPr>
          <w:p w:rsidR="0047783A" w:rsidRPr="00BB2471" w:rsidRDefault="0047783A" w:rsidP="006B396A">
            <w:pPr>
              <w:tabs>
                <w:tab w:val="left" w:pos="851"/>
              </w:tabs>
              <w:rPr>
                <w:rFonts w:ascii="Times New Roman" w:hAnsi="Times New Roman"/>
                <w:sz w:val="22"/>
                <w:szCs w:val="22"/>
              </w:rPr>
            </w:pPr>
            <w:r w:rsidRPr="00BB2471">
              <w:rPr>
                <w:rFonts w:ascii="Times New Roman" w:hAnsi="Times New Roman"/>
                <w:sz w:val="22"/>
                <w:szCs w:val="22"/>
              </w:rPr>
              <w:t>-</w:t>
            </w:r>
          </w:p>
        </w:tc>
      </w:tr>
    </w:tbl>
    <w:p w:rsidR="0047783A" w:rsidRPr="00BB2471" w:rsidRDefault="00131B4E" w:rsidP="002E7AED">
      <w:pPr>
        <w:tabs>
          <w:tab w:val="left" w:pos="851"/>
        </w:tabs>
        <w:ind w:left="568"/>
        <w:jc w:val="both"/>
        <w:rPr>
          <w:rFonts w:ascii="Times New Roman" w:hAnsi="Times New Roman"/>
          <w:b/>
          <w:sz w:val="22"/>
          <w:szCs w:val="22"/>
        </w:rPr>
      </w:pPr>
      <w:bookmarkStart w:id="6" w:name="_Ref500317541"/>
      <w:r w:rsidRPr="00131B4E">
        <w:rPr>
          <w:rFonts w:ascii="Times New Roman" w:hAnsi="Times New Roman"/>
          <w:b/>
          <w:sz w:val="22"/>
          <w:szCs w:val="22"/>
        </w:rPr>
        <w:t xml:space="preserve"> * All times are in the time zone of the country of the Contracting Authority Provisional date</w:t>
      </w:r>
    </w:p>
    <w:p w:rsidR="001E6A73" w:rsidRDefault="0047783A">
      <w:pPr>
        <w:pStyle w:val="Heading1"/>
      </w:pPr>
      <w:bookmarkStart w:id="7" w:name="_Toc42488072"/>
      <w:bookmarkEnd w:id="6"/>
      <w:r w:rsidRPr="00BB2471">
        <w:t>Participation</w:t>
      </w:r>
      <w:bookmarkEnd w:id="7"/>
    </w:p>
    <w:p w:rsidR="0047783A" w:rsidRPr="00BB2471" w:rsidRDefault="0047783A" w:rsidP="002E7AED">
      <w:pPr>
        <w:pStyle w:val="PRAGHeading2"/>
        <w:numPr>
          <w:ilvl w:val="0"/>
          <w:numId w:val="0"/>
        </w:numPr>
        <w:ind w:left="568" w:hanging="567"/>
        <w:jc w:val="both"/>
        <w:rPr>
          <w:sz w:val="22"/>
          <w:szCs w:val="22"/>
        </w:rPr>
      </w:pPr>
      <w:r w:rsidRPr="00BB2471">
        <w:rPr>
          <w:sz w:val="22"/>
          <w:szCs w:val="22"/>
          <w:lang w:val="en-GB"/>
        </w:rPr>
        <w:t>3.1</w:t>
      </w:r>
      <w:r w:rsidRPr="00BB2471">
        <w:rPr>
          <w:sz w:val="22"/>
          <w:szCs w:val="22"/>
          <w:lang w:val="en-GB"/>
        </w:rPr>
        <w:tab/>
      </w:r>
      <w:r w:rsidR="00306F74" w:rsidRPr="00BB2471">
        <w:rPr>
          <w:sz w:val="22"/>
          <w:szCs w:val="22"/>
          <w:lang w:val="en-GB"/>
        </w:rPr>
        <w:t>Participation is open to all legal persons (participating either individually or in a grouping – consortium - of tenderers) which are effectively established in a Member State of the European Union or in a country or territory of the regions covered and/or authorised by the specific instruments applicable to the programme under which the contract is financed (see item 22 of the contract notice).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r w:rsidR="00123EDC" w:rsidRPr="00BB2471">
        <w:rPr>
          <w:sz w:val="22"/>
          <w:szCs w:val="22"/>
          <w:lang w:val="en-GB"/>
        </w:rPr>
        <w:t>.</w:t>
      </w:r>
      <w:r w:rsidR="00131B4E" w:rsidRPr="00131B4E">
        <w:rPr>
          <w:sz w:val="22"/>
          <w:szCs w:val="22"/>
          <w:lang w:val="en-GB"/>
        </w:rPr>
        <w:t xml:space="preserve"> </w:t>
      </w:r>
    </w:p>
    <w:p w:rsidR="0047783A" w:rsidRPr="00BB2471" w:rsidRDefault="0047783A" w:rsidP="002E7AED">
      <w:pPr>
        <w:pStyle w:val="Heading2"/>
        <w:keepNext w:val="0"/>
        <w:ind w:left="568" w:hanging="567"/>
        <w:jc w:val="both"/>
        <w:rPr>
          <w:rFonts w:ascii="Times New Roman" w:hAnsi="Times New Roman"/>
          <w:sz w:val="22"/>
          <w:szCs w:val="22"/>
          <w:lang w:val="en-GB"/>
        </w:rPr>
      </w:pPr>
      <w:r w:rsidRPr="00BB2471">
        <w:rPr>
          <w:rFonts w:ascii="Times New Roman" w:hAnsi="Times New Roman"/>
          <w:sz w:val="22"/>
          <w:szCs w:val="22"/>
          <w:lang w:val="en-GB"/>
        </w:rPr>
        <w:lastRenderedPageBreak/>
        <w:t>3.2</w:t>
      </w:r>
      <w:r w:rsidRPr="00BB2471">
        <w:rPr>
          <w:rFonts w:ascii="Times New Roman" w:hAnsi="Times New Roman"/>
          <w:sz w:val="22"/>
          <w:szCs w:val="22"/>
          <w:lang w:val="en-GB"/>
        </w:rPr>
        <w:tab/>
      </w:r>
      <w:r w:rsidR="004365AD" w:rsidRPr="00BB2471">
        <w:rPr>
          <w:rFonts w:ascii="Times New Roman" w:hAnsi="Times New Roman"/>
          <w:sz w:val="22"/>
          <w:szCs w:val="22"/>
          <w:lang w:val="en-GB"/>
        </w:rPr>
        <w:t xml:space="preserve">These terms refer to all nationals of the above states and to all legal entities, companies or partnerships </w:t>
      </w:r>
      <w:r w:rsidR="000076C2" w:rsidRPr="00BB2471">
        <w:rPr>
          <w:rFonts w:ascii="Times New Roman" w:hAnsi="Times New Roman"/>
          <w:sz w:val="22"/>
          <w:szCs w:val="22"/>
          <w:lang w:val="en-GB"/>
        </w:rPr>
        <w:t xml:space="preserve">effectively </w:t>
      </w:r>
      <w:r w:rsidR="004365AD" w:rsidRPr="00BB2471">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BB2471" w:rsidRDefault="0047783A" w:rsidP="002E7AED">
      <w:pPr>
        <w:pStyle w:val="Heading2"/>
        <w:keepNext w:val="0"/>
        <w:tabs>
          <w:tab w:val="left" w:pos="709"/>
        </w:tabs>
        <w:ind w:left="568" w:hanging="567"/>
        <w:jc w:val="both"/>
        <w:rPr>
          <w:rFonts w:ascii="Times New Roman" w:hAnsi="Times New Roman"/>
          <w:sz w:val="22"/>
          <w:szCs w:val="22"/>
          <w:lang w:val="en-GB"/>
        </w:rPr>
      </w:pPr>
      <w:r w:rsidRPr="00BB2471">
        <w:rPr>
          <w:rFonts w:ascii="Times New Roman" w:hAnsi="Times New Roman"/>
          <w:sz w:val="22"/>
          <w:szCs w:val="22"/>
          <w:lang w:val="en-GB"/>
        </w:rPr>
        <w:t>3.3</w:t>
      </w:r>
      <w:r w:rsidRPr="00BB2471">
        <w:rPr>
          <w:rFonts w:ascii="Times New Roman" w:hAnsi="Times New Roman"/>
          <w:sz w:val="22"/>
          <w:szCs w:val="22"/>
          <w:lang w:val="en-GB"/>
        </w:rPr>
        <w:tab/>
      </w:r>
      <w:r w:rsidR="007A0C47" w:rsidRPr="00BB2471">
        <w:rPr>
          <w:rFonts w:ascii="Times New Roman" w:hAnsi="Times New Roman"/>
          <w:sz w:val="22"/>
          <w:szCs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w:t>
      </w:r>
      <w:r w:rsidR="00131B4E" w:rsidRPr="00131B4E">
        <w:rPr>
          <w:rFonts w:ascii="Times New Roman" w:hAnsi="Times New Roman"/>
          <w:sz w:val="22"/>
          <w:szCs w:val="22"/>
          <w:lang w:val="en-GB"/>
        </w:rPr>
        <w:t>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47783A" w:rsidRPr="00BB2471" w:rsidRDefault="00131B4E" w:rsidP="002E7AED">
      <w:pPr>
        <w:pStyle w:val="Heading2"/>
        <w:keepNext w:val="0"/>
        <w:tabs>
          <w:tab w:val="left" w:pos="709"/>
        </w:tabs>
        <w:ind w:left="568" w:hanging="567"/>
        <w:jc w:val="both"/>
        <w:rPr>
          <w:rFonts w:ascii="Times New Roman" w:hAnsi="Times New Roman"/>
          <w:sz w:val="22"/>
          <w:szCs w:val="22"/>
          <w:lang w:val="en-GB"/>
        </w:rPr>
      </w:pPr>
      <w:r w:rsidRPr="00131B4E">
        <w:rPr>
          <w:rFonts w:ascii="Times New Roman" w:hAnsi="Times New Roman"/>
          <w:sz w:val="22"/>
          <w:szCs w:val="22"/>
          <w:lang w:val="en-GB"/>
        </w:rPr>
        <w:t>3.4</w:t>
      </w:r>
      <w:r w:rsidRPr="00131B4E">
        <w:rPr>
          <w:rFonts w:ascii="Times New Roman" w:hAnsi="Times New Roman"/>
          <w:sz w:val="22"/>
          <w:szCs w:val="22"/>
          <w:lang w:val="en-GB"/>
        </w:rPr>
        <w:tab/>
        <w:t xml:space="preserve">Natural or legal persons are not entitled to participate in this tender procedure or be awarded a contract if they are in any of the situations mentioned in Sections 2.3.3.1 or 2.3.3.2 of the Practical Guide. Should they do so, their tender will be considered unsuitable or irregular respectively. In the cases listed in Section 2.3.3.1 of the </w:t>
      </w:r>
      <w:r w:rsidR="00AD7C94">
        <w:rPr>
          <w:rFonts w:ascii="Times New Roman" w:hAnsi="Times New Roman"/>
          <w:b/>
          <w:sz w:val="22"/>
          <w:szCs w:val="22"/>
          <w:lang w:val="en-GB"/>
        </w:rPr>
        <w:t>Practical Guide</w:t>
      </w:r>
      <w:r w:rsidRPr="00131B4E">
        <w:rPr>
          <w:rFonts w:ascii="Times New Roman" w:hAnsi="Times New Roman"/>
          <w:sz w:val="22"/>
          <w:szCs w:val="22"/>
          <w:lang w:val="en-GB"/>
        </w:rPr>
        <w:t xml:space="preserve"> tenderers may also be excluded from EU financed procedures and be subject to financial penalties representing 2</w:t>
      </w:r>
      <w:r w:rsidRPr="00131B4E">
        <w:rPr>
          <w:rFonts w:ascii="Times New Roman" w:hAnsi="Times New Roman"/>
          <w:w w:val="50"/>
          <w:sz w:val="22"/>
          <w:szCs w:val="22"/>
          <w:lang w:val="en-GB"/>
        </w:rPr>
        <w:t> </w:t>
      </w:r>
      <w:r w:rsidRPr="00131B4E">
        <w:rPr>
          <w:rFonts w:ascii="Times New Roman" w:hAnsi="Times New Roman"/>
          <w:sz w:val="22"/>
          <w:szCs w:val="22"/>
          <w:lang w:val="en-GB"/>
        </w:rPr>
        <w:t>% to 10</w:t>
      </w:r>
      <w:r w:rsidRPr="00131B4E">
        <w:rPr>
          <w:rFonts w:ascii="Times New Roman" w:hAnsi="Times New Roman"/>
          <w:w w:val="50"/>
          <w:sz w:val="22"/>
          <w:szCs w:val="22"/>
          <w:lang w:val="en-GB"/>
        </w:rPr>
        <w:t> </w:t>
      </w:r>
      <w:r w:rsidRPr="00131B4E">
        <w:rPr>
          <w:rFonts w:ascii="Times New Roman" w:hAnsi="Times New Roman"/>
          <w:sz w:val="22"/>
          <w:szCs w:val="22"/>
          <w:lang w:val="en-GB"/>
        </w:rPr>
        <w:t xml:space="preserve">% of the total value of the contract in accordance with the conditions set in Section 2.3.4 of the </w:t>
      </w:r>
      <w:r w:rsidR="00AD7C94">
        <w:rPr>
          <w:rFonts w:ascii="Times New Roman" w:hAnsi="Times New Roman"/>
          <w:b/>
          <w:sz w:val="22"/>
          <w:szCs w:val="22"/>
          <w:lang w:val="en-GB"/>
        </w:rPr>
        <w:t>Practical Guide</w:t>
      </w:r>
      <w:r w:rsidRPr="00131B4E">
        <w:rPr>
          <w:rFonts w:ascii="Times New Roman" w:hAnsi="Times New Roman"/>
          <w:sz w:val="22"/>
          <w:szCs w:val="22"/>
          <w:lang w:val="en-GB"/>
        </w:rPr>
        <w:t xml:space="preserve">. This information may be published on the Commission website in accordance with the conditions set in Section 2.3.4 of the Practical Guide. </w:t>
      </w:r>
      <w:r w:rsidR="0047783A" w:rsidRPr="00BB2471">
        <w:rPr>
          <w:rFonts w:ascii="Times New Roman" w:hAnsi="Times New Roman"/>
          <w:sz w:val="22"/>
          <w:szCs w:val="22"/>
          <w:lang w:val="en-GB"/>
        </w:rPr>
        <w:t xml:space="preserve">Tenderers must provide declarations that they are not in any of these exclusion situations. The declarations must cover all the members of a joint venture/consortium. Tenderers who </w:t>
      </w:r>
      <w:r w:rsidR="00335E06" w:rsidRPr="00BB2471">
        <w:rPr>
          <w:rFonts w:ascii="Times New Roman" w:hAnsi="Times New Roman"/>
          <w:sz w:val="22"/>
          <w:szCs w:val="22"/>
          <w:lang w:val="en-GB"/>
        </w:rPr>
        <w:t>make</w:t>
      </w:r>
      <w:r w:rsidR="0047783A" w:rsidRPr="00BB2471">
        <w:rPr>
          <w:rFonts w:ascii="Times New Roman" w:hAnsi="Times New Roman"/>
          <w:sz w:val="22"/>
          <w:szCs w:val="22"/>
          <w:lang w:val="en-GB"/>
        </w:rPr>
        <w:t xml:space="preserve"> false declarations may also incur financial penalties and exclusion in accordance with section 2.3.4 of the Practical Guide.</w:t>
      </w:r>
      <w:r w:rsidR="003C0747" w:rsidRPr="00BB2471">
        <w:rPr>
          <w:rFonts w:ascii="Times New Roman" w:hAnsi="Times New Roman"/>
          <w:sz w:val="22"/>
          <w:szCs w:val="22"/>
          <w:lang w:val="en-GB"/>
        </w:rPr>
        <w:t xml:space="preserve"> Their tender will be considered irregular.</w:t>
      </w:r>
    </w:p>
    <w:p w:rsidR="0047783A" w:rsidRPr="00BB2471" w:rsidRDefault="00131B4E" w:rsidP="002E7AED">
      <w:pPr>
        <w:pStyle w:val="Heading2"/>
        <w:keepNext w:val="0"/>
        <w:tabs>
          <w:tab w:val="num" w:pos="709"/>
        </w:tabs>
        <w:ind w:left="568"/>
        <w:jc w:val="both"/>
        <w:rPr>
          <w:rFonts w:ascii="Times New Roman" w:hAnsi="Times New Roman"/>
          <w:sz w:val="22"/>
          <w:szCs w:val="22"/>
          <w:lang w:val="en-GB"/>
        </w:rPr>
      </w:pPr>
      <w:r w:rsidRPr="00131B4E">
        <w:rPr>
          <w:rFonts w:ascii="Times New Roman" w:hAnsi="Times New Roman"/>
          <w:sz w:val="22"/>
          <w:szCs w:val="22"/>
          <w:lang w:val="en-GB"/>
        </w:rPr>
        <w:t>The exclusion situations referred to above also apply to all members of a joint venture/consortium, all subcontractors and all suppliers to tenderers, as well as to all entities upon whose capacity the tenderer relies for the selection criteria. When requested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rsidR="0047783A" w:rsidRPr="00BB2471" w:rsidRDefault="00131B4E" w:rsidP="002E7AED">
      <w:pPr>
        <w:pStyle w:val="Heading2"/>
        <w:keepNext w:val="0"/>
        <w:tabs>
          <w:tab w:val="num" w:pos="709"/>
          <w:tab w:val="left" w:pos="8080"/>
        </w:tabs>
        <w:ind w:left="568" w:hanging="567"/>
        <w:jc w:val="both"/>
        <w:rPr>
          <w:rFonts w:ascii="Times New Roman" w:hAnsi="Times New Roman"/>
          <w:sz w:val="22"/>
          <w:szCs w:val="22"/>
          <w:lang w:val="en-GB"/>
        </w:rPr>
      </w:pPr>
      <w:r w:rsidRPr="00131B4E">
        <w:rPr>
          <w:rFonts w:ascii="Times New Roman" w:hAnsi="Times New Roman"/>
          <w:sz w:val="22"/>
          <w:szCs w:val="22"/>
          <w:lang w:val="en-GB"/>
        </w:rPr>
        <w:t>3.5</w:t>
      </w:r>
      <w:r w:rsidRPr="00131B4E">
        <w:rPr>
          <w:rFonts w:ascii="Times New Roman" w:hAnsi="Times New Roman"/>
          <w:sz w:val="22"/>
          <w:szCs w:val="22"/>
          <w:lang w:val="en-GB"/>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rsidR="0047783A" w:rsidRPr="00BB2471" w:rsidRDefault="00131B4E" w:rsidP="002E7AED">
      <w:pPr>
        <w:pStyle w:val="Heading2"/>
        <w:keepNext w:val="0"/>
        <w:tabs>
          <w:tab w:val="num" w:pos="709"/>
          <w:tab w:val="left" w:pos="792"/>
          <w:tab w:val="left" w:pos="8080"/>
        </w:tabs>
        <w:ind w:left="568" w:hanging="567"/>
        <w:jc w:val="both"/>
        <w:rPr>
          <w:rFonts w:ascii="Times New Roman" w:hAnsi="Times New Roman"/>
          <w:sz w:val="22"/>
          <w:szCs w:val="22"/>
          <w:lang w:val="en-GB"/>
        </w:rPr>
      </w:pPr>
      <w:r w:rsidRPr="00131B4E">
        <w:rPr>
          <w:rFonts w:ascii="Times New Roman" w:hAnsi="Times New Roman"/>
          <w:sz w:val="22"/>
          <w:szCs w:val="22"/>
          <w:lang w:val="en-GB"/>
        </w:rPr>
        <w:t>3.6</w:t>
      </w:r>
      <w:r w:rsidRPr="00131B4E">
        <w:rPr>
          <w:rFonts w:ascii="Times New Roman" w:hAnsi="Times New Roman"/>
          <w:sz w:val="22"/>
          <w:szCs w:val="22"/>
          <w:lang w:val="en-GB"/>
        </w:rPr>
        <w:tab/>
        <w:t>Where tenders include subcontracting, it is recommended that the contractual arrangements between tenderers and their subcontractors include mediation, according to national and international practices, as a method of dispute resolution.</w:t>
      </w:r>
    </w:p>
    <w:p w:rsidR="001E6A73" w:rsidRDefault="00131B4E">
      <w:pPr>
        <w:pStyle w:val="Heading1"/>
      </w:pPr>
      <w:bookmarkStart w:id="8" w:name="_Toc42488073"/>
      <w:r w:rsidRPr="00131B4E">
        <w:t>Origin</w:t>
      </w:r>
      <w:bookmarkEnd w:id="8"/>
    </w:p>
    <w:p w:rsidR="0047783A" w:rsidRPr="00BB2471" w:rsidRDefault="0047783A" w:rsidP="002E7AED">
      <w:pPr>
        <w:pStyle w:val="Heading2"/>
        <w:keepNext w:val="0"/>
        <w:numPr>
          <w:ilvl w:val="1"/>
          <w:numId w:val="0"/>
        </w:numPr>
        <w:ind w:left="568" w:hanging="567"/>
        <w:jc w:val="both"/>
        <w:rPr>
          <w:rFonts w:ascii="Times New Roman" w:hAnsi="Times New Roman"/>
          <w:sz w:val="22"/>
          <w:szCs w:val="22"/>
          <w:lang w:val="en-GB"/>
        </w:rPr>
      </w:pPr>
      <w:r w:rsidRPr="00BB2471">
        <w:rPr>
          <w:rFonts w:ascii="Times New Roman" w:hAnsi="Times New Roman"/>
          <w:sz w:val="22"/>
          <w:szCs w:val="22"/>
          <w:lang w:val="en-GB"/>
        </w:rPr>
        <w:t>4.1</w:t>
      </w:r>
      <w:r w:rsidR="00164F15" w:rsidRPr="00BB2471">
        <w:rPr>
          <w:rFonts w:ascii="Times New Roman" w:hAnsi="Times New Roman"/>
          <w:sz w:val="22"/>
          <w:szCs w:val="22"/>
          <w:lang w:val="en-GB"/>
        </w:rPr>
        <w:tab/>
      </w:r>
      <w:r w:rsidRPr="00BB2471">
        <w:rPr>
          <w:rFonts w:ascii="Times New Roman" w:hAnsi="Times New Roman"/>
          <w:sz w:val="22"/>
          <w:szCs w:val="22"/>
          <w:lang w:val="en-GB"/>
        </w:rPr>
        <w:t>Unless otherwise provided in the contract</w:t>
      </w:r>
      <w:r w:rsidR="0063744A" w:rsidRPr="00BB2471">
        <w:rPr>
          <w:rFonts w:ascii="Times New Roman" w:hAnsi="Times New Roman"/>
          <w:sz w:val="22"/>
          <w:szCs w:val="22"/>
          <w:lang w:val="en-GB"/>
        </w:rPr>
        <w:t xml:space="preserve"> or below</w:t>
      </w:r>
      <w:r w:rsidR="00164F15" w:rsidRPr="00BB2471">
        <w:rPr>
          <w:rFonts w:ascii="Times New Roman" w:hAnsi="Times New Roman"/>
          <w:sz w:val="22"/>
          <w:szCs w:val="22"/>
          <w:lang w:val="en-GB"/>
        </w:rPr>
        <w:t>,</w:t>
      </w:r>
      <w:r w:rsidRPr="00BB2471">
        <w:rPr>
          <w:rFonts w:ascii="Times New Roman" w:hAnsi="Times New Roman"/>
          <w:sz w:val="22"/>
          <w:szCs w:val="22"/>
          <w:lang w:val="en-GB"/>
        </w:rPr>
        <w:t xml:space="preserve"> all goods purchased </w:t>
      </w:r>
      <w:r w:rsidR="00B96E4B" w:rsidRPr="00BB2471">
        <w:rPr>
          <w:rFonts w:ascii="Times New Roman" w:hAnsi="Times New Roman"/>
          <w:sz w:val="22"/>
          <w:szCs w:val="22"/>
          <w:lang w:val="en-GB"/>
        </w:rPr>
        <w:t xml:space="preserve">under the contract </w:t>
      </w:r>
      <w:r w:rsidRPr="00BB2471">
        <w:rPr>
          <w:rFonts w:ascii="Times New Roman" w:hAnsi="Times New Roman"/>
          <w:sz w:val="22"/>
          <w:szCs w:val="22"/>
          <w:lang w:val="en-GB"/>
        </w:rPr>
        <w:t xml:space="preserve">must originate in a Member State of the European Union or </w:t>
      </w:r>
      <w:r w:rsidR="00264ACD" w:rsidRPr="00BB2471">
        <w:rPr>
          <w:rFonts w:ascii="Times New Roman" w:hAnsi="Times New Roman"/>
          <w:sz w:val="22"/>
          <w:szCs w:val="22"/>
          <w:lang w:val="en-GB"/>
        </w:rPr>
        <w:t xml:space="preserve">in </w:t>
      </w:r>
      <w:r w:rsidRPr="00BB2471">
        <w:rPr>
          <w:rFonts w:ascii="Times New Roman" w:hAnsi="Times New Roman"/>
          <w:sz w:val="22"/>
          <w:szCs w:val="22"/>
          <w:lang w:val="en-GB"/>
        </w:rPr>
        <w:t xml:space="preserve">a </w:t>
      </w:r>
      <w:r w:rsidR="00131B4E" w:rsidRPr="00131B4E">
        <w:rPr>
          <w:rFonts w:ascii="Times New Roman" w:hAnsi="Times New Roman"/>
          <w:sz w:val="22"/>
          <w:szCs w:val="22"/>
          <w:lang w:val="en-GB"/>
        </w:rPr>
        <w:t xml:space="preserve">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rsidR="00D33BE3" w:rsidRPr="00BB2471" w:rsidRDefault="00D33BE3" w:rsidP="002E7AED">
      <w:pPr>
        <w:ind w:left="568"/>
        <w:jc w:val="both"/>
        <w:rPr>
          <w:rFonts w:ascii="Times New Roman" w:hAnsi="Times New Roman"/>
          <w:sz w:val="22"/>
          <w:szCs w:val="22"/>
        </w:rPr>
      </w:pPr>
    </w:p>
    <w:p w:rsidR="004365AD" w:rsidRPr="00BB2471" w:rsidRDefault="00131B4E" w:rsidP="002E7AED">
      <w:pPr>
        <w:pStyle w:val="Heading2"/>
        <w:keepNext w:val="0"/>
        <w:tabs>
          <w:tab w:val="num" w:pos="709"/>
        </w:tabs>
        <w:ind w:left="568"/>
        <w:jc w:val="both"/>
        <w:rPr>
          <w:rFonts w:ascii="Times New Roman" w:hAnsi="Times New Roman"/>
          <w:sz w:val="22"/>
          <w:szCs w:val="22"/>
          <w:lang w:val="en-GB"/>
        </w:rPr>
      </w:pPr>
      <w:r w:rsidRPr="00131B4E">
        <w:rPr>
          <w:rFonts w:ascii="Times New Roman" w:hAnsi="Times New Roman"/>
          <w:sz w:val="22"/>
          <w:szCs w:val="22"/>
          <w:lang w:val="en-GB"/>
        </w:rPr>
        <w:t>Tenderers must provide an undertaking signed by their representative certifying compliance with this requirement. For more details, see point 2.3.1 Practical Guide.</w:t>
      </w:r>
    </w:p>
    <w:p w:rsidR="0047783A" w:rsidRPr="00BB2471" w:rsidRDefault="00131B4E" w:rsidP="002E7AED">
      <w:pPr>
        <w:pStyle w:val="Heading2"/>
        <w:keepNext w:val="0"/>
        <w:ind w:left="568" w:hanging="567"/>
        <w:jc w:val="both"/>
        <w:rPr>
          <w:rFonts w:ascii="Times New Roman" w:hAnsi="Times New Roman"/>
          <w:sz w:val="22"/>
          <w:szCs w:val="22"/>
          <w:lang w:val="en-GB"/>
        </w:rPr>
      </w:pPr>
      <w:r w:rsidRPr="00131B4E">
        <w:rPr>
          <w:rFonts w:ascii="Times New Roman" w:hAnsi="Times New Roman"/>
          <w:sz w:val="22"/>
          <w:szCs w:val="22"/>
          <w:lang w:val="en-GB"/>
        </w:rPr>
        <w:lastRenderedPageBreak/>
        <w:t>4.2</w:t>
      </w:r>
      <w:r w:rsidRPr="00131B4E">
        <w:rPr>
          <w:rFonts w:ascii="Times New Roman" w:hAnsi="Times New Roman"/>
          <w:sz w:val="22"/>
          <w:szCs w:val="22"/>
          <w:lang w:val="en-GB"/>
        </w:rPr>
        <w:tab/>
        <w:t>When submitting tenders, tenderers must state expressly that all the goods meet the requirements concerning origin and must state the countries of origin. They may be asked to provide additional information in this connection.</w:t>
      </w:r>
    </w:p>
    <w:p w:rsidR="001E6A73" w:rsidRDefault="00131B4E">
      <w:pPr>
        <w:pStyle w:val="Heading1"/>
      </w:pPr>
      <w:bookmarkStart w:id="9" w:name="_Toc42488074"/>
      <w:r w:rsidRPr="00131B4E">
        <w:t>Type of contract</w:t>
      </w:r>
      <w:bookmarkEnd w:id="9"/>
    </w:p>
    <w:p w:rsidR="0047783A" w:rsidRPr="00BB2471" w:rsidRDefault="000A4AB2" w:rsidP="002E7AED">
      <w:pPr>
        <w:pStyle w:val="Heading2"/>
        <w:keepNext w:val="0"/>
        <w:ind w:left="568"/>
        <w:jc w:val="both"/>
        <w:rPr>
          <w:rFonts w:ascii="Times New Roman" w:hAnsi="Times New Roman"/>
          <w:sz w:val="22"/>
          <w:szCs w:val="22"/>
          <w:lang w:val="en-GB"/>
        </w:rPr>
      </w:pPr>
      <w:r w:rsidRPr="00BB2471">
        <w:rPr>
          <w:rFonts w:ascii="Times New Roman" w:hAnsi="Times New Roman"/>
          <w:sz w:val="22"/>
          <w:szCs w:val="22"/>
          <w:lang w:val="en-GB"/>
        </w:rPr>
        <w:t>U</w:t>
      </w:r>
      <w:r w:rsidR="0047783A" w:rsidRPr="00BB2471">
        <w:rPr>
          <w:rFonts w:ascii="Times New Roman" w:hAnsi="Times New Roman"/>
          <w:sz w:val="22"/>
          <w:szCs w:val="22"/>
          <w:lang w:val="en-GB"/>
        </w:rPr>
        <w:t>nit-price</w:t>
      </w:r>
      <w:r w:rsidRPr="00BB2471">
        <w:rPr>
          <w:rFonts w:ascii="Times New Roman" w:hAnsi="Times New Roman"/>
          <w:sz w:val="22"/>
          <w:szCs w:val="22"/>
          <w:lang w:val="en-GB"/>
        </w:rPr>
        <w:t xml:space="preserve"> contract</w:t>
      </w:r>
      <w:r w:rsidR="00D8732D" w:rsidRPr="00BB2471">
        <w:rPr>
          <w:rFonts w:ascii="Times New Roman" w:hAnsi="Times New Roman"/>
          <w:sz w:val="22"/>
          <w:szCs w:val="22"/>
          <w:lang w:val="en-GB"/>
        </w:rPr>
        <w:t xml:space="preserve"> </w:t>
      </w:r>
    </w:p>
    <w:p w:rsidR="001E6A73" w:rsidRDefault="0047783A">
      <w:pPr>
        <w:pStyle w:val="Heading1"/>
      </w:pPr>
      <w:bookmarkStart w:id="10" w:name="_Toc42488075"/>
      <w:r w:rsidRPr="00BB2471">
        <w:t>Currency</w:t>
      </w:r>
      <w:bookmarkEnd w:id="10"/>
    </w:p>
    <w:p w:rsidR="0047783A" w:rsidRPr="00BB2471" w:rsidRDefault="0047783A" w:rsidP="002E7AED">
      <w:pPr>
        <w:pStyle w:val="Heading2"/>
        <w:keepNext w:val="0"/>
        <w:ind w:left="568"/>
        <w:jc w:val="both"/>
        <w:rPr>
          <w:rFonts w:ascii="Times New Roman" w:hAnsi="Times New Roman"/>
          <w:sz w:val="22"/>
          <w:szCs w:val="22"/>
          <w:lang w:val="en-GB"/>
        </w:rPr>
      </w:pPr>
      <w:r w:rsidRPr="00BB2471">
        <w:rPr>
          <w:rFonts w:ascii="Times New Roman" w:hAnsi="Times New Roman"/>
          <w:sz w:val="22"/>
          <w:szCs w:val="22"/>
          <w:lang w:val="en-GB"/>
        </w:rPr>
        <w:t xml:space="preserve">Tenders must be presented in </w:t>
      </w:r>
      <w:r w:rsidR="0066145D" w:rsidRPr="00BB2471">
        <w:rPr>
          <w:rFonts w:ascii="Times New Roman" w:hAnsi="Times New Roman"/>
          <w:bCs/>
          <w:sz w:val="22"/>
          <w:szCs w:val="22"/>
          <w:lang w:val="en-GB"/>
        </w:rPr>
        <w:t>E</w:t>
      </w:r>
      <w:r w:rsidRPr="00BB2471">
        <w:rPr>
          <w:rFonts w:ascii="Times New Roman" w:hAnsi="Times New Roman"/>
          <w:bCs/>
          <w:sz w:val="22"/>
          <w:szCs w:val="22"/>
          <w:lang w:val="en-GB"/>
        </w:rPr>
        <w:t>uro</w:t>
      </w:r>
      <w:r w:rsidR="002E7AED" w:rsidRPr="00BB2471">
        <w:rPr>
          <w:rFonts w:ascii="Times New Roman" w:hAnsi="Times New Roman"/>
          <w:bCs/>
          <w:sz w:val="22"/>
          <w:szCs w:val="22"/>
          <w:lang w:val="en-GB"/>
        </w:rPr>
        <w:t>.</w:t>
      </w:r>
      <w:r w:rsidR="00D8732D" w:rsidRPr="00BB2471">
        <w:rPr>
          <w:rFonts w:ascii="Times New Roman" w:hAnsi="Times New Roman"/>
          <w:bCs/>
          <w:sz w:val="22"/>
          <w:szCs w:val="22"/>
          <w:lang w:val="en-GB"/>
        </w:rPr>
        <w:t xml:space="preserve"> </w:t>
      </w:r>
    </w:p>
    <w:p w:rsidR="001E6A73" w:rsidRDefault="0047783A">
      <w:pPr>
        <w:pStyle w:val="Heading1"/>
      </w:pPr>
      <w:bookmarkStart w:id="11" w:name="_Toc42488076"/>
      <w:r w:rsidRPr="00BB2471">
        <w:t>Lots</w:t>
      </w:r>
      <w:bookmarkEnd w:id="11"/>
    </w:p>
    <w:p w:rsidR="0047783A" w:rsidRPr="00BB2471" w:rsidRDefault="0047783A" w:rsidP="002E7AED">
      <w:pPr>
        <w:pStyle w:val="Heading2"/>
        <w:keepNext w:val="0"/>
        <w:ind w:left="568" w:hanging="567"/>
        <w:jc w:val="both"/>
        <w:rPr>
          <w:rFonts w:ascii="Times New Roman" w:hAnsi="Times New Roman"/>
          <w:sz w:val="22"/>
          <w:szCs w:val="22"/>
          <w:lang w:val="en-GB"/>
        </w:rPr>
      </w:pPr>
      <w:r w:rsidRPr="00BB2471">
        <w:rPr>
          <w:rFonts w:ascii="Times New Roman" w:hAnsi="Times New Roman"/>
          <w:sz w:val="22"/>
          <w:szCs w:val="22"/>
          <w:lang w:val="en-GB"/>
        </w:rPr>
        <w:t>7.1</w:t>
      </w:r>
      <w:r w:rsidRPr="00BB2471">
        <w:rPr>
          <w:rFonts w:ascii="Times New Roman" w:hAnsi="Times New Roman"/>
          <w:sz w:val="22"/>
          <w:szCs w:val="22"/>
          <w:lang w:val="en-GB"/>
        </w:rPr>
        <w:tab/>
        <w:t xml:space="preserve">The tenderer may submit a tender for </w:t>
      </w:r>
      <w:r w:rsidR="00BA705D" w:rsidRPr="00BB2471">
        <w:rPr>
          <w:rFonts w:ascii="Times New Roman" w:hAnsi="Times New Roman"/>
          <w:sz w:val="22"/>
          <w:szCs w:val="22"/>
          <w:lang w:val="en-GB"/>
        </w:rPr>
        <w:t xml:space="preserve">one or </w:t>
      </w:r>
      <w:r w:rsidRPr="00BB2471">
        <w:rPr>
          <w:rFonts w:ascii="Times New Roman" w:hAnsi="Times New Roman"/>
          <w:sz w:val="22"/>
          <w:szCs w:val="22"/>
          <w:lang w:val="en-GB"/>
        </w:rPr>
        <w:t>all of the lots.</w:t>
      </w:r>
    </w:p>
    <w:p w:rsidR="0047783A" w:rsidRPr="00BB2471" w:rsidRDefault="00131B4E" w:rsidP="002E7AED">
      <w:pPr>
        <w:pStyle w:val="Heading2"/>
        <w:keepNext w:val="0"/>
        <w:ind w:left="568" w:hanging="567"/>
        <w:jc w:val="both"/>
        <w:rPr>
          <w:rFonts w:ascii="Times New Roman" w:hAnsi="Times New Roman"/>
          <w:sz w:val="22"/>
          <w:szCs w:val="22"/>
          <w:lang w:val="en-GB"/>
        </w:rPr>
      </w:pPr>
      <w:r w:rsidRPr="00131B4E">
        <w:rPr>
          <w:rFonts w:ascii="Times New Roman" w:hAnsi="Times New Roman"/>
          <w:sz w:val="22"/>
          <w:szCs w:val="22"/>
          <w:lang w:val="en-GB"/>
        </w:rPr>
        <w:t>7.2</w:t>
      </w:r>
      <w:r w:rsidRPr="00131B4E">
        <w:rPr>
          <w:rFonts w:ascii="Times New Roman" w:hAnsi="Times New Roman"/>
          <w:sz w:val="22"/>
          <w:szCs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 </w:t>
      </w:r>
    </w:p>
    <w:p w:rsidR="0047783A" w:rsidRPr="00BB2471" w:rsidRDefault="00131B4E" w:rsidP="002E7AED">
      <w:pPr>
        <w:pStyle w:val="Heading2"/>
        <w:keepNext w:val="0"/>
        <w:ind w:left="568" w:hanging="567"/>
        <w:jc w:val="both"/>
        <w:rPr>
          <w:rFonts w:ascii="Times New Roman" w:hAnsi="Times New Roman"/>
          <w:sz w:val="22"/>
          <w:szCs w:val="22"/>
          <w:lang w:val="en-GB"/>
        </w:rPr>
      </w:pPr>
      <w:r w:rsidRPr="00131B4E">
        <w:rPr>
          <w:rFonts w:ascii="Times New Roman" w:hAnsi="Times New Roman"/>
          <w:sz w:val="22"/>
          <w:szCs w:val="22"/>
          <w:lang w:val="en-GB"/>
        </w:rPr>
        <w:t>7.3</w:t>
      </w:r>
      <w:r w:rsidRPr="00131B4E">
        <w:rPr>
          <w:rFonts w:ascii="Times New Roman" w:hAnsi="Times New Roman"/>
          <w:sz w:val="22"/>
          <w:szCs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BB2471" w:rsidRDefault="00131B4E" w:rsidP="002E7AED">
      <w:pPr>
        <w:pStyle w:val="Heading2"/>
        <w:keepNext w:val="0"/>
        <w:ind w:left="568" w:hanging="567"/>
        <w:jc w:val="both"/>
        <w:rPr>
          <w:rFonts w:ascii="Times New Roman" w:hAnsi="Times New Roman"/>
          <w:sz w:val="22"/>
          <w:szCs w:val="22"/>
          <w:lang w:val="en-GB"/>
        </w:rPr>
      </w:pPr>
      <w:r w:rsidRPr="00131B4E">
        <w:rPr>
          <w:rFonts w:ascii="Times New Roman" w:hAnsi="Times New Roman"/>
          <w:sz w:val="22"/>
          <w:szCs w:val="22"/>
          <w:lang w:val="en-GB"/>
        </w:rPr>
        <w:t>7.4</w:t>
      </w:r>
      <w:r w:rsidRPr="00131B4E">
        <w:rPr>
          <w:rFonts w:ascii="Times New Roman" w:hAnsi="Times New Roman"/>
          <w:sz w:val="22"/>
          <w:szCs w:val="22"/>
          <w:lang w:val="en-GB"/>
        </w:rPr>
        <w:tab/>
        <w:t xml:space="preserve">Contracts will be awarded lot by lot, but the Contracting Authority may select the most favourable overall solution after taking account of any discounts offered. </w:t>
      </w:r>
    </w:p>
    <w:p w:rsidR="001E6A73" w:rsidRDefault="00131B4E">
      <w:pPr>
        <w:pStyle w:val="Heading1"/>
      </w:pPr>
      <w:bookmarkStart w:id="12" w:name="_Toc42488077"/>
      <w:r w:rsidRPr="00131B4E">
        <w:t>Period of validity</w:t>
      </w:r>
      <w:bookmarkEnd w:id="12"/>
    </w:p>
    <w:p w:rsidR="0047783A" w:rsidRPr="00BB2471" w:rsidRDefault="0047783A" w:rsidP="002E7AED">
      <w:pPr>
        <w:pStyle w:val="Heading2"/>
        <w:keepNext w:val="0"/>
        <w:tabs>
          <w:tab w:val="num" w:pos="567"/>
        </w:tabs>
        <w:ind w:left="568" w:hanging="567"/>
        <w:jc w:val="both"/>
        <w:rPr>
          <w:rFonts w:ascii="Times New Roman" w:hAnsi="Times New Roman"/>
          <w:sz w:val="22"/>
          <w:szCs w:val="22"/>
          <w:lang w:val="en-GB"/>
        </w:rPr>
      </w:pPr>
      <w:r w:rsidRPr="00BB2471">
        <w:rPr>
          <w:rFonts w:ascii="Times New Roman" w:hAnsi="Times New Roman"/>
          <w:sz w:val="22"/>
          <w:szCs w:val="22"/>
          <w:lang w:val="en-GB"/>
        </w:rPr>
        <w:t>8.1</w:t>
      </w:r>
      <w:r w:rsidRPr="00BB2471">
        <w:rPr>
          <w:rFonts w:ascii="Times New Roman" w:hAnsi="Times New Roman"/>
          <w:sz w:val="22"/>
          <w:szCs w:val="22"/>
          <w:lang w:val="en-GB"/>
        </w:rPr>
        <w:tab/>
        <w:t xml:space="preserve">Tenderers </w:t>
      </w:r>
      <w:r w:rsidR="00FE7D87" w:rsidRPr="00BB2471">
        <w:rPr>
          <w:rFonts w:ascii="Times New Roman" w:hAnsi="Times New Roman"/>
          <w:sz w:val="22"/>
          <w:szCs w:val="22"/>
          <w:lang w:val="en-GB"/>
        </w:rPr>
        <w:t>will</w:t>
      </w:r>
      <w:r w:rsidRPr="00BB2471">
        <w:rPr>
          <w:rFonts w:ascii="Times New Roman" w:hAnsi="Times New Roman"/>
          <w:sz w:val="22"/>
          <w:szCs w:val="22"/>
          <w:lang w:val="en-GB"/>
        </w:rPr>
        <w:t xml:space="preserve"> be bound by their tenders for a period of 90 days from the deadline for the submission of tenders.</w:t>
      </w:r>
    </w:p>
    <w:p w:rsidR="0047783A" w:rsidRPr="00BB2471" w:rsidRDefault="0047783A" w:rsidP="002E7AED">
      <w:pPr>
        <w:pStyle w:val="Heading2"/>
        <w:keepNext w:val="0"/>
        <w:tabs>
          <w:tab w:val="num" w:pos="567"/>
        </w:tabs>
        <w:ind w:left="568" w:hanging="567"/>
        <w:jc w:val="both"/>
        <w:rPr>
          <w:rFonts w:ascii="Times New Roman" w:hAnsi="Times New Roman"/>
          <w:sz w:val="22"/>
          <w:szCs w:val="22"/>
          <w:lang w:val="en-GB"/>
        </w:rPr>
      </w:pPr>
      <w:r w:rsidRPr="00BB2471">
        <w:rPr>
          <w:rFonts w:ascii="Times New Roman" w:hAnsi="Times New Roman"/>
          <w:sz w:val="22"/>
          <w:szCs w:val="22"/>
          <w:lang w:val="en-GB"/>
        </w:rPr>
        <w:t>8.2</w:t>
      </w:r>
      <w:r w:rsidRPr="00BB2471">
        <w:rPr>
          <w:rFonts w:ascii="Times New Roman" w:hAnsi="Times New Roman"/>
          <w:sz w:val="22"/>
          <w:szCs w:val="22"/>
          <w:lang w:val="en-GB"/>
        </w:rPr>
        <w:tab/>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w:t>
      </w:r>
      <w:r w:rsidR="00131B4E" w:rsidRPr="00131B4E">
        <w:rPr>
          <w:rFonts w:ascii="Times New Roman" w:hAnsi="Times New Roman"/>
          <w:sz w:val="22"/>
          <w:szCs w:val="22"/>
          <w:lang w:val="en-GB"/>
        </w:rPr>
        <w:t>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2.3.3.1 of the Practical Guide, the contracting authority may, before the validity period expires, request an extension of the validity of the tenders up to the adoption of that recommendation.</w:t>
      </w:r>
    </w:p>
    <w:p w:rsidR="0047783A" w:rsidRPr="00BB2471" w:rsidRDefault="00131B4E" w:rsidP="002E7AED">
      <w:pPr>
        <w:tabs>
          <w:tab w:val="num" w:pos="567"/>
        </w:tabs>
        <w:ind w:left="568" w:hanging="567"/>
        <w:jc w:val="both"/>
        <w:rPr>
          <w:rFonts w:ascii="Times New Roman" w:hAnsi="Times New Roman"/>
          <w:sz w:val="22"/>
          <w:szCs w:val="22"/>
        </w:rPr>
      </w:pPr>
      <w:r w:rsidRPr="00131B4E">
        <w:rPr>
          <w:rFonts w:ascii="Times New Roman" w:hAnsi="Times New Roman"/>
          <w:sz w:val="22"/>
          <w:szCs w:val="22"/>
        </w:rPr>
        <w:t>8.3</w:t>
      </w:r>
      <w:r w:rsidRPr="00131B4E">
        <w:rPr>
          <w:rFonts w:ascii="Times New Roman" w:hAnsi="Times New Roman"/>
          <w:sz w:val="22"/>
          <w:szCs w:val="22"/>
        </w:rPr>
        <w:tab/>
        <w:t>The successful tenderer will be bound by its tender for a further period of 60 days. The further period is added to the validity period of the tender irrespective of the date of notification.</w:t>
      </w:r>
    </w:p>
    <w:p w:rsidR="001E6A73" w:rsidRDefault="0047783A">
      <w:pPr>
        <w:pStyle w:val="Heading1"/>
      </w:pPr>
      <w:bookmarkStart w:id="13" w:name="_Toc42488078"/>
      <w:bookmarkStart w:id="14" w:name="_Ref500330462"/>
      <w:r w:rsidRPr="00BB2471">
        <w:t xml:space="preserve">Language of </w:t>
      </w:r>
      <w:bookmarkEnd w:id="13"/>
      <w:r w:rsidR="009A3A53" w:rsidRPr="00BB2471">
        <w:t>tenders</w:t>
      </w:r>
    </w:p>
    <w:bookmarkEnd w:id="14"/>
    <w:p w:rsidR="0047783A" w:rsidRPr="00BB2471" w:rsidRDefault="0047783A" w:rsidP="002E7AED">
      <w:pPr>
        <w:pStyle w:val="Heading2"/>
        <w:keepNext w:val="0"/>
        <w:ind w:left="568" w:hanging="567"/>
        <w:jc w:val="both"/>
        <w:rPr>
          <w:rFonts w:ascii="Times New Roman" w:hAnsi="Times New Roman"/>
          <w:sz w:val="22"/>
          <w:szCs w:val="22"/>
          <w:lang w:val="en-GB"/>
        </w:rPr>
      </w:pPr>
      <w:r w:rsidRPr="00BB2471">
        <w:rPr>
          <w:rFonts w:ascii="Times New Roman" w:hAnsi="Times New Roman"/>
          <w:sz w:val="22"/>
          <w:szCs w:val="22"/>
          <w:lang w:val="en-GB"/>
        </w:rPr>
        <w:t>9.1</w:t>
      </w:r>
      <w:r w:rsidRPr="00BB2471">
        <w:rPr>
          <w:rFonts w:ascii="Times New Roman" w:hAnsi="Times New Roman"/>
          <w:sz w:val="22"/>
          <w:szCs w:val="22"/>
          <w:lang w:val="en-GB"/>
        </w:rPr>
        <w:tab/>
        <w:t xml:space="preserve">The </w:t>
      </w:r>
      <w:r w:rsidR="009A3A53" w:rsidRPr="00BB2471">
        <w:rPr>
          <w:rFonts w:ascii="Times New Roman" w:hAnsi="Times New Roman"/>
          <w:sz w:val="22"/>
          <w:szCs w:val="22"/>
          <w:lang w:val="en-GB"/>
        </w:rPr>
        <w:t>tenders</w:t>
      </w:r>
      <w:r w:rsidRPr="00BB2471">
        <w:rPr>
          <w:rFonts w:ascii="Times New Roman" w:hAnsi="Times New Roman"/>
          <w:sz w:val="22"/>
          <w:szCs w:val="22"/>
          <w:lang w:val="en-GB"/>
        </w:rPr>
        <w:t>, all correspondence and documents related to the tender exchanged by the tenderer and the Contracting Authority must be written in the language of the procedure</w:t>
      </w:r>
      <w:r w:rsidR="009A3A53" w:rsidRPr="00BB2471">
        <w:rPr>
          <w:rFonts w:ascii="Times New Roman" w:hAnsi="Times New Roman"/>
          <w:sz w:val="22"/>
          <w:szCs w:val="22"/>
          <w:lang w:val="en-GB"/>
        </w:rPr>
        <w:t>,</w:t>
      </w:r>
      <w:r w:rsidRPr="00BB2471">
        <w:rPr>
          <w:rFonts w:ascii="Times New Roman" w:hAnsi="Times New Roman"/>
          <w:sz w:val="22"/>
          <w:szCs w:val="22"/>
          <w:lang w:val="en-GB"/>
        </w:rPr>
        <w:t xml:space="preserve"> which is English.</w:t>
      </w:r>
    </w:p>
    <w:p w:rsidR="0047783A" w:rsidRPr="00BB2471" w:rsidRDefault="00131B4E" w:rsidP="002E7AED">
      <w:pPr>
        <w:pStyle w:val="Heading2"/>
        <w:keepNext w:val="0"/>
        <w:ind w:left="568"/>
        <w:jc w:val="both"/>
        <w:rPr>
          <w:rFonts w:ascii="Times New Roman" w:hAnsi="Times New Roman"/>
          <w:sz w:val="22"/>
          <w:szCs w:val="22"/>
          <w:lang w:val="en-GB"/>
        </w:rPr>
      </w:pPr>
      <w:r w:rsidRPr="00131B4E">
        <w:rPr>
          <w:rFonts w:ascii="Times New Roman" w:hAnsi="Times New Roman"/>
          <w:sz w:val="22"/>
          <w:szCs w:val="22"/>
          <w:lang w:val="en-GB"/>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rsidR="001E6A73" w:rsidRDefault="00131B4E">
      <w:pPr>
        <w:pStyle w:val="Heading1"/>
      </w:pPr>
      <w:bookmarkStart w:id="15" w:name="_Toc42488079"/>
      <w:r w:rsidRPr="00131B4E">
        <w:lastRenderedPageBreak/>
        <w:t>Submission of tenders</w:t>
      </w:r>
      <w:bookmarkEnd w:id="15"/>
    </w:p>
    <w:p w:rsidR="0047783A" w:rsidRPr="00BB2471" w:rsidRDefault="0047783A" w:rsidP="002E7AED">
      <w:pPr>
        <w:pStyle w:val="Heading2"/>
        <w:keepNext w:val="0"/>
        <w:ind w:left="568" w:hanging="567"/>
        <w:jc w:val="both"/>
        <w:rPr>
          <w:rFonts w:ascii="Times New Roman" w:hAnsi="Times New Roman"/>
          <w:sz w:val="22"/>
          <w:szCs w:val="22"/>
          <w:lang w:val="en-GB"/>
        </w:rPr>
      </w:pPr>
      <w:bookmarkStart w:id="16" w:name="_Ref500326737"/>
      <w:r w:rsidRPr="00BB2471">
        <w:rPr>
          <w:rFonts w:ascii="Times New Roman" w:hAnsi="Times New Roman"/>
          <w:sz w:val="22"/>
          <w:szCs w:val="22"/>
          <w:lang w:val="en-GB"/>
        </w:rPr>
        <w:t>10.1</w:t>
      </w:r>
      <w:r w:rsidRPr="00BB2471">
        <w:rPr>
          <w:rFonts w:ascii="Times New Roman" w:hAnsi="Times New Roman"/>
          <w:sz w:val="22"/>
          <w:szCs w:val="22"/>
          <w:lang w:val="en-GB"/>
        </w:rPr>
        <w:tab/>
        <w:t>T</w:t>
      </w:r>
      <w:r w:rsidR="00D62067" w:rsidRPr="00BB2471">
        <w:rPr>
          <w:rFonts w:ascii="Times New Roman" w:hAnsi="Times New Roman"/>
          <w:sz w:val="22"/>
          <w:szCs w:val="22"/>
          <w:lang w:val="en-GB"/>
        </w:rPr>
        <w:t xml:space="preserve">he Contracting Authority </w:t>
      </w:r>
      <w:r w:rsidRPr="00BB2471">
        <w:rPr>
          <w:rFonts w:ascii="Times New Roman" w:hAnsi="Times New Roman"/>
          <w:sz w:val="22"/>
          <w:szCs w:val="22"/>
          <w:lang w:val="en-GB"/>
        </w:rPr>
        <w:t>must receive</w:t>
      </w:r>
      <w:r w:rsidR="00D62067" w:rsidRPr="00BB2471">
        <w:rPr>
          <w:rFonts w:ascii="Times New Roman" w:hAnsi="Times New Roman"/>
          <w:sz w:val="22"/>
          <w:szCs w:val="22"/>
          <w:lang w:val="en-GB"/>
        </w:rPr>
        <w:t xml:space="preserve"> the tenders </w:t>
      </w:r>
      <w:r w:rsidRPr="00BB2471">
        <w:rPr>
          <w:rFonts w:ascii="Times New Roman" w:hAnsi="Times New Roman"/>
          <w:sz w:val="22"/>
          <w:szCs w:val="22"/>
          <w:lang w:val="en-GB"/>
        </w:rPr>
        <w:t xml:space="preserve">before the deadline specified in 10.3. They must include all the </w:t>
      </w:r>
      <w:r w:rsidR="00131B4E" w:rsidRPr="00131B4E">
        <w:rPr>
          <w:rFonts w:ascii="Times New Roman" w:hAnsi="Times New Roman"/>
          <w:sz w:val="22"/>
          <w:szCs w:val="22"/>
          <w:lang w:val="en-GB"/>
        </w:rPr>
        <w:t>documents specified in point 11 of these Instructions and be sent to the following address:</w:t>
      </w:r>
    </w:p>
    <w:bookmarkEnd w:id="16"/>
    <w:p w:rsidR="00E11599" w:rsidRPr="00BB2471" w:rsidRDefault="00131B4E" w:rsidP="002E7AED">
      <w:pPr>
        <w:pStyle w:val="ListParagraph"/>
        <w:ind w:left="568"/>
        <w:jc w:val="center"/>
        <w:rPr>
          <w:rFonts w:ascii="Times New Roman" w:hAnsi="Times New Roman"/>
        </w:rPr>
      </w:pPr>
      <w:r w:rsidRPr="00131B4E">
        <w:rPr>
          <w:rFonts w:ascii="Times New Roman" w:hAnsi="Times New Roman"/>
        </w:rPr>
        <w:t xml:space="preserve"> </w:t>
      </w:r>
    </w:p>
    <w:p w:rsidR="00E11599" w:rsidRPr="00BB2471" w:rsidRDefault="00E11599" w:rsidP="002E7AED">
      <w:pPr>
        <w:pStyle w:val="ListParagraph"/>
        <w:ind w:left="568"/>
        <w:jc w:val="center"/>
        <w:rPr>
          <w:rFonts w:ascii="Times New Roman" w:hAnsi="Times New Roman"/>
        </w:rPr>
      </w:pPr>
    </w:p>
    <w:p w:rsidR="00E11599" w:rsidRPr="00BB2471" w:rsidRDefault="00E11599" w:rsidP="002E7AED">
      <w:pPr>
        <w:pStyle w:val="ListParagraph"/>
        <w:ind w:left="568"/>
        <w:jc w:val="center"/>
        <w:rPr>
          <w:rFonts w:ascii="Times New Roman" w:hAnsi="Times New Roman"/>
        </w:rPr>
      </w:pPr>
      <w:r w:rsidRPr="00BB2471">
        <w:rPr>
          <w:rFonts w:ascii="Times New Roman" w:hAnsi="Times New Roman"/>
        </w:rPr>
        <w:t>Mrs. Marija Radenović</w:t>
      </w:r>
    </w:p>
    <w:p w:rsidR="00E11599" w:rsidRPr="00BB2471" w:rsidRDefault="00E11599" w:rsidP="002E7AED">
      <w:pPr>
        <w:pStyle w:val="ListParagraph"/>
        <w:ind w:left="568"/>
        <w:jc w:val="center"/>
        <w:rPr>
          <w:rFonts w:ascii="Times New Roman" w:hAnsi="Times New Roman"/>
        </w:rPr>
      </w:pPr>
      <w:r w:rsidRPr="00BB2471">
        <w:rPr>
          <w:rFonts w:ascii="Times New Roman" w:hAnsi="Times New Roman"/>
        </w:rPr>
        <w:t>Directorate for Finance and Contracting of the EU Assistance Funds CFCU</w:t>
      </w:r>
    </w:p>
    <w:p w:rsidR="00E11599" w:rsidRPr="00BB2471" w:rsidRDefault="00E11599" w:rsidP="002E7AED">
      <w:pPr>
        <w:pStyle w:val="ListParagraph"/>
        <w:ind w:left="568"/>
        <w:jc w:val="center"/>
        <w:rPr>
          <w:rFonts w:ascii="Times New Roman" w:hAnsi="Times New Roman"/>
        </w:rPr>
      </w:pPr>
      <w:r w:rsidRPr="00BB2471">
        <w:rPr>
          <w:rFonts w:ascii="Times New Roman" w:hAnsi="Times New Roman"/>
        </w:rPr>
        <w:t>Ministry of Finance</w:t>
      </w:r>
    </w:p>
    <w:p w:rsidR="00E11599" w:rsidRPr="00BB2471" w:rsidRDefault="00131B4E" w:rsidP="002E7AED">
      <w:pPr>
        <w:pStyle w:val="Blockquote"/>
        <w:spacing w:before="0" w:after="0"/>
        <w:ind w:left="568" w:right="-9"/>
        <w:jc w:val="center"/>
        <w:rPr>
          <w:rStyle w:val="Emphasis"/>
          <w:rFonts w:ascii="Times New Roman" w:hAnsi="Times New Roman"/>
          <w:i w:val="0"/>
          <w:sz w:val="22"/>
          <w:szCs w:val="22"/>
          <w:lang w:val="en-GB"/>
        </w:rPr>
      </w:pPr>
      <w:r w:rsidRPr="00131B4E">
        <w:rPr>
          <w:rStyle w:val="Emphasis"/>
          <w:rFonts w:ascii="Times New Roman" w:hAnsi="Times New Roman"/>
          <w:i w:val="0"/>
          <w:sz w:val="22"/>
          <w:szCs w:val="22"/>
          <w:lang w:val="en-GB"/>
        </w:rPr>
        <w:t>Stanka Dragojevica 2</w:t>
      </w:r>
    </w:p>
    <w:p w:rsidR="00E11599" w:rsidRPr="00BB2471" w:rsidRDefault="00131B4E" w:rsidP="002E7AED">
      <w:pPr>
        <w:pStyle w:val="Blockquote"/>
        <w:spacing w:before="0" w:after="0"/>
        <w:ind w:left="568" w:right="5"/>
        <w:jc w:val="center"/>
        <w:rPr>
          <w:rFonts w:ascii="Times New Roman" w:hAnsi="Times New Roman"/>
          <w:sz w:val="22"/>
          <w:szCs w:val="22"/>
          <w:lang w:val="en-GB"/>
        </w:rPr>
      </w:pPr>
      <w:r w:rsidRPr="00131B4E">
        <w:rPr>
          <w:rStyle w:val="Emphasis"/>
          <w:rFonts w:ascii="Times New Roman" w:hAnsi="Times New Roman"/>
          <w:i w:val="0"/>
          <w:sz w:val="22"/>
          <w:szCs w:val="22"/>
          <w:lang w:val="en-GB"/>
        </w:rPr>
        <w:t>81000 Podgorica</w:t>
      </w:r>
      <w:r w:rsidRPr="00131B4E">
        <w:rPr>
          <w:rStyle w:val="Emphasis"/>
          <w:rFonts w:ascii="Times New Roman" w:hAnsi="Times New Roman"/>
          <w:i w:val="0"/>
          <w:sz w:val="22"/>
          <w:szCs w:val="22"/>
          <w:lang w:val="en-GB"/>
        </w:rPr>
        <w:br/>
      </w:r>
    </w:p>
    <w:p w:rsidR="001572F6" w:rsidRPr="00BB2471" w:rsidRDefault="001572F6" w:rsidP="002E7AED">
      <w:pPr>
        <w:spacing w:before="0"/>
        <w:ind w:left="568"/>
        <w:jc w:val="both"/>
        <w:rPr>
          <w:rFonts w:ascii="Times New Roman" w:hAnsi="Times New Roman"/>
          <w:sz w:val="22"/>
          <w:szCs w:val="22"/>
        </w:rPr>
      </w:pPr>
    </w:p>
    <w:p w:rsidR="0047783A" w:rsidRPr="00BB2471" w:rsidRDefault="00131B4E" w:rsidP="002E7AED">
      <w:pPr>
        <w:ind w:left="568"/>
        <w:jc w:val="both"/>
        <w:rPr>
          <w:rFonts w:ascii="Times New Roman" w:hAnsi="Times New Roman"/>
          <w:sz w:val="22"/>
          <w:szCs w:val="22"/>
        </w:rPr>
      </w:pPr>
      <w:r w:rsidRPr="00131B4E">
        <w:rPr>
          <w:rFonts w:ascii="Times New Roman" w:hAnsi="Times New Roman"/>
          <w:sz w:val="22"/>
          <w:szCs w:val="22"/>
        </w:rPr>
        <w:t>If the tenders are hand delivered they should be delivered to the following address:</w:t>
      </w:r>
    </w:p>
    <w:p w:rsidR="00E11599" w:rsidRPr="00BB2471" w:rsidRDefault="00131B4E" w:rsidP="002E7AED">
      <w:pPr>
        <w:pStyle w:val="ListParagraph"/>
        <w:ind w:left="568"/>
        <w:jc w:val="center"/>
        <w:rPr>
          <w:rFonts w:ascii="Times New Roman" w:hAnsi="Times New Roman"/>
        </w:rPr>
      </w:pPr>
      <w:r w:rsidRPr="00131B4E">
        <w:rPr>
          <w:rFonts w:ascii="Times New Roman" w:hAnsi="Times New Roman"/>
        </w:rPr>
        <w:t xml:space="preserve"> </w:t>
      </w:r>
    </w:p>
    <w:p w:rsidR="00E11599" w:rsidRPr="00BB2471" w:rsidRDefault="00E11599" w:rsidP="002E7AED">
      <w:pPr>
        <w:pStyle w:val="ListParagraph"/>
        <w:ind w:left="568"/>
        <w:jc w:val="center"/>
        <w:rPr>
          <w:rFonts w:ascii="Times New Roman" w:hAnsi="Times New Roman"/>
        </w:rPr>
      </w:pPr>
      <w:r w:rsidRPr="00BB2471">
        <w:rPr>
          <w:rFonts w:ascii="Times New Roman" w:hAnsi="Times New Roman"/>
        </w:rPr>
        <w:t>Mrs. Marija Radenović</w:t>
      </w:r>
    </w:p>
    <w:p w:rsidR="00E11599" w:rsidRPr="00BB2471" w:rsidRDefault="00E11599" w:rsidP="002E7AED">
      <w:pPr>
        <w:pStyle w:val="ListParagraph"/>
        <w:ind w:left="568"/>
        <w:jc w:val="center"/>
        <w:rPr>
          <w:rFonts w:ascii="Times New Roman" w:hAnsi="Times New Roman"/>
        </w:rPr>
      </w:pPr>
      <w:r w:rsidRPr="00BB2471">
        <w:rPr>
          <w:rFonts w:ascii="Times New Roman" w:hAnsi="Times New Roman"/>
        </w:rPr>
        <w:t>Directorate for Finance and Contracting of the EU Assistance Funds CFCU</w:t>
      </w:r>
    </w:p>
    <w:p w:rsidR="00E11599" w:rsidRPr="00BB2471" w:rsidRDefault="00E11599" w:rsidP="002E7AED">
      <w:pPr>
        <w:pStyle w:val="ListParagraph"/>
        <w:ind w:left="568"/>
        <w:jc w:val="center"/>
        <w:rPr>
          <w:rFonts w:ascii="Times New Roman" w:hAnsi="Times New Roman"/>
        </w:rPr>
      </w:pPr>
      <w:r w:rsidRPr="00BB2471">
        <w:rPr>
          <w:rFonts w:ascii="Times New Roman" w:hAnsi="Times New Roman"/>
        </w:rPr>
        <w:t>Ministry of Finance</w:t>
      </w:r>
    </w:p>
    <w:p w:rsidR="00E11599" w:rsidRPr="00BB2471" w:rsidRDefault="00131B4E" w:rsidP="002E7AED">
      <w:pPr>
        <w:pStyle w:val="Blockquote"/>
        <w:spacing w:before="0" w:after="0"/>
        <w:ind w:left="568" w:right="5"/>
        <w:jc w:val="center"/>
        <w:rPr>
          <w:rStyle w:val="Emphasis"/>
          <w:rFonts w:ascii="Times New Roman" w:hAnsi="Times New Roman"/>
          <w:i w:val="0"/>
          <w:sz w:val="22"/>
          <w:szCs w:val="22"/>
          <w:lang w:val="en-GB"/>
        </w:rPr>
      </w:pPr>
      <w:r w:rsidRPr="00131B4E">
        <w:rPr>
          <w:rStyle w:val="Emphasis"/>
          <w:rFonts w:ascii="Times New Roman" w:hAnsi="Times New Roman"/>
          <w:i w:val="0"/>
          <w:sz w:val="22"/>
          <w:szCs w:val="22"/>
          <w:lang w:val="en-GB"/>
        </w:rPr>
        <w:t>Stanka Dragojevica 2</w:t>
      </w:r>
    </w:p>
    <w:p w:rsidR="00E11599" w:rsidRPr="00BB2471" w:rsidRDefault="00131B4E" w:rsidP="002E7AED">
      <w:pPr>
        <w:pStyle w:val="Blockquote"/>
        <w:spacing w:before="0" w:after="0"/>
        <w:ind w:left="568" w:right="-9"/>
        <w:jc w:val="center"/>
        <w:rPr>
          <w:rStyle w:val="Emphasis"/>
          <w:rFonts w:ascii="Times New Roman" w:hAnsi="Times New Roman"/>
          <w:i w:val="0"/>
          <w:sz w:val="22"/>
          <w:szCs w:val="22"/>
          <w:lang w:val="en-GB"/>
        </w:rPr>
      </w:pPr>
      <w:r w:rsidRPr="00131B4E">
        <w:rPr>
          <w:rStyle w:val="Emphasis"/>
          <w:rFonts w:ascii="Times New Roman" w:hAnsi="Times New Roman"/>
          <w:i w:val="0"/>
          <w:sz w:val="22"/>
          <w:szCs w:val="22"/>
          <w:lang w:val="en-GB"/>
        </w:rPr>
        <w:t>81000 Podgorica</w:t>
      </w:r>
    </w:p>
    <w:p w:rsidR="00E11599" w:rsidRPr="00BB2471" w:rsidRDefault="00131B4E" w:rsidP="002E7AED">
      <w:pPr>
        <w:pStyle w:val="Blockquote"/>
        <w:spacing w:before="0" w:after="0"/>
        <w:ind w:left="568" w:right="-9"/>
        <w:jc w:val="center"/>
        <w:rPr>
          <w:rFonts w:ascii="Times New Roman" w:hAnsi="Times New Roman"/>
          <w:sz w:val="22"/>
          <w:szCs w:val="22"/>
          <w:lang w:val="en-GB"/>
        </w:rPr>
      </w:pPr>
      <w:r w:rsidRPr="00131B4E">
        <w:rPr>
          <w:rStyle w:val="Emphasis"/>
          <w:rFonts w:ascii="Times New Roman" w:hAnsi="Times New Roman"/>
          <w:i w:val="0"/>
          <w:sz w:val="22"/>
          <w:szCs w:val="22"/>
          <w:lang w:val="en-GB"/>
        </w:rPr>
        <w:t>Opening hours 9:00h-17:00h</w:t>
      </w:r>
      <w:r w:rsidRPr="00131B4E">
        <w:rPr>
          <w:rStyle w:val="Emphasis"/>
          <w:rFonts w:ascii="Times New Roman" w:hAnsi="Times New Roman"/>
          <w:i w:val="0"/>
          <w:sz w:val="22"/>
          <w:szCs w:val="22"/>
          <w:lang w:val="en-GB"/>
        </w:rPr>
        <w:br/>
      </w:r>
    </w:p>
    <w:p w:rsidR="0047783A" w:rsidRPr="00BB2471" w:rsidRDefault="0047783A" w:rsidP="002E7AED">
      <w:pPr>
        <w:spacing w:before="0"/>
        <w:ind w:left="568"/>
        <w:jc w:val="both"/>
        <w:rPr>
          <w:rFonts w:ascii="Times New Roman" w:hAnsi="Times New Roman"/>
          <w:sz w:val="22"/>
          <w:szCs w:val="22"/>
        </w:rPr>
      </w:pPr>
    </w:p>
    <w:p w:rsidR="0047783A" w:rsidRPr="00BB2471" w:rsidRDefault="00131B4E" w:rsidP="002E7AED">
      <w:pPr>
        <w:ind w:left="568"/>
        <w:jc w:val="both"/>
        <w:outlineLvl w:val="0"/>
        <w:rPr>
          <w:rFonts w:ascii="Times New Roman" w:hAnsi="Times New Roman"/>
          <w:sz w:val="22"/>
          <w:szCs w:val="22"/>
        </w:rPr>
      </w:pPr>
      <w:r w:rsidRPr="00131B4E">
        <w:rPr>
          <w:rFonts w:ascii="Times New Roman" w:hAnsi="Times New Roman"/>
          <w:sz w:val="22"/>
          <w:szCs w:val="22"/>
        </w:rPr>
        <w:t>Tenders must comply with the following conditions:</w:t>
      </w:r>
    </w:p>
    <w:p w:rsidR="006A5ADE" w:rsidRPr="00BB2471" w:rsidRDefault="00131B4E" w:rsidP="002E7AED">
      <w:pPr>
        <w:ind w:left="568" w:hanging="567"/>
        <w:jc w:val="both"/>
        <w:outlineLvl w:val="0"/>
        <w:rPr>
          <w:rFonts w:ascii="Times New Roman" w:hAnsi="Times New Roman"/>
          <w:sz w:val="22"/>
          <w:szCs w:val="22"/>
        </w:rPr>
      </w:pPr>
      <w:bookmarkStart w:id="17" w:name="_Ref500330141"/>
      <w:r w:rsidRPr="00131B4E">
        <w:rPr>
          <w:rFonts w:ascii="Times New Roman" w:hAnsi="Times New Roman"/>
          <w:sz w:val="22"/>
          <w:szCs w:val="22"/>
        </w:rPr>
        <w:t>10.2</w:t>
      </w:r>
      <w:r w:rsidRPr="00131B4E">
        <w:rPr>
          <w:rFonts w:ascii="Times New Roman" w:hAnsi="Times New Roman"/>
          <w:sz w:val="22"/>
          <w:szCs w:val="22"/>
        </w:rPr>
        <w:tab/>
        <w:t xml:space="preserve">All tenders must be submitted in one (1) original, marked ‘original’, and three (3) double side printing copies signed in the same way as the original and marked ‘copy’. In addition to the paper copies, one complete electronic copy (CD/DVD or USB key), readable by standard office computer applications and equipment, must be provided. </w:t>
      </w:r>
    </w:p>
    <w:p w:rsidR="0047783A" w:rsidRPr="00BB2471" w:rsidRDefault="0047783A" w:rsidP="002E7AED">
      <w:pPr>
        <w:pStyle w:val="Heading2"/>
        <w:ind w:left="568" w:hanging="567"/>
        <w:jc w:val="both"/>
        <w:rPr>
          <w:rFonts w:ascii="Times New Roman" w:hAnsi="Times New Roman"/>
          <w:sz w:val="22"/>
          <w:szCs w:val="22"/>
          <w:lang w:val="en-GB"/>
        </w:rPr>
      </w:pPr>
    </w:p>
    <w:bookmarkEnd w:id="17"/>
    <w:p w:rsidR="0047783A" w:rsidRPr="00BB2471" w:rsidRDefault="0047783A" w:rsidP="002E7AED">
      <w:pPr>
        <w:pStyle w:val="Heading2"/>
        <w:ind w:left="568" w:hanging="567"/>
        <w:jc w:val="both"/>
        <w:rPr>
          <w:rFonts w:ascii="Times New Roman" w:hAnsi="Times New Roman"/>
          <w:sz w:val="22"/>
          <w:szCs w:val="22"/>
          <w:lang w:val="en-GB"/>
        </w:rPr>
      </w:pPr>
      <w:r w:rsidRPr="00BB2471">
        <w:rPr>
          <w:rFonts w:ascii="Times New Roman" w:hAnsi="Times New Roman"/>
          <w:sz w:val="22"/>
          <w:szCs w:val="22"/>
          <w:lang w:val="en-GB"/>
        </w:rPr>
        <w:t>10.3</w:t>
      </w:r>
      <w:r w:rsidRPr="00BB2471">
        <w:rPr>
          <w:rFonts w:ascii="Times New Roman" w:hAnsi="Times New Roman"/>
          <w:sz w:val="22"/>
          <w:szCs w:val="22"/>
          <w:lang w:val="en-GB"/>
        </w:rPr>
        <w:tab/>
        <w:t xml:space="preserve">All tenders must be received at </w:t>
      </w:r>
      <w:r w:rsidR="003644A1" w:rsidRPr="00BB2471">
        <w:rPr>
          <w:rFonts w:ascii="Times New Roman" w:hAnsi="Times New Roman"/>
          <w:sz w:val="22"/>
          <w:szCs w:val="22"/>
          <w:lang w:val="en-GB"/>
        </w:rPr>
        <w:t>t</w:t>
      </w:r>
      <w:r w:rsidR="000A4AB2" w:rsidRPr="00BB2471">
        <w:rPr>
          <w:rFonts w:ascii="Times New Roman" w:hAnsi="Times New Roman"/>
          <w:sz w:val="22"/>
          <w:szCs w:val="22"/>
          <w:lang w:val="en-GB"/>
        </w:rPr>
        <w:t>he Ministry of Finance, Stanka Dragojevica 2, 81000 Podgorica</w:t>
      </w:r>
      <w:r w:rsidR="00D8732D" w:rsidRPr="00BB2471">
        <w:rPr>
          <w:rFonts w:ascii="Times New Roman" w:hAnsi="Times New Roman"/>
          <w:sz w:val="22"/>
          <w:szCs w:val="22"/>
          <w:lang w:val="en-GB"/>
        </w:rPr>
        <w:t xml:space="preserve"> </w:t>
      </w:r>
      <w:r w:rsidRPr="00BB2471">
        <w:rPr>
          <w:rFonts w:ascii="Times New Roman" w:hAnsi="Times New Roman"/>
          <w:sz w:val="22"/>
          <w:szCs w:val="22"/>
          <w:lang w:val="en-GB"/>
        </w:rPr>
        <w:t xml:space="preserve">before the deadline </w:t>
      </w:r>
      <w:r w:rsidR="003942E1">
        <w:rPr>
          <w:rFonts w:ascii="Times New Roman" w:hAnsi="Times New Roman"/>
          <w:sz w:val="22"/>
          <w:szCs w:val="22"/>
          <w:lang w:val="en-GB"/>
        </w:rPr>
        <w:t>1</w:t>
      </w:r>
      <w:r w:rsidR="00AA3279">
        <w:rPr>
          <w:rFonts w:ascii="Times New Roman" w:hAnsi="Times New Roman"/>
          <w:sz w:val="22"/>
          <w:szCs w:val="22"/>
          <w:lang w:val="en-GB"/>
        </w:rPr>
        <w:t>5.09.2016.</w:t>
      </w:r>
      <w:r w:rsidR="00131B4E" w:rsidRPr="00131B4E">
        <w:rPr>
          <w:rFonts w:ascii="Times New Roman" w:hAnsi="Times New Roman"/>
          <w:sz w:val="22"/>
          <w:szCs w:val="22"/>
          <w:lang w:val="en-GB"/>
        </w:rPr>
        <w:t xml:space="preserve"> no later than 11:00h, by registered letter with acknowledgement of receipt or hand-delivered against receipt signed by representative from the Archive in the Ministry of Finance.</w:t>
      </w:r>
    </w:p>
    <w:p w:rsidR="0047783A" w:rsidRPr="00BB2471" w:rsidRDefault="00131B4E" w:rsidP="002E7AED">
      <w:pPr>
        <w:pStyle w:val="Heading2"/>
        <w:ind w:left="568" w:hanging="567"/>
        <w:rPr>
          <w:rFonts w:ascii="Times New Roman" w:hAnsi="Times New Roman"/>
          <w:sz w:val="22"/>
          <w:szCs w:val="22"/>
          <w:lang w:val="en-GB"/>
        </w:rPr>
      </w:pPr>
      <w:r w:rsidRPr="00131B4E">
        <w:rPr>
          <w:rFonts w:ascii="Times New Roman" w:hAnsi="Times New Roman"/>
          <w:sz w:val="22"/>
          <w:szCs w:val="22"/>
          <w:lang w:val="en-GB"/>
        </w:rPr>
        <w:t>10.4</w:t>
      </w:r>
      <w:r w:rsidRPr="00131B4E">
        <w:rPr>
          <w:rFonts w:ascii="Times New Roman" w:hAnsi="Times New Roman"/>
          <w:sz w:val="22"/>
          <w:szCs w:val="22"/>
          <w:lang w:val="en-GB"/>
        </w:rPr>
        <w:tab/>
        <w:t>All tenders, including annexes and all supporting documents, must be submitted in a sealed envelope bearing only:</w:t>
      </w:r>
    </w:p>
    <w:p w:rsidR="0047783A" w:rsidRPr="00BB2471" w:rsidRDefault="00131B4E" w:rsidP="002E7AED">
      <w:pPr>
        <w:tabs>
          <w:tab w:val="left" w:pos="709"/>
          <w:tab w:val="left" w:pos="1134"/>
        </w:tabs>
        <w:ind w:left="568"/>
        <w:rPr>
          <w:rFonts w:ascii="Times New Roman" w:hAnsi="Times New Roman"/>
          <w:sz w:val="22"/>
          <w:szCs w:val="22"/>
        </w:rPr>
      </w:pPr>
      <w:r w:rsidRPr="00131B4E">
        <w:rPr>
          <w:rFonts w:ascii="Times New Roman" w:hAnsi="Times New Roman"/>
          <w:sz w:val="22"/>
          <w:szCs w:val="22"/>
        </w:rPr>
        <w:t>a)</w:t>
      </w:r>
      <w:r w:rsidRPr="00131B4E">
        <w:rPr>
          <w:rFonts w:ascii="Times New Roman" w:hAnsi="Times New Roman"/>
          <w:sz w:val="22"/>
          <w:szCs w:val="22"/>
        </w:rPr>
        <w:tab/>
        <w:t>the above address;</w:t>
      </w:r>
    </w:p>
    <w:p w:rsidR="0047783A" w:rsidRPr="00BB2471" w:rsidRDefault="00131B4E" w:rsidP="002E7AED">
      <w:pPr>
        <w:tabs>
          <w:tab w:val="left" w:pos="1134"/>
        </w:tabs>
        <w:ind w:left="568"/>
        <w:rPr>
          <w:rFonts w:ascii="Times New Roman" w:hAnsi="Times New Roman"/>
          <w:sz w:val="22"/>
          <w:szCs w:val="22"/>
        </w:rPr>
      </w:pPr>
      <w:r w:rsidRPr="00131B4E">
        <w:rPr>
          <w:rFonts w:ascii="Times New Roman" w:hAnsi="Times New Roman"/>
          <w:sz w:val="22"/>
          <w:szCs w:val="22"/>
        </w:rPr>
        <w:t>b)</w:t>
      </w:r>
      <w:r w:rsidRPr="00131B4E">
        <w:rPr>
          <w:rFonts w:ascii="Times New Roman" w:hAnsi="Times New Roman"/>
          <w:sz w:val="22"/>
          <w:szCs w:val="22"/>
        </w:rPr>
        <w:tab/>
        <w:t>the reference code of this tender procedure, (i.e. OP HRD 2012-2013/MNE/TA 4.2/3);</w:t>
      </w:r>
    </w:p>
    <w:p w:rsidR="0047783A" w:rsidRPr="00BB2471" w:rsidRDefault="00131B4E" w:rsidP="002E7AED">
      <w:pPr>
        <w:tabs>
          <w:tab w:val="left" w:pos="1134"/>
        </w:tabs>
        <w:ind w:left="568"/>
        <w:rPr>
          <w:rFonts w:ascii="Times New Roman" w:hAnsi="Times New Roman"/>
          <w:sz w:val="22"/>
          <w:szCs w:val="22"/>
        </w:rPr>
      </w:pPr>
      <w:r w:rsidRPr="00131B4E">
        <w:rPr>
          <w:rFonts w:ascii="Times New Roman" w:hAnsi="Times New Roman"/>
          <w:sz w:val="22"/>
          <w:szCs w:val="22"/>
        </w:rPr>
        <w:t>c)</w:t>
      </w:r>
      <w:r w:rsidRPr="00131B4E">
        <w:rPr>
          <w:rFonts w:ascii="Times New Roman" w:hAnsi="Times New Roman"/>
          <w:sz w:val="22"/>
          <w:szCs w:val="22"/>
        </w:rPr>
        <w:tab/>
        <w:t>where applicable, the number of the lot(s) tendered for;</w:t>
      </w:r>
    </w:p>
    <w:p w:rsidR="0047783A" w:rsidRPr="00BB2471" w:rsidRDefault="00131B4E" w:rsidP="002E7AED">
      <w:pPr>
        <w:tabs>
          <w:tab w:val="left" w:pos="1134"/>
        </w:tabs>
        <w:ind w:left="1135" w:hanging="567"/>
        <w:rPr>
          <w:rFonts w:ascii="Times New Roman" w:hAnsi="Times New Roman"/>
          <w:sz w:val="22"/>
          <w:szCs w:val="22"/>
        </w:rPr>
      </w:pPr>
      <w:r w:rsidRPr="00131B4E">
        <w:rPr>
          <w:rFonts w:ascii="Times New Roman" w:hAnsi="Times New Roman"/>
          <w:sz w:val="22"/>
          <w:szCs w:val="22"/>
        </w:rPr>
        <w:t>d)</w:t>
      </w:r>
      <w:r w:rsidRPr="00131B4E">
        <w:rPr>
          <w:rFonts w:ascii="Times New Roman" w:hAnsi="Times New Roman"/>
          <w:sz w:val="22"/>
          <w:szCs w:val="22"/>
        </w:rPr>
        <w:tab/>
        <w:t>the words ‘Not to be opened before the tender opening session’ in the language of the tender dossier and  ‘Ne otvarati prije zvaničnog otvaranja ponuda’.</w:t>
      </w:r>
    </w:p>
    <w:p w:rsidR="0047783A" w:rsidRPr="00BB2471" w:rsidRDefault="00131B4E" w:rsidP="002E7AED">
      <w:pPr>
        <w:tabs>
          <w:tab w:val="left" w:pos="1134"/>
        </w:tabs>
        <w:ind w:left="568"/>
        <w:rPr>
          <w:rFonts w:ascii="Times New Roman" w:hAnsi="Times New Roman"/>
          <w:sz w:val="22"/>
          <w:szCs w:val="22"/>
        </w:rPr>
      </w:pPr>
      <w:r w:rsidRPr="00131B4E">
        <w:rPr>
          <w:rFonts w:ascii="Times New Roman" w:hAnsi="Times New Roman"/>
          <w:sz w:val="22"/>
          <w:szCs w:val="22"/>
        </w:rPr>
        <w:t>e)</w:t>
      </w:r>
      <w:r w:rsidRPr="00131B4E">
        <w:rPr>
          <w:rFonts w:ascii="Times New Roman" w:hAnsi="Times New Roman"/>
          <w:sz w:val="22"/>
          <w:szCs w:val="22"/>
        </w:rPr>
        <w:tab/>
        <w:t>the name of the tenderer.</w:t>
      </w:r>
    </w:p>
    <w:p w:rsidR="0047783A" w:rsidRPr="00BB2471" w:rsidRDefault="00131B4E" w:rsidP="001C7FD4">
      <w:pPr>
        <w:jc w:val="both"/>
        <w:outlineLvl w:val="0"/>
        <w:rPr>
          <w:rFonts w:ascii="Times New Roman" w:hAnsi="Times New Roman"/>
          <w:sz w:val="22"/>
          <w:szCs w:val="22"/>
        </w:rPr>
      </w:pPr>
      <w:r w:rsidRPr="00131B4E">
        <w:rPr>
          <w:rFonts w:ascii="Times New Roman" w:hAnsi="Times New Roman"/>
          <w:sz w:val="22"/>
          <w:szCs w:val="22"/>
        </w:rPr>
        <w:t>The technical and financial offers must be placed together in a sealed envelope. The envelope should then be placed in another single sealed envelope/package, unless their volume requires a separate submission for each lot.</w:t>
      </w:r>
    </w:p>
    <w:p w:rsidR="001E6A73" w:rsidRDefault="0047783A">
      <w:pPr>
        <w:pStyle w:val="Heading1"/>
      </w:pPr>
      <w:bookmarkStart w:id="18" w:name="_Toc42488080"/>
      <w:r w:rsidRPr="00BB2471">
        <w:t>Content of tenders</w:t>
      </w:r>
      <w:bookmarkEnd w:id="18"/>
    </w:p>
    <w:p w:rsidR="0047783A" w:rsidRPr="00BB2471" w:rsidRDefault="006D4CEC" w:rsidP="001C7FD4">
      <w:pPr>
        <w:spacing w:after="0"/>
        <w:ind w:left="1"/>
        <w:jc w:val="both"/>
        <w:outlineLvl w:val="0"/>
        <w:rPr>
          <w:rFonts w:ascii="Times New Roman" w:hAnsi="Times New Roman"/>
          <w:sz w:val="22"/>
          <w:szCs w:val="22"/>
        </w:rPr>
      </w:pPr>
      <w:r w:rsidRPr="00BB2471">
        <w:rPr>
          <w:rFonts w:ascii="Times New Roman" w:hAnsi="Times New Roman"/>
          <w:sz w:val="22"/>
          <w:szCs w:val="22"/>
        </w:rPr>
        <w:t xml:space="preserve">Failure to fulfil the below requirements will constitute an irregularity and may result in rejection of the tender. </w:t>
      </w:r>
      <w:r w:rsidR="0047783A" w:rsidRPr="00BB2471">
        <w:rPr>
          <w:rFonts w:ascii="Times New Roman" w:hAnsi="Times New Roman"/>
          <w:sz w:val="22"/>
          <w:szCs w:val="22"/>
        </w:rPr>
        <w:t>All tenders submitted must comply with the requirements in the tender dossier and comprise:</w:t>
      </w:r>
    </w:p>
    <w:p w:rsidR="0047783A" w:rsidRPr="00BB2471" w:rsidRDefault="0047783A" w:rsidP="002E7AED">
      <w:pPr>
        <w:ind w:left="568"/>
        <w:jc w:val="both"/>
        <w:outlineLvl w:val="0"/>
        <w:rPr>
          <w:rFonts w:ascii="Times New Roman" w:hAnsi="Times New Roman"/>
          <w:b/>
          <w:sz w:val="22"/>
          <w:szCs w:val="22"/>
        </w:rPr>
      </w:pPr>
      <w:r w:rsidRPr="00BB2471">
        <w:rPr>
          <w:rFonts w:ascii="Times New Roman" w:hAnsi="Times New Roman"/>
          <w:b/>
          <w:sz w:val="22"/>
          <w:szCs w:val="22"/>
        </w:rPr>
        <w:lastRenderedPageBreak/>
        <w:t>Part 1: Technical offer:</w:t>
      </w:r>
    </w:p>
    <w:p w:rsidR="002B1391" w:rsidRPr="00BB2471" w:rsidRDefault="00131B4E" w:rsidP="002E7AED">
      <w:pPr>
        <w:pStyle w:val="Heading2"/>
        <w:keepNext w:val="0"/>
        <w:numPr>
          <w:ilvl w:val="0"/>
          <w:numId w:val="6"/>
        </w:numPr>
        <w:tabs>
          <w:tab w:val="num" w:pos="1135"/>
        </w:tabs>
        <w:spacing w:before="0" w:after="0"/>
        <w:ind w:left="1136" w:hanging="568"/>
        <w:rPr>
          <w:rFonts w:ascii="Times New Roman" w:hAnsi="Times New Roman"/>
          <w:sz w:val="22"/>
          <w:szCs w:val="22"/>
          <w:lang w:val="en-GB"/>
        </w:rPr>
      </w:pPr>
      <w:r w:rsidRPr="00131B4E">
        <w:rPr>
          <w:rFonts w:ascii="Times New Roman" w:hAnsi="Times New Roman"/>
          <w:sz w:val="22"/>
          <w:szCs w:val="22"/>
          <w:lang w:val="en-GB"/>
        </w:rPr>
        <w:t xml:space="preserve">a detailed description of the supplies tendered in conformity with the technical specifications </w:t>
      </w:r>
    </w:p>
    <w:p w:rsidR="00964C7B" w:rsidRPr="00BB2471" w:rsidRDefault="00131B4E" w:rsidP="002E7AED">
      <w:pPr>
        <w:pStyle w:val="Heading2"/>
        <w:keepNext w:val="0"/>
        <w:spacing w:before="0" w:after="0"/>
        <w:ind w:left="1136"/>
        <w:rPr>
          <w:rFonts w:ascii="Times New Roman" w:hAnsi="Times New Roman"/>
          <w:sz w:val="22"/>
          <w:szCs w:val="22"/>
          <w:lang w:val="en-GB"/>
        </w:rPr>
      </w:pPr>
      <w:r w:rsidRPr="00131B4E">
        <w:rPr>
          <w:rFonts w:ascii="Times New Roman" w:hAnsi="Times New Roman"/>
          <w:sz w:val="22"/>
          <w:szCs w:val="22"/>
          <w:lang w:val="en-GB"/>
        </w:rPr>
        <w:t>LOT 1: supply, delivery, unloading, installation</w:t>
      </w:r>
    </w:p>
    <w:p w:rsidR="00964C7B" w:rsidRPr="00BB2471" w:rsidRDefault="00131B4E" w:rsidP="002E7AED">
      <w:pPr>
        <w:pStyle w:val="Heading2"/>
        <w:keepNext w:val="0"/>
        <w:spacing w:before="0" w:after="0"/>
        <w:ind w:left="1136"/>
        <w:rPr>
          <w:rFonts w:ascii="Times New Roman" w:hAnsi="Times New Roman"/>
          <w:sz w:val="22"/>
          <w:szCs w:val="22"/>
          <w:lang w:val="en-GB"/>
        </w:rPr>
      </w:pPr>
      <w:r w:rsidRPr="00131B4E">
        <w:rPr>
          <w:rFonts w:ascii="Times New Roman" w:hAnsi="Times New Roman"/>
          <w:sz w:val="22"/>
          <w:szCs w:val="22"/>
        </w:rPr>
        <w:t xml:space="preserve">LOT 2: </w:t>
      </w:r>
      <w:r w:rsidRPr="00131B4E">
        <w:rPr>
          <w:rFonts w:ascii="Times New Roman" w:hAnsi="Times New Roman"/>
          <w:sz w:val="22"/>
          <w:szCs w:val="22"/>
          <w:lang w:val="en-GB"/>
        </w:rPr>
        <w:t xml:space="preserve"> supply, delivery, unloading, installation </w:t>
      </w:r>
    </w:p>
    <w:p w:rsidR="00964C7B" w:rsidRPr="00BB2471" w:rsidRDefault="00131B4E" w:rsidP="002E7AED">
      <w:pPr>
        <w:pStyle w:val="Heading2"/>
        <w:keepNext w:val="0"/>
        <w:spacing w:before="0" w:after="0"/>
        <w:ind w:left="1136"/>
        <w:rPr>
          <w:rFonts w:ascii="Times New Roman" w:hAnsi="Times New Roman"/>
          <w:sz w:val="22"/>
          <w:szCs w:val="22"/>
          <w:lang w:val="en-GB"/>
        </w:rPr>
      </w:pPr>
      <w:r w:rsidRPr="00131B4E">
        <w:rPr>
          <w:rFonts w:ascii="Times New Roman" w:hAnsi="Times New Roman"/>
          <w:sz w:val="22"/>
          <w:szCs w:val="22"/>
          <w:lang w:val="en-GB"/>
        </w:rPr>
        <w:t>Including any documentation required.</w:t>
      </w:r>
    </w:p>
    <w:p w:rsidR="006A5ADE" w:rsidRPr="00BB2471" w:rsidRDefault="00131B4E" w:rsidP="002E7AED">
      <w:pPr>
        <w:ind w:left="568"/>
        <w:rPr>
          <w:rFonts w:ascii="Times New Roman" w:hAnsi="Times New Roman"/>
          <w:sz w:val="22"/>
          <w:szCs w:val="22"/>
        </w:rPr>
      </w:pPr>
      <w:r w:rsidRPr="00131B4E">
        <w:rPr>
          <w:rFonts w:ascii="Times New Roman" w:hAnsi="Times New Roman"/>
          <w:sz w:val="22"/>
          <w:szCs w:val="22"/>
        </w:rPr>
        <w:t>The technical offer should be presented as per template (Annex II+III*, Contractor’s technical offer) adding separate sheets for details if necessary.</w:t>
      </w:r>
    </w:p>
    <w:p w:rsidR="0047783A" w:rsidRPr="00BB2471" w:rsidRDefault="00131B4E" w:rsidP="002E7AED">
      <w:pPr>
        <w:ind w:left="568"/>
        <w:jc w:val="both"/>
        <w:outlineLvl w:val="0"/>
        <w:rPr>
          <w:rFonts w:ascii="Times New Roman" w:hAnsi="Times New Roman"/>
          <w:b/>
          <w:sz w:val="22"/>
          <w:szCs w:val="22"/>
        </w:rPr>
      </w:pPr>
      <w:r w:rsidRPr="00131B4E">
        <w:rPr>
          <w:rFonts w:ascii="Times New Roman" w:hAnsi="Times New Roman"/>
          <w:b/>
          <w:sz w:val="22"/>
          <w:szCs w:val="22"/>
        </w:rPr>
        <w:t>Part 2: Financial offer:</w:t>
      </w:r>
    </w:p>
    <w:p w:rsidR="008C5476" w:rsidRPr="00BB2471" w:rsidRDefault="00131B4E" w:rsidP="002E7AED">
      <w:pPr>
        <w:pStyle w:val="Heading2"/>
        <w:keepNext w:val="0"/>
        <w:numPr>
          <w:ilvl w:val="0"/>
          <w:numId w:val="6"/>
        </w:numPr>
        <w:tabs>
          <w:tab w:val="num" w:pos="1136"/>
        </w:tabs>
        <w:spacing w:before="0" w:after="0"/>
        <w:ind w:left="1136" w:hanging="568"/>
        <w:rPr>
          <w:rFonts w:ascii="Times New Roman" w:hAnsi="Times New Roman"/>
          <w:sz w:val="22"/>
          <w:szCs w:val="22"/>
          <w:lang w:val="en-GB"/>
        </w:rPr>
      </w:pPr>
      <w:r w:rsidRPr="00131B4E">
        <w:rPr>
          <w:rFonts w:ascii="Times New Roman" w:hAnsi="Times New Roman"/>
          <w:sz w:val="22"/>
          <w:szCs w:val="22"/>
          <w:lang w:val="en-GB"/>
        </w:rPr>
        <w:t>A financial offer calculated on a DDP</w:t>
      </w:r>
      <w:r w:rsidRPr="00131B4E">
        <w:rPr>
          <w:rStyle w:val="FootnoteReference"/>
          <w:rFonts w:ascii="Times New Roman" w:hAnsi="Times New Roman"/>
          <w:sz w:val="22"/>
          <w:szCs w:val="22"/>
        </w:rPr>
        <w:footnoteReference w:id="3"/>
      </w:r>
      <w:r w:rsidRPr="00131B4E">
        <w:rPr>
          <w:rFonts w:ascii="Times New Roman" w:hAnsi="Times New Roman"/>
          <w:sz w:val="22"/>
          <w:szCs w:val="22"/>
          <w:lang w:val="en-GB"/>
        </w:rPr>
        <w:t xml:space="preserve"> basis for the supplies tendered, including </w:t>
      </w:r>
    </w:p>
    <w:p w:rsidR="008C5476" w:rsidRPr="00BB2471" w:rsidRDefault="00131B4E" w:rsidP="002E7AED">
      <w:pPr>
        <w:pStyle w:val="Heading2"/>
        <w:keepNext w:val="0"/>
        <w:spacing w:before="0" w:after="0"/>
        <w:ind w:left="1136"/>
        <w:rPr>
          <w:rFonts w:ascii="Times New Roman" w:hAnsi="Times New Roman"/>
          <w:sz w:val="22"/>
          <w:szCs w:val="22"/>
          <w:lang w:val="en-GB"/>
        </w:rPr>
      </w:pPr>
      <w:r w:rsidRPr="00131B4E">
        <w:rPr>
          <w:rFonts w:ascii="Times New Roman" w:hAnsi="Times New Roman"/>
          <w:sz w:val="22"/>
          <w:szCs w:val="22"/>
          <w:lang w:val="en-GB"/>
        </w:rPr>
        <w:t>LOT 1: supply, delivery, unloading, installation</w:t>
      </w:r>
    </w:p>
    <w:p w:rsidR="008C5476" w:rsidRPr="00BB2471" w:rsidRDefault="00131B4E" w:rsidP="002E7AED">
      <w:pPr>
        <w:pStyle w:val="Heading2"/>
        <w:keepNext w:val="0"/>
        <w:spacing w:before="0" w:after="0"/>
        <w:ind w:left="1136"/>
        <w:rPr>
          <w:rFonts w:ascii="Times New Roman" w:hAnsi="Times New Roman"/>
          <w:sz w:val="22"/>
          <w:szCs w:val="22"/>
          <w:lang w:val="en-GB"/>
        </w:rPr>
      </w:pPr>
      <w:r w:rsidRPr="00131B4E">
        <w:rPr>
          <w:rFonts w:ascii="Times New Roman" w:hAnsi="Times New Roman"/>
          <w:sz w:val="22"/>
          <w:szCs w:val="22"/>
        </w:rPr>
        <w:t xml:space="preserve">LOT 2: </w:t>
      </w:r>
      <w:r w:rsidRPr="00131B4E">
        <w:rPr>
          <w:rFonts w:ascii="Times New Roman" w:hAnsi="Times New Roman"/>
          <w:sz w:val="22"/>
          <w:szCs w:val="22"/>
          <w:lang w:val="en-GB"/>
        </w:rPr>
        <w:t xml:space="preserve"> supply, delivery, unloading, installation </w:t>
      </w:r>
    </w:p>
    <w:p w:rsidR="00964C7B" w:rsidRPr="00BB2471" w:rsidRDefault="00964C7B" w:rsidP="002E7AED">
      <w:pPr>
        <w:pStyle w:val="Heading2"/>
        <w:keepNext w:val="0"/>
        <w:spacing w:before="0" w:after="0"/>
        <w:ind w:left="1136"/>
        <w:rPr>
          <w:rFonts w:ascii="Times New Roman" w:hAnsi="Times New Roman"/>
          <w:sz w:val="22"/>
          <w:szCs w:val="22"/>
          <w:lang w:val="en-GB"/>
        </w:rPr>
      </w:pPr>
    </w:p>
    <w:p w:rsidR="0047783A" w:rsidRPr="00BB2471" w:rsidRDefault="00131B4E" w:rsidP="001C7FD4">
      <w:pPr>
        <w:spacing w:after="0"/>
        <w:rPr>
          <w:rFonts w:ascii="Times New Roman" w:hAnsi="Times New Roman"/>
          <w:sz w:val="22"/>
          <w:szCs w:val="22"/>
        </w:rPr>
      </w:pPr>
      <w:r w:rsidRPr="00131B4E">
        <w:rPr>
          <w:rFonts w:ascii="Times New Roman" w:hAnsi="Times New Roman"/>
          <w:sz w:val="22"/>
          <w:szCs w:val="22"/>
        </w:rPr>
        <w:t>This financial offer should be presented as per template (Annex IV*, Budget breakdown), adding separate sheets for details if necessary.</w:t>
      </w:r>
    </w:p>
    <w:p w:rsidR="0047783A" w:rsidRPr="00BB2471" w:rsidRDefault="00131B4E" w:rsidP="0047783A">
      <w:pPr>
        <w:numPr>
          <w:ilvl w:val="0"/>
          <w:numId w:val="6"/>
        </w:numPr>
        <w:ind w:left="1208" w:hanging="641"/>
        <w:rPr>
          <w:rFonts w:ascii="Times New Roman" w:hAnsi="Times New Roman"/>
          <w:sz w:val="22"/>
          <w:szCs w:val="22"/>
        </w:rPr>
      </w:pPr>
      <w:r w:rsidRPr="00131B4E">
        <w:rPr>
          <w:rFonts w:ascii="Times New Roman" w:hAnsi="Times New Roman"/>
          <w:sz w:val="22"/>
          <w:szCs w:val="22"/>
        </w:rPr>
        <w:t xml:space="preserve">An electronic version of the financial offer </w:t>
      </w:r>
    </w:p>
    <w:p w:rsidR="0047783A" w:rsidRPr="00BB2471" w:rsidRDefault="00131B4E" w:rsidP="0047783A">
      <w:pPr>
        <w:spacing w:after="0"/>
        <w:ind w:left="567"/>
        <w:rPr>
          <w:rFonts w:ascii="Times New Roman" w:hAnsi="Times New Roman"/>
          <w:b/>
          <w:sz w:val="22"/>
          <w:szCs w:val="22"/>
        </w:rPr>
      </w:pPr>
      <w:r w:rsidRPr="00131B4E">
        <w:rPr>
          <w:rFonts w:ascii="Times New Roman" w:hAnsi="Times New Roman"/>
          <w:b/>
          <w:sz w:val="22"/>
          <w:szCs w:val="22"/>
        </w:rPr>
        <w:t>Part 3: Documentation:</w:t>
      </w:r>
    </w:p>
    <w:p w:rsidR="0047783A" w:rsidRPr="00BB2471" w:rsidRDefault="00131B4E" w:rsidP="0047783A">
      <w:pPr>
        <w:tabs>
          <w:tab w:val="left" w:pos="993"/>
        </w:tabs>
        <w:spacing w:after="0"/>
        <w:ind w:left="567"/>
        <w:rPr>
          <w:rFonts w:ascii="Times New Roman" w:hAnsi="Times New Roman"/>
          <w:sz w:val="22"/>
          <w:szCs w:val="22"/>
        </w:rPr>
      </w:pPr>
      <w:r w:rsidRPr="00131B4E">
        <w:rPr>
          <w:rFonts w:ascii="Times New Roman" w:hAnsi="Times New Roman"/>
          <w:sz w:val="22"/>
          <w:szCs w:val="22"/>
        </w:rPr>
        <w:t>To be supplied using the templates attached*:</w:t>
      </w:r>
    </w:p>
    <w:p w:rsidR="0047783A" w:rsidRPr="00BB2471" w:rsidRDefault="00131B4E" w:rsidP="00AC07D4">
      <w:pPr>
        <w:numPr>
          <w:ilvl w:val="0"/>
          <w:numId w:val="6"/>
        </w:numPr>
        <w:tabs>
          <w:tab w:val="num" w:pos="1134"/>
        </w:tabs>
        <w:spacing w:after="0"/>
        <w:ind w:left="1134" w:hanging="567"/>
        <w:jc w:val="both"/>
        <w:rPr>
          <w:rFonts w:ascii="Times New Roman" w:hAnsi="Times New Roman"/>
          <w:sz w:val="22"/>
          <w:szCs w:val="22"/>
        </w:rPr>
      </w:pPr>
      <w:r w:rsidRPr="00131B4E">
        <w:rPr>
          <w:rFonts w:ascii="Times New Roman" w:hAnsi="Times New Roman"/>
          <w:sz w:val="22"/>
          <w:szCs w:val="22"/>
        </w:rPr>
        <w:t>The tender guarantee, for LOT1 is  541.4 EUR EUR and LOT2 is  114 EUR   ;</w:t>
      </w:r>
    </w:p>
    <w:p w:rsidR="0047783A" w:rsidRPr="00BB2471" w:rsidRDefault="00131B4E" w:rsidP="00AC07D4">
      <w:pPr>
        <w:numPr>
          <w:ilvl w:val="0"/>
          <w:numId w:val="6"/>
        </w:numPr>
        <w:tabs>
          <w:tab w:val="num" w:pos="1134"/>
        </w:tabs>
        <w:ind w:left="1134" w:hanging="567"/>
        <w:jc w:val="both"/>
        <w:rPr>
          <w:rFonts w:ascii="Times New Roman" w:hAnsi="Times New Roman"/>
          <w:sz w:val="22"/>
          <w:szCs w:val="22"/>
        </w:rPr>
      </w:pPr>
      <w:r w:rsidRPr="00131B4E">
        <w:rPr>
          <w:rFonts w:ascii="Times New Roman" w:hAnsi="Times New Roman"/>
          <w:sz w:val="22"/>
          <w:szCs w:val="22"/>
        </w:rPr>
        <w:t>The ‘Tender Form for a Supply Contract’, together with its Annex 1 'Declaration of honour on exclusion criteria and selection criteria', both duly completed, which includes the</w:t>
      </w:r>
      <w:r w:rsidRPr="00131B4E">
        <w:rPr>
          <w:rFonts w:ascii="Times New Roman" w:hAnsi="Times New Roman"/>
          <w:sz w:val="22"/>
          <w:szCs w:val="22"/>
          <w:u w:val="single"/>
        </w:rPr>
        <w:t xml:space="preserve"> </w:t>
      </w:r>
      <w:r w:rsidRPr="00131B4E">
        <w:rPr>
          <w:rFonts w:ascii="Times New Roman" w:hAnsi="Times New Roman"/>
          <w:sz w:val="22"/>
          <w:szCs w:val="22"/>
        </w:rPr>
        <w:t>tenderer’s declaration, point 7, (from each member if a consortium):</w:t>
      </w:r>
    </w:p>
    <w:p w:rsidR="0047783A" w:rsidRPr="00BB2471" w:rsidRDefault="00131B4E" w:rsidP="002E7AED">
      <w:pPr>
        <w:numPr>
          <w:ilvl w:val="0"/>
          <w:numId w:val="6"/>
        </w:numPr>
        <w:spacing w:before="0" w:after="240"/>
        <w:jc w:val="both"/>
        <w:rPr>
          <w:rFonts w:ascii="Times New Roman" w:hAnsi="Times New Roman"/>
          <w:sz w:val="22"/>
          <w:szCs w:val="22"/>
        </w:rPr>
      </w:pPr>
      <w:r w:rsidRPr="00131B4E">
        <w:rPr>
          <w:rFonts w:ascii="Times New Roman" w:hAnsi="Times New Roman"/>
          <w:sz w:val="22"/>
          <w:szCs w:val="22"/>
        </w:rPr>
        <w:t>The details of the bank account into which payments should be made (financial identification form – document c4o1_fif_en) (Tenderers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rsidR="0047783A" w:rsidRPr="00BB2471" w:rsidRDefault="00131B4E" w:rsidP="007C6835">
      <w:pPr>
        <w:numPr>
          <w:ilvl w:val="0"/>
          <w:numId w:val="6"/>
        </w:numPr>
        <w:jc w:val="both"/>
        <w:rPr>
          <w:rFonts w:ascii="Times New Roman" w:hAnsi="Times New Roman"/>
          <w:sz w:val="22"/>
          <w:szCs w:val="22"/>
        </w:rPr>
      </w:pPr>
      <w:r w:rsidRPr="00131B4E">
        <w:rPr>
          <w:rFonts w:ascii="Times New Roman" w:hAnsi="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rsidR="0047783A" w:rsidRPr="00BB2471" w:rsidRDefault="00131B4E" w:rsidP="001C7FD4">
      <w:pPr>
        <w:tabs>
          <w:tab w:val="left" w:pos="993"/>
        </w:tabs>
        <w:spacing w:after="0"/>
        <w:rPr>
          <w:rFonts w:ascii="Times New Roman" w:hAnsi="Times New Roman"/>
          <w:sz w:val="22"/>
          <w:szCs w:val="22"/>
        </w:rPr>
      </w:pPr>
      <w:r w:rsidRPr="00131B4E">
        <w:rPr>
          <w:rFonts w:ascii="Times New Roman" w:hAnsi="Times New Roman"/>
          <w:sz w:val="22"/>
          <w:szCs w:val="22"/>
        </w:rPr>
        <w:t>To be supplied in free-text format:</w:t>
      </w:r>
    </w:p>
    <w:p w:rsidR="0047783A" w:rsidRPr="00BB2471" w:rsidRDefault="00131B4E" w:rsidP="002E7AED">
      <w:pPr>
        <w:spacing w:after="0"/>
        <w:jc w:val="both"/>
        <w:rPr>
          <w:rFonts w:ascii="Times New Roman" w:hAnsi="Times New Roman"/>
          <w:sz w:val="22"/>
          <w:szCs w:val="22"/>
        </w:rPr>
      </w:pPr>
      <w:r w:rsidRPr="00131B4E">
        <w:rPr>
          <w:rFonts w:ascii="Times New Roman" w:hAnsi="Times New Roman"/>
          <w:sz w:val="22"/>
          <w:szCs w:val="22"/>
        </w:rPr>
        <w:t>A description of the warranty conditions, which must be in accordance with the conditions laid down in Article 32 of the General Conditions</w:t>
      </w:r>
      <w:r w:rsidRPr="00131B4E">
        <w:rPr>
          <w:rFonts w:ascii="Times New Roman" w:hAnsi="Times New Roman"/>
          <w:color w:val="339966"/>
          <w:sz w:val="22"/>
          <w:szCs w:val="22"/>
          <w:u w:val="single"/>
        </w:rPr>
        <w:t>.</w:t>
      </w:r>
    </w:p>
    <w:p w:rsidR="0047783A" w:rsidRPr="00BB2471" w:rsidRDefault="00131B4E" w:rsidP="00AC07D4">
      <w:pPr>
        <w:numPr>
          <w:ilvl w:val="0"/>
          <w:numId w:val="6"/>
        </w:numPr>
        <w:tabs>
          <w:tab w:val="num" w:pos="1134"/>
        </w:tabs>
        <w:spacing w:after="0"/>
        <w:ind w:left="1135" w:hanging="568"/>
        <w:jc w:val="both"/>
        <w:rPr>
          <w:rFonts w:ascii="Times New Roman" w:hAnsi="Times New Roman"/>
          <w:sz w:val="22"/>
          <w:szCs w:val="22"/>
        </w:rPr>
      </w:pPr>
      <w:r w:rsidRPr="00131B4E">
        <w:rPr>
          <w:rFonts w:ascii="Times New Roman" w:hAnsi="Times New Roman"/>
          <w:sz w:val="22"/>
          <w:szCs w:val="22"/>
        </w:rPr>
        <w:t>A statement by the tenderer attesting the origin of the supplies tendered (or other proofs of origin).</w:t>
      </w:r>
    </w:p>
    <w:p w:rsidR="0047783A" w:rsidRPr="00BB2471" w:rsidRDefault="00131B4E" w:rsidP="00AC07D4">
      <w:pPr>
        <w:numPr>
          <w:ilvl w:val="0"/>
          <w:numId w:val="6"/>
        </w:numPr>
        <w:tabs>
          <w:tab w:val="num" w:pos="1134"/>
        </w:tabs>
        <w:spacing w:after="0"/>
        <w:ind w:left="1135" w:hanging="568"/>
        <w:jc w:val="both"/>
        <w:rPr>
          <w:rFonts w:ascii="Times New Roman" w:hAnsi="Times New Roman"/>
          <w:sz w:val="22"/>
          <w:szCs w:val="22"/>
        </w:rPr>
      </w:pPr>
      <w:r w:rsidRPr="00131B4E">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rsidR="000D66C0" w:rsidRPr="00BB2471" w:rsidRDefault="000D66C0" w:rsidP="00B03FDB">
      <w:pPr>
        <w:spacing w:after="0"/>
        <w:jc w:val="both"/>
        <w:outlineLvl w:val="0"/>
        <w:rPr>
          <w:rFonts w:ascii="Times New Roman" w:hAnsi="Times New Roman"/>
          <w:sz w:val="22"/>
          <w:szCs w:val="22"/>
        </w:rPr>
      </w:pPr>
    </w:p>
    <w:p w:rsidR="0047783A" w:rsidRPr="00BB2471" w:rsidRDefault="00131B4E" w:rsidP="001C7FD4">
      <w:pPr>
        <w:spacing w:after="0"/>
        <w:jc w:val="both"/>
        <w:outlineLvl w:val="0"/>
        <w:rPr>
          <w:rFonts w:ascii="Times New Roman" w:hAnsi="Times New Roman"/>
          <w:sz w:val="22"/>
          <w:szCs w:val="22"/>
        </w:rPr>
      </w:pPr>
      <w:r w:rsidRPr="00131B4E">
        <w:rPr>
          <w:rFonts w:ascii="Times New Roman" w:hAnsi="Times New Roman"/>
          <w:sz w:val="22"/>
          <w:szCs w:val="22"/>
        </w:rPr>
        <w:t>Remarks:</w:t>
      </w:r>
    </w:p>
    <w:p w:rsidR="0047783A" w:rsidRPr="00BB2471" w:rsidRDefault="00131B4E" w:rsidP="001C7FD4">
      <w:pPr>
        <w:spacing w:after="0"/>
        <w:rPr>
          <w:rFonts w:ascii="Times New Roman" w:hAnsi="Times New Roman"/>
          <w:sz w:val="22"/>
          <w:szCs w:val="22"/>
        </w:rPr>
      </w:pPr>
      <w:r w:rsidRPr="00131B4E">
        <w:rPr>
          <w:rFonts w:ascii="Times New Roman" w:hAnsi="Times New Roman"/>
          <w:sz w:val="22"/>
          <w:szCs w:val="22"/>
        </w:rPr>
        <w:t>Tenderers are requested to follow this order of presentation.</w:t>
      </w:r>
    </w:p>
    <w:p w:rsidR="0047783A" w:rsidRPr="00BB2471" w:rsidRDefault="00131B4E" w:rsidP="001C7FD4">
      <w:pPr>
        <w:rPr>
          <w:rFonts w:ascii="Times New Roman" w:hAnsi="Times New Roman"/>
          <w:snapToGrid/>
          <w:sz w:val="22"/>
          <w:szCs w:val="22"/>
          <w:lang w:eastAsia="en-GB"/>
        </w:rPr>
      </w:pPr>
      <w:r w:rsidRPr="00131B4E">
        <w:rPr>
          <w:rFonts w:ascii="Times New Roman" w:hAnsi="Times New Roman"/>
          <w:sz w:val="22"/>
          <w:szCs w:val="22"/>
        </w:rPr>
        <w:lastRenderedPageBreak/>
        <w:t xml:space="preserve">Annex* refers to templates attached to the tender dossier. These templates are also available on: </w:t>
      </w:r>
      <w:hyperlink r:id="rId9" w:history="1">
        <w:r w:rsidRPr="00131B4E">
          <w:rPr>
            <w:rStyle w:val="Hyperlink"/>
            <w:rFonts w:ascii="Times New Roman" w:hAnsi="Times New Roman"/>
            <w:snapToGrid/>
            <w:sz w:val="22"/>
            <w:szCs w:val="22"/>
            <w:lang w:eastAsia="en-GB"/>
          </w:rPr>
          <w:t>http://ec.europa.eu/europeaid/prag/annexes.do?group=C</w:t>
        </w:r>
      </w:hyperlink>
      <w:r w:rsidR="00640E38" w:rsidRPr="00BB2471">
        <w:rPr>
          <w:rFonts w:ascii="Times New Roman" w:hAnsi="Times New Roman"/>
          <w:snapToGrid/>
          <w:color w:val="0000FF"/>
          <w:sz w:val="22"/>
          <w:szCs w:val="22"/>
          <w:u w:val="single"/>
          <w:lang w:eastAsia="en-GB"/>
        </w:rPr>
        <w:t xml:space="preserve"> </w:t>
      </w:r>
    </w:p>
    <w:p w:rsidR="0047783A" w:rsidRPr="00BB2471" w:rsidRDefault="0047783A" w:rsidP="00BB2471">
      <w:pPr>
        <w:pStyle w:val="Heading1"/>
      </w:pPr>
      <w:bookmarkStart w:id="19" w:name="_Toc42488081"/>
      <w:r w:rsidRPr="00BB2471">
        <w:t>Taxes and other charges</w:t>
      </w:r>
      <w:bookmarkEnd w:id="19"/>
    </w:p>
    <w:p w:rsidR="002E7AED" w:rsidRPr="00BB2471" w:rsidRDefault="002E7AED" w:rsidP="001C7FD4">
      <w:pPr>
        <w:jc w:val="both"/>
        <w:rPr>
          <w:rFonts w:ascii="Times New Roman" w:hAnsi="Times New Roman"/>
          <w:sz w:val="22"/>
          <w:szCs w:val="22"/>
        </w:rPr>
      </w:pPr>
      <w:r w:rsidRPr="00BB2471">
        <w:rPr>
          <w:rFonts w:ascii="Times New Roman" w:hAnsi="Times New Roman"/>
          <w:sz w:val="22"/>
          <w:szCs w:val="22"/>
        </w:rPr>
        <w:t>The European Commission and Montenegro have agreed in the Framework agreement between the Government of Montenegro and the Commission on the rules for cooperation concerning EC financial assistance to Montenegro to allow full exemption from the all  taxes and other  charges. Please refer to the Article 26 of the Law of Framework Agreement between the Government of Montenegro and the Commission of European Communities on the rules for co-operation concerning EC-Financial assistance to Montenegro in the framework of the implementation of the assistance under Instrument for Pre-Accession Assistance(IPA).</w:t>
      </w:r>
    </w:p>
    <w:p w:rsidR="002D6A44" w:rsidRPr="00BB2471" w:rsidRDefault="00131B4E" w:rsidP="001C7FD4">
      <w:pPr>
        <w:shd w:val="clear" w:color="auto" w:fill="FFFFFF"/>
        <w:jc w:val="both"/>
        <w:rPr>
          <w:rFonts w:ascii="Times New Roman" w:hAnsi="Times New Roman"/>
          <w:sz w:val="22"/>
          <w:szCs w:val="22"/>
        </w:rPr>
      </w:pPr>
      <w:r w:rsidRPr="00131B4E">
        <w:rPr>
          <w:rFonts w:ascii="Times New Roman" w:hAnsi="Times New Roman"/>
          <w:sz w:val="22"/>
          <w:szCs w:val="22"/>
        </w:rPr>
        <w:t>(Official Gazette of Montenegro No. 01/08).</w:t>
      </w:r>
    </w:p>
    <w:p w:rsidR="0047783A" w:rsidRPr="00BB2471" w:rsidRDefault="0047783A" w:rsidP="00BB2471">
      <w:pPr>
        <w:pStyle w:val="Heading1"/>
      </w:pPr>
      <w:bookmarkStart w:id="20" w:name="_Toc42488082"/>
      <w:r w:rsidRPr="00BB2471">
        <w:t>Additional information before the d</w:t>
      </w:r>
      <w:r w:rsidR="00131B4E" w:rsidRPr="00131B4E">
        <w:t>eadline for submission of tenders</w:t>
      </w:r>
      <w:bookmarkEnd w:id="20"/>
    </w:p>
    <w:p w:rsidR="0047783A" w:rsidRPr="00BB2471" w:rsidRDefault="0047783A" w:rsidP="001C7FD4">
      <w:pPr>
        <w:jc w:val="both"/>
        <w:rPr>
          <w:rFonts w:ascii="Times New Roman" w:hAnsi="Times New Roman"/>
          <w:sz w:val="22"/>
          <w:szCs w:val="22"/>
        </w:rPr>
      </w:pPr>
      <w:r w:rsidRPr="00BB2471">
        <w:rPr>
          <w:rFonts w:ascii="Times New Roman" w:hAnsi="Times New Roman"/>
          <w:sz w:val="22"/>
          <w:szCs w:val="22"/>
        </w:rPr>
        <w:t xml:space="preserve">The tender dossier should be </w:t>
      </w:r>
      <w:r w:rsidR="00385FFC" w:rsidRPr="00BB2471">
        <w:rPr>
          <w:rFonts w:ascii="Times New Roman" w:hAnsi="Times New Roman"/>
          <w:sz w:val="22"/>
          <w:szCs w:val="22"/>
        </w:rPr>
        <w:t xml:space="preserve">so </w:t>
      </w:r>
      <w:r w:rsidRPr="00BB2471">
        <w:rPr>
          <w:rFonts w:ascii="Times New Roman" w:hAnsi="Times New Roman"/>
          <w:sz w:val="22"/>
          <w:szCs w:val="22"/>
        </w:rPr>
        <w:t xml:space="preserve">clear </w:t>
      </w:r>
      <w:r w:rsidR="00385FFC" w:rsidRPr="00BB2471">
        <w:rPr>
          <w:rFonts w:ascii="Times New Roman" w:hAnsi="Times New Roman"/>
          <w:sz w:val="22"/>
          <w:szCs w:val="22"/>
        </w:rPr>
        <w:t>that</w:t>
      </w:r>
      <w:r w:rsidRPr="00BB2471">
        <w:rPr>
          <w:rFonts w:ascii="Times New Roman" w:hAnsi="Times New Roman"/>
          <w:sz w:val="22"/>
          <w:szCs w:val="22"/>
        </w:rPr>
        <w:t xml:space="preserve"> tenderers </w:t>
      </w:r>
      <w:r w:rsidR="00131B4E" w:rsidRPr="00131B4E">
        <w:rPr>
          <w:rFonts w:ascii="Times New Roman" w:hAnsi="Times New Roman"/>
          <w:sz w:val="22"/>
          <w:szCs w:val="22"/>
        </w:rPr>
        <w:t>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rsidR="0047783A" w:rsidRPr="00BB2471" w:rsidRDefault="00131B4E" w:rsidP="001C7FD4">
      <w:pPr>
        <w:jc w:val="both"/>
        <w:rPr>
          <w:rFonts w:ascii="Times New Roman" w:hAnsi="Times New Roman"/>
          <w:sz w:val="22"/>
          <w:szCs w:val="22"/>
        </w:rPr>
      </w:pPr>
      <w:r w:rsidRPr="00131B4E">
        <w:rPr>
          <w:rFonts w:ascii="Times New Roman" w:hAnsi="Times New Roman"/>
          <w:sz w:val="22"/>
          <w:szCs w:val="22"/>
        </w:rPr>
        <w:t xml:space="preserve">Tenderers may submit questions in writing to the following address up to 21 days before the deadline for submission of tenders, specifying the </w:t>
      </w:r>
      <w:r w:rsidRPr="00131B4E">
        <w:rPr>
          <w:rFonts w:ascii="Times New Roman" w:hAnsi="Times New Roman"/>
          <w:b/>
          <w:sz w:val="22"/>
          <w:szCs w:val="22"/>
        </w:rPr>
        <w:t>publication reference and the contract title</w:t>
      </w:r>
      <w:r w:rsidRPr="00131B4E">
        <w:rPr>
          <w:rFonts w:ascii="Times New Roman" w:hAnsi="Times New Roman"/>
          <w:sz w:val="22"/>
          <w:szCs w:val="22"/>
        </w:rPr>
        <w:t>:</w:t>
      </w:r>
    </w:p>
    <w:p w:rsidR="001572F6" w:rsidRPr="00BB2471" w:rsidRDefault="001572F6" w:rsidP="00B03FDB">
      <w:pPr>
        <w:pStyle w:val="BodyText"/>
        <w:jc w:val="both"/>
        <w:rPr>
          <w:rFonts w:ascii="Times New Roman" w:hAnsi="Times New Roman"/>
          <w:sz w:val="22"/>
          <w:szCs w:val="22"/>
        </w:rPr>
      </w:pPr>
    </w:p>
    <w:p w:rsidR="001572F6" w:rsidRPr="00BB2471" w:rsidRDefault="00131B4E" w:rsidP="001C7FD4">
      <w:pPr>
        <w:pStyle w:val="BodyText"/>
        <w:jc w:val="both"/>
        <w:rPr>
          <w:rFonts w:ascii="Times New Roman" w:hAnsi="Times New Roman"/>
          <w:sz w:val="22"/>
          <w:szCs w:val="22"/>
        </w:rPr>
      </w:pPr>
      <w:r w:rsidRPr="00131B4E">
        <w:rPr>
          <w:rFonts w:ascii="Times New Roman" w:hAnsi="Times New Roman"/>
          <w:sz w:val="22"/>
          <w:szCs w:val="22"/>
        </w:rPr>
        <w:t>Mrs Marija Radenovic</w:t>
      </w:r>
    </w:p>
    <w:p w:rsidR="001572F6" w:rsidRPr="00BB2471" w:rsidRDefault="00131B4E" w:rsidP="001C7FD4">
      <w:pPr>
        <w:pStyle w:val="BodyText"/>
        <w:jc w:val="both"/>
        <w:rPr>
          <w:rFonts w:ascii="Times New Roman" w:hAnsi="Times New Roman"/>
          <w:sz w:val="22"/>
          <w:szCs w:val="22"/>
        </w:rPr>
      </w:pPr>
      <w:r w:rsidRPr="00131B4E">
        <w:rPr>
          <w:rFonts w:ascii="Times New Roman" w:hAnsi="Times New Roman"/>
          <w:sz w:val="22"/>
          <w:szCs w:val="22"/>
        </w:rPr>
        <w:t>Directorate for Finance and Contracting of the EU Assistance Funds CFCU</w:t>
      </w:r>
    </w:p>
    <w:p w:rsidR="001572F6" w:rsidRPr="00BB2471" w:rsidRDefault="00131B4E" w:rsidP="001C7FD4">
      <w:pPr>
        <w:pStyle w:val="BodyText"/>
        <w:jc w:val="both"/>
        <w:rPr>
          <w:rFonts w:ascii="Times New Roman" w:hAnsi="Times New Roman"/>
          <w:sz w:val="22"/>
          <w:szCs w:val="22"/>
        </w:rPr>
      </w:pPr>
      <w:r w:rsidRPr="00131B4E">
        <w:rPr>
          <w:rFonts w:ascii="Times New Roman" w:hAnsi="Times New Roman"/>
          <w:sz w:val="22"/>
          <w:szCs w:val="22"/>
        </w:rPr>
        <w:t>Ministry of Finance</w:t>
      </w:r>
    </w:p>
    <w:p w:rsidR="001572F6" w:rsidRPr="00BB2471" w:rsidRDefault="00131B4E" w:rsidP="001C7FD4">
      <w:pPr>
        <w:pStyle w:val="BodyText"/>
        <w:jc w:val="both"/>
        <w:rPr>
          <w:rFonts w:ascii="Times New Roman" w:hAnsi="Times New Roman"/>
          <w:sz w:val="22"/>
          <w:szCs w:val="22"/>
        </w:rPr>
      </w:pPr>
      <w:r w:rsidRPr="00131B4E">
        <w:rPr>
          <w:rFonts w:ascii="Times New Roman" w:hAnsi="Times New Roman"/>
          <w:sz w:val="22"/>
          <w:szCs w:val="22"/>
        </w:rPr>
        <w:t>Stanka Dragojevica 2</w:t>
      </w:r>
    </w:p>
    <w:p w:rsidR="00FB6AD7" w:rsidRPr="00BB2471" w:rsidRDefault="00131B4E" w:rsidP="001C7FD4">
      <w:pPr>
        <w:pStyle w:val="NoSpacing"/>
        <w:rPr>
          <w:rFonts w:ascii="Times New Roman" w:hAnsi="Times New Roman"/>
          <w:sz w:val="22"/>
          <w:szCs w:val="22"/>
        </w:rPr>
      </w:pPr>
      <w:r w:rsidRPr="00131B4E">
        <w:rPr>
          <w:rFonts w:ascii="Times New Roman" w:hAnsi="Times New Roman"/>
          <w:sz w:val="22"/>
          <w:szCs w:val="22"/>
        </w:rPr>
        <w:t>81000 Podgorica</w:t>
      </w:r>
    </w:p>
    <w:p w:rsidR="00B03FDB" w:rsidRPr="00BB2471" w:rsidRDefault="00B03FDB" w:rsidP="00EA6DA1">
      <w:pPr>
        <w:pStyle w:val="NoSpacing"/>
        <w:ind w:left="567"/>
        <w:rPr>
          <w:rFonts w:ascii="Times New Roman" w:hAnsi="Times New Roman"/>
          <w:sz w:val="22"/>
          <w:szCs w:val="22"/>
        </w:rPr>
      </w:pPr>
    </w:p>
    <w:p w:rsidR="00FB6AD7" w:rsidRPr="00BB2471" w:rsidRDefault="00BA0AD9" w:rsidP="001C7FD4">
      <w:pPr>
        <w:pStyle w:val="NoSpacing"/>
        <w:rPr>
          <w:rFonts w:ascii="Times New Roman" w:hAnsi="Times New Roman"/>
          <w:color w:val="1F497D"/>
          <w:sz w:val="22"/>
          <w:szCs w:val="22"/>
        </w:rPr>
      </w:pPr>
      <w:hyperlink r:id="rId10" w:history="1">
        <w:r w:rsidR="00131B4E" w:rsidRPr="00131B4E">
          <w:rPr>
            <w:rStyle w:val="Hyperlink"/>
            <w:rFonts w:ascii="Times New Roman" w:hAnsi="Times New Roman"/>
            <w:sz w:val="22"/>
            <w:szCs w:val="22"/>
          </w:rPr>
          <w:t>cfcu@mif.gov.me</w:t>
        </w:r>
      </w:hyperlink>
    </w:p>
    <w:p w:rsidR="00FB6AD7" w:rsidRPr="00BB2471" w:rsidRDefault="00FB6AD7" w:rsidP="00AC07D4">
      <w:pPr>
        <w:pStyle w:val="BodyText"/>
        <w:spacing w:before="0"/>
        <w:ind w:left="567"/>
        <w:rPr>
          <w:rFonts w:ascii="Times New Roman" w:hAnsi="Times New Roman"/>
          <w:sz w:val="22"/>
          <w:szCs w:val="22"/>
        </w:rPr>
      </w:pPr>
    </w:p>
    <w:p w:rsidR="003433E6" w:rsidRPr="00BB2471" w:rsidRDefault="0047783A" w:rsidP="001C7FD4">
      <w:pPr>
        <w:pStyle w:val="BodyText"/>
        <w:jc w:val="both"/>
        <w:rPr>
          <w:rFonts w:ascii="Times New Roman" w:hAnsi="Times New Roman"/>
          <w:sz w:val="22"/>
          <w:szCs w:val="22"/>
        </w:rPr>
      </w:pPr>
      <w:r w:rsidRPr="00BB2471">
        <w:rPr>
          <w:rFonts w:ascii="Times New Roman" w:hAnsi="Times New Roman"/>
          <w:sz w:val="22"/>
          <w:szCs w:val="22"/>
        </w:rPr>
        <w:t>The Contracting Authority has no obligation to provide clarifications after this date.</w:t>
      </w:r>
      <w:r w:rsidR="003433E6" w:rsidRPr="00BB2471">
        <w:rPr>
          <w:rFonts w:ascii="Times New Roman" w:hAnsi="Times New Roman"/>
          <w:sz w:val="22"/>
          <w:szCs w:val="22"/>
        </w:rPr>
        <w:t xml:space="preserve">Any clarification of the tender dossier will be published on the </w:t>
      </w:r>
      <w:r w:rsidR="0013363F">
        <w:rPr>
          <w:rFonts w:ascii="Times New Roman" w:hAnsi="Times New Roman"/>
          <w:sz w:val="22"/>
          <w:szCs w:val="22"/>
        </w:rPr>
        <w:t>European Union Delegation to Montenegro</w:t>
      </w:r>
      <w:r w:rsidR="0013363F" w:rsidRPr="00BB2471">
        <w:rPr>
          <w:rFonts w:ascii="Times New Roman" w:hAnsi="Times New Roman"/>
          <w:sz w:val="22"/>
          <w:szCs w:val="22"/>
        </w:rPr>
        <w:t xml:space="preserve"> </w:t>
      </w:r>
      <w:r w:rsidR="003433E6" w:rsidRPr="00BB2471">
        <w:rPr>
          <w:rFonts w:ascii="Times New Roman" w:hAnsi="Times New Roman"/>
          <w:sz w:val="22"/>
          <w:szCs w:val="22"/>
        </w:rPr>
        <w:t xml:space="preserve">website at </w:t>
      </w:r>
      <w:r w:rsidR="0013363F" w:rsidRPr="0013363F">
        <w:rPr>
          <w:rFonts w:ascii="Times New Roman" w:hAnsi="Times New Roman"/>
          <w:sz w:val="22"/>
          <w:szCs w:val="22"/>
        </w:rPr>
        <w:t>http://www.delmne.ec.europa.eu/code/navigate.php?Id=1</w:t>
      </w:r>
      <w:r w:rsidR="003433E6" w:rsidRPr="00BB2471">
        <w:rPr>
          <w:rFonts w:ascii="Times New Roman" w:hAnsi="Times New Roman"/>
          <w:sz w:val="22"/>
          <w:szCs w:val="22"/>
        </w:rPr>
        <w:t xml:space="preserve"> and </w:t>
      </w:r>
      <w:r w:rsidR="0013363F" w:rsidRPr="00BB2471">
        <w:rPr>
          <w:rFonts w:ascii="Times New Roman" w:hAnsi="Times New Roman"/>
          <w:sz w:val="22"/>
          <w:szCs w:val="22"/>
        </w:rPr>
        <w:t>http://www.mf.gov.me/rubrike/CFCU_tenderi/Tenderi/Otvoreni</w:t>
      </w:r>
      <w:r w:rsidR="003433E6" w:rsidRPr="00BB2471">
        <w:rPr>
          <w:rFonts w:ascii="Times New Roman" w:hAnsi="Times New Roman"/>
          <w:sz w:val="22"/>
          <w:szCs w:val="22"/>
        </w:rPr>
        <w:t>at the latest 11 days before the deadline for submission of tenders.</w:t>
      </w:r>
      <w:r w:rsidR="0013363F">
        <w:rPr>
          <w:rFonts w:ascii="Times New Roman" w:hAnsi="Times New Roman"/>
          <w:sz w:val="22"/>
          <w:szCs w:val="22"/>
        </w:rPr>
        <w:t xml:space="preserve"> </w:t>
      </w:r>
    </w:p>
    <w:p w:rsidR="0047783A" w:rsidRPr="00BB2471" w:rsidRDefault="00131B4E" w:rsidP="001C7FD4">
      <w:pPr>
        <w:pStyle w:val="BodyText"/>
        <w:jc w:val="both"/>
        <w:rPr>
          <w:rFonts w:ascii="Times New Roman" w:hAnsi="Times New Roman"/>
          <w:sz w:val="22"/>
          <w:szCs w:val="22"/>
        </w:rPr>
      </w:pPr>
      <w:r w:rsidRPr="00131B4E">
        <w:rPr>
          <w:rFonts w:ascii="Times New Roman" w:hAnsi="Times New Roman"/>
          <w:sz w:val="22"/>
          <w:szCs w:val="22"/>
        </w:rPr>
        <w:t>Any prospective tenderers seeking to arrange individual meetings with either the Contracting Authority and/or the European Commission during the tender period may be excluded from the tender procedure.</w:t>
      </w:r>
    </w:p>
    <w:p w:rsidR="0047783A" w:rsidRPr="00BB2471" w:rsidRDefault="00131B4E" w:rsidP="00BB2471">
      <w:pPr>
        <w:pStyle w:val="Heading1"/>
      </w:pPr>
      <w:bookmarkStart w:id="21" w:name="_Toc42488083"/>
      <w:r w:rsidRPr="00131B4E">
        <w:t>Clarification meeting / site visit</w:t>
      </w:r>
      <w:bookmarkEnd w:id="21"/>
    </w:p>
    <w:p w:rsidR="006464B1" w:rsidRPr="00BB2471" w:rsidRDefault="0047783A" w:rsidP="00B03FDB">
      <w:pPr>
        <w:pStyle w:val="BodyText"/>
        <w:ind w:left="567" w:hanging="567"/>
        <w:rPr>
          <w:rFonts w:ascii="Times New Roman" w:hAnsi="Times New Roman"/>
          <w:sz w:val="22"/>
          <w:szCs w:val="22"/>
          <w:highlight w:val="lightGray"/>
        </w:rPr>
      </w:pPr>
      <w:r w:rsidRPr="00BB2471">
        <w:rPr>
          <w:rFonts w:ascii="Times New Roman" w:hAnsi="Times New Roman"/>
          <w:sz w:val="22"/>
          <w:szCs w:val="22"/>
        </w:rPr>
        <w:t>14.1</w:t>
      </w:r>
      <w:r w:rsidRPr="00BB2471">
        <w:rPr>
          <w:rFonts w:ascii="Times New Roman" w:hAnsi="Times New Roman"/>
          <w:sz w:val="22"/>
          <w:szCs w:val="22"/>
        </w:rPr>
        <w:tab/>
        <w:t xml:space="preserve">No clarification meeting / site visit planned. Visits by individual prospective tenderers during the tender period cannot be organised. </w:t>
      </w:r>
    </w:p>
    <w:p w:rsidR="0047783A" w:rsidRPr="00BB2471" w:rsidRDefault="0047783A" w:rsidP="00BB2471">
      <w:pPr>
        <w:pStyle w:val="Heading1"/>
      </w:pPr>
      <w:bookmarkStart w:id="22" w:name="_Toc42488084"/>
      <w:r w:rsidRPr="00BB2471">
        <w:lastRenderedPageBreak/>
        <w:t>Alteration or withdrawal of tenders</w:t>
      </w:r>
      <w:bookmarkEnd w:id="22"/>
    </w:p>
    <w:p w:rsidR="0047783A" w:rsidRPr="00BB2471" w:rsidRDefault="0047783A" w:rsidP="0047783A">
      <w:pPr>
        <w:pStyle w:val="Heading2"/>
        <w:keepLines/>
        <w:ind w:left="567" w:hanging="567"/>
        <w:jc w:val="both"/>
        <w:rPr>
          <w:rFonts w:ascii="Times New Roman" w:hAnsi="Times New Roman"/>
          <w:sz w:val="22"/>
          <w:szCs w:val="22"/>
          <w:lang w:val="en-GB"/>
        </w:rPr>
      </w:pPr>
      <w:r w:rsidRPr="00BB2471">
        <w:rPr>
          <w:rFonts w:ascii="Times New Roman" w:hAnsi="Times New Roman"/>
          <w:sz w:val="22"/>
          <w:szCs w:val="22"/>
          <w:lang w:val="en-GB"/>
        </w:rPr>
        <w:t>15.1</w:t>
      </w:r>
      <w:r w:rsidRPr="00BB2471">
        <w:rPr>
          <w:rFonts w:ascii="Times New Roman" w:hAnsi="Times New Roman"/>
          <w:sz w:val="22"/>
          <w:szCs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15.2</w:t>
      </w:r>
      <w:r w:rsidRPr="00BB2471">
        <w:rPr>
          <w:rFonts w:ascii="Times New Roman" w:hAnsi="Times New Roman"/>
          <w:sz w:val="22"/>
          <w:szCs w:val="22"/>
          <w:lang w:val="en-GB"/>
        </w:rPr>
        <w:tab/>
        <w:t xml:space="preserve">Any such notification of alteration or withdrawal must be prepared and submitted in accordance with Article 10. The outer envelope must be marked </w:t>
      </w:r>
      <w:r w:rsidR="006A5F84" w:rsidRPr="00BB2471">
        <w:rPr>
          <w:rFonts w:ascii="Times New Roman" w:hAnsi="Times New Roman"/>
          <w:sz w:val="22"/>
          <w:szCs w:val="22"/>
          <w:lang w:val="en-GB"/>
        </w:rPr>
        <w:t>‘</w:t>
      </w:r>
      <w:r w:rsidRPr="00BB2471">
        <w:rPr>
          <w:rFonts w:ascii="Times New Roman" w:hAnsi="Times New Roman"/>
          <w:sz w:val="22"/>
          <w:szCs w:val="22"/>
          <w:lang w:val="en-GB"/>
        </w:rPr>
        <w:t>Alteration</w:t>
      </w:r>
      <w:r w:rsidR="006A5F84" w:rsidRPr="00BB2471">
        <w:rPr>
          <w:rFonts w:ascii="Times New Roman" w:hAnsi="Times New Roman"/>
          <w:sz w:val="22"/>
          <w:szCs w:val="22"/>
          <w:lang w:val="en-GB"/>
        </w:rPr>
        <w:t>’</w:t>
      </w:r>
      <w:r w:rsidR="00131B4E" w:rsidRPr="00131B4E">
        <w:rPr>
          <w:rFonts w:ascii="Times New Roman" w:hAnsi="Times New Roman"/>
          <w:sz w:val="22"/>
          <w:szCs w:val="22"/>
          <w:lang w:val="en-GB"/>
        </w:rPr>
        <w:t xml:space="preserve"> or ‘Withdrawal’ as appropriate.</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15.3</w:t>
      </w:r>
      <w:r w:rsidRPr="00BB2471">
        <w:rPr>
          <w:rFonts w:ascii="Times New Roman" w:hAnsi="Times New Roman"/>
          <w:sz w:val="22"/>
          <w:szCs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BB2471" w:rsidRDefault="0047783A" w:rsidP="00BB2471">
      <w:pPr>
        <w:pStyle w:val="Heading1"/>
      </w:pPr>
      <w:bookmarkStart w:id="23" w:name="_Toc42488085"/>
      <w:r w:rsidRPr="00BB2471">
        <w:t>Costs of preparing tenders</w:t>
      </w:r>
      <w:bookmarkEnd w:id="23"/>
    </w:p>
    <w:p w:rsidR="0047783A" w:rsidRPr="00BB2471" w:rsidRDefault="0047783A" w:rsidP="0047783A">
      <w:pPr>
        <w:tabs>
          <w:tab w:val="left" w:pos="567"/>
        </w:tabs>
        <w:ind w:left="567"/>
        <w:jc w:val="both"/>
        <w:rPr>
          <w:rFonts w:ascii="Times New Roman" w:hAnsi="Times New Roman"/>
          <w:sz w:val="22"/>
          <w:szCs w:val="22"/>
        </w:rPr>
      </w:pPr>
      <w:r w:rsidRPr="00BB2471">
        <w:rPr>
          <w:rFonts w:ascii="Times New Roman" w:hAnsi="Times New Roman"/>
          <w:sz w:val="22"/>
          <w:szCs w:val="22"/>
        </w:rPr>
        <w:t>No costs incurred by the tenderer in preparing and submitting the tender are reimbursable. All such costs will be borne by the tenderer.</w:t>
      </w:r>
    </w:p>
    <w:p w:rsidR="0047783A" w:rsidRPr="00BB2471" w:rsidRDefault="0047783A" w:rsidP="00BB2471">
      <w:pPr>
        <w:pStyle w:val="Heading1"/>
      </w:pPr>
      <w:bookmarkStart w:id="24" w:name="_Toc42488086"/>
      <w:r w:rsidRPr="00BB2471">
        <w:t>Ownership of tenders</w:t>
      </w:r>
      <w:bookmarkEnd w:id="24"/>
    </w:p>
    <w:p w:rsidR="0047783A" w:rsidRPr="00BB2471" w:rsidRDefault="0047783A" w:rsidP="0047783A">
      <w:pPr>
        <w:ind w:left="567"/>
        <w:jc w:val="both"/>
        <w:rPr>
          <w:rFonts w:ascii="Times New Roman" w:hAnsi="Times New Roman"/>
          <w:sz w:val="22"/>
          <w:szCs w:val="22"/>
        </w:rPr>
      </w:pPr>
      <w:r w:rsidRPr="00BB2471">
        <w:rPr>
          <w:rFonts w:ascii="Times New Roman" w:hAnsi="Times New Roman"/>
          <w:sz w:val="22"/>
          <w:szCs w:val="22"/>
        </w:rPr>
        <w:t>The Contracting Authority retains ownership of all tenders received under this tender procedure. Consequently, tenderers have no right to have their tenders returned to them.</w:t>
      </w:r>
    </w:p>
    <w:p w:rsidR="0047783A" w:rsidRPr="00BB2471" w:rsidRDefault="0047783A" w:rsidP="00BB2471">
      <w:pPr>
        <w:pStyle w:val="Heading1"/>
      </w:pPr>
      <w:bookmarkStart w:id="25" w:name="_Toc42488087"/>
      <w:r w:rsidRPr="00BB2471">
        <w:t>Joint venture or consortium</w:t>
      </w:r>
      <w:bookmarkEnd w:id="25"/>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18.1</w:t>
      </w:r>
      <w:r w:rsidRPr="00BB2471">
        <w:rPr>
          <w:rFonts w:ascii="Times New Roman" w:hAnsi="Times New Roman"/>
          <w:sz w:val="22"/>
          <w:szCs w:val="22"/>
          <w:lang w:val="en-GB"/>
        </w:rPr>
        <w:tab/>
        <w:t xml:space="preserve">If a tenderer is a joint venture or consortium of two or more persons, the tender must be </w:t>
      </w:r>
      <w:r w:rsidR="00C778A1" w:rsidRPr="00BB2471">
        <w:rPr>
          <w:rFonts w:ascii="Times New Roman" w:hAnsi="Times New Roman"/>
          <w:sz w:val="22"/>
          <w:szCs w:val="22"/>
          <w:lang w:val="en-GB"/>
        </w:rPr>
        <w:t xml:space="preserve">a </w:t>
      </w:r>
      <w:r w:rsidRPr="00BB2471">
        <w:rPr>
          <w:rFonts w:ascii="Times New Roman" w:hAnsi="Times New Roman"/>
          <w:sz w:val="22"/>
          <w:szCs w:val="22"/>
          <w:lang w:val="en-GB"/>
        </w:rPr>
        <w:t xml:space="preserve">single </w:t>
      </w:r>
      <w:r w:rsidR="00C778A1" w:rsidRPr="00BB2471">
        <w:rPr>
          <w:rFonts w:ascii="Times New Roman" w:hAnsi="Times New Roman"/>
          <w:sz w:val="22"/>
          <w:szCs w:val="22"/>
          <w:lang w:val="en-GB"/>
        </w:rPr>
        <w:t xml:space="preserve">one </w:t>
      </w:r>
      <w:r w:rsidRPr="00BB2471">
        <w:rPr>
          <w:rFonts w:ascii="Times New Roman" w:hAnsi="Times New Roman"/>
          <w:sz w:val="22"/>
          <w:szCs w:val="22"/>
          <w:lang w:val="en-GB"/>
        </w:rPr>
        <w:t>with the object of securing a single contract, each person must sign the tender and will be jo</w:t>
      </w:r>
      <w:r w:rsidR="00131B4E" w:rsidRPr="00131B4E">
        <w:rPr>
          <w:rFonts w:ascii="Times New Roman" w:hAnsi="Times New Roman"/>
          <w:sz w:val="22"/>
          <w:szCs w:val="22"/>
          <w:lang w:val="en-GB"/>
        </w:rPr>
        <w:t>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18.2</w:t>
      </w:r>
      <w:r w:rsidRPr="00BB2471">
        <w:rPr>
          <w:rFonts w:ascii="Times New Roman" w:hAnsi="Times New Roman"/>
          <w:sz w:val="22"/>
          <w:szCs w:val="22"/>
          <w:lang w:val="en-GB"/>
        </w:rPr>
        <w:tab/>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BB2471" w:rsidRDefault="0047783A" w:rsidP="00BB2471">
      <w:pPr>
        <w:pStyle w:val="Heading1"/>
      </w:pPr>
      <w:bookmarkStart w:id="26" w:name="_Toc42488088"/>
      <w:r w:rsidRPr="00BB2471">
        <w:t>Opening of tenders</w:t>
      </w:r>
      <w:bookmarkEnd w:id="26"/>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19.1</w:t>
      </w:r>
      <w:r w:rsidRPr="00BB2471">
        <w:rPr>
          <w:rFonts w:ascii="Times New Roman" w:hAnsi="Times New Roman"/>
          <w:sz w:val="22"/>
          <w:szCs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19.2</w:t>
      </w:r>
      <w:r w:rsidRPr="00BB2471">
        <w:rPr>
          <w:rFonts w:ascii="Times New Roman" w:hAnsi="Times New Roman"/>
          <w:sz w:val="22"/>
          <w:szCs w:val="22"/>
          <w:lang w:val="en-GB"/>
        </w:rPr>
        <w:tab/>
        <w:t xml:space="preserve">The tenders will be opened in public session on </w:t>
      </w:r>
      <w:r w:rsidR="00AA3279">
        <w:rPr>
          <w:rFonts w:ascii="Times New Roman" w:hAnsi="Times New Roman"/>
          <w:sz w:val="22"/>
          <w:szCs w:val="22"/>
          <w:lang w:val="en-GB"/>
        </w:rPr>
        <w:t>05.09.2016.</w:t>
      </w:r>
      <w:r w:rsidR="00131B4E" w:rsidRPr="00131B4E">
        <w:rPr>
          <w:rFonts w:ascii="Times New Roman" w:hAnsi="Times New Roman"/>
          <w:sz w:val="22"/>
          <w:szCs w:val="22"/>
          <w:lang w:val="en-GB"/>
        </w:rPr>
        <w:t xml:space="preserve"> at 12:00h  in the premises of the Directorate for Finance and Contracting of the EU Assistance Funds (CFCU), Serdara Jola Piletića (BC Palada), the top floor  by the committee appointed for the purpose. The committee will draw up minutes of the meeting, which will be available on request.</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19.3</w:t>
      </w:r>
      <w:r w:rsidRPr="00BB2471">
        <w:rPr>
          <w:rFonts w:ascii="Times New Roman" w:hAnsi="Times New Roman"/>
          <w:sz w:val="22"/>
          <w:szCs w:val="22"/>
          <w:lang w:val="en-GB"/>
        </w:rPr>
        <w:tab/>
        <w:t>At the tender opening, the tenderers</w:t>
      </w:r>
      <w:r w:rsidR="006A5F84" w:rsidRPr="00BB2471">
        <w:rPr>
          <w:rFonts w:ascii="Times New Roman" w:hAnsi="Times New Roman"/>
          <w:sz w:val="22"/>
          <w:szCs w:val="22"/>
          <w:lang w:val="en-GB"/>
        </w:rPr>
        <w:t>’</w:t>
      </w:r>
      <w:r w:rsidRPr="00BB2471">
        <w:rPr>
          <w:rFonts w:ascii="Times New Roman" w:hAnsi="Times New Roman"/>
          <w:sz w:val="22"/>
          <w:szCs w:val="22"/>
          <w:lang w:val="en-GB"/>
        </w:rPr>
        <w:t xml:space="preserve"> names, the tender prices, any discount offered, written notifications of alteration and withdrawal, the presence of the requisite tender guarantee (if required) and such other information as the Contracting Authority may consider appropriate may be announced.</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lastRenderedPageBreak/>
        <w:t>19.4</w:t>
      </w:r>
      <w:r w:rsidRPr="00BB2471">
        <w:rPr>
          <w:rFonts w:ascii="Times New Roman" w:hAnsi="Times New Roman"/>
          <w:sz w:val="22"/>
          <w:szCs w:val="22"/>
          <w:lang w:val="en-GB"/>
        </w:rPr>
        <w:tab/>
        <w:t xml:space="preserve">After the public opening of the tenders, no information relating to the </w:t>
      </w:r>
      <w:r w:rsidR="00131B4E" w:rsidRPr="00131B4E">
        <w:rPr>
          <w:rFonts w:ascii="Times New Roman" w:hAnsi="Times New Roman"/>
          <w:sz w:val="22"/>
          <w:szCs w:val="22"/>
          <w:lang w:val="en-GB"/>
        </w:rPr>
        <w:t>examination, clarification, evaluation and comparison of tenders, or recommendations concerning the award of the contract can be disclosed until after the contract has been awarded.</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19.5</w:t>
      </w:r>
      <w:r w:rsidRPr="00131B4E">
        <w:rPr>
          <w:rFonts w:ascii="Times New Roman" w:hAnsi="Times New Roman"/>
          <w:sz w:val="22"/>
          <w:szCs w:val="22"/>
          <w:lang w:val="en-GB"/>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19.6</w:t>
      </w:r>
      <w:r w:rsidRPr="00131B4E">
        <w:rPr>
          <w:rFonts w:ascii="Times New Roman" w:hAnsi="Times New Roman"/>
          <w:sz w:val="22"/>
          <w:szCs w:val="22"/>
          <w:lang w:val="en-GB"/>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rsidR="0047783A" w:rsidRPr="00BB2471" w:rsidRDefault="0047783A" w:rsidP="00BB2471">
      <w:pPr>
        <w:pStyle w:val="Heading1"/>
      </w:pPr>
      <w:bookmarkStart w:id="27" w:name="_Toc42488089"/>
      <w:r w:rsidRPr="00BB2471">
        <w:t>Evaluation of tenders</w:t>
      </w:r>
      <w:bookmarkEnd w:id="27"/>
    </w:p>
    <w:p w:rsidR="0047783A" w:rsidRPr="00BB2471" w:rsidRDefault="0047783A" w:rsidP="0047783A">
      <w:pPr>
        <w:pStyle w:val="Heading2"/>
        <w:ind w:left="567" w:hanging="567"/>
        <w:jc w:val="both"/>
        <w:rPr>
          <w:rFonts w:ascii="Times New Roman" w:hAnsi="Times New Roman"/>
          <w:sz w:val="22"/>
          <w:szCs w:val="22"/>
          <w:lang w:val="en-GB"/>
        </w:rPr>
      </w:pPr>
      <w:r w:rsidRPr="00BB2471">
        <w:rPr>
          <w:rFonts w:ascii="Times New Roman" w:hAnsi="Times New Roman"/>
          <w:sz w:val="22"/>
          <w:szCs w:val="22"/>
          <w:lang w:val="en-GB"/>
        </w:rPr>
        <w:t>20.1</w:t>
      </w:r>
      <w:r w:rsidRPr="00BB2471">
        <w:rPr>
          <w:rFonts w:ascii="Times New Roman" w:hAnsi="Times New Roman"/>
          <w:sz w:val="22"/>
          <w:szCs w:val="22"/>
          <w:lang w:val="en-GB"/>
        </w:rPr>
        <w:tab/>
        <w:t>Examination of the administrative conformity of tenders</w:t>
      </w:r>
    </w:p>
    <w:p w:rsidR="0047783A" w:rsidRPr="00BB2471" w:rsidRDefault="0047783A" w:rsidP="0047783A">
      <w:pPr>
        <w:ind w:left="567"/>
        <w:jc w:val="both"/>
        <w:outlineLvl w:val="0"/>
        <w:rPr>
          <w:rFonts w:ascii="Times New Roman" w:hAnsi="Times New Roman"/>
          <w:sz w:val="22"/>
          <w:szCs w:val="22"/>
        </w:rPr>
      </w:pPr>
      <w:r w:rsidRPr="00BB2471">
        <w:rPr>
          <w:rFonts w:ascii="Times New Roman" w:hAnsi="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BB2471" w:rsidRDefault="0047783A" w:rsidP="0047783A">
      <w:pPr>
        <w:ind w:left="567"/>
        <w:jc w:val="both"/>
        <w:outlineLvl w:val="0"/>
        <w:rPr>
          <w:rFonts w:ascii="Times New Roman" w:hAnsi="Times New Roman"/>
          <w:sz w:val="22"/>
          <w:szCs w:val="22"/>
        </w:rPr>
      </w:pPr>
      <w:r w:rsidRPr="00BB2471">
        <w:rPr>
          <w:rFonts w:ascii="Times New Roman" w:hAnsi="Times New Roman"/>
          <w:sz w:val="22"/>
          <w:szCs w:val="22"/>
        </w:rPr>
        <w:t>Substantial departures or restrictions are those which affect the scope, quality or execution of the contract, differ widely from the terms of the tender dossier, limit the rights of the Contracting Authority or the tenderer</w:t>
      </w:r>
      <w:r w:rsidR="006A5F84" w:rsidRPr="00BB2471">
        <w:rPr>
          <w:rFonts w:ascii="Times New Roman" w:hAnsi="Times New Roman"/>
          <w:sz w:val="22"/>
          <w:szCs w:val="22"/>
        </w:rPr>
        <w:t>’</w:t>
      </w:r>
      <w:r w:rsidRPr="00BB2471">
        <w:rPr>
          <w:rFonts w:ascii="Times New Roman" w:hAnsi="Times New Roman"/>
          <w:sz w:val="22"/>
          <w:szCs w:val="22"/>
        </w:rPr>
        <w:t>s obligations under the contract or distort competition for tenderers whose tenders do comply. Decisions to the effect that a tender is not administratively compliant must be duly justified in the evaluation minutes.</w:t>
      </w:r>
    </w:p>
    <w:p w:rsidR="0047783A" w:rsidRPr="00BB2471" w:rsidRDefault="0047783A" w:rsidP="0047783A">
      <w:pPr>
        <w:ind w:left="567"/>
        <w:jc w:val="both"/>
        <w:outlineLvl w:val="0"/>
        <w:rPr>
          <w:rFonts w:ascii="Times New Roman" w:hAnsi="Times New Roman"/>
          <w:sz w:val="22"/>
          <w:szCs w:val="22"/>
        </w:rPr>
      </w:pPr>
      <w:r w:rsidRPr="00BB2471">
        <w:rPr>
          <w:rFonts w:ascii="Times New Roman" w:hAnsi="Times New Roman"/>
          <w:sz w:val="22"/>
          <w:szCs w:val="22"/>
        </w:rPr>
        <w:t>If a tender does not comply with the tender dossier, it will be rejected immediately and may not subsequently be made to comply by correcting it or withdrawing the departure or restriction.</w:t>
      </w:r>
    </w:p>
    <w:p w:rsidR="0047783A" w:rsidRPr="00BB2471" w:rsidRDefault="0047783A" w:rsidP="0047783A">
      <w:pPr>
        <w:pStyle w:val="Heading2"/>
        <w:ind w:left="567" w:hanging="567"/>
        <w:jc w:val="both"/>
        <w:rPr>
          <w:rFonts w:ascii="Times New Roman" w:hAnsi="Times New Roman"/>
          <w:sz w:val="22"/>
          <w:szCs w:val="22"/>
          <w:lang w:val="en-GB"/>
        </w:rPr>
      </w:pPr>
      <w:r w:rsidRPr="00BB2471">
        <w:rPr>
          <w:rFonts w:ascii="Times New Roman" w:hAnsi="Times New Roman"/>
          <w:sz w:val="22"/>
          <w:szCs w:val="22"/>
          <w:lang w:val="en-GB"/>
        </w:rPr>
        <w:t>20.2</w:t>
      </w:r>
      <w:r w:rsidRPr="00BB2471">
        <w:rPr>
          <w:rFonts w:ascii="Times New Roman" w:hAnsi="Times New Roman"/>
          <w:sz w:val="22"/>
          <w:szCs w:val="22"/>
          <w:lang w:val="en-GB"/>
        </w:rPr>
        <w:tab/>
        <w:t>Technical evaluation</w:t>
      </w:r>
    </w:p>
    <w:p w:rsidR="0047783A" w:rsidRPr="00BB2471" w:rsidRDefault="00131B4E" w:rsidP="00E82463">
      <w:pPr>
        <w:spacing w:before="0"/>
        <w:ind w:left="567"/>
        <w:jc w:val="both"/>
        <w:outlineLvl w:val="0"/>
        <w:rPr>
          <w:rFonts w:ascii="Times New Roman" w:hAnsi="Times New Roman"/>
          <w:sz w:val="22"/>
          <w:szCs w:val="22"/>
        </w:rPr>
      </w:pPr>
      <w:bookmarkStart w:id="28" w:name="_Ref500330647"/>
      <w:r w:rsidRPr="00131B4E">
        <w:rPr>
          <w:rFonts w:ascii="Times New Roman" w:hAnsi="Times New Roman"/>
          <w:sz w:val="22"/>
          <w:szCs w:val="22"/>
        </w:rPr>
        <w:t>After analysing the tenders deemed to comply in administrative terms, the evaluation committee will rule on the technical admissibility of each tender, classifying it as technically compliant or non-compliant.</w:t>
      </w:r>
    </w:p>
    <w:p w:rsidR="0047783A" w:rsidRPr="00BB2471" w:rsidRDefault="00131B4E" w:rsidP="00E82463">
      <w:pPr>
        <w:pStyle w:val="Heading2"/>
        <w:keepNext w:val="0"/>
        <w:spacing w:before="0"/>
        <w:ind w:left="567"/>
        <w:jc w:val="both"/>
        <w:rPr>
          <w:rFonts w:ascii="Times New Roman" w:hAnsi="Times New Roman"/>
          <w:sz w:val="22"/>
          <w:szCs w:val="22"/>
          <w:lang w:val="en-GB"/>
        </w:rPr>
      </w:pPr>
      <w:r w:rsidRPr="00131B4E">
        <w:rPr>
          <w:rFonts w:ascii="Times New Roman" w:hAnsi="Times New Roman"/>
          <w:sz w:val="22"/>
          <w:szCs w:val="22"/>
          <w:lang w:val="en-GB"/>
        </w:rPr>
        <w:t>The minimum qualifications required (see selection criteria in Contract notice point 16) are to be evaluated at the start of this stage.</w:t>
      </w:r>
    </w:p>
    <w:bookmarkEnd w:id="28"/>
    <w:p w:rsidR="0047783A" w:rsidRPr="00BB2471" w:rsidRDefault="00131B4E" w:rsidP="00E82463">
      <w:pPr>
        <w:spacing w:before="0"/>
        <w:ind w:left="567"/>
        <w:jc w:val="both"/>
        <w:outlineLvl w:val="0"/>
        <w:rPr>
          <w:rFonts w:ascii="Times New Roman" w:hAnsi="Times New Roman"/>
          <w:sz w:val="22"/>
          <w:szCs w:val="22"/>
        </w:rPr>
      </w:pPr>
      <w:r w:rsidRPr="00131B4E">
        <w:rPr>
          <w:rFonts w:ascii="Times New Roman" w:hAnsi="Times New Roman"/>
          <w:sz w:val="22"/>
          <w:szCs w:val="22"/>
        </w:rPr>
        <w:t>Where contracts include after-sales service and/or training, the technical quality of such services will also be evaluated by using yes/no criteria as specified in the tender dossier.</w:t>
      </w:r>
    </w:p>
    <w:p w:rsidR="0047783A" w:rsidRPr="00BB2471" w:rsidRDefault="00131B4E" w:rsidP="0047783A">
      <w:pPr>
        <w:pStyle w:val="Heading2"/>
        <w:ind w:left="567" w:hanging="567"/>
        <w:jc w:val="both"/>
        <w:rPr>
          <w:rFonts w:ascii="Times New Roman" w:hAnsi="Times New Roman"/>
          <w:sz w:val="22"/>
          <w:szCs w:val="22"/>
          <w:lang w:val="en-GB"/>
        </w:rPr>
      </w:pPr>
      <w:r w:rsidRPr="00131B4E">
        <w:rPr>
          <w:rFonts w:ascii="Times New Roman" w:hAnsi="Times New Roman"/>
          <w:sz w:val="22"/>
          <w:szCs w:val="22"/>
          <w:lang w:val="en-GB"/>
        </w:rPr>
        <w:t>20.3</w:t>
      </w:r>
      <w:r w:rsidRPr="00131B4E">
        <w:rPr>
          <w:rFonts w:ascii="Times New Roman" w:hAnsi="Times New Roman"/>
          <w:sz w:val="22"/>
          <w:szCs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BB2471" w:rsidRDefault="0047783A" w:rsidP="0047783A">
      <w:pPr>
        <w:pStyle w:val="Heading2"/>
        <w:ind w:left="567" w:hanging="567"/>
        <w:jc w:val="both"/>
        <w:rPr>
          <w:rFonts w:ascii="Times New Roman" w:hAnsi="Times New Roman"/>
          <w:sz w:val="22"/>
          <w:szCs w:val="22"/>
          <w:lang w:val="en-GB"/>
        </w:rPr>
      </w:pPr>
      <w:r w:rsidRPr="00BB2471">
        <w:rPr>
          <w:rFonts w:ascii="Times New Roman" w:hAnsi="Times New Roman"/>
          <w:sz w:val="22"/>
          <w:szCs w:val="22"/>
          <w:lang w:val="en-GB"/>
        </w:rPr>
        <w:t>20.4</w:t>
      </w:r>
      <w:r w:rsidRPr="00BB2471">
        <w:rPr>
          <w:rFonts w:ascii="Times New Roman" w:hAnsi="Times New Roman"/>
          <w:sz w:val="22"/>
          <w:szCs w:val="22"/>
          <w:lang w:val="en-GB"/>
        </w:rPr>
        <w:tab/>
        <w:t>Financial evaluation</w:t>
      </w:r>
    </w:p>
    <w:p w:rsidR="0047783A" w:rsidRPr="00BB2471" w:rsidRDefault="0047783A" w:rsidP="00E82463">
      <w:pPr>
        <w:tabs>
          <w:tab w:val="left" w:pos="851"/>
        </w:tabs>
        <w:spacing w:after="0"/>
        <w:ind w:left="851" w:hanging="284"/>
        <w:jc w:val="both"/>
        <w:rPr>
          <w:rFonts w:ascii="Times New Roman" w:hAnsi="Times New Roman"/>
          <w:sz w:val="22"/>
          <w:szCs w:val="22"/>
        </w:rPr>
      </w:pPr>
      <w:r w:rsidRPr="00BB2471">
        <w:rPr>
          <w:rFonts w:ascii="Times New Roman" w:hAnsi="Times New Roman"/>
          <w:sz w:val="22"/>
          <w:szCs w:val="22"/>
        </w:rPr>
        <w:t>a)</w:t>
      </w:r>
      <w:r w:rsidRPr="00BB2471">
        <w:rPr>
          <w:rFonts w:ascii="Times New Roman" w:hAnsi="Times New Roman"/>
          <w:sz w:val="22"/>
          <w:szCs w:val="22"/>
        </w:rPr>
        <w:tab/>
        <w:t xml:space="preserve">Tenders found to be technically compliant </w:t>
      </w:r>
      <w:r w:rsidR="00FE7D87" w:rsidRPr="00BB2471">
        <w:rPr>
          <w:rFonts w:ascii="Times New Roman" w:hAnsi="Times New Roman"/>
          <w:sz w:val="22"/>
          <w:szCs w:val="22"/>
        </w:rPr>
        <w:t>will</w:t>
      </w:r>
      <w:r w:rsidRPr="00BB2471">
        <w:rPr>
          <w:rFonts w:ascii="Times New Roman" w:hAnsi="Times New Roman"/>
          <w:sz w:val="22"/>
          <w:szCs w:val="22"/>
        </w:rPr>
        <w:t xml:space="preserve"> be check</w:t>
      </w:r>
      <w:r w:rsidR="00131B4E" w:rsidRPr="00131B4E">
        <w:rPr>
          <w:rFonts w:ascii="Times New Roman" w:hAnsi="Times New Roman"/>
          <w:sz w:val="22"/>
          <w:szCs w:val="22"/>
        </w:rPr>
        <w:t>ed for any arithmetical errors in computation and summation. Errors will be corrected by the evaluation committee as follows:</w:t>
      </w:r>
    </w:p>
    <w:p w:rsidR="0047783A" w:rsidRPr="00BB2471" w:rsidRDefault="00131B4E" w:rsidP="00E82463">
      <w:pPr>
        <w:tabs>
          <w:tab w:val="left" w:pos="1418"/>
        </w:tabs>
        <w:spacing w:after="0"/>
        <w:ind w:left="1418" w:hanging="284"/>
        <w:jc w:val="both"/>
        <w:outlineLvl w:val="0"/>
        <w:rPr>
          <w:rFonts w:ascii="Times New Roman" w:hAnsi="Times New Roman"/>
          <w:sz w:val="22"/>
          <w:szCs w:val="22"/>
        </w:rPr>
      </w:pPr>
      <w:r w:rsidRPr="00131B4E">
        <w:rPr>
          <w:rFonts w:ascii="Times New Roman" w:hAnsi="Times New Roman"/>
          <w:sz w:val="22"/>
          <w:szCs w:val="22"/>
        </w:rPr>
        <w:t>-</w:t>
      </w:r>
      <w:r w:rsidRPr="00131B4E">
        <w:rPr>
          <w:rFonts w:ascii="Times New Roman" w:hAnsi="Times New Roman"/>
          <w:sz w:val="22"/>
          <w:szCs w:val="22"/>
        </w:rPr>
        <w:tab/>
        <w:t>where there is a discrepancy between amounts in figures and in words, the amount in words will be the amount taken into account;</w:t>
      </w:r>
    </w:p>
    <w:p w:rsidR="0047783A" w:rsidRPr="00BB2471" w:rsidRDefault="00131B4E" w:rsidP="00E82463">
      <w:pPr>
        <w:tabs>
          <w:tab w:val="left" w:pos="1418"/>
        </w:tabs>
        <w:spacing w:after="0"/>
        <w:ind w:left="1418" w:hanging="284"/>
        <w:jc w:val="both"/>
        <w:outlineLvl w:val="0"/>
        <w:rPr>
          <w:rFonts w:ascii="Times New Roman" w:hAnsi="Times New Roman"/>
          <w:sz w:val="22"/>
          <w:szCs w:val="22"/>
        </w:rPr>
      </w:pPr>
      <w:r w:rsidRPr="00131B4E">
        <w:rPr>
          <w:rFonts w:ascii="Times New Roman" w:hAnsi="Times New Roman"/>
          <w:sz w:val="22"/>
          <w:szCs w:val="22"/>
        </w:rPr>
        <w:lastRenderedPageBreak/>
        <w:t>-</w:t>
      </w:r>
      <w:r w:rsidRPr="00131B4E">
        <w:rPr>
          <w:rFonts w:ascii="Times New Roman" w:hAnsi="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Pr="00BB2471" w:rsidRDefault="00131B4E" w:rsidP="00E82463">
      <w:pPr>
        <w:tabs>
          <w:tab w:val="left" w:pos="851"/>
        </w:tabs>
        <w:spacing w:after="0"/>
        <w:ind w:left="851" w:hanging="284"/>
        <w:jc w:val="both"/>
        <w:rPr>
          <w:rFonts w:ascii="Times New Roman" w:hAnsi="Times New Roman"/>
          <w:sz w:val="22"/>
          <w:szCs w:val="22"/>
        </w:rPr>
      </w:pPr>
      <w:r w:rsidRPr="00131B4E">
        <w:rPr>
          <w:rFonts w:ascii="Times New Roman" w:hAnsi="Times New Roman"/>
          <w:sz w:val="22"/>
          <w:szCs w:val="22"/>
        </w:rPr>
        <w:t>b)</w:t>
      </w:r>
      <w:r w:rsidRPr="00131B4E">
        <w:rPr>
          <w:rFonts w:ascii="Times New Roman" w:hAnsi="Times New Roman"/>
          <w:sz w:val="22"/>
          <w:szCs w:val="22"/>
        </w:rPr>
        <w:tab/>
        <w:t>Amounts corrected in this way will be binding on the tenderer. If the tenderer does not accept them, its tender will be rejected.</w:t>
      </w:r>
    </w:p>
    <w:p w:rsidR="002456F1" w:rsidRPr="00BB2471" w:rsidRDefault="00131B4E" w:rsidP="009C1AB9">
      <w:pPr>
        <w:tabs>
          <w:tab w:val="left" w:pos="851"/>
        </w:tabs>
        <w:spacing w:after="0"/>
        <w:ind w:left="851" w:hanging="284"/>
        <w:jc w:val="both"/>
        <w:rPr>
          <w:rFonts w:ascii="Times New Roman" w:hAnsi="Times New Roman"/>
          <w:sz w:val="22"/>
          <w:szCs w:val="22"/>
        </w:rPr>
      </w:pPr>
      <w:r w:rsidRPr="00131B4E">
        <w:rPr>
          <w:rFonts w:ascii="Times New Roman" w:hAnsi="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47783A" w:rsidRPr="00BB2471" w:rsidRDefault="00131B4E" w:rsidP="0047783A">
      <w:pPr>
        <w:pStyle w:val="Heading2"/>
        <w:ind w:left="567" w:hanging="567"/>
        <w:jc w:val="both"/>
        <w:rPr>
          <w:rFonts w:ascii="Times New Roman" w:hAnsi="Times New Roman"/>
          <w:sz w:val="22"/>
          <w:szCs w:val="22"/>
          <w:lang w:val="en-GB"/>
        </w:rPr>
      </w:pPr>
      <w:r w:rsidRPr="00131B4E">
        <w:rPr>
          <w:rFonts w:ascii="Times New Roman" w:hAnsi="Times New Roman"/>
          <w:sz w:val="22"/>
          <w:szCs w:val="22"/>
          <w:lang w:val="en-GB"/>
        </w:rPr>
        <w:t>20.5</w:t>
      </w:r>
      <w:r w:rsidRPr="00131B4E">
        <w:rPr>
          <w:rFonts w:ascii="Times New Roman" w:hAnsi="Times New Roman"/>
          <w:sz w:val="22"/>
          <w:szCs w:val="22"/>
          <w:lang w:val="en-GB"/>
        </w:rPr>
        <w:tab/>
        <w:t>Variant solutions</w:t>
      </w:r>
    </w:p>
    <w:p w:rsidR="0047783A" w:rsidRPr="00BB2471" w:rsidRDefault="00131B4E" w:rsidP="0047783A">
      <w:pPr>
        <w:ind w:left="567"/>
        <w:jc w:val="both"/>
        <w:rPr>
          <w:rFonts w:ascii="Times New Roman" w:hAnsi="Times New Roman"/>
          <w:sz w:val="22"/>
          <w:szCs w:val="22"/>
        </w:rPr>
      </w:pPr>
      <w:r w:rsidRPr="00131B4E">
        <w:rPr>
          <w:rFonts w:ascii="Times New Roman" w:hAnsi="Times New Roman"/>
          <w:sz w:val="22"/>
          <w:szCs w:val="22"/>
        </w:rPr>
        <w:t>Variant solutions will not be taken into consideration.</w:t>
      </w:r>
    </w:p>
    <w:p w:rsidR="0047783A" w:rsidRPr="00BB2471" w:rsidRDefault="00131B4E" w:rsidP="0047783A">
      <w:pPr>
        <w:pStyle w:val="Heading2"/>
        <w:ind w:left="567" w:hanging="567"/>
        <w:jc w:val="both"/>
        <w:rPr>
          <w:rFonts w:ascii="Times New Roman" w:hAnsi="Times New Roman"/>
          <w:sz w:val="22"/>
          <w:szCs w:val="22"/>
          <w:lang w:val="en-GB"/>
        </w:rPr>
      </w:pPr>
      <w:r w:rsidRPr="00131B4E">
        <w:rPr>
          <w:rFonts w:ascii="Times New Roman" w:hAnsi="Times New Roman"/>
          <w:sz w:val="22"/>
          <w:szCs w:val="22"/>
          <w:lang w:val="en-GB"/>
        </w:rPr>
        <w:t>20.6</w:t>
      </w:r>
      <w:r w:rsidRPr="00131B4E">
        <w:rPr>
          <w:rFonts w:ascii="Times New Roman" w:hAnsi="Times New Roman"/>
          <w:sz w:val="22"/>
          <w:szCs w:val="22"/>
          <w:lang w:val="en-GB"/>
        </w:rPr>
        <w:tab/>
        <w:t>Award criteria</w:t>
      </w:r>
    </w:p>
    <w:p w:rsidR="0047783A" w:rsidRPr="00BB2471" w:rsidRDefault="00131B4E" w:rsidP="0047783A">
      <w:pPr>
        <w:ind w:left="567" w:firstLine="11"/>
        <w:jc w:val="both"/>
        <w:outlineLvl w:val="0"/>
        <w:rPr>
          <w:rFonts w:ascii="Times New Roman" w:hAnsi="Times New Roman"/>
          <w:sz w:val="22"/>
          <w:szCs w:val="22"/>
        </w:rPr>
      </w:pPr>
      <w:r w:rsidRPr="00131B4E">
        <w:rPr>
          <w:rFonts w:ascii="Times New Roman" w:hAnsi="Times New Roman"/>
          <w:sz w:val="22"/>
          <w:szCs w:val="22"/>
        </w:rPr>
        <w:t>The sole award criterion will be the price. The contract will be awarded to the lowest compliant tender.</w:t>
      </w:r>
    </w:p>
    <w:p w:rsidR="0047783A" w:rsidRPr="00BB2471" w:rsidRDefault="008C49BB" w:rsidP="00BB2471">
      <w:pPr>
        <w:pStyle w:val="Heading1"/>
      </w:pPr>
      <w:r w:rsidRPr="00BB2471" w:rsidDel="008C49BB">
        <w:t xml:space="preserve"> </w:t>
      </w:r>
      <w:bookmarkStart w:id="29" w:name="_Toc41467298"/>
      <w:bookmarkStart w:id="30" w:name="_Toc42488090"/>
      <w:r w:rsidR="0047783A" w:rsidRPr="00BB2471">
        <w:t xml:space="preserve">Signature of the contract and </w:t>
      </w:r>
      <w:r w:rsidR="00131B4E" w:rsidRPr="00131B4E">
        <w:t>performance guarantee</w:t>
      </w:r>
      <w:bookmarkStart w:id="31" w:name="_Ref500418776"/>
      <w:bookmarkEnd w:id="29"/>
      <w:bookmarkEnd w:id="30"/>
    </w:p>
    <w:p w:rsidR="0047783A" w:rsidRPr="00BB2471" w:rsidRDefault="0047783A" w:rsidP="00AC07D4">
      <w:pPr>
        <w:ind w:left="567" w:hanging="567"/>
        <w:jc w:val="both"/>
        <w:rPr>
          <w:rFonts w:ascii="Times New Roman" w:hAnsi="Times New Roman"/>
          <w:sz w:val="22"/>
          <w:szCs w:val="22"/>
        </w:rPr>
      </w:pPr>
      <w:r w:rsidRPr="00BB2471">
        <w:rPr>
          <w:rFonts w:ascii="Times New Roman" w:hAnsi="Times New Roman"/>
          <w:sz w:val="22"/>
          <w:szCs w:val="22"/>
        </w:rPr>
        <w:t>21.1</w:t>
      </w:r>
      <w:r w:rsidRPr="00BB2471">
        <w:rPr>
          <w:rFonts w:ascii="Times New Roman" w:hAnsi="Times New Roman"/>
          <w:sz w:val="22"/>
          <w:szCs w:val="22"/>
        </w:rPr>
        <w:tab/>
        <w:t xml:space="preserve">The successful tenderer will be informed in writing that its tender has been accepted (notification of award). Before the Contracting Authority signs the contract with the successful tenderer, the successful tenderer must provide the </w:t>
      </w:r>
      <w:r w:rsidRPr="00BB2471">
        <w:rPr>
          <w:rFonts w:ascii="Times New Roman" w:hAnsi="Times New Roman"/>
          <w:b/>
          <w:sz w:val="22"/>
          <w:szCs w:val="22"/>
        </w:rPr>
        <w:t>documentary proof</w:t>
      </w:r>
      <w:r w:rsidRPr="00BB2471">
        <w:rPr>
          <w:rFonts w:ascii="Times New Roman" w:hAnsi="Times New Roman"/>
          <w:sz w:val="22"/>
          <w:szCs w:val="22"/>
        </w:rPr>
        <w:t xml:space="preserve"> or statements required under the law of the country in which the company (or each of the companies in case of a consortium) is </w:t>
      </w:r>
      <w:r w:rsidR="00131B4E" w:rsidRPr="00131B4E">
        <w:rPr>
          <w:rFonts w:ascii="Times New Roman" w:hAnsi="Times New Roman"/>
          <w:sz w:val="22"/>
          <w:szCs w:val="22"/>
        </w:rPr>
        <w:t>effectively established, to show that it is not in any of the exclusion situations listed in section 2.3.3 of the Practical Guide. This evidence or these documents or statements must carry a date not earlier than one year before the date of submission of the tender. In addition, a statement must be provided that the situations described in these documents have not changed since then.</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21.2</w:t>
      </w:r>
      <w:r w:rsidRPr="00BB2471">
        <w:rPr>
          <w:rFonts w:ascii="Times New Roman" w:hAnsi="Times New Roman"/>
          <w:sz w:val="22"/>
          <w:szCs w:val="22"/>
          <w:lang w:val="en-GB"/>
        </w:rPr>
        <w:tab/>
        <w:t xml:space="preserve">The successful tenderer </w:t>
      </w:r>
      <w:r w:rsidR="00DE71AB" w:rsidRPr="00BB2471">
        <w:rPr>
          <w:rFonts w:ascii="Times New Roman" w:hAnsi="Times New Roman"/>
          <w:sz w:val="22"/>
          <w:szCs w:val="22"/>
          <w:lang w:val="en-GB"/>
        </w:rPr>
        <w:t xml:space="preserve">must </w:t>
      </w:r>
      <w:r w:rsidRPr="00BB2471">
        <w:rPr>
          <w:rFonts w:ascii="Times New Roman" w:hAnsi="Times New Roman"/>
          <w:sz w:val="22"/>
          <w:szCs w:val="22"/>
          <w:lang w:val="en-GB"/>
        </w:rPr>
        <w:t>also provide evidence of financial and economic standing and technical and professional capacity according to the selection criteria for this call for tender</w:t>
      </w:r>
      <w:r w:rsidR="00DE71AB" w:rsidRPr="00BB2471">
        <w:rPr>
          <w:rFonts w:ascii="Times New Roman" w:hAnsi="Times New Roman"/>
          <w:sz w:val="22"/>
          <w:szCs w:val="22"/>
          <w:lang w:val="en-GB"/>
        </w:rPr>
        <w:t>s</w:t>
      </w:r>
      <w:r w:rsidR="00131B4E" w:rsidRPr="00131B4E">
        <w:rPr>
          <w:rFonts w:ascii="Times New Roman" w:hAnsi="Times New Roman"/>
          <w:sz w:val="22"/>
          <w:szCs w:val="22"/>
          <w:lang w:val="en-GB"/>
        </w:rPr>
        <w:t xml:space="preserve"> specified in the contract notice, point 16. The documentary proofs required are listed in section 2.4.11 of the Practical Guide.</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21.3</w:t>
      </w:r>
      <w:r w:rsidRPr="00131B4E">
        <w:rPr>
          <w:rFonts w:ascii="Times New Roman" w:hAnsi="Times New Roman"/>
          <w:sz w:val="22"/>
          <w:szCs w:val="22"/>
          <w:lang w:val="en-GB"/>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654F04" w:rsidRPr="00BB2471" w:rsidRDefault="00131B4E" w:rsidP="00654F04">
      <w:pPr>
        <w:ind w:left="567"/>
        <w:jc w:val="both"/>
        <w:rPr>
          <w:rFonts w:ascii="Times New Roman" w:hAnsi="Times New Roman"/>
          <w:sz w:val="22"/>
          <w:szCs w:val="22"/>
        </w:rPr>
      </w:pPr>
      <w:r w:rsidRPr="00131B4E">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654F04" w:rsidRPr="00BB2471" w:rsidRDefault="00131B4E" w:rsidP="00654F04">
      <w:pPr>
        <w:ind w:left="567"/>
        <w:jc w:val="both"/>
        <w:rPr>
          <w:rFonts w:ascii="Times New Roman" w:hAnsi="Times New Roman"/>
          <w:color w:val="000000"/>
          <w:sz w:val="22"/>
          <w:szCs w:val="22"/>
        </w:rPr>
      </w:pPr>
      <w:r w:rsidRPr="00131B4E">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131B4E">
        <w:rPr>
          <w:rFonts w:ascii="Times New Roman" w:hAnsi="Times New Roman"/>
          <w:sz w:val="22"/>
          <w:szCs w:val="22"/>
        </w:rPr>
        <w:t xml:space="preserve"> further point 2.4.11 of the Practical Guide).</w:t>
      </w:r>
      <w:r w:rsidRPr="00131B4E">
        <w:rPr>
          <w:rFonts w:ascii="Times New Roman" w:hAnsi="Times New Roman"/>
          <w:color w:val="000000"/>
          <w:sz w:val="22"/>
          <w:szCs w:val="22"/>
        </w:rPr>
        <w:t xml:space="preserve"> </w:t>
      </w:r>
    </w:p>
    <w:p w:rsidR="00580F0C" w:rsidRPr="00BB2471" w:rsidRDefault="00131B4E" w:rsidP="00654F04">
      <w:pPr>
        <w:ind w:left="567"/>
        <w:jc w:val="both"/>
        <w:rPr>
          <w:rFonts w:ascii="Times New Roman" w:hAnsi="Times New Roman"/>
          <w:sz w:val="22"/>
          <w:szCs w:val="22"/>
        </w:rPr>
      </w:pPr>
      <w:r w:rsidRPr="00131B4E">
        <w:rPr>
          <w:rFonts w:ascii="Times New Roman" w:hAnsi="Times New Roman"/>
          <w:sz w:val="22"/>
          <w:szCs w:val="22"/>
        </w:rPr>
        <w:t xml:space="preserve">By submitting a tender, each tenderer accepts to receive notification of the outcome of the procedure by electronic means. Such notification shall be deemed to have been received on </w:t>
      </w:r>
      <w:r w:rsidRPr="00131B4E">
        <w:rPr>
          <w:rFonts w:ascii="Times New Roman" w:hAnsi="Times New Roman"/>
          <w:sz w:val="22"/>
          <w:szCs w:val="22"/>
        </w:rPr>
        <w:lastRenderedPageBreak/>
        <w:t>the date upon which the contracting authority sends it to the electronic address referred to in the offer.</w:t>
      </w:r>
    </w:p>
    <w:p w:rsidR="0047783A" w:rsidRPr="00BB2471" w:rsidRDefault="00131B4E" w:rsidP="0047783A">
      <w:pPr>
        <w:ind w:left="567" w:hanging="567"/>
        <w:jc w:val="both"/>
        <w:outlineLvl w:val="0"/>
        <w:rPr>
          <w:rFonts w:ascii="Times New Roman" w:hAnsi="Times New Roman"/>
          <w:sz w:val="22"/>
          <w:szCs w:val="22"/>
        </w:rPr>
      </w:pPr>
      <w:r w:rsidRPr="00131B4E">
        <w:rPr>
          <w:rFonts w:ascii="Times New Roman" w:hAnsi="Times New Roman"/>
          <w:sz w:val="22"/>
          <w:szCs w:val="22"/>
        </w:rPr>
        <w:t xml:space="preserve">21.4 </w:t>
      </w:r>
      <w:r w:rsidRPr="00131B4E">
        <w:rPr>
          <w:rFonts w:ascii="Times New Roman" w:hAnsi="Times New Roman"/>
          <w:sz w:val="22"/>
          <w:szCs w:val="22"/>
        </w:rPr>
        <w:tab/>
      </w:r>
      <w:r w:rsidR="0047783A" w:rsidRPr="00BB2471">
        <w:rPr>
          <w:rFonts w:ascii="Times New Roman" w:hAnsi="Times New Roman"/>
          <w:sz w:val="22"/>
          <w:szCs w:val="22"/>
        </w:rPr>
        <w:t xml:space="preserve">The Contracting Authority reserves the right to vary quantities specified </w:t>
      </w:r>
      <w:r w:rsidR="00F67D26" w:rsidRPr="00BB2471">
        <w:rPr>
          <w:rFonts w:ascii="Times New Roman" w:hAnsi="Times New Roman"/>
          <w:sz w:val="22"/>
          <w:szCs w:val="22"/>
        </w:rPr>
        <w:t>in</w:t>
      </w:r>
      <w:r w:rsidR="0047783A" w:rsidRPr="00BB2471">
        <w:rPr>
          <w:rFonts w:ascii="Times New Roman" w:hAnsi="Times New Roman"/>
          <w:sz w:val="22"/>
          <w:szCs w:val="22"/>
        </w:rPr>
        <w:t xml:space="preserve"> </w:t>
      </w:r>
      <w:r w:rsidR="00F67D26" w:rsidRPr="00BB2471">
        <w:rPr>
          <w:rFonts w:ascii="Times New Roman" w:hAnsi="Times New Roman"/>
          <w:sz w:val="22"/>
          <w:szCs w:val="22"/>
        </w:rPr>
        <w:t>the tender</w:t>
      </w:r>
      <w:r w:rsidR="0047783A" w:rsidRPr="00BB2471">
        <w:rPr>
          <w:rFonts w:ascii="Times New Roman" w:hAnsi="Times New Roman"/>
          <w:sz w:val="22"/>
          <w:szCs w:val="22"/>
        </w:rPr>
        <w:t xml:space="preserve"> </w:t>
      </w:r>
      <w:r w:rsidRPr="00131B4E">
        <w:rPr>
          <w:rFonts w:ascii="Times New Roman" w:hAnsi="Times New Roman"/>
          <w:sz w:val="22"/>
          <w:szCs w:val="22"/>
        </w:rPr>
        <w:t>by +/- 100</w:t>
      </w:r>
      <w:r w:rsidRPr="00131B4E">
        <w:rPr>
          <w:rFonts w:ascii="Times New Roman" w:hAnsi="Times New Roman"/>
          <w:w w:val="50"/>
          <w:sz w:val="22"/>
          <w:szCs w:val="22"/>
        </w:rPr>
        <w:t> </w:t>
      </w:r>
      <w:r w:rsidRPr="00131B4E">
        <w:rPr>
          <w:rFonts w:ascii="Times New Roman" w:hAnsi="Times New Roman"/>
          <w:sz w:val="22"/>
          <w:szCs w:val="22"/>
        </w:rPr>
        <w:t>% at the time of contracting and during the validity of the contract. The total value of the supplies may not, as a result of the variation rise or fall by more than 25</w:t>
      </w:r>
      <w:r w:rsidRPr="00131B4E">
        <w:rPr>
          <w:rFonts w:ascii="Times New Roman" w:hAnsi="Times New Roman"/>
          <w:w w:val="50"/>
          <w:sz w:val="22"/>
          <w:szCs w:val="22"/>
        </w:rPr>
        <w:t> </w:t>
      </w:r>
      <w:r w:rsidRPr="00131B4E">
        <w:rPr>
          <w:rFonts w:ascii="Times New Roman" w:hAnsi="Times New Roman"/>
          <w:sz w:val="22"/>
          <w:szCs w:val="22"/>
        </w:rPr>
        <w:t xml:space="preserve">% of the original financial offer in the tender. The unit prices quoted in the tender shall be used. </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21.5</w:t>
      </w:r>
      <w:r w:rsidRPr="00131B4E">
        <w:rPr>
          <w:rFonts w:ascii="Times New Roman" w:hAnsi="Times New Roman"/>
          <w:sz w:val="22"/>
          <w:szCs w:val="22"/>
          <w:lang w:val="en-GB"/>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bookmarkEnd w:id="31"/>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21.6</w:t>
      </w:r>
      <w:r w:rsidRPr="00BB2471">
        <w:rPr>
          <w:rFonts w:ascii="Times New Roman" w:hAnsi="Times New Roman"/>
          <w:sz w:val="22"/>
          <w:szCs w:val="22"/>
          <w:lang w:val="en-GB"/>
        </w:rPr>
        <w:tab/>
        <w:t>If it fails to sign and return the contract and any financial guarantee required within 30 days after receipt of notification, the Contracting Authority may consider the acceptance of the tender to be cancelled without prejudice to the Contracting Authority</w:t>
      </w:r>
      <w:r w:rsidR="006A5F84" w:rsidRPr="00BB2471">
        <w:rPr>
          <w:rFonts w:ascii="Times New Roman" w:hAnsi="Times New Roman"/>
          <w:sz w:val="22"/>
          <w:szCs w:val="22"/>
          <w:lang w:val="en-GB"/>
        </w:rPr>
        <w:t>’</w:t>
      </w:r>
      <w:r w:rsidRPr="00BB2471">
        <w:rPr>
          <w:rFonts w:ascii="Times New Roman" w:hAnsi="Times New Roman"/>
          <w:sz w:val="22"/>
          <w:szCs w:val="22"/>
          <w:lang w:val="en-GB"/>
        </w:rPr>
        <w:t>s right to seize the guarantee, claim compensation or pursue any other remedy in respect of such failure, and the successful tenderer will have no claim whatsoever on the Contracting Authority.</w:t>
      </w:r>
    </w:p>
    <w:p w:rsidR="0047783A" w:rsidRPr="00BB2471" w:rsidRDefault="00131B4E" w:rsidP="0047783A">
      <w:pPr>
        <w:tabs>
          <w:tab w:val="num" w:pos="709"/>
        </w:tabs>
        <w:ind w:left="567" w:hanging="567"/>
        <w:jc w:val="both"/>
        <w:outlineLvl w:val="0"/>
        <w:rPr>
          <w:rFonts w:ascii="Times New Roman" w:hAnsi="Times New Roman"/>
          <w:sz w:val="22"/>
          <w:szCs w:val="22"/>
        </w:rPr>
      </w:pPr>
      <w:r w:rsidRPr="00131B4E">
        <w:rPr>
          <w:rFonts w:ascii="Times New Roman" w:hAnsi="Times New Roman"/>
          <w:sz w:val="22"/>
          <w:szCs w:val="22"/>
        </w:rPr>
        <w:t>21.7</w:t>
      </w:r>
      <w:r w:rsidRPr="00131B4E">
        <w:rPr>
          <w:rFonts w:ascii="Times New Roman" w:hAnsi="Times New Roman"/>
          <w:sz w:val="22"/>
          <w:szCs w:val="22"/>
        </w:rPr>
        <w:tab/>
      </w:r>
      <w:r w:rsidR="0047783A" w:rsidRPr="00BB2471">
        <w:rPr>
          <w:rFonts w:ascii="Times New Roman" w:hAnsi="Times New Roman"/>
          <w:sz w:val="22"/>
          <w:szCs w:val="22"/>
        </w:rPr>
        <w:t xml:space="preserve">The performance guarantee referred to in the General Conditions is set at </w:t>
      </w:r>
      <w:r w:rsidR="006464B1" w:rsidRPr="00BB2471">
        <w:rPr>
          <w:rFonts w:ascii="Times New Roman" w:hAnsi="Times New Roman"/>
          <w:sz w:val="22"/>
          <w:szCs w:val="22"/>
        </w:rPr>
        <w:t>7%</w:t>
      </w:r>
      <w:r w:rsidR="0047783A" w:rsidRPr="00BB2471">
        <w:rPr>
          <w:rFonts w:ascii="Times New Roman" w:hAnsi="Times New Roman"/>
          <w:sz w:val="22"/>
          <w:szCs w:val="22"/>
        </w:rPr>
        <w:t xml:space="preserve"> of the amount of the contract and must be presented in the form specified in the annex to the tender dossier. It will be released within 45 days of the issue of the final acceptance certificate by the Contracting Authority, except for the proportion assigned to after-sales service.</w:t>
      </w:r>
      <w:r w:rsidR="008718AA" w:rsidRPr="00BB2471">
        <w:rPr>
          <w:rFonts w:ascii="Times New Roman" w:hAnsi="Times New Roman"/>
          <w:sz w:val="22"/>
          <w:szCs w:val="22"/>
        </w:rPr>
        <w:t xml:space="preserve"> </w:t>
      </w:r>
    </w:p>
    <w:p w:rsidR="0047783A" w:rsidRPr="00BB2471" w:rsidRDefault="00131B4E" w:rsidP="00BB2471">
      <w:pPr>
        <w:pStyle w:val="Heading1"/>
      </w:pPr>
      <w:bookmarkStart w:id="32" w:name="_Toc41467299"/>
      <w:bookmarkStart w:id="33" w:name="_Toc42488091"/>
      <w:r w:rsidRPr="00131B4E">
        <w:t>Tender guarantee</w:t>
      </w:r>
      <w:bookmarkEnd w:id="32"/>
      <w:bookmarkEnd w:id="33"/>
    </w:p>
    <w:p w:rsidR="00D1398A" w:rsidRPr="00BB2471" w:rsidRDefault="00131B4E" w:rsidP="001C7FD4">
      <w:pPr>
        <w:jc w:val="both"/>
        <w:outlineLvl w:val="0"/>
        <w:rPr>
          <w:rFonts w:ascii="Times New Roman" w:hAnsi="Times New Roman"/>
          <w:sz w:val="22"/>
          <w:szCs w:val="22"/>
        </w:rPr>
      </w:pPr>
      <w:r w:rsidRPr="00131B4E">
        <w:rPr>
          <w:rFonts w:ascii="Times New Roman" w:hAnsi="Times New Roman"/>
          <w:sz w:val="22"/>
          <w:szCs w:val="22"/>
        </w:rPr>
        <w:t xml:space="preserve"> </w:t>
      </w:r>
      <w:r w:rsidR="0047783A" w:rsidRPr="00BB2471">
        <w:rPr>
          <w:rFonts w:ascii="Times New Roman" w:hAnsi="Times New Roman"/>
          <w:sz w:val="22"/>
          <w:szCs w:val="22"/>
        </w:rPr>
        <w:t xml:space="preserve">The tender guarantee referred to in Article 11 above is set at </w:t>
      </w:r>
      <w:r w:rsidR="00E47BF0" w:rsidRPr="00BB2471">
        <w:rPr>
          <w:rFonts w:ascii="Times New Roman" w:hAnsi="Times New Roman"/>
          <w:sz w:val="22"/>
          <w:szCs w:val="22"/>
        </w:rPr>
        <w:t xml:space="preserve"> 541.4</w:t>
      </w:r>
      <w:r w:rsidR="006464B1" w:rsidRPr="00BB2471">
        <w:rPr>
          <w:rFonts w:ascii="Times New Roman" w:hAnsi="Times New Roman"/>
          <w:sz w:val="22"/>
          <w:szCs w:val="22"/>
        </w:rPr>
        <w:t xml:space="preserve"> EUR for LOT</w:t>
      </w:r>
      <w:r w:rsidR="00D77532" w:rsidRPr="00BB2471">
        <w:rPr>
          <w:rFonts w:ascii="Times New Roman" w:hAnsi="Times New Roman"/>
          <w:sz w:val="22"/>
          <w:szCs w:val="22"/>
        </w:rPr>
        <w:t xml:space="preserve"> </w:t>
      </w:r>
      <w:r w:rsidR="006464B1" w:rsidRPr="00BB2471">
        <w:rPr>
          <w:rFonts w:ascii="Times New Roman" w:hAnsi="Times New Roman"/>
          <w:sz w:val="22"/>
          <w:szCs w:val="22"/>
        </w:rPr>
        <w:t>1</w:t>
      </w:r>
      <w:r w:rsidRPr="00131B4E">
        <w:rPr>
          <w:rFonts w:ascii="Times New Roman" w:hAnsi="Times New Roman"/>
          <w:sz w:val="22"/>
          <w:szCs w:val="22"/>
        </w:rPr>
        <w:t xml:space="preserve"> and 114 EUR for LOT 2 and must be presented in the form specified in the annex to the tender dossier. It must remain valid for 45 days beyond the period of validity of the tender. Tender guarantees provided by tenderers who have not been selected will be returned together with the information letter that the tenderer has been unsuccessful. The tender guarantee of the successful tenderer will be released on signing of the contract, once the performance guarantee has been submitted.</w:t>
      </w:r>
    </w:p>
    <w:p w:rsidR="00B03FDB" w:rsidRPr="00BB2471" w:rsidRDefault="00B03FDB" w:rsidP="00B03FDB">
      <w:pPr>
        <w:jc w:val="both"/>
        <w:outlineLvl w:val="0"/>
        <w:rPr>
          <w:rFonts w:ascii="Times New Roman" w:hAnsi="Times New Roman"/>
          <w:sz w:val="22"/>
          <w:szCs w:val="22"/>
        </w:rPr>
      </w:pPr>
    </w:p>
    <w:p w:rsidR="0047783A" w:rsidRPr="00BB2471" w:rsidRDefault="00131B4E" w:rsidP="00BB2471">
      <w:pPr>
        <w:pStyle w:val="Heading1"/>
      </w:pPr>
      <w:bookmarkStart w:id="34" w:name="_Toc41467300"/>
      <w:bookmarkStart w:id="35" w:name="_Toc42488092"/>
      <w:r w:rsidRPr="00131B4E">
        <w:t>Ethics clauses</w:t>
      </w:r>
      <w:bookmarkEnd w:id="34"/>
      <w:bookmarkEnd w:id="35"/>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23.1</w:t>
      </w:r>
      <w:r w:rsidRPr="00BB2471">
        <w:rPr>
          <w:rFonts w:ascii="Times New Roman" w:hAnsi="Times New Roman"/>
          <w:sz w:val="22"/>
          <w:szCs w:val="22"/>
          <w:lang w:val="en-GB"/>
        </w:rPr>
        <w:tab/>
        <w:t xml:space="preserve">Any attempt by a candidate or tenderer to obtain confidential information, enter into unlawful agreements with competitors or influence the committee or the Contracting Authority during the process of examining, clarifying, evaluating and comparing tenders will lead to the rejection of </w:t>
      </w:r>
      <w:r w:rsidR="00BB2075" w:rsidRPr="00BB2471">
        <w:rPr>
          <w:rFonts w:ascii="Times New Roman" w:hAnsi="Times New Roman"/>
          <w:sz w:val="22"/>
          <w:szCs w:val="22"/>
          <w:lang w:val="en-GB"/>
        </w:rPr>
        <w:t xml:space="preserve">their </w:t>
      </w:r>
      <w:r w:rsidRPr="00BB2471">
        <w:rPr>
          <w:rFonts w:ascii="Times New Roman" w:hAnsi="Times New Roman"/>
          <w:sz w:val="22"/>
          <w:szCs w:val="22"/>
          <w:lang w:val="en-GB"/>
        </w:rPr>
        <w:t>candidacy or tender and may result in administrative penalties.</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23.2</w:t>
      </w:r>
      <w:r w:rsidRPr="00131B4E">
        <w:rPr>
          <w:rFonts w:ascii="Times New Roman" w:hAnsi="Times New Roman"/>
          <w:sz w:val="22"/>
          <w:szCs w:val="22"/>
          <w:lang w:val="en-GB"/>
        </w:rPr>
        <w:tab/>
        <w:t>Without the Contracting Authority’s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23.3.</w:t>
      </w:r>
      <w:r w:rsidRPr="00BB2471">
        <w:rPr>
          <w:rFonts w:ascii="Times New Roman" w:hAnsi="Times New Roman"/>
          <w:sz w:val="22"/>
          <w:szCs w:val="22"/>
          <w:lang w:val="en-GB"/>
        </w:rPr>
        <w:tab/>
        <w:t xml:space="preserve">When </w:t>
      </w:r>
      <w:r w:rsidR="00BB2075" w:rsidRPr="00BB2471">
        <w:rPr>
          <w:rFonts w:ascii="Times New Roman" w:hAnsi="Times New Roman"/>
          <w:sz w:val="22"/>
          <w:szCs w:val="22"/>
          <w:lang w:val="en-GB"/>
        </w:rPr>
        <w:t>submitting</w:t>
      </w:r>
      <w:r w:rsidRPr="00BB2471">
        <w:rPr>
          <w:rFonts w:ascii="Times New Roman" w:hAnsi="Times New Roman"/>
          <w:sz w:val="22"/>
          <w:szCs w:val="22"/>
          <w:lang w:val="en-GB"/>
        </w:rPr>
        <w:t xml:space="preserve"> a tender, tenderer</w:t>
      </w:r>
      <w:r w:rsidR="00BB2075" w:rsidRPr="00BB2471">
        <w:rPr>
          <w:rFonts w:ascii="Times New Roman" w:hAnsi="Times New Roman"/>
          <w:sz w:val="22"/>
          <w:szCs w:val="22"/>
          <w:lang w:val="en-GB"/>
        </w:rPr>
        <w:t>s</w:t>
      </w:r>
      <w:r w:rsidRPr="00BB2471">
        <w:rPr>
          <w:rFonts w:ascii="Times New Roman" w:hAnsi="Times New Roman"/>
          <w:sz w:val="22"/>
          <w:szCs w:val="22"/>
          <w:lang w:val="en-GB"/>
        </w:rPr>
        <w:t xml:space="preserve"> </w:t>
      </w:r>
      <w:r w:rsidR="00131B4E" w:rsidRPr="00131B4E">
        <w:rPr>
          <w:rFonts w:ascii="Times New Roman" w:hAnsi="Times New Roman"/>
          <w:sz w:val="22"/>
          <w:szCs w:val="22"/>
          <w:lang w:val="en-GB"/>
        </w:rPr>
        <w:t>must declare that they are not affected by a conflict of interest and have no equivalent relation in that respect with other tenderers or parties involved in the project. Should such a situation arise during execution of the contract, the Contractor must immediately inform the Contracting Authority.</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23.4</w:t>
      </w:r>
      <w:r w:rsidRPr="00131B4E">
        <w:rPr>
          <w:rFonts w:ascii="Times New Roman" w:hAnsi="Times New Roman"/>
          <w:sz w:val="22"/>
          <w:szCs w:val="22"/>
          <w:lang w:val="en-GB"/>
        </w:rPr>
        <w:tab/>
        <w:t>Contractors must at all times act impartially and as faithful advisers in accordance with the code of conduct of their profession. They will refrain from making public statements about the project or services without the Contracting Authority’s prior approval. They may not commit the Contracting Authority in any way without its prior written consent.</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23.5</w:t>
      </w:r>
      <w:r w:rsidRPr="00BB2471">
        <w:rPr>
          <w:rFonts w:ascii="Times New Roman" w:hAnsi="Times New Roman"/>
          <w:sz w:val="22"/>
          <w:szCs w:val="22"/>
          <w:lang w:val="en-GB"/>
        </w:rPr>
        <w:tab/>
        <w:t>For the duration of the contract</w:t>
      </w:r>
      <w:r w:rsidR="005005D7" w:rsidRPr="00BB2471">
        <w:rPr>
          <w:rFonts w:ascii="Times New Roman" w:hAnsi="Times New Roman"/>
          <w:sz w:val="22"/>
          <w:szCs w:val="22"/>
          <w:lang w:val="en-GB"/>
        </w:rPr>
        <w:t>s</w:t>
      </w:r>
      <w:r w:rsidRPr="00BB2471">
        <w:rPr>
          <w:rFonts w:ascii="Times New Roman" w:hAnsi="Times New Roman"/>
          <w:sz w:val="22"/>
          <w:szCs w:val="22"/>
          <w:lang w:val="en-GB"/>
        </w:rPr>
        <w:t xml:space="preserve"> Contractor</w:t>
      </w:r>
      <w:r w:rsidR="005005D7" w:rsidRPr="00BB2471">
        <w:rPr>
          <w:rFonts w:ascii="Times New Roman" w:hAnsi="Times New Roman"/>
          <w:sz w:val="22"/>
          <w:szCs w:val="22"/>
          <w:lang w:val="en-GB"/>
        </w:rPr>
        <w:t>s</w:t>
      </w:r>
      <w:r w:rsidRPr="00BB2471">
        <w:rPr>
          <w:rFonts w:ascii="Times New Roman" w:hAnsi="Times New Roman"/>
          <w:sz w:val="22"/>
          <w:szCs w:val="22"/>
          <w:lang w:val="en-GB"/>
        </w:rPr>
        <w:t xml:space="preserve"> and </w:t>
      </w:r>
      <w:r w:rsidR="00131B4E" w:rsidRPr="00131B4E">
        <w:rPr>
          <w:rFonts w:ascii="Times New Roman" w:hAnsi="Times New Roman"/>
          <w:sz w:val="22"/>
          <w:szCs w:val="22"/>
          <w:lang w:val="en-GB"/>
        </w:rPr>
        <w:t xml:space="preserve">their staff must respect human rights and undertake not to offend the political, cultural and religious mores of the beneficiary state. In particular and in accordance with the legal basic act concerned, tenderers that have been awarded contracts must abide by core labour standards as defined in the relevant International Labour Organisation conventions (such as the Conventions on freedom of </w:t>
      </w:r>
      <w:r w:rsidR="00131B4E" w:rsidRPr="00131B4E">
        <w:rPr>
          <w:rFonts w:ascii="Times New Roman" w:hAnsi="Times New Roman"/>
          <w:sz w:val="22"/>
          <w:szCs w:val="22"/>
          <w:lang w:val="en-GB"/>
        </w:rPr>
        <w:lastRenderedPageBreak/>
        <w:t>association and collective bargaining; Abolition of forced and compulsory labour; Elimination of forced and compulsory labour; Abolition of child labour).</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23.6</w:t>
      </w:r>
      <w:r w:rsidRPr="00131B4E">
        <w:rPr>
          <w:rFonts w:ascii="Times New Roman" w:hAnsi="Times New Roman"/>
          <w:sz w:val="22"/>
          <w:szCs w:val="22"/>
          <w:lang w:val="en-GB"/>
        </w:rPr>
        <w:tab/>
        <w:t>Contractors may accept no payment connected with the contracts other than that provided for therein. Contractors and their staff must not exercise any activity nor receive any advantage inconsistent with their obligations to the Contracting Authority.</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23.7</w:t>
      </w:r>
      <w:r w:rsidRPr="00BB2471">
        <w:rPr>
          <w:rFonts w:ascii="Times New Roman" w:hAnsi="Times New Roman"/>
          <w:sz w:val="22"/>
          <w:szCs w:val="22"/>
          <w:lang w:val="en-GB"/>
        </w:rPr>
        <w:tab/>
        <w:t>Contractor</w:t>
      </w:r>
      <w:r w:rsidR="005005D7" w:rsidRPr="00BB2471">
        <w:rPr>
          <w:rFonts w:ascii="Times New Roman" w:hAnsi="Times New Roman"/>
          <w:sz w:val="22"/>
          <w:szCs w:val="22"/>
          <w:lang w:val="en-GB"/>
        </w:rPr>
        <w:t>s</w:t>
      </w:r>
      <w:r w:rsidRPr="00BB2471">
        <w:rPr>
          <w:rFonts w:ascii="Times New Roman" w:hAnsi="Times New Roman"/>
          <w:sz w:val="22"/>
          <w:szCs w:val="22"/>
          <w:lang w:val="en-GB"/>
        </w:rPr>
        <w:t xml:space="preserve"> and </w:t>
      </w:r>
      <w:r w:rsidR="005005D7" w:rsidRPr="00BB2471">
        <w:rPr>
          <w:rFonts w:ascii="Times New Roman" w:hAnsi="Times New Roman"/>
          <w:sz w:val="22"/>
          <w:szCs w:val="22"/>
          <w:lang w:val="en-GB"/>
        </w:rPr>
        <w:t xml:space="preserve">their </w:t>
      </w:r>
      <w:r w:rsidRPr="00BB2471">
        <w:rPr>
          <w:rFonts w:ascii="Times New Roman" w:hAnsi="Times New Roman"/>
          <w:sz w:val="22"/>
          <w:szCs w:val="22"/>
          <w:lang w:val="en-GB"/>
        </w:rPr>
        <w:t xml:space="preserve">staff </w:t>
      </w:r>
      <w:r w:rsidR="00131B4E" w:rsidRPr="00131B4E">
        <w:rPr>
          <w:rFonts w:ascii="Times New Roman" w:hAnsi="Times New Roman"/>
          <w:sz w:val="22"/>
          <w:szCs w:val="22"/>
          <w:lang w:val="en-GB"/>
        </w:rPr>
        <w:t>are obliged to maintain professional secrecy for the entire duration of contracts and after their completion. All reports and documents drawn up or received by Contractors will be confidential.</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23.8</w:t>
      </w:r>
      <w:r w:rsidRPr="00BB2471">
        <w:rPr>
          <w:rFonts w:ascii="Times New Roman" w:hAnsi="Times New Roman"/>
          <w:sz w:val="22"/>
          <w:szCs w:val="22"/>
          <w:lang w:val="en-GB"/>
        </w:rPr>
        <w:tab/>
        <w:t>The contract govern</w:t>
      </w:r>
      <w:r w:rsidR="005005D7" w:rsidRPr="00BB2471">
        <w:rPr>
          <w:rFonts w:ascii="Times New Roman" w:hAnsi="Times New Roman"/>
          <w:sz w:val="22"/>
          <w:szCs w:val="22"/>
          <w:lang w:val="en-GB"/>
        </w:rPr>
        <w:t>s</w:t>
      </w:r>
      <w:r w:rsidRPr="00BB2471">
        <w:rPr>
          <w:rFonts w:ascii="Times New Roman" w:hAnsi="Times New Roman"/>
          <w:sz w:val="22"/>
          <w:szCs w:val="22"/>
          <w:lang w:val="en-GB"/>
        </w:rPr>
        <w:t xml:space="preserve"> the Contracting Parties</w:t>
      </w:r>
      <w:r w:rsidR="006A5F84" w:rsidRPr="00BB2471">
        <w:rPr>
          <w:rFonts w:ascii="Times New Roman" w:hAnsi="Times New Roman"/>
          <w:sz w:val="22"/>
          <w:szCs w:val="22"/>
          <w:lang w:val="en-GB"/>
        </w:rPr>
        <w:t>’</w:t>
      </w:r>
      <w:r w:rsidRPr="00BB2471">
        <w:rPr>
          <w:rFonts w:ascii="Times New Roman" w:hAnsi="Times New Roman"/>
          <w:sz w:val="22"/>
          <w:szCs w:val="22"/>
          <w:lang w:val="en-GB"/>
        </w:rPr>
        <w:t xml:space="preserve"> use of all reports and documents drawn up, received or presented by them during the implementation of the contract.</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23.9</w:t>
      </w:r>
      <w:r w:rsidRPr="00131B4E">
        <w:rPr>
          <w:rFonts w:ascii="Times New Roman" w:hAnsi="Times New Roman"/>
          <w:sz w:val="22"/>
          <w:szCs w:val="22"/>
          <w:lang w:val="en-GB"/>
        </w:rPr>
        <w:tab/>
        <w:t>Contractors must refrain from any relationship likely to compromise their independence or that of their staff. If the Contractor ceases to be independent, the Contracting Authority may, regardless of injury, terminate the contract without further notice and without the Contractor having any claim to compensation.</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23.10</w:t>
      </w:r>
      <w:r w:rsidRPr="00BB2471">
        <w:rPr>
          <w:rFonts w:ascii="Times New Roman" w:hAnsi="Times New Roman"/>
          <w:sz w:val="22"/>
          <w:szCs w:val="22"/>
          <w:lang w:val="en-GB"/>
        </w:rPr>
        <w:tab/>
        <w:t xml:space="preserve">The Commission reserves the right to suspend or cancel project financing if corrupt practices of any kind are discovered at any stage of the award process and if the Contracting Authority fails to take all appropriate measures to remedy the situation. For the purposes of this provision, </w:t>
      </w:r>
      <w:r w:rsidR="006A5F84" w:rsidRPr="00BB2471">
        <w:rPr>
          <w:rFonts w:ascii="Times New Roman" w:hAnsi="Times New Roman"/>
          <w:sz w:val="22"/>
          <w:szCs w:val="22"/>
          <w:lang w:val="en-GB"/>
        </w:rPr>
        <w:t>‘</w:t>
      </w:r>
      <w:r w:rsidRPr="00BB2471">
        <w:rPr>
          <w:rFonts w:ascii="Times New Roman" w:hAnsi="Times New Roman"/>
          <w:sz w:val="22"/>
          <w:szCs w:val="22"/>
          <w:lang w:val="en-GB"/>
        </w:rPr>
        <w:t>corrupt practices</w:t>
      </w:r>
      <w:r w:rsidR="00131B4E" w:rsidRPr="00131B4E">
        <w:rPr>
          <w:rFonts w:ascii="Times New Roman" w:hAnsi="Times New Roman"/>
          <w:sz w:val="22"/>
          <w:szCs w:val="22"/>
          <w:lang w:val="en-GB"/>
        </w:rPr>
        <w:t>’ are the offer of a bribe, gift, gratuity or commission to any person as an inducement or reward for performing or refraining from any act relating to the award of a contract or implementation of a contract already concluded with the Contracting Authority.</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23.11</w:t>
      </w:r>
      <w:r w:rsidRPr="00BB2471">
        <w:rPr>
          <w:rFonts w:ascii="Times New Roman" w:hAnsi="Times New Roman"/>
          <w:sz w:val="22"/>
          <w:szCs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BB2471">
        <w:rPr>
          <w:rFonts w:ascii="Times New Roman" w:hAnsi="Times New Roman"/>
          <w:sz w:val="22"/>
          <w:szCs w:val="22"/>
          <w:lang w:val="en-GB"/>
        </w:rPr>
        <w:t xml:space="preserve">any </w:t>
      </w:r>
      <w:r w:rsidR="00131B4E" w:rsidRPr="00131B4E">
        <w:rPr>
          <w:rFonts w:ascii="Times New Roman" w:hAnsi="Times New Roman"/>
          <w:sz w:val="22"/>
          <w:szCs w:val="22"/>
          <w:lang w:val="en-GB"/>
        </w:rPr>
        <w:t>appearance of being a front company.</w:t>
      </w:r>
    </w:p>
    <w:p w:rsidR="0047783A" w:rsidRPr="00BB2471" w:rsidRDefault="00131B4E" w:rsidP="0047783A">
      <w:pPr>
        <w:pStyle w:val="Heading2"/>
        <w:keepNext w:val="0"/>
        <w:ind w:left="567" w:hanging="567"/>
        <w:jc w:val="both"/>
        <w:rPr>
          <w:rFonts w:ascii="Times New Roman" w:hAnsi="Times New Roman"/>
          <w:sz w:val="22"/>
          <w:szCs w:val="22"/>
          <w:lang w:val="en-GB"/>
        </w:rPr>
      </w:pPr>
      <w:r w:rsidRPr="00131B4E">
        <w:rPr>
          <w:rFonts w:ascii="Times New Roman" w:hAnsi="Times New Roman"/>
          <w:sz w:val="22"/>
          <w:szCs w:val="22"/>
          <w:lang w:val="en-GB"/>
        </w:rPr>
        <w:t>23.12</w:t>
      </w:r>
      <w:r w:rsidRPr="00131B4E">
        <w:rPr>
          <w:rFonts w:ascii="Times New Roman" w:hAnsi="Times New Roman"/>
          <w:sz w:val="22"/>
          <w:szCs w:val="22"/>
          <w:lang w:val="en-GB"/>
        </w:rPr>
        <w:tab/>
        <w:t>The Contractor undertakes to supply the Commission on request with all supporting documents relating to the conditions of the contract’s execution. The Commission may carry out whatever documentary or on-the-spot checks it deems necessary to find evidence in cases of suspected unusual commercial expenses.</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23.13</w:t>
      </w:r>
      <w:r w:rsidRPr="00BB2471">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BB2471" w:rsidRDefault="0047783A" w:rsidP="0047783A">
      <w:pPr>
        <w:pStyle w:val="Heading2"/>
        <w:keepNext w:val="0"/>
        <w:ind w:left="567" w:hanging="567"/>
        <w:jc w:val="both"/>
        <w:rPr>
          <w:rFonts w:ascii="Times New Roman" w:hAnsi="Times New Roman"/>
          <w:sz w:val="22"/>
          <w:szCs w:val="22"/>
          <w:lang w:val="en-GB"/>
        </w:rPr>
      </w:pPr>
      <w:r w:rsidRPr="00BB2471">
        <w:rPr>
          <w:rFonts w:ascii="Times New Roman" w:hAnsi="Times New Roman"/>
          <w:sz w:val="22"/>
          <w:szCs w:val="22"/>
          <w:lang w:val="en-GB"/>
        </w:rPr>
        <w:t>23.14</w:t>
      </w:r>
      <w:r w:rsidRPr="00BB2471">
        <w:rPr>
          <w:rFonts w:ascii="Times New Roman" w:hAnsi="Times New Roman"/>
          <w:sz w:val="22"/>
          <w:szCs w:val="22"/>
          <w:lang w:val="en-GB"/>
        </w:rPr>
        <w:tab/>
        <w:t xml:space="preserve">The Contracting Authority reserves the right to suspend or cancel the procedure, </w:t>
      </w:r>
      <w:r w:rsidR="00131B4E" w:rsidRPr="00131B4E">
        <w:rPr>
          <w:rFonts w:ascii="Times New Roman" w:hAnsi="Times New Roman"/>
          <w:sz w:val="22"/>
          <w:szCs w:val="22"/>
          <w:lang w:val="en-GB"/>
        </w:rPr>
        <w:t>if the award procedure proves to have been subject to substantial errors, irregularities or fraud. Where such substantial errors, irregularities or fraud are discovered after the award of the Contract, the Contracting Authority may refrain from concluding the Contract.</w:t>
      </w:r>
    </w:p>
    <w:p w:rsidR="0047783A" w:rsidRPr="00BB2471" w:rsidRDefault="00131B4E" w:rsidP="00BB2471">
      <w:pPr>
        <w:pStyle w:val="Heading1"/>
      </w:pPr>
      <w:bookmarkStart w:id="36" w:name="_Toc42488093"/>
      <w:r w:rsidRPr="00131B4E">
        <w:t>Cancellation of the tender procedure</w:t>
      </w:r>
      <w:bookmarkEnd w:id="36"/>
    </w:p>
    <w:p w:rsidR="0047783A" w:rsidRPr="00BB2471" w:rsidRDefault="0047783A" w:rsidP="001C7FD4">
      <w:pPr>
        <w:pStyle w:val="BodyText"/>
        <w:jc w:val="both"/>
        <w:rPr>
          <w:rFonts w:ascii="Times New Roman" w:hAnsi="Times New Roman"/>
          <w:sz w:val="22"/>
          <w:szCs w:val="22"/>
        </w:rPr>
      </w:pPr>
      <w:r w:rsidRPr="00BB2471">
        <w:rPr>
          <w:rFonts w:ascii="Times New Roman" w:hAnsi="Times New Roman"/>
          <w:sz w:val="22"/>
          <w:szCs w:val="22"/>
        </w:rPr>
        <w:t>I</w:t>
      </w:r>
      <w:r w:rsidR="005005D7" w:rsidRPr="00BB2471">
        <w:rPr>
          <w:rFonts w:ascii="Times New Roman" w:hAnsi="Times New Roman"/>
          <w:sz w:val="22"/>
          <w:szCs w:val="22"/>
        </w:rPr>
        <w:t>f</w:t>
      </w:r>
      <w:r w:rsidRPr="00BB2471">
        <w:rPr>
          <w:rFonts w:ascii="Times New Roman" w:hAnsi="Times New Roman"/>
          <w:sz w:val="22"/>
          <w:szCs w:val="22"/>
        </w:rPr>
        <w:t xml:space="preserve"> a tender procedure </w:t>
      </w:r>
      <w:r w:rsidR="005005D7" w:rsidRPr="00BB2471">
        <w:rPr>
          <w:rFonts w:ascii="Times New Roman" w:hAnsi="Times New Roman"/>
          <w:sz w:val="22"/>
          <w:szCs w:val="22"/>
        </w:rPr>
        <w:t xml:space="preserve">is </w:t>
      </w:r>
      <w:r w:rsidRPr="00BB2471">
        <w:rPr>
          <w:rFonts w:ascii="Times New Roman" w:hAnsi="Times New Roman"/>
          <w:sz w:val="22"/>
          <w:szCs w:val="22"/>
        </w:rPr>
        <w:t>cancell</w:t>
      </w:r>
      <w:r w:rsidR="00131B4E" w:rsidRPr="00131B4E">
        <w:rPr>
          <w:rFonts w:ascii="Times New Roman" w:hAnsi="Times New Roman"/>
          <w:sz w:val="22"/>
          <w:szCs w:val="22"/>
        </w:rPr>
        <w:t>ed, tenderers will be notified by the Contracting Authority. If the tender procedure is cancelled before the tender opening session the sealed envelopes will be returned, unopened, to the tenderers.</w:t>
      </w:r>
    </w:p>
    <w:p w:rsidR="0047783A" w:rsidRPr="00BB2471" w:rsidRDefault="0047783A" w:rsidP="001C7FD4">
      <w:pPr>
        <w:pStyle w:val="BodyText"/>
        <w:spacing w:after="0"/>
        <w:jc w:val="both"/>
        <w:rPr>
          <w:rFonts w:ascii="Times New Roman" w:hAnsi="Times New Roman"/>
          <w:sz w:val="22"/>
          <w:szCs w:val="22"/>
        </w:rPr>
      </w:pPr>
      <w:r w:rsidRPr="00BB2471">
        <w:rPr>
          <w:rFonts w:ascii="Times New Roman" w:hAnsi="Times New Roman"/>
          <w:sz w:val="22"/>
          <w:szCs w:val="22"/>
        </w:rPr>
        <w:t>Cancellation may occur</w:t>
      </w:r>
      <w:r w:rsidR="001A64D9" w:rsidRPr="00BB2471">
        <w:rPr>
          <w:rFonts w:ascii="Times New Roman" w:hAnsi="Times New Roman"/>
          <w:sz w:val="22"/>
          <w:szCs w:val="22"/>
        </w:rPr>
        <w:t>, for example, if</w:t>
      </w:r>
      <w:r w:rsidRPr="00BB2471">
        <w:rPr>
          <w:rFonts w:ascii="Times New Roman" w:hAnsi="Times New Roman"/>
          <w:sz w:val="22"/>
          <w:szCs w:val="22"/>
        </w:rPr>
        <w:t>:</w:t>
      </w:r>
    </w:p>
    <w:p w:rsidR="0047783A" w:rsidRPr="00BB2471" w:rsidRDefault="0047783A" w:rsidP="00E82463">
      <w:pPr>
        <w:pStyle w:val="BodyTextIndent"/>
        <w:numPr>
          <w:ilvl w:val="0"/>
          <w:numId w:val="21"/>
        </w:numPr>
        <w:tabs>
          <w:tab w:val="left" w:pos="1134"/>
        </w:tabs>
        <w:spacing w:before="120"/>
        <w:ind w:left="1134"/>
        <w:rPr>
          <w:sz w:val="22"/>
          <w:szCs w:val="22"/>
        </w:rPr>
      </w:pPr>
      <w:r w:rsidRPr="00BB2471">
        <w:rPr>
          <w:sz w:val="22"/>
          <w:szCs w:val="22"/>
        </w:rPr>
        <w:t xml:space="preserve">the tender procedure has been unsuccessful, namely where no </w:t>
      </w:r>
      <w:r w:rsidR="00131B4E" w:rsidRPr="00131B4E">
        <w:rPr>
          <w:sz w:val="22"/>
          <w:szCs w:val="22"/>
        </w:rPr>
        <w:t>suitable, qualitatively or financially acceptable tender has been received or there has been no valid response at all;</w:t>
      </w:r>
    </w:p>
    <w:p w:rsidR="0047783A" w:rsidRPr="00BB2471" w:rsidRDefault="00131B4E" w:rsidP="00AC07D4">
      <w:pPr>
        <w:pStyle w:val="BodyTextIndent"/>
        <w:numPr>
          <w:ilvl w:val="0"/>
          <w:numId w:val="21"/>
        </w:numPr>
        <w:tabs>
          <w:tab w:val="left" w:pos="1134"/>
        </w:tabs>
        <w:spacing w:before="120"/>
        <w:ind w:left="1134"/>
        <w:rPr>
          <w:sz w:val="22"/>
          <w:szCs w:val="22"/>
        </w:rPr>
      </w:pPr>
      <w:r w:rsidRPr="00131B4E">
        <w:rPr>
          <w:sz w:val="22"/>
          <w:szCs w:val="22"/>
        </w:rPr>
        <w:t>the economic or technical parameters of the project have changed fundamentally;</w:t>
      </w:r>
    </w:p>
    <w:p w:rsidR="0047783A" w:rsidRPr="00BB2471" w:rsidRDefault="00131B4E" w:rsidP="00AC07D4">
      <w:pPr>
        <w:pStyle w:val="BodyTextIndent"/>
        <w:numPr>
          <w:ilvl w:val="0"/>
          <w:numId w:val="21"/>
        </w:numPr>
        <w:tabs>
          <w:tab w:val="left" w:pos="1134"/>
        </w:tabs>
        <w:spacing w:before="120"/>
        <w:ind w:left="1134"/>
        <w:rPr>
          <w:sz w:val="22"/>
          <w:szCs w:val="22"/>
        </w:rPr>
      </w:pPr>
      <w:r w:rsidRPr="00131B4E">
        <w:rPr>
          <w:sz w:val="22"/>
          <w:szCs w:val="22"/>
        </w:rPr>
        <w:t xml:space="preserve">exceptional circumstances or </w:t>
      </w:r>
      <w:r w:rsidRPr="00131B4E">
        <w:rPr>
          <w:i/>
          <w:sz w:val="22"/>
          <w:szCs w:val="22"/>
        </w:rPr>
        <w:t>force majeure</w:t>
      </w:r>
      <w:r w:rsidRPr="00131B4E">
        <w:rPr>
          <w:sz w:val="22"/>
          <w:szCs w:val="22"/>
        </w:rPr>
        <w:t xml:space="preserve"> render normal implementation of the project impossible;</w:t>
      </w:r>
    </w:p>
    <w:p w:rsidR="0047783A" w:rsidRPr="00BB2471" w:rsidRDefault="00131B4E" w:rsidP="00AC07D4">
      <w:pPr>
        <w:pStyle w:val="BodyTextIndent"/>
        <w:numPr>
          <w:ilvl w:val="0"/>
          <w:numId w:val="21"/>
        </w:numPr>
        <w:tabs>
          <w:tab w:val="left" w:pos="1134"/>
        </w:tabs>
        <w:spacing w:before="120"/>
        <w:ind w:left="1134"/>
        <w:rPr>
          <w:sz w:val="22"/>
          <w:szCs w:val="22"/>
        </w:rPr>
      </w:pPr>
      <w:r w:rsidRPr="00131B4E">
        <w:rPr>
          <w:sz w:val="22"/>
          <w:szCs w:val="22"/>
        </w:rPr>
        <w:lastRenderedPageBreak/>
        <w:t>all technically acceptable tenders exceed the financial resources available;</w:t>
      </w:r>
    </w:p>
    <w:p w:rsidR="0047783A" w:rsidRPr="00BB2471" w:rsidRDefault="00131B4E" w:rsidP="00AC07D4">
      <w:pPr>
        <w:pStyle w:val="BodyTextIndent"/>
        <w:numPr>
          <w:ilvl w:val="0"/>
          <w:numId w:val="21"/>
        </w:numPr>
        <w:tabs>
          <w:tab w:val="left" w:pos="1134"/>
        </w:tabs>
        <w:spacing w:before="120" w:after="120"/>
        <w:ind w:left="1134"/>
        <w:rPr>
          <w:sz w:val="22"/>
          <w:szCs w:val="22"/>
        </w:rPr>
      </w:pPr>
      <w:r w:rsidRPr="00131B4E">
        <w:rPr>
          <w:sz w:val="22"/>
          <w:szCs w:val="22"/>
        </w:rPr>
        <w:t>there have been substantial errors, irregularities or frauds in the procedure, in particular where these have prevented fair competition;</w:t>
      </w:r>
    </w:p>
    <w:p w:rsidR="0047783A" w:rsidRPr="00BB2471" w:rsidRDefault="00131B4E" w:rsidP="00AC07D4">
      <w:pPr>
        <w:pStyle w:val="BodyTextIndent"/>
        <w:numPr>
          <w:ilvl w:val="0"/>
          <w:numId w:val="21"/>
        </w:numPr>
        <w:tabs>
          <w:tab w:val="left" w:pos="1134"/>
        </w:tabs>
        <w:spacing w:before="120" w:after="120"/>
        <w:ind w:left="1134"/>
        <w:rPr>
          <w:sz w:val="22"/>
          <w:szCs w:val="22"/>
        </w:rPr>
      </w:pPr>
      <w:r w:rsidRPr="00131B4E">
        <w:rPr>
          <w:snapToGrid/>
          <w:sz w:val="22"/>
          <w:szCs w:val="22"/>
          <w:lang w:eastAsia="en-GB"/>
        </w:rPr>
        <w:t xml:space="preserve">the award is not in compliance with sound financial management, </w:t>
      </w:r>
      <w:r w:rsidRPr="00131B4E">
        <w:rPr>
          <w:sz w:val="22"/>
          <w:szCs w:val="22"/>
        </w:rPr>
        <w:t>i.e. does not respect the principles of economy, efficiency and effectiveness (e.g. the price proposed by the tenderer to whom the contract is to be awarded is objectively disproportionate with regard to the price of the market</w:t>
      </w:r>
      <w:r w:rsidRPr="00131B4E">
        <w:rPr>
          <w:snapToGrid/>
          <w:sz w:val="22"/>
          <w:szCs w:val="22"/>
          <w:lang w:eastAsia="en-GB"/>
        </w:rPr>
        <w:t>.</w:t>
      </w:r>
    </w:p>
    <w:p w:rsidR="0047783A" w:rsidRPr="00BB2471" w:rsidRDefault="00131B4E" w:rsidP="001C7FD4">
      <w:pPr>
        <w:pStyle w:val="BodyText2"/>
        <w:tabs>
          <w:tab w:val="left" w:pos="567"/>
        </w:tabs>
        <w:spacing w:before="120" w:after="120"/>
        <w:rPr>
          <w:b/>
          <w:sz w:val="22"/>
          <w:szCs w:val="22"/>
        </w:rPr>
      </w:pPr>
      <w:r w:rsidRPr="00131B4E">
        <w:rPr>
          <w:b/>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47783A" w:rsidRPr="00BB2471" w:rsidRDefault="00131B4E" w:rsidP="00BB2471">
      <w:pPr>
        <w:pStyle w:val="Heading1"/>
      </w:pPr>
      <w:r w:rsidRPr="00131B4E">
        <w:t>Appeals</w:t>
      </w:r>
    </w:p>
    <w:p w:rsidR="0047783A" w:rsidRPr="00BB2471" w:rsidRDefault="0047783A" w:rsidP="001C7FD4">
      <w:pPr>
        <w:pStyle w:val="BodyText2"/>
        <w:tabs>
          <w:tab w:val="clear" w:pos="567"/>
        </w:tabs>
        <w:spacing w:after="120"/>
        <w:rPr>
          <w:sz w:val="22"/>
          <w:szCs w:val="22"/>
        </w:rPr>
      </w:pPr>
      <w:r w:rsidRPr="00BB2471">
        <w:rPr>
          <w:sz w:val="22"/>
          <w:szCs w:val="22"/>
        </w:rPr>
        <w:t>Tenderers believing that they have been harmed by an error or irregularity during the award process may file a complaint. See section 2.4.15 of the Practical Guide.</w:t>
      </w:r>
    </w:p>
    <w:p w:rsidR="00130EF1" w:rsidRPr="00BB2471" w:rsidRDefault="00131B4E" w:rsidP="009423FB">
      <w:pPr>
        <w:pStyle w:val="BodyText"/>
        <w:ind w:left="567"/>
        <w:jc w:val="both"/>
        <w:rPr>
          <w:rFonts w:ascii="Times New Roman" w:hAnsi="Times New Roman"/>
          <w:sz w:val="22"/>
          <w:szCs w:val="22"/>
        </w:rPr>
      </w:pPr>
      <w:r w:rsidRPr="00131B4E">
        <w:rPr>
          <w:rFonts w:ascii="Times New Roman" w:hAnsi="Times New Roman"/>
          <w:sz w:val="22"/>
          <w:szCs w:val="22"/>
          <w:highlight w:val="lightGray"/>
        </w:rPr>
        <w:t xml:space="preserve"> </w:t>
      </w:r>
    </w:p>
    <w:sectPr w:rsidR="00130EF1" w:rsidRPr="00BB2471" w:rsidSect="000D0118">
      <w:footerReference w:type="even" r:id="rId11"/>
      <w:footerReference w:type="default" r:id="rId12"/>
      <w:footerReference w:type="first" r:id="rId13"/>
      <w:pgSz w:w="11906" w:h="16838"/>
      <w:pgMar w:top="709" w:right="1418" w:bottom="1134" w:left="1134" w:header="720" w:footer="469" w:gutter="567"/>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870599" w15:done="0"/>
  <w15:commentEx w15:paraId="3CEE8218" w15:done="0"/>
  <w15:commentEx w15:paraId="4A4EB241" w15:paraIdParent="3CEE8218" w15:done="0"/>
  <w15:commentEx w15:paraId="48193949" w15:done="0"/>
  <w15:commentEx w15:paraId="0AB77EE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E84" w:rsidRPr="006A5F84" w:rsidRDefault="00332E84">
      <w:r w:rsidRPr="006A5F84">
        <w:separator/>
      </w:r>
    </w:p>
  </w:endnote>
  <w:endnote w:type="continuationSeparator" w:id="1">
    <w:p w:rsidR="00332E84" w:rsidRPr="006A5F84" w:rsidRDefault="00332E84">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Default="00BA0AD9"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Pr="009423FB" w:rsidRDefault="003051A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szCs w:val="18"/>
      </w:rPr>
      <w:t>15 J</w:t>
    </w:r>
    <w:r w:rsidR="00E603B8">
      <w:rPr>
        <w:rFonts w:ascii="Times New Roman" w:hAnsi="Times New Roman"/>
        <w:b/>
        <w:sz w:val="18"/>
        <w:szCs w:val="18"/>
      </w:rPr>
      <w:t>an</w:t>
    </w:r>
    <w:r>
      <w:rPr>
        <w:rFonts w:ascii="Times New Roman" w:hAnsi="Times New Roman"/>
        <w:b/>
        <w:sz w:val="18"/>
        <w:szCs w:val="18"/>
      </w:rPr>
      <w:t>u</w:t>
    </w:r>
    <w:r w:rsidR="00E603B8">
      <w:rPr>
        <w:rFonts w:ascii="Times New Roman" w:hAnsi="Times New Roman"/>
        <w:b/>
        <w:sz w:val="18"/>
        <w:szCs w:val="18"/>
      </w:rPr>
      <w:t>ar</w:t>
    </w:r>
    <w:r>
      <w:rPr>
        <w:rFonts w:ascii="Times New Roman" w:hAnsi="Times New Roman"/>
        <w:b/>
        <w:sz w:val="18"/>
        <w:szCs w:val="18"/>
      </w:rPr>
      <w:t xml:space="preserve">y </w:t>
    </w:r>
    <w:r w:rsidR="00010EFB">
      <w:rPr>
        <w:rFonts w:ascii="Times New Roman" w:hAnsi="Times New Roman"/>
        <w:b/>
        <w:sz w:val="18"/>
        <w:szCs w:val="18"/>
      </w:rPr>
      <w:t>201</w:t>
    </w:r>
    <w:r w:rsidR="00E603B8">
      <w:rPr>
        <w:rFonts w:ascii="Times New Roman" w:hAnsi="Times New Roman"/>
        <w:b/>
        <w:sz w:val="18"/>
        <w:szCs w:val="18"/>
      </w:rPr>
      <w:t>6</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BA0AD9"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BA0AD9" w:rsidRPr="009423FB">
      <w:rPr>
        <w:rStyle w:val="PageNumber"/>
        <w:rFonts w:ascii="Times New Roman" w:hAnsi="Times New Roman"/>
        <w:sz w:val="18"/>
        <w:szCs w:val="18"/>
      </w:rPr>
      <w:fldChar w:fldCharType="separate"/>
    </w:r>
    <w:r w:rsidR="00BF4E2B">
      <w:rPr>
        <w:rStyle w:val="PageNumber"/>
        <w:rFonts w:ascii="Times New Roman" w:hAnsi="Times New Roman"/>
        <w:noProof/>
        <w:sz w:val="18"/>
        <w:szCs w:val="18"/>
      </w:rPr>
      <w:t>10</w:t>
    </w:r>
    <w:r w:rsidR="00BA0AD9"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BA0AD9"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BA0AD9" w:rsidRPr="009423FB">
      <w:rPr>
        <w:rStyle w:val="PageNumber"/>
        <w:rFonts w:ascii="Times New Roman" w:hAnsi="Times New Roman"/>
        <w:sz w:val="18"/>
        <w:szCs w:val="18"/>
      </w:rPr>
      <w:fldChar w:fldCharType="separate"/>
    </w:r>
    <w:r w:rsidR="00BF4E2B">
      <w:rPr>
        <w:rStyle w:val="PageNumber"/>
        <w:rFonts w:ascii="Times New Roman" w:hAnsi="Times New Roman"/>
        <w:noProof/>
        <w:sz w:val="18"/>
        <w:szCs w:val="18"/>
      </w:rPr>
      <w:t>13</w:t>
    </w:r>
    <w:r w:rsidR="00BA0AD9" w:rsidRPr="009423FB">
      <w:rPr>
        <w:rStyle w:val="PageNumber"/>
        <w:rFonts w:ascii="Times New Roman" w:hAnsi="Times New Roman"/>
        <w:sz w:val="18"/>
        <w:szCs w:val="18"/>
      </w:rPr>
      <w:fldChar w:fldCharType="end"/>
    </w:r>
  </w:p>
  <w:p w:rsidR="00A77708" w:rsidRPr="009423FB" w:rsidRDefault="00BA0AD9"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C7FD4">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Pr="006A5F84" w:rsidRDefault="00BA0AD9"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E84" w:rsidRPr="006A5F84" w:rsidRDefault="00332E84">
      <w:r w:rsidRPr="006A5F84">
        <w:separator/>
      </w:r>
    </w:p>
  </w:footnote>
  <w:footnote w:type="continuationSeparator" w:id="1">
    <w:p w:rsidR="00332E84" w:rsidRPr="006A5F84" w:rsidRDefault="00332E84">
      <w:r w:rsidRPr="006A5F84">
        <w:continuationSeparator/>
      </w:r>
    </w:p>
  </w:footnote>
  <w:footnote w:id="2">
    <w:p w:rsidR="000B509A" w:rsidRPr="00E8632B" w:rsidRDefault="000B509A" w:rsidP="000B509A">
      <w:pPr>
        <w:pStyle w:val="FootnoteText"/>
        <w:ind w:left="142" w:hanging="142"/>
        <w:rPr>
          <w:rFonts w:ascii="Times New Roman" w:hAnsi="Times New Roman"/>
          <w:lang w:val="en-GB"/>
        </w:rPr>
      </w:pPr>
      <w:r w:rsidRPr="009B30FB">
        <w:rPr>
          <w:rStyle w:val="FootnoteReference"/>
          <w:rFonts w:ascii="Times New Roman" w:hAnsi="Times New Roman"/>
        </w:rPr>
        <w:footnoteRef/>
      </w:r>
      <w:r>
        <w:rPr>
          <w:rFonts w:ascii="Times New Roman" w:hAnsi="Times New Roman"/>
          <w:lang w:val="en-GB"/>
        </w:rPr>
        <w:tab/>
      </w:r>
      <w:r w:rsidRPr="00E33305">
        <w:rPr>
          <w:rFonts w:ascii="Times New Roman" w:hAnsi="Times New Roman"/>
          <w:lang w:val="en-GB"/>
        </w:rPr>
        <w:t>DDP (Delivered Duty Paid)</w:t>
      </w:r>
      <w:r>
        <w:rPr>
          <w:rFonts w:ascii="Times New Roman" w:hAnsi="Times New Roman"/>
          <w:sz w:val="22"/>
          <w:szCs w:val="22"/>
          <w:lang w:val="en-GB"/>
        </w:rPr>
        <w:t xml:space="preserve"> </w:t>
      </w:r>
      <w:r w:rsidRPr="009B30FB">
        <w:rPr>
          <w:rFonts w:ascii="Times New Roman" w:hAnsi="Times New Roman"/>
          <w:lang w:val="en-GB"/>
        </w:rPr>
        <w:t>-</w:t>
      </w:r>
      <w:r>
        <w:rPr>
          <w:rFonts w:ascii="Times New Roman" w:hAnsi="Times New Roman"/>
          <w:lang w:val="en-GB"/>
        </w:rPr>
        <w:t xml:space="preserve"> Incoterms 201</w:t>
      </w:r>
      <w:r w:rsidRPr="009B30FB">
        <w:rPr>
          <w:rFonts w:ascii="Times New Roman" w:hAnsi="Times New Roman"/>
          <w:lang w:val="en-GB"/>
        </w:rPr>
        <w:t>0 International Chamber of Commerce</w:t>
      </w:r>
      <w:r>
        <w:rPr>
          <w:rFonts w:ascii="Times New Roman" w:hAnsi="Times New Roman"/>
          <w:lang w:val="en-GB"/>
        </w:rPr>
        <w:t xml:space="preserve"> - </w:t>
      </w:r>
      <w:hyperlink r:id="rId1" w:history="1">
        <w:r w:rsidRPr="001E08E3">
          <w:rPr>
            <w:rStyle w:val="Hyperlink"/>
            <w:rFonts w:ascii="Times New Roman" w:hAnsi="Times New Roman"/>
            <w:lang w:val="en-GB"/>
          </w:rPr>
          <w:t>http://www.iccwbo.org/incoterms/</w:t>
        </w:r>
      </w:hyperlink>
    </w:p>
  </w:footnote>
  <w:footnote w:id="3">
    <w:p w:rsidR="00A77708" w:rsidRPr="006A5F84" w:rsidRDefault="00A77708" w:rsidP="00AC07D4">
      <w:pPr>
        <w:pStyle w:val="FootnoteText"/>
        <w:ind w:left="142" w:hanging="142"/>
        <w:rPr>
          <w:rFonts w:ascii="Times New Roman" w:hAnsi="Times New Roman"/>
          <w:lang w:val="en-GB"/>
        </w:rPr>
      </w:pPr>
      <w:r w:rsidRPr="00EC0A12">
        <w:rPr>
          <w:rStyle w:val="FootnoteReference"/>
          <w:lang w:val="en-GB"/>
        </w:rPr>
        <w:footnoteRef/>
      </w:r>
      <w:r w:rsidRPr="00EC0A12">
        <w:rPr>
          <w:rFonts w:ascii="Times New Roman" w:hAnsi="Times New Roman"/>
          <w:lang w:val="en-GB"/>
        </w:rPr>
        <w:tab/>
        <w:t>DDP (Delivered Duty Paid)—</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928"/>
        </w:tabs>
        <w:ind w:left="928"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4A880AF5"/>
    <w:multiLevelType w:val="hybridMultilevel"/>
    <w:tmpl w:val="DFB27236"/>
    <w:lvl w:ilvl="0" w:tplc="09EAC63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9216D6C"/>
    <w:multiLevelType w:val="multilevel"/>
    <w:tmpl w:val="2B384D3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6"/>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docVars>
    <w:docVar w:name="LW_DocType" w:val="NORMAL"/>
    <w:docVar w:name="Stamp" w:val="\\dossiers.dgt.cec.eu.int\dossiers\DEVCO\DEVCO-2011-00112\DEVCO-2011-00112-01-04-EN-REV-00.DOC"/>
  </w:docVars>
  <w:rsids>
    <w:rsidRoot w:val="0073450F"/>
    <w:rsid w:val="000012FD"/>
    <w:rsid w:val="000021E1"/>
    <w:rsid w:val="0000397D"/>
    <w:rsid w:val="000067C7"/>
    <w:rsid w:val="00007151"/>
    <w:rsid w:val="000076C2"/>
    <w:rsid w:val="00007DCD"/>
    <w:rsid w:val="00010561"/>
    <w:rsid w:val="00010EFB"/>
    <w:rsid w:val="00015243"/>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3EC5"/>
    <w:rsid w:val="00064BDF"/>
    <w:rsid w:val="000665DF"/>
    <w:rsid w:val="00066CBA"/>
    <w:rsid w:val="00066EC6"/>
    <w:rsid w:val="000714BB"/>
    <w:rsid w:val="000754FC"/>
    <w:rsid w:val="0007671B"/>
    <w:rsid w:val="0008592A"/>
    <w:rsid w:val="00085CA1"/>
    <w:rsid w:val="00087F35"/>
    <w:rsid w:val="00090987"/>
    <w:rsid w:val="000925B6"/>
    <w:rsid w:val="0009286D"/>
    <w:rsid w:val="000A1A71"/>
    <w:rsid w:val="000A3B36"/>
    <w:rsid w:val="000A4AB2"/>
    <w:rsid w:val="000A7A2C"/>
    <w:rsid w:val="000B0983"/>
    <w:rsid w:val="000B1236"/>
    <w:rsid w:val="000B509A"/>
    <w:rsid w:val="000B79F6"/>
    <w:rsid w:val="000C4AE6"/>
    <w:rsid w:val="000C6E69"/>
    <w:rsid w:val="000D0118"/>
    <w:rsid w:val="000D1CDA"/>
    <w:rsid w:val="000D24E3"/>
    <w:rsid w:val="000D2B44"/>
    <w:rsid w:val="000D40DB"/>
    <w:rsid w:val="000D5C03"/>
    <w:rsid w:val="000D66C0"/>
    <w:rsid w:val="000E0DB4"/>
    <w:rsid w:val="000E291F"/>
    <w:rsid w:val="000E7B75"/>
    <w:rsid w:val="000F124B"/>
    <w:rsid w:val="000F1339"/>
    <w:rsid w:val="000F5F5F"/>
    <w:rsid w:val="00100085"/>
    <w:rsid w:val="00103348"/>
    <w:rsid w:val="00103913"/>
    <w:rsid w:val="00104B37"/>
    <w:rsid w:val="0010518E"/>
    <w:rsid w:val="00111638"/>
    <w:rsid w:val="00111B28"/>
    <w:rsid w:val="00115916"/>
    <w:rsid w:val="00115A3D"/>
    <w:rsid w:val="001160E5"/>
    <w:rsid w:val="00116A45"/>
    <w:rsid w:val="00121DE4"/>
    <w:rsid w:val="00123EDC"/>
    <w:rsid w:val="0012677D"/>
    <w:rsid w:val="0013002E"/>
    <w:rsid w:val="001302A7"/>
    <w:rsid w:val="001309AB"/>
    <w:rsid w:val="00130EF1"/>
    <w:rsid w:val="00131B4E"/>
    <w:rsid w:val="001320DF"/>
    <w:rsid w:val="00133122"/>
    <w:rsid w:val="0013363F"/>
    <w:rsid w:val="00137775"/>
    <w:rsid w:val="0014659F"/>
    <w:rsid w:val="00150767"/>
    <w:rsid w:val="001515E4"/>
    <w:rsid w:val="001536B3"/>
    <w:rsid w:val="001572F6"/>
    <w:rsid w:val="00157C6D"/>
    <w:rsid w:val="00157DEE"/>
    <w:rsid w:val="001645AC"/>
    <w:rsid w:val="00164F15"/>
    <w:rsid w:val="00171C45"/>
    <w:rsid w:val="001766D9"/>
    <w:rsid w:val="00181980"/>
    <w:rsid w:val="0018282E"/>
    <w:rsid w:val="001828FC"/>
    <w:rsid w:val="00185973"/>
    <w:rsid w:val="00187253"/>
    <w:rsid w:val="0019265A"/>
    <w:rsid w:val="001932AF"/>
    <w:rsid w:val="001937B4"/>
    <w:rsid w:val="001976A6"/>
    <w:rsid w:val="001A1207"/>
    <w:rsid w:val="001A64D9"/>
    <w:rsid w:val="001A6C79"/>
    <w:rsid w:val="001B29E8"/>
    <w:rsid w:val="001B38DA"/>
    <w:rsid w:val="001B5454"/>
    <w:rsid w:val="001C59FF"/>
    <w:rsid w:val="001C7FD4"/>
    <w:rsid w:val="001D0532"/>
    <w:rsid w:val="001D20C7"/>
    <w:rsid w:val="001D339B"/>
    <w:rsid w:val="001E296F"/>
    <w:rsid w:val="001E4648"/>
    <w:rsid w:val="001E6A73"/>
    <w:rsid w:val="001F0DE5"/>
    <w:rsid w:val="001F279F"/>
    <w:rsid w:val="001F410B"/>
    <w:rsid w:val="001F5421"/>
    <w:rsid w:val="001F7658"/>
    <w:rsid w:val="002012E1"/>
    <w:rsid w:val="00201CF7"/>
    <w:rsid w:val="0020615A"/>
    <w:rsid w:val="00211229"/>
    <w:rsid w:val="00211E0F"/>
    <w:rsid w:val="00213CA1"/>
    <w:rsid w:val="00214FF8"/>
    <w:rsid w:val="002156A5"/>
    <w:rsid w:val="00216F0D"/>
    <w:rsid w:val="00217E61"/>
    <w:rsid w:val="002209F1"/>
    <w:rsid w:val="00220BF7"/>
    <w:rsid w:val="00223456"/>
    <w:rsid w:val="00224C44"/>
    <w:rsid w:val="00225CDC"/>
    <w:rsid w:val="00227A8C"/>
    <w:rsid w:val="002325C8"/>
    <w:rsid w:val="00235BB9"/>
    <w:rsid w:val="002426D3"/>
    <w:rsid w:val="002442B7"/>
    <w:rsid w:val="002455C7"/>
    <w:rsid w:val="002456F1"/>
    <w:rsid w:val="002463B3"/>
    <w:rsid w:val="002470B8"/>
    <w:rsid w:val="00250AD2"/>
    <w:rsid w:val="0025137A"/>
    <w:rsid w:val="002514D1"/>
    <w:rsid w:val="0025177E"/>
    <w:rsid w:val="002560BB"/>
    <w:rsid w:val="002561C8"/>
    <w:rsid w:val="00264ACD"/>
    <w:rsid w:val="0026542C"/>
    <w:rsid w:val="00266C6F"/>
    <w:rsid w:val="00271700"/>
    <w:rsid w:val="00272A7B"/>
    <w:rsid w:val="00272D32"/>
    <w:rsid w:val="00282FA3"/>
    <w:rsid w:val="0028364A"/>
    <w:rsid w:val="00290561"/>
    <w:rsid w:val="00294190"/>
    <w:rsid w:val="002A0041"/>
    <w:rsid w:val="002A04C6"/>
    <w:rsid w:val="002A1860"/>
    <w:rsid w:val="002A2D36"/>
    <w:rsid w:val="002B1391"/>
    <w:rsid w:val="002B6401"/>
    <w:rsid w:val="002B7402"/>
    <w:rsid w:val="002C649A"/>
    <w:rsid w:val="002D0CE1"/>
    <w:rsid w:val="002D1FCC"/>
    <w:rsid w:val="002D2FC0"/>
    <w:rsid w:val="002D6A44"/>
    <w:rsid w:val="002D6EED"/>
    <w:rsid w:val="002E105B"/>
    <w:rsid w:val="002E1FB2"/>
    <w:rsid w:val="002E7AED"/>
    <w:rsid w:val="002F0EB3"/>
    <w:rsid w:val="002F1222"/>
    <w:rsid w:val="002F2131"/>
    <w:rsid w:val="002F530E"/>
    <w:rsid w:val="002F6309"/>
    <w:rsid w:val="003008D9"/>
    <w:rsid w:val="00301220"/>
    <w:rsid w:val="003051AA"/>
    <w:rsid w:val="003061F8"/>
    <w:rsid w:val="00306DE6"/>
    <w:rsid w:val="00306F74"/>
    <w:rsid w:val="003205A4"/>
    <w:rsid w:val="00320A5A"/>
    <w:rsid w:val="00321F0C"/>
    <w:rsid w:val="00322263"/>
    <w:rsid w:val="003308C6"/>
    <w:rsid w:val="00330D4B"/>
    <w:rsid w:val="003320FF"/>
    <w:rsid w:val="0033212F"/>
    <w:rsid w:val="00332E84"/>
    <w:rsid w:val="00335E06"/>
    <w:rsid w:val="003409B8"/>
    <w:rsid w:val="00343102"/>
    <w:rsid w:val="003433E6"/>
    <w:rsid w:val="00345504"/>
    <w:rsid w:val="00347B7E"/>
    <w:rsid w:val="003502E9"/>
    <w:rsid w:val="0035089B"/>
    <w:rsid w:val="00351351"/>
    <w:rsid w:val="00351A50"/>
    <w:rsid w:val="003551F4"/>
    <w:rsid w:val="00356720"/>
    <w:rsid w:val="003568F8"/>
    <w:rsid w:val="00360344"/>
    <w:rsid w:val="003613D2"/>
    <w:rsid w:val="003644A1"/>
    <w:rsid w:val="00371851"/>
    <w:rsid w:val="00371F01"/>
    <w:rsid w:val="003721AD"/>
    <w:rsid w:val="00372540"/>
    <w:rsid w:val="00376656"/>
    <w:rsid w:val="00384ABB"/>
    <w:rsid w:val="00384BAB"/>
    <w:rsid w:val="00385FFC"/>
    <w:rsid w:val="00387C56"/>
    <w:rsid w:val="0039118C"/>
    <w:rsid w:val="00391D90"/>
    <w:rsid w:val="003925E9"/>
    <w:rsid w:val="003942E1"/>
    <w:rsid w:val="00394E9F"/>
    <w:rsid w:val="003A02A1"/>
    <w:rsid w:val="003A474A"/>
    <w:rsid w:val="003C02DF"/>
    <w:rsid w:val="003C0747"/>
    <w:rsid w:val="003C7266"/>
    <w:rsid w:val="003D2078"/>
    <w:rsid w:val="003D3CAA"/>
    <w:rsid w:val="003D40DB"/>
    <w:rsid w:val="003D7011"/>
    <w:rsid w:val="003D7611"/>
    <w:rsid w:val="003E2C6B"/>
    <w:rsid w:val="003E4DCA"/>
    <w:rsid w:val="003E7C71"/>
    <w:rsid w:val="003F2FA4"/>
    <w:rsid w:val="003F3B51"/>
    <w:rsid w:val="003F3D45"/>
    <w:rsid w:val="003F4953"/>
    <w:rsid w:val="003F5F58"/>
    <w:rsid w:val="003F6D98"/>
    <w:rsid w:val="003F7AF5"/>
    <w:rsid w:val="003F7DB7"/>
    <w:rsid w:val="0040221E"/>
    <w:rsid w:val="0040595A"/>
    <w:rsid w:val="004072FA"/>
    <w:rsid w:val="00411316"/>
    <w:rsid w:val="00420666"/>
    <w:rsid w:val="00421363"/>
    <w:rsid w:val="004300D4"/>
    <w:rsid w:val="004316F0"/>
    <w:rsid w:val="004365AD"/>
    <w:rsid w:val="004434F8"/>
    <w:rsid w:val="0044359A"/>
    <w:rsid w:val="0045310F"/>
    <w:rsid w:val="004554CB"/>
    <w:rsid w:val="004607CD"/>
    <w:rsid w:val="0046122C"/>
    <w:rsid w:val="00463F73"/>
    <w:rsid w:val="004775D2"/>
    <w:rsid w:val="0047783A"/>
    <w:rsid w:val="00483E26"/>
    <w:rsid w:val="00487730"/>
    <w:rsid w:val="0049088E"/>
    <w:rsid w:val="004925DF"/>
    <w:rsid w:val="00494168"/>
    <w:rsid w:val="00497AE6"/>
    <w:rsid w:val="004A0140"/>
    <w:rsid w:val="004A101E"/>
    <w:rsid w:val="004A5CA1"/>
    <w:rsid w:val="004A7ED9"/>
    <w:rsid w:val="004B5C33"/>
    <w:rsid w:val="004C265E"/>
    <w:rsid w:val="004C35B5"/>
    <w:rsid w:val="004D2FD8"/>
    <w:rsid w:val="004D6D1E"/>
    <w:rsid w:val="004E6DFE"/>
    <w:rsid w:val="004F1264"/>
    <w:rsid w:val="004F5C57"/>
    <w:rsid w:val="005005D7"/>
    <w:rsid w:val="00500CB4"/>
    <w:rsid w:val="00501FF0"/>
    <w:rsid w:val="005109D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D0663"/>
    <w:rsid w:val="005D1F01"/>
    <w:rsid w:val="005D72F7"/>
    <w:rsid w:val="005E0B76"/>
    <w:rsid w:val="005E2EE8"/>
    <w:rsid w:val="005E4A36"/>
    <w:rsid w:val="005F3C51"/>
    <w:rsid w:val="005F62D0"/>
    <w:rsid w:val="00613E4C"/>
    <w:rsid w:val="00614AE9"/>
    <w:rsid w:val="006164B8"/>
    <w:rsid w:val="0062259D"/>
    <w:rsid w:val="006255F5"/>
    <w:rsid w:val="006311FE"/>
    <w:rsid w:val="00633829"/>
    <w:rsid w:val="00633D3A"/>
    <w:rsid w:val="00635BDD"/>
    <w:rsid w:val="00636E8F"/>
    <w:rsid w:val="0063744A"/>
    <w:rsid w:val="00637D16"/>
    <w:rsid w:val="006408AC"/>
    <w:rsid w:val="00640D24"/>
    <w:rsid w:val="00640E38"/>
    <w:rsid w:val="00644483"/>
    <w:rsid w:val="006464B1"/>
    <w:rsid w:val="00646C00"/>
    <w:rsid w:val="0065117A"/>
    <w:rsid w:val="00651DEF"/>
    <w:rsid w:val="00654F04"/>
    <w:rsid w:val="00655720"/>
    <w:rsid w:val="00656FFF"/>
    <w:rsid w:val="0066145D"/>
    <w:rsid w:val="00661604"/>
    <w:rsid w:val="00661B3C"/>
    <w:rsid w:val="0066519D"/>
    <w:rsid w:val="00677500"/>
    <w:rsid w:val="0068247E"/>
    <w:rsid w:val="00682804"/>
    <w:rsid w:val="0069153C"/>
    <w:rsid w:val="006917B2"/>
    <w:rsid w:val="00692095"/>
    <w:rsid w:val="006A5ADE"/>
    <w:rsid w:val="006A5F84"/>
    <w:rsid w:val="006B0AB1"/>
    <w:rsid w:val="006B396A"/>
    <w:rsid w:val="006B3EAE"/>
    <w:rsid w:val="006C2F05"/>
    <w:rsid w:val="006C513D"/>
    <w:rsid w:val="006D3BA1"/>
    <w:rsid w:val="006D4CEC"/>
    <w:rsid w:val="006E56FD"/>
    <w:rsid w:val="006E6880"/>
    <w:rsid w:val="006F43E5"/>
    <w:rsid w:val="00702131"/>
    <w:rsid w:val="00710379"/>
    <w:rsid w:val="00711C72"/>
    <w:rsid w:val="0071243A"/>
    <w:rsid w:val="00723C11"/>
    <w:rsid w:val="00724D0C"/>
    <w:rsid w:val="007307A9"/>
    <w:rsid w:val="0073450F"/>
    <w:rsid w:val="007423EF"/>
    <w:rsid w:val="0075384B"/>
    <w:rsid w:val="00754D2B"/>
    <w:rsid w:val="007563BB"/>
    <w:rsid w:val="00756C30"/>
    <w:rsid w:val="007600CA"/>
    <w:rsid w:val="00760195"/>
    <w:rsid w:val="007625F7"/>
    <w:rsid w:val="00763B1C"/>
    <w:rsid w:val="007666CD"/>
    <w:rsid w:val="007744EE"/>
    <w:rsid w:val="00775749"/>
    <w:rsid w:val="00776BF7"/>
    <w:rsid w:val="00777E99"/>
    <w:rsid w:val="00785050"/>
    <w:rsid w:val="00787CA0"/>
    <w:rsid w:val="00792A1B"/>
    <w:rsid w:val="00792F1D"/>
    <w:rsid w:val="0079405A"/>
    <w:rsid w:val="007A0045"/>
    <w:rsid w:val="007A01BB"/>
    <w:rsid w:val="007A0C47"/>
    <w:rsid w:val="007B65DB"/>
    <w:rsid w:val="007B7DA5"/>
    <w:rsid w:val="007C0BDD"/>
    <w:rsid w:val="007C1656"/>
    <w:rsid w:val="007C6835"/>
    <w:rsid w:val="007C75E0"/>
    <w:rsid w:val="007D5FA2"/>
    <w:rsid w:val="007E0CD5"/>
    <w:rsid w:val="007E3D5F"/>
    <w:rsid w:val="007E597D"/>
    <w:rsid w:val="007E70FC"/>
    <w:rsid w:val="007F5A79"/>
    <w:rsid w:val="007F6802"/>
    <w:rsid w:val="00806CE0"/>
    <w:rsid w:val="00811F58"/>
    <w:rsid w:val="0081263E"/>
    <w:rsid w:val="0081418B"/>
    <w:rsid w:val="00814C3A"/>
    <w:rsid w:val="00815C27"/>
    <w:rsid w:val="008227A5"/>
    <w:rsid w:val="00822E7E"/>
    <w:rsid w:val="008272ED"/>
    <w:rsid w:val="00830ACF"/>
    <w:rsid w:val="00846CA3"/>
    <w:rsid w:val="00847853"/>
    <w:rsid w:val="008528F2"/>
    <w:rsid w:val="00853F9D"/>
    <w:rsid w:val="0085667F"/>
    <w:rsid w:val="008617F3"/>
    <w:rsid w:val="008670ED"/>
    <w:rsid w:val="00870FD6"/>
    <w:rsid w:val="008718AA"/>
    <w:rsid w:val="00872830"/>
    <w:rsid w:val="00877B50"/>
    <w:rsid w:val="008808CB"/>
    <w:rsid w:val="008847D1"/>
    <w:rsid w:val="00885882"/>
    <w:rsid w:val="008859E6"/>
    <w:rsid w:val="0089090C"/>
    <w:rsid w:val="00891D12"/>
    <w:rsid w:val="00892CE9"/>
    <w:rsid w:val="008934F5"/>
    <w:rsid w:val="008A048D"/>
    <w:rsid w:val="008A39B7"/>
    <w:rsid w:val="008A595E"/>
    <w:rsid w:val="008A60A4"/>
    <w:rsid w:val="008C14A7"/>
    <w:rsid w:val="008C49BB"/>
    <w:rsid w:val="008C4E79"/>
    <w:rsid w:val="008C5476"/>
    <w:rsid w:val="008C5A40"/>
    <w:rsid w:val="008C5DAA"/>
    <w:rsid w:val="008E40E2"/>
    <w:rsid w:val="008F3866"/>
    <w:rsid w:val="008F3D27"/>
    <w:rsid w:val="009143FD"/>
    <w:rsid w:val="00920A51"/>
    <w:rsid w:val="00922542"/>
    <w:rsid w:val="009251E3"/>
    <w:rsid w:val="009346C6"/>
    <w:rsid w:val="0093582A"/>
    <w:rsid w:val="009423FB"/>
    <w:rsid w:val="00942663"/>
    <w:rsid w:val="0094670B"/>
    <w:rsid w:val="00947FC3"/>
    <w:rsid w:val="00950813"/>
    <w:rsid w:val="009514EC"/>
    <w:rsid w:val="00953FDD"/>
    <w:rsid w:val="00964C7B"/>
    <w:rsid w:val="00973BF6"/>
    <w:rsid w:val="00980A42"/>
    <w:rsid w:val="009826A6"/>
    <w:rsid w:val="00985CDE"/>
    <w:rsid w:val="00987666"/>
    <w:rsid w:val="009976B3"/>
    <w:rsid w:val="009A3792"/>
    <w:rsid w:val="009A3A53"/>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2483"/>
    <w:rsid w:val="009E48A3"/>
    <w:rsid w:val="009E4FC6"/>
    <w:rsid w:val="009E6BB7"/>
    <w:rsid w:val="009F1371"/>
    <w:rsid w:val="009F3126"/>
    <w:rsid w:val="00A039CA"/>
    <w:rsid w:val="00A04FBF"/>
    <w:rsid w:val="00A068EC"/>
    <w:rsid w:val="00A11F12"/>
    <w:rsid w:val="00A12449"/>
    <w:rsid w:val="00A1412E"/>
    <w:rsid w:val="00A1746F"/>
    <w:rsid w:val="00A2696E"/>
    <w:rsid w:val="00A4194A"/>
    <w:rsid w:val="00A42161"/>
    <w:rsid w:val="00A4424B"/>
    <w:rsid w:val="00A512A5"/>
    <w:rsid w:val="00A512C9"/>
    <w:rsid w:val="00A539E4"/>
    <w:rsid w:val="00A55597"/>
    <w:rsid w:val="00A56C0B"/>
    <w:rsid w:val="00A57CDD"/>
    <w:rsid w:val="00A62073"/>
    <w:rsid w:val="00A62A7F"/>
    <w:rsid w:val="00A63E3C"/>
    <w:rsid w:val="00A65361"/>
    <w:rsid w:val="00A665A2"/>
    <w:rsid w:val="00A66A48"/>
    <w:rsid w:val="00A721A0"/>
    <w:rsid w:val="00A75650"/>
    <w:rsid w:val="00A77708"/>
    <w:rsid w:val="00A845B1"/>
    <w:rsid w:val="00A90875"/>
    <w:rsid w:val="00AA24A4"/>
    <w:rsid w:val="00AA3279"/>
    <w:rsid w:val="00AA4766"/>
    <w:rsid w:val="00AB26E0"/>
    <w:rsid w:val="00AB29A9"/>
    <w:rsid w:val="00AB3AB0"/>
    <w:rsid w:val="00AB5ED5"/>
    <w:rsid w:val="00AB66A5"/>
    <w:rsid w:val="00AC07D4"/>
    <w:rsid w:val="00AC2621"/>
    <w:rsid w:val="00AC7636"/>
    <w:rsid w:val="00AD0D7A"/>
    <w:rsid w:val="00AD1B04"/>
    <w:rsid w:val="00AD4039"/>
    <w:rsid w:val="00AD5536"/>
    <w:rsid w:val="00AD7C94"/>
    <w:rsid w:val="00AE5192"/>
    <w:rsid w:val="00AE6600"/>
    <w:rsid w:val="00AE7D13"/>
    <w:rsid w:val="00AF2A32"/>
    <w:rsid w:val="00AF4052"/>
    <w:rsid w:val="00AF47CA"/>
    <w:rsid w:val="00AF507E"/>
    <w:rsid w:val="00B03FDB"/>
    <w:rsid w:val="00B07102"/>
    <w:rsid w:val="00B10711"/>
    <w:rsid w:val="00B1165D"/>
    <w:rsid w:val="00B17A53"/>
    <w:rsid w:val="00B2499C"/>
    <w:rsid w:val="00B277E4"/>
    <w:rsid w:val="00B30528"/>
    <w:rsid w:val="00B3168E"/>
    <w:rsid w:val="00B3411B"/>
    <w:rsid w:val="00B443C3"/>
    <w:rsid w:val="00B44B08"/>
    <w:rsid w:val="00B44DC5"/>
    <w:rsid w:val="00B4644C"/>
    <w:rsid w:val="00B4772C"/>
    <w:rsid w:val="00B51209"/>
    <w:rsid w:val="00B553A3"/>
    <w:rsid w:val="00B569B1"/>
    <w:rsid w:val="00B61CED"/>
    <w:rsid w:val="00B63280"/>
    <w:rsid w:val="00B70C0E"/>
    <w:rsid w:val="00B72C01"/>
    <w:rsid w:val="00B7329A"/>
    <w:rsid w:val="00B76124"/>
    <w:rsid w:val="00B80DE8"/>
    <w:rsid w:val="00B8161D"/>
    <w:rsid w:val="00B84EBC"/>
    <w:rsid w:val="00B86755"/>
    <w:rsid w:val="00B90C14"/>
    <w:rsid w:val="00B965CD"/>
    <w:rsid w:val="00B9691D"/>
    <w:rsid w:val="00B96E4B"/>
    <w:rsid w:val="00BA0AD9"/>
    <w:rsid w:val="00BA204C"/>
    <w:rsid w:val="00BA705D"/>
    <w:rsid w:val="00BA70CB"/>
    <w:rsid w:val="00BB2075"/>
    <w:rsid w:val="00BB2471"/>
    <w:rsid w:val="00BB51C8"/>
    <w:rsid w:val="00BB56D3"/>
    <w:rsid w:val="00BC112C"/>
    <w:rsid w:val="00BC2F6B"/>
    <w:rsid w:val="00BC3B75"/>
    <w:rsid w:val="00BC6222"/>
    <w:rsid w:val="00BC75D8"/>
    <w:rsid w:val="00BD201F"/>
    <w:rsid w:val="00BD3371"/>
    <w:rsid w:val="00BE34FF"/>
    <w:rsid w:val="00BE3AD8"/>
    <w:rsid w:val="00BF1A9A"/>
    <w:rsid w:val="00BF1B74"/>
    <w:rsid w:val="00BF4E2B"/>
    <w:rsid w:val="00C0329C"/>
    <w:rsid w:val="00C07667"/>
    <w:rsid w:val="00C12AF0"/>
    <w:rsid w:val="00C13C29"/>
    <w:rsid w:val="00C1488B"/>
    <w:rsid w:val="00C17310"/>
    <w:rsid w:val="00C24AB5"/>
    <w:rsid w:val="00C255E8"/>
    <w:rsid w:val="00C302E1"/>
    <w:rsid w:val="00C3235B"/>
    <w:rsid w:val="00C34E40"/>
    <w:rsid w:val="00C350C3"/>
    <w:rsid w:val="00C369C9"/>
    <w:rsid w:val="00C41328"/>
    <w:rsid w:val="00C413E2"/>
    <w:rsid w:val="00C41919"/>
    <w:rsid w:val="00C42CAE"/>
    <w:rsid w:val="00C54801"/>
    <w:rsid w:val="00C61312"/>
    <w:rsid w:val="00C720C8"/>
    <w:rsid w:val="00C75CCE"/>
    <w:rsid w:val="00C778A1"/>
    <w:rsid w:val="00C80741"/>
    <w:rsid w:val="00C8172A"/>
    <w:rsid w:val="00C8328B"/>
    <w:rsid w:val="00C85C8A"/>
    <w:rsid w:val="00C86724"/>
    <w:rsid w:val="00C87F4C"/>
    <w:rsid w:val="00C92434"/>
    <w:rsid w:val="00CA1354"/>
    <w:rsid w:val="00CA618A"/>
    <w:rsid w:val="00CA6C68"/>
    <w:rsid w:val="00CB3E27"/>
    <w:rsid w:val="00CB4E1D"/>
    <w:rsid w:val="00CC7DE2"/>
    <w:rsid w:val="00CD04D8"/>
    <w:rsid w:val="00CD362F"/>
    <w:rsid w:val="00CD7F25"/>
    <w:rsid w:val="00CF2D8C"/>
    <w:rsid w:val="00CF2DE2"/>
    <w:rsid w:val="00CF30C4"/>
    <w:rsid w:val="00CF48EA"/>
    <w:rsid w:val="00CF63C2"/>
    <w:rsid w:val="00CF6CFA"/>
    <w:rsid w:val="00D00E91"/>
    <w:rsid w:val="00D02053"/>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2654"/>
    <w:rsid w:val="00D662AA"/>
    <w:rsid w:val="00D66F04"/>
    <w:rsid w:val="00D678AC"/>
    <w:rsid w:val="00D71AF3"/>
    <w:rsid w:val="00D735D6"/>
    <w:rsid w:val="00D73E36"/>
    <w:rsid w:val="00D75213"/>
    <w:rsid w:val="00D77532"/>
    <w:rsid w:val="00D83D1B"/>
    <w:rsid w:val="00D84928"/>
    <w:rsid w:val="00D8732D"/>
    <w:rsid w:val="00D90043"/>
    <w:rsid w:val="00D92BA6"/>
    <w:rsid w:val="00D93F90"/>
    <w:rsid w:val="00D950BA"/>
    <w:rsid w:val="00D979C6"/>
    <w:rsid w:val="00DA4AB8"/>
    <w:rsid w:val="00DA4D57"/>
    <w:rsid w:val="00DC50E2"/>
    <w:rsid w:val="00DC54A0"/>
    <w:rsid w:val="00DC6C9C"/>
    <w:rsid w:val="00DD005F"/>
    <w:rsid w:val="00DD0624"/>
    <w:rsid w:val="00DD13B0"/>
    <w:rsid w:val="00DD24D0"/>
    <w:rsid w:val="00DE13B8"/>
    <w:rsid w:val="00DE19B1"/>
    <w:rsid w:val="00DE7055"/>
    <w:rsid w:val="00DE71AB"/>
    <w:rsid w:val="00DF25C5"/>
    <w:rsid w:val="00DF2FF3"/>
    <w:rsid w:val="00DF7145"/>
    <w:rsid w:val="00DF7327"/>
    <w:rsid w:val="00E0295D"/>
    <w:rsid w:val="00E032BF"/>
    <w:rsid w:val="00E10B1C"/>
    <w:rsid w:val="00E111AC"/>
    <w:rsid w:val="00E11599"/>
    <w:rsid w:val="00E13CDE"/>
    <w:rsid w:val="00E144A4"/>
    <w:rsid w:val="00E14817"/>
    <w:rsid w:val="00E168E3"/>
    <w:rsid w:val="00E17F10"/>
    <w:rsid w:val="00E213A7"/>
    <w:rsid w:val="00E215DF"/>
    <w:rsid w:val="00E2190B"/>
    <w:rsid w:val="00E2682A"/>
    <w:rsid w:val="00E27678"/>
    <w:rsid w:val="00E340A7"/>
    <w:rsid w:val="00E34208"/>
    <w:rsid w:val="00E37290"/>
    <w:rsid w:val="00E37A55"/>
    <w:rsid w:val="00E41C6F"/>
    <w:rsid w:val="00E47BF0"/>
    <w:rsid w:val="00E47F4C"/>
    <w:rsid w:val="00E52467"/>
    <w:rsid w:val="00E52D98"/>
    <w:rsid w:val="00E54B1B"/>
    <w:rsid w:val="00E571E1"/>
    <w:rsid w:val="00E603B8"/>
    <w:rsid w:val="00E60A37"/>
    <w:rsid w:val="00E6170C"/>
    <w:rsid w:val="00E62221"/>
    <w:rsid w:val="00E62923"/>
    <w:rsid w:val="00E637DD"/>
    <w:rsid w:val="00E66FD7"/>
    <w:rsid w:val="00E713C7"/>
    <w:rsid w:val="00E72143"/>
    <w:rsid w:val="00E730A5"/>
    <w:rsid w:val="00E75503"/>
    <w:rsid w:val="00E80269"/>
    <w:rsid w:val="00E811F3"/>
    <w:rsid w:val="00E82463"/>
    <w:rsid w:val="00E84F50"/>
    <w:rsid w:val="00E85F91"/>
    <w:rsid w:val="00EA6DA1"/>
    <w:rsid w:val="00EA75C1"/>
    <w:rsid w:val="00EB3B91"/>
    <w:rsid w:val="00EB78F4"/>
    <w:rsid w:val="00EC0A12"/>
    <w:rsid w:val="00EC0DD2"/>
    <w:rsid w:val="00EC16F8"/>
    <w:rsid w:val="00EC48C8"/>
    <w:rsid w:val="00EE0ED9"/>
    <w:rsid w:val="00EE109E"/>
    <w:rsid w:val="00EE23B1"/>
    <w:rsid w:val="00EE2E55"/>
    <w:rsid w:val="00EE6BC0"/>
    <w:rsid w:val="00EF1C05"/>
    <w:rsid w:val="00EF2BFC"/>
    <w:rsid w:val="00EF3951"/>
    <w:rsid w:val="00EF6426"/>
    <w:rsid w:val="00F01A04"/>
    <w:rsid w:val="00F02006"/>
    <w:rsid w:val="00F041A6"/>
    <w:rsid w:val="00F0574A"/>
    <w:rsid w:val="00F10944"/>
    <w:rsid w:val="00F246D2"/>
    <w:rsid w:val="00F25C38"/>
    <w:rsid w:val="00F3381B"/>
    <w:rsid w:val="00F33A99"/>
    <w:rsid w:val="00F33CE3"/>
    <w:rsid w:val="00F45106"/>
    <w:rsid w:val="00F4528C"/>
    <w:rsid w:val="00F54CA4"/>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1169"/>
    <w:rsid w:val="00FA3359"/>
    <w:rsid w:val="00FA3F66"/>
    <w:rsid w:val="00FA73A6"/>
    <w:rsid w:val="00FB2706"/>
    <w:rsid w:val="00FB3374"/>
    <w:rsid w:val="00FB67DE"/>
    <w:rsid w:val="00FB6AD7"/>
    <w:rsid w:val="00FD23CD"/>
    <w:rsid w:val="00FD4289"/>
    <w:rsid w:val="00FD4F5A"/>
    <w:rsid w:val="00FD68B9"/>
    <w:rsid w:val="00FD6CB9"/>
    <w:rsid w:val="00FD7D89"/>
    <w:rsid w:val="00FE1054"/>
    <w:rsid w:val="00FE3081"/>
    <w:rsid w:val="00FE3E3B"/>
    <w:rsid w:val="00FE7D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9FF"/>
    <w:pPr>
      <w:spacing w:before="120" w:after="120"/>
    </w:pPr>
    <w:rPr>
      <w:rFonts w:ascii="Arial" w:hAnsi="Arial"/>
      <w:snapToGrid w:val="0"/>
      <w:lang w:val="en-GB"/>
    </w:rPr>
  </w:style>
  <w:style w:type="paragraph" w:styleId="Heading1">
    <w:name w:val="heading 1"/>
    <w:basedOn w:val="Normal"/>
    <w:next w:val="Normal"/>
    <w:link w:val="Heading1Char1"/>
    <w:autoRedefine/>
    <w:qFormat/>
    <w:rsid w:val="00BB2471"/>
    <w:pPr>
      <w:keepNext/>
      <w:numPr>
        <w:numId w:val="2"/>
      </w:numPr>
      <w:tabs>
        <w:tab w:val="clear" w:pos="567"/>
        <w:tab w:val="num" w:pos="568"/>
      </w:tabs>
      <w:spacing w:before="240" w:after="240"/>
      <w:ind w:left="568"/>
      <w:jc w:val="both"/>
      <w:outlineLvl w:val="0"/>
    </w:pPr>
    <w:rPr>
      <w:rFonts w:ascii="Times New Roman" w:hAnsi="Times New Roman"/>
      <w:b/>
      <w:sz w:val="28"/>
      <w:szCs w:val="28"/>
      <w:lang w:val="fr-BE"/>
    </w:rPr>
  </w:style>
  <w:style w:type="paragraph" w:styleId="Heading2">
    <w:name w:val="heading 2"/>
    <w:basedOn w:val="Normal"/>
    <w:next w:val="Normal"/>
    <w:link w:val="Heading2Char"/>
    <w:qFormat/>
    <w:rsid w:val="001C59FF"/>
    <w:pPr>
      <w:keepNext/>
      <w:outlineLvl w:val="1"/>
    </w:pPr>
    <w:rPr>
      <w:lang w:val="fr-BE"/>
    </w:rPr>
  </w:style>
  <w:style w:type="paragraph" w:styleId="Heading3">
    <w:name w:val="heading 3"/>
    <w:basedOn w:val="Normal"/>
    <w:next w:val="Normal"/>
    <w:link w:val="Heading3Char"/>
    <w:qFormat/>
    <w:rsid w:val="001C59FF"/>
    <w:pPr>
      <w:keepNext/>
      <w:framePr w:hSpace="181" w:vSpace="181" w:wrap="auto" w:vAnchor="text" w:hAnchor="text" w:y="1"/>
      <w:outlineLvl w:val="2"/>
    </w:pPr>
  </w:style>
  <w:style w:type="paragraph" w:styleId="Heading4">
    <w:name w:val="heading 4"/>
    <w:basedOn w:val="Normal"/>
    <w:next w:val="Normal"/>
    <w:link w:val="Heading4Char"/>
    <w:qFormat/>
    <w:rsid w:val="001C59FF"/>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1C59FF"/>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1C59FF"/>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1C59FF"/>
    <w:pPr>
      <w:numPr>
        <w:ilvl w:val="6"/>
        <w:numId w:val="2"/>
      </w:numPr>
      <w:spacing w:before="240" w:after="60"/>
      <w:outlineLvl w:val="6"/>
    </w:pPr>
    <w:rPr>
      <w:lang w:val="sv-SE"/>
    </w:rPr>
  </w:style>
  <w:style w:type="paragraph" w:styleId="Heading8">
    <w:name w:val="heading 8"/>
    <w:basedOn w:val="Normal"/>
    <w:next w:val="Normal"/>
    <w:link w:val="Heading8Char"/>
    <w:qFormat/>
    <w:rsid w:val="001C59FF"/>
    <w:pPr>
      <w:numPr>
        <w:ilvl w:val="7"/>
        <w:numId w:val="2"/>
      </w:numPr>
      <w:spacing w:before="240" w:after="60"/>
      <w:outlineLvl w:val="7"/>
    </w:pPr>
    <w:rPr>
      <w:i/>
      <w:lang w:val="sv-SE"/>
    </w:rPr>
  </w:style>
  <w:style w:type="paragraph" w:styleId="Heading9">
    <w:name w:val="heading 9"/>
    <w:basedOn w:val="Normal"/>
    <w:next w:val="Normal"/>
    <w:link w:val="Heading9Char"/>
    <w:qFormat/>
    <w:rsid w:val="001C59FF"/>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C59FF"/>
    <w:pPr>
      <w:jc w:val="center"/>
    </w:pPr>
    <w:rPr>
      <w:b/>
      <w:sz w:val="28"/>
      <w:lang w:val="fr-BE"/>
    </w:rPr>
  </w:style>
  <w:style w:type="paragraph" w:styleId="Subtitle">
    <w:name w:val="Subtitle"/>
    <w:basedOn w:val="Normal"/>
    <w:link w:val="SubtitleChar"/>
    <w:qFormat/>
    <w:rsid w:val="001C59FF"/>
    <w:pPr>
      <w:jc w:val="center"/>
    </w:pPr>
    <w:rPr>
      <w:b/>
      <w:sz w:val="28"/>
      <w:lang w:val="fr-BE"/>
    </w:rPr>
  </w:style>
  <w:style w:type="paragraph" w:styleId="BodyTextIndent">
    <w:name w:val="Body Text Indent"/>
    <w:basedOn w:val="Normal"/>
    <w:link w:val="BodyTextIndentChar"/>
    <w:rsid w:val="001C59FF"/>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1C59FF"/>
    <w:rPr>
      <w:lang w:val="sv-SE"/>
    </w:rPr>
  </w:style>
  <w:style w:type="paragraph" w:styleId="BodyTextIndent2">
    <w:name w:val="Body Text Indent 2"/>
    <w:basedOn w:val="Normal"/>
    <w:link w:val="BodyTextIndent2Char"/>
    <w:rsid w:val="001C59FF"/>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1C59FF"/>
    <w:pPr>
      <w:tabs>
        <w:tab w:val="left" w:pos="1276"/>
      </w:tabs>
      <w:ind w:left="1276" w:hanging="425"/>
      <w:jc w:val="both"/>
    </w:pPr>
    <w:rPr>
      <w:sz w:val="24"/>
      <w:lang w:val="sv-SE"/>
    </w:rPr>
  </w:style>
  <w:style w:type="paragraph" w:customStyle="1" w:styleId="Text3">
    <w:name w:val="Text 3"/>
    <w:basedOn w:val="Normal"/>
    <w:rsid w:val="001C59FF"/>
    <w:pPr>
      <w:tabs>
        <w:tab w:val="left" w:pos="2302"/>
      </w:tabs>
      <w:spacing w:after="240"/>
      <w:ind w:left="1202"/>
      <w:jc w:val="both"/>
    </w:pPr>
    <w:rPr>
      <w:sz w:val="24"/>
    </w:rPr>
  </w:style>
  <w:style w:type="paragraph" w:styleId="Header">
    <w:name w:val="header"/>
    <w:basedOn w:val="Normal"/>
    <w:link w:val="HeaderChar"/>
    <w:rsid w:val="001C59FF"/>
    <w:pPr>
      <w:tabs>
        <w:tab w:val="center" w:pos="4320"/>
        <w:tab w:val="right" w:pos="8640"/>
      </w:tabs>
    </w:pPr>
    <w:rPr>
      <w:lang w:val="sv-SE"/>
    </w:rPr>
  </w:style>
  <w:style w:type="paragraph" w:styleId="Footer">
    <w:name w:val="footer"/>
    <w:basedOn w:val="Normal"/>
    <w:link w:val="FooterChar"/>
    <w:rsid w:val="001C59FF"/>
    <w:pPr>
      <w:tabs>
        <w:tab w:val="center" w:pos="4320"/>
        <w:tab w:val="right" w:pos="8640"/>
      </w:tabs>
    </w:pPr>
    <w:rPr>
      <w:lang w:val="sv-SE"/>
    </w:rPr>
  </w:style>
  <w:style w:type="character" w:styleId="PageNumber">
    <w:name w:val="page number"/>
    <w:basedOn w:val="DefaultParagraphFont"/>
    <w:rsid w:val="001C59FF"/>
  </w:style>
  <w:style w:type="paragraph" w:styleId="BodyText3">
    <w:name w:val="Body Text 3"/>
    <w:basedOn w:val="Normal"/>
    <w:link w:val="BodyText3Char"/>
    <w:rsid w:val="001C59F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1C59FF"/>
    <w:rPr>
      <w:color w:val="0000FF"/>
      <w:u w:val="single"/>
    </w:rPr>
  </w:style>
  <w:style w:type="paragraph" w:styleId="FootnoteText">
    <w:name w:val="footnote text"/>
    <w:basedOn w:val="Normal"/>
    <w:semiHidden/>
    <w:rsid w:val="001C59FF"/>
    <w:rPr>
      <w:lang w:val="fr-FR"/>
    </w:rPr>
  </w:style>
  <w:style w:type="character" w:styleId="FootnoteReference">
    <w:name w:val="footnote reference"/>
    <w:semiHidden/>
    <w:rsid w:val="001C59FF"/>
    <w:rPr>
      <w:vertAlign w:val="superscript"/>
    </w:rPr>
  </w:style>
  <w:style w:type="paragraph" w:styleId="DocumentMap">
    <w:name w:val="Document Map"/>
    <w:basedOn w:val="Normal"/>
    <w:link w:val="DocumentMapChar"/>
    <w:semiHidden/>
    <w:rsid w:val="001C59FF"/>
    <w:pPr>
      <w:shd w:val="clear" w:color="auto" w:fill="000080"/>
    </w:pPr>
    <w:rPr>
      <w:sz w:val="24"/>
      <w:lang w:val="fr-FR"/>
    </w:rPr>
  </w:style>
  <w:style w:type="paragraph" w:customStyle="1" w:styleId="bulletsub">
    <w:name w:val="bullet_sub"/>
    <w:basedOn w:val="Normal"/>
    <w:rsid w:val="001C59F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1C59FF"/>
    <w:pPr>
      <w:spacing w:after="240"/>
      <w:jc w:val="center"/>
    </w:pPr>
    <w:rPr>
      <w:b/>
      <w:sz w:val="40"/>
    </w:rPr>
  </w:style>
  <w:style w:type="paragraph" w:customStyle="1" w:styleId="SubTitle2">
    <w:name w:val="SubTitle 2"/>
    <w:basedOn w:val="Normal"/>
    <w:rsid w:val="001C59FF"/>
    <w:pPr>
      <w:spacing w:after="240"/>
      <w:jc w:val="center"/>
    </w:pPr>
    <w:rPr>
      <w:b/>
      <w:sz w:val="32"/>
    </w:rPr>
  </w:style>
  <w:style w:type="paragraph" w:customStyle="1" w:styleId="Annexetitle">
    <w:name w:val="Annexe_title"/>
    <w:basedOn w:val="Heading1"/>
    <w:next w:val="Normal"/>
    <w:autoRedefine/>
    <w:rsid w:val="001C59FF"/>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1C59FF"/>
    <w:pPr>
      <w:keepNext/>
      <w:widowControl w:val="0"/>
      <w:tabs>
        <w:tab w:val="num" w:pos="992"/>
      </w:tabs>
      <w:ind w:left="992" w:hanging="992"/>
    </w:pPr>
    <w:rPr>
      <w:b/>
      <w:sz w:val="18"/>
      <w:lang w:val="fr-FR"/>
    </w:rPr>
  </w:style>
  <w:style w:type="paragraph" w:customStyle="1" w:styleId="titlefront">
    <w:name w:val="title_front"/>
    <w:basedOn w:val="Normal"/>
    <w:rsid w:val="001C59FF"/>
    <w:pPr>
      <w:spacing w:before="240"/>
      <w:ind w:left="1701"/>
      <w:jc w:val="right"/>
    </w:pPr>
    <w:rPr>
      <w:rFonts w:ascii="Optima" w:hAnsi="Optima"/>
      <w:b/>
      <w:sz w:val="28"/>
    </w:rPr>
  </w:style>
  <w:style w:type="paragraph" w:styleId="TOC1">
    <w:name w:val="toc 1"/>
    <w:basedOn w:val="Normal"/>
    <w:next w:val="Normal"/>
    <w:autoRedefine/>
    <w:semiHidden/>
    <w:rsid w:val="001C59F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1C59FF"/>
    <w:pPr>
      <w:spacing w:before="0" w:after="0"/>
      <w:ind w:left="200"/>
    </w:pPr>
    <w:rPr>
      <w:rFonts w:ascii="Times New Roman" w:hAnsi="Times New Roman"/>
      <w:smallCaps/>
    </w:rPr>
  </w:style>
  <w:style w:type="character" w:styleId="Strong">
    <w:name w:val="Strong"/>
    <w:qFormat/>
    <w:rsid w:val="001C59FF"/>
    <w:rPr>
      <w:b/>
    </w:rPr>
  </w:style>
  <w:style w:type="paragraph" w:customStyle="1" w:styleId="Blockquote">
    <w:name w:val="Blockquote"/>
    <w:basedOn w:val="Normal"/>
    <w:rsid w:val="001C59FF"/>
    <w:pPr>
      <w:widowControl w:val="0"/>
      <w:spacing w:before="100" w:after="100"/>
      <w:ind w:left="360" w:right="360"/>
    </w:pPr>
    <w:rPr>
      <w:sz w:val="24"/>
      <w:lang w:val="en-US"/>
    </w:rPr>
  </w:style>
  <w:style w:type="paragraph" w:styleId="TOC3">
    <w:name w:val="toc 3"/>
    <w:basedOn w:val="Normal"/>
    <w:next w:val="Normal"/>
    <w:autoRedefine/>
    <w:semiHidden/>
    <w:rsid w:val="001C59FF"/>
    <w:pPr>
      <w:spacing w:before="0" w:after="0"/>
      <w:ind w:left="400"/>
    </w:pPr>
    <w:rPr>
      <w:rFonts w:ascii="Times New Roman" w:hAnsi="Times New Roman"/>
      <w:i/>
    </w:rPr>
  </w:style>
  <w:style w:type="paragraph" w:styleId="TOC4">
    <w:name w:val="toc 4"/>
    <w:basedOn w:val="Normal"/>
    <w:next w:val="Normal"/>
    <w:autoRedefine/>
    <w:semiHidden/>
    <w:rsid w:val="001C59FF"/>
    <w:pPr>
      <w:spacing w:before="0" w:after="0"/>
      <w:ind w:left="600"/>
    </w:pPr>
    <w:rPr>
      <w:rFonts w:ascii="Times New Roman" w:hAnsi="Times New Roman"/>
      <w:sz w:val="18"/>
    </w:rPr>
  </w:style>
  <w:style w:type="paragraph" w:styleId="TOC5">
    <w:name w:val="toc 5"/>
    <w:basedOn w:val="Normal"/>
    <w:next w:val="Normal"/>
    <w:autoRedefine/>
    <w:semiHidden/>
    <w:rsid w:val="001C59FF"/>
    <w:pPr>
      <w:spacing w:before="0" w:after="0"/>
      <w:ind w:left="800"/>
    </w:pPr>
    <w:rPr>
      <w:rFonts w:ascii="Times New Roman" w:hAnsi="Times New Roman"/>
      <w:sz w:val="18"/>
    </w:rPr>
  </w:style>
  <w:style w:type="paragraph" w:styleId="TOC6">
    <w:name w:val="toc 6"/>
    <w:basedOn w:val="Normal"/>
    <w:next w:val="Normal"/>
    <w:autoRedefine/>
    <w:semiHidden/>
    <w:rsid w:val="001C59FF"/>
    <w:pPr>
      <w:spacing w:before="0" w:after="0"/>
      <w:ind w:left="1000"/>
    </w:pPr>
    <w:rPr>
      <w:rFonts w:ascii="Times New Roman" w:hAnsi="Times New Roman"/>
      <w:sz w:val="18"/>
    </w:rPr>
  </w:style>
  <w:style w:type="paragraph" w:styleId="TOC7">
    <w:name w:val="toc 7"/>
    <w:basedOn w:val="Normal"/>
    <w:next w:val="Normal"/>
    <w:autoRedefine/>
    <w:semiHidden/>
    <w:rsid w:val="001C59FF"/>
    <w:pPr>
      <w:spacing w:before="0" w:after="0"/>
      <w:ind w:left="1200"/>
    </w:pPr>
    <w:rPr>
      <w:rFonts w:ascii="Times New Roman" w:hAnsi="Times New Roman"/>
      <w:sz w:val="18"/>
    </w:rPr>
  </w:style>
  <w:style w:type="paragraph" w:styleId="TOC8">
    <w:name w:val="toc 8"/>
    <w:basedOn w:val="Normal"/>
    <w:next w:val="Normal"/>
    <w:autoRedefine/>
    <w:semiHidden/>
    <w:rsid w:val="001C59FF"/>
    <w:pPr>
      <w:spacing w:before="0" w:after="0"/>
      <w:ind w:left="1400"/>
    </w:pPr>
    <w:rPr>
      <w:rFonts w:ascii="Times New Roman" w:hAnsi="Times New Roman"/>
      <w:sz w:val="18"/>
    </w:rPr>
  </w:style>
  <w:style w:type="paragraph" w:styleId="TOC9">
    <w:name w:val="toc 9"/>
    <w:basedOn w:val="Normal"/>
    <w:next w:val="Normal"/>
    <w:autoRedefine/>
    <w:semiHidden/>
    <w:rsid w:val="001C59FF"/>
    <w:pPr>
      <w:spacing w:before="0" w:after="0"/>
      <w:ind w:left="1600"/>
    </w:pPr>
    <w:rPr>
      <w:rFonts w:ascii="Times New Roman" w:hAnsi="Times New Roman"/>
      <w:sz w:val="18"/>
    </w:rPr>
  </w:style>
  <w:style w:type="character" w:styleId="FollowedHyperlink">
    <w:name w:val="FollowedHyperlink"/>
    <w:rsid w:val="001C59FF"/>
    <w:rPr>
      <w:color w:val="800080"/>
      <w:u w:val="single"/>
    </w:rPr>
  </w:style>
  <w:style w:type="paragraph" w:customStyle="1" w:styleId="Style2">
    <w:name w:val="Style2"/>
    <w:basedOn w:val="Style1"/>
    <w:rsid w:val="001C59FF"/>
    <w:pPr>
      <w:tabs>
        <w:tab w:val="clear" w:pos="992"/>
        <w:tab w:val="num" w:pos="2091"/>
      </w:tabs>
      <w:ind w:left="2977"/>
      <w:jc w:val="both"/>
    </w:pPr>
  </w:style>
  <w:style w:type="paragraph" w:customStyle="1" w:styleId="text">
    <w:name w:val="text"/>
    <w:rsid w:val="001C59FF"/>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1C59FF"/>
    <w:pPr>
      <w:widowControl w:val="0"/>
      <w:spacing w:before="0" w:after="0" w:line="360" w:lineRule="exact"/>
      <w:jc w:val="center"/>
    </w:pPr>
    <w:rPr>
      <w:b/>
      <w:sz w:val="32"/>
      <w:lang w:val="cs-CZ"/>
    </w:rPr>
  </w:style>
  <w:style w:type="paragraph" w:customStyle="1" w:styleId="ManualNumPar1">
    <w:name w:val="Manual NumPar 1"/>
    <w:basedOn w:val="Normal"/>
    <w:next w:val="Normal"/>
    <w:rsid w:val="001C59FF"/>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8"/>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BB2471"/>
    <w:rPr>
      <w:b/>
      <w:snapToGrid w:val="0"/>
      <w:sz w:val="28"/>
      <w:szCs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E11599"/>
    <w:rPr>
      <w:i/>
    </w:rPr>
  </w:style>
  <w:style w:type="paragraph" w:styleId="NoSpacing">
    <w:name w:val="No Spacing"/>
    <w:uiPriority w:val="1"/>
    <w:qFormat/>
    <w:rsid w:val="00FB6AD7"/>
    <w:rPr>
      <w:rFonts w:ascii="Arial" w:hAnsi="Arial"/>
      <w:snapToGrid w:val="0"/>
      <w:lang w:val="en-GB"/>
    </w:rPr>
  </w:style>
</w:styles>
</file>

<file path=word/webSettings.xml><?xml version="1.0" encoding="utf-8"?>
<w:webSettings xmlns:r="http://schemas.openxmlformats.org/officeDocument/2006/relationships" xmlns:w="http://schemas.openxmlformats.org/wordprocessingml/2006/main">
  <w:divs>
    <w:div w:id="41952468">
      <w:bodyDiv w:val="1"/>
      <w:marLeft w:val="0"/>
      <w:marRight w:val="0"/>
      <w:marTop w:val="0"/>
      <w:marBottom w:val="0"/>
      <w:divBdr>
        <w:top w:val="none" w:sz="0" w:space="0" w:color="auto"/>
        <w:left w:val="none" w:sz="0" w:space="0" w:color="auto"/>
        <w:bottom w:val="none" w:sz="0" w:space="0" w:color="auto"/>
        <w:right w:val="none" w:sz="0" w:space="0" w:color="auto"/>
      </w:divBdr>
    </w:div>
    <w:div w:id="976377135">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58427858">
      <w:bodyDiv w:val="1"/>
      <w:marLeft w:val="0"/>
      <w:marRight w:val="0"/>
      <w:marTop w:val="0"/>
      <w:marBottom w:val="0"/>
      <w:divBdr>
        <w:top w:val="none" w:sz="0" w:space="0" w:color="auto"/>
        <w:left w:val="none" w:sz="0" w:space="0" w:color="auto"/>
        <w:bottom w:val="none" w:sz="0" w:space="0" w:color="auto"/>
        <w:right w:val="none" w:sz="0" w:space="0" w:color="auto"/>
      </w:divBdr>
    </w:div>
    <w:div w:id="1932856303">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fcu@mif.gov.me"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196A5-BBE8-47B4-88C8-8DDD945AC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5831</Words>
  <Characters>33243</Characters>
  <Application>Microsoft Office Word</Application>
  <DocSecurity>0</DocSecurity>
  <Lines>277</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38997</CharactersWithSpaces>
  <SharedDoc>false</SharedDoc>
  <HLinks>
    <vt:vector size="30" baseType="variant">
      <vt:variant>
        <vt:i4>4784206</vt:i4>
      </vt:variant>
      <vt:variant>
        <vt:i4>9</vt:i4>
      </vt:variant>
      <vt:variant>
        <vt:i4>0</vt:i4>
      </vt:variant>
      <vt:variant>
        <vt:i4>5</vt:i4>
      </vt:variant>
      <vt:variant>
        <vt:lpwstr>https://webgate.ec.europa.eu/europeaid/online-services/index.cfm?do=publi.welcome</vt:lpwstr>
      </vt:variant>
      <vt:variant>
        <vt:lpwstr/>
      </vt:variant>
      <vt:variant>
        <vt:i4>4259886</vt:i4>
      </vt:variant>
      <vt:variant>
        <vt:i4>6</vt:i4>
      </vt:variant>
      <vt:variant>
        <vt:i4>0</vt:i4>
      </vt:variant>
      <vt:variant>
        <vt:i4>5</vt:i4>
      </vt:variant>
      <vt:variant>
        <vt:lpwstr>mailto:cfcu@mif.gov.me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iva.vujovic</cp:lastModifiedBy>
  <cp:revision>24</cp:revision>
  <cp:lastPrinted>2016-04-22T10:46:00Z</cp:lastPrinted>
  <dcterms:created xsi:type="dcterms:W3CDTF">2016-05-19T12:46:00Z</dcterms:created>
  <dcterms:modified xsi:type="dcterms:W3CDTF">2016-07-25T14:27:00Z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