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B4C2" w14:textId="1864348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  <w:r w:rsidRPr="00DB6BD8">
        <w:rPr>
          <w:rFonts w:ascii="Garamond" w:hAnsi="Garamond"/>
          <w:noProof/>
          <w:sz w:val="26"/>
          <w:szCs w:val="26"/>
          <w:lang w:val="sr-Latn-ME" w:eastAsia="sr-Latn-ME"/>
        </w:rPr>
        <w:drawing>
          <wp:inline distT="0" distB="0" distL="0" distR="0" wp14:anchorId="573FCC00" wp14:editId="4581F53D">
            <wp:extent cx="1895475" cy="1724025"/>
            <wp:effectExtent l="0" t="0" r="9525" b="9525"/>
            <wp:docPr id="5" name="Picture 5" descr="Logo NEW M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EW M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782D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44DF405F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43B5572D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1EDE2AF2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4C225856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5CA3AD96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5F37DE4B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7D57D8BB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2E2276F2" w14:textId="77777777" w:rsidR="00566A90" w:rsidRDefault="00566A90" w:rsidP="00550D6C">
      <w:pPr>
        <w:jc w:val="center"/>
        <w:rPr>
          <w:b/>
          <w:bCs/>
          <w:sz w:val="28"/>
          <w:szCs w:val="20"/>
          <w:lang w:val="sr-Latn-ME"/>
        </w:rPr>
      </w:pPr>
    </w:p>
    <w:p w14:paraId="5576DDE9" w14:textId="23549FCD" w:rsidR="00D7566A" w:rsidRPr="00BC1750" w:rsidRDefault="00550D6C" w:rsidP="00550D6C">
      <w:pPr>
        <w:jc w:val="center"/>
        <w:rPr>
          <w:b/>
          <w:bCs/>
          <w:sz w:val="28"/>
          <w:szCs w:val="20"/>
          <w:lang w:val="sr-Latn-ME"/>
        </w:rPr>
      </w:pPr>
      <w:r w:rsidRPr="00BC1750">
        <w:rPr>
          <w:b/>
          <w:bCs/>
          <w:sz w:val="28"/>
          <w:szCs w:val="20"/>
          <w:lang w:val="sr-Latn-ME"/>
        </w:rPr>
        <w:t>STRATEGIJA RANOG I PREDŠK</w:t>
      </w:r>
      <w:r w:rsidR="00F24D1D" w:rsidRPr="00BC1750">
        <w:rPr>
          <w:b/>
          <w:bCs/>
          <w:sz w:val="28"/>
          <w:szCs w:val="20"/>
          <w:lang w:val="sr-Latn-ME"/>
        </w:rPr>
        <w:t>O</w:t>
      </w:r>
      <w:r w:rsidRPr="00BC1750">
        <w:rPr>
          <w:b/>
          <w:bCs/>
          <w:sz w:val="28"/>
          <w:szCs w:val="20"/>
          <w:lang w:val="sr-Latn-ME"/>
        </w:rPr>
        <w:t>LSKOG VASPITANJA I OBRAZOVANJA U CRNOJ GORI 2021-202</w:t>
      </w:r>
      <w:r w:rsidR="00580198" w:rsidRPr="00BC1750">
        <w:rPr>
          <w:b/>
          <w:bCs/>
          <w:sz w:val="28"/>
          <w:szCs w:val="20"/>
          <w:lang w:val="sr-Latn-ME"/>
        </w:rPr>
        <w:t>4</w:t>
      </w:r>
    </w:p>
    <w:p w14:paraId="77BBB4B2" w14:textId="771003FA" w:rsidR="00550D6C" w:rsidRPr="00BC1750" w:rsidRDefault="00550D6C">
      <w:pPr>
        <w:rPr>
          <w:lang w:val="sr-Latn-ME"/>
        </w:rPr>
      </w:pPr>
    </w:p>
    <w:p w14:paraId="6653DC39" w14:textId="77777777" w:rsidR="006B7669" w:rsidRPr="00BC1750" w:rsidRDefault="00550D6C" w:rsidP="006B7669">
      <w:pPr>
        <w:spacing w:after="160"/>
        <w:ind w:firstLine="0"/>
        <w:rPr>
          <w:lang w:val="sr-Latn-ME"/>
        </w:rPr>
      </w:pPr>
      <w:r w:rsidRPr="00BC1750">
        <w:rPr>
          <w:lang w:val="sr-Latn-ME"/>
        </w:rPr>
        <w:br w:type="page"/>
      </w:r>
    </w:p>
    <w:p w14:paraId="29CBAD89" w14:textId="642869BA" w:rsidR="006B7669" w:rsidRDefault="006B7669" w:rsidP="006B7669">
      <w:pPr>
        <w:pStyle w:val="Heading1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lastRenderedPageBreak/>
        <w:t>1. UVOD</w:t>
      </w:r>
    </w:p>
    <w:p w14:paraId="3B61C2B9" w14:textId="30781A29" w:rsidR="003F51AC" w:rsidRPr="003F51AC" w:rsidRDefault="003F51AC" w:rsidP="003F51AC">
      <w:pPr>
        <w:rPr>
          <w:lang w:val="sr-Latn-ME"/>
        </w:rPr>
      </w:pPr>
      <w:r>
        <w:rPr>
          <w:lang w:val="sr-Latn-ME"/>
        </w:rPr>
        <w:t>.....</w:t>
      </w:r>
    </w:p>
    <w:p w14:paraId="24656B26" w14:textId="24C5B052" w:rsidR="006B7669" w:rsidRPr="00BC1750" w:rsidRDefault="003F51AC" w:rsidP="006B7669">
      <w:pPr>
        <w:spacing w:after="160"/>
        <w:ind w:firstLine="0"/>
        <w:rPr>
          <w:lang w:val="sr-Latn-ME"/>
        </w:rPr>
      </w:pPr>
      <w:r>
        <w:rPr>
          <w:lang w:val="sr-Latn-ME"/>
        </w:rPr>
        <w:t>R</w:t>
      </w:r>
      <w:r w:rsidRPr="00BC1750">
        <w:rPr>
          <w:lang w:val="sr-Latn-ME"/>
        </w:rPr>
        <w:t xml:space="preserve">adna grupa u sastavu: Arijana Nikolić </w:t>
      </w:r>
      <w:r>
        <w:rPr>
          <w:lang w:val="sr-Latn-ME"/>
        </w:rPr>
        <w:t xml:space="preserve">Vučinić </w:t>
      </w:r>
      <w:r w:rsidRPr="00BC1750">
        <w:rPr>
          <w:lang w:val="sr-Latn-ME"/>
        </w:rPr>
        <w:t xml:space="preserve">(generalna direktorica Ministarstva prosvjete Crne Gore), Tamara Milić (Načelnica Direkcije za predškolsko i inkluzivno obrazovanje Ministarstva prosvjete Crne Gore), Vesna Pejović (samostalna savjetnica u Direkciji za predškolsko vaspitanje i inkluzivno obrazovanje Ministarstva prosvjete Crne Gore), Nataša Tomović (savjetnica za predškolsko vaspitanje i obrazovanje, Zavod za školstvo), Svetlana Sovilj (načelnica direkcije za zaštitu djece i mladih), Nina Milović (Ministarstvo zdravlja), Saša Milić (profesor Filozofskog fakulteta u Nikšiću, Univerzitet Crne Gore), Nataša Jovićević (vaspitačica), Maja Radović (vaspitačica), Kristina Mihailović (direktorica NVO Udruženje Roditelji) i Aleksandar Baucal (profesor Filozofskog fakulteta u Beogradu).  </w:t>
      </w:r>
    </w:p>
    <w:p w14:paraId="766118EF" w14:textId="77777777" w:rsidR="006B7669" w:rsidRPr="00BC1750" w:rsidRDefault="006B7669" w:rsidP="006B7669">
      <w:pPr>
        <w:spacing w:after="160"/>
        <w:ind w:firstLine="0"/>
        <w:rPr>
          <w:lang w:val="sr-Latn-ME"/>
        </w:rPr>
      </w:pPr>
    </w:p>
    <w:p w14:paraId="1A85ADA9" w14:textId="77777777" w:rsidR="006B7669" w:rsidRPr="00BC1750" w:rsidRDefault="006B7669">
      <w:pPr>
        <w:spacing w:after="160"/>
        <w:ind w:firstLine="0"/>
        <w:rPr>
          <w:rFonts w:eastAsiaTheme="majorEastAsia"/>
          <w:b/>
          <w:caps/>
          <w:color w:val="000000" w:themeColor="text1"/>
          <w:sz w:val="28"/>
          <w:szCs w:val="32"/>
          <w:lang w:val="sr-Latn-ME"/>
        </w:rPr>
      </w:pPr>
      <w:r w:rsidRPr="00BC1750">
        <w:rPr>
          <w:lang w:val="sr-Latn-ME"/>
        </w:rPr>
        <w:br w:type="page"/>
      </w:r>
    </w:p>
    <w:p w14:paraId="2BB82DDB" w14:textId="1AF7D8AF" w:rsidR="00A4296E" w:rsidRPr="00566A90" w:rsidRDefault="00A4296E">
      <w:pPr>
        <w:spacing w:after="160"/>
        <w:ind w:firstLine="0"/>
        <w:rPr>
          <w:rFonts w:eastAsiaTheme="majorEastAsia"/>
          <w:b/>
          <w:caps/>
          <w:color w:val="000000" w:themeColor="text1"/>
          <w:szCs w:val="24"/>
          <w:lang w:val="sr-Latn-ME"/>
        </w:rPr>
      </w:pPr>
      <w:r w:rsidRPr="00566A90">
        <w:rPr>
          <w:szCs w:val="24"/>
          <w:lang w:val="sr-Latn-ME"/>
        </w:rPr>
        <w:lastRenderedPageBreak/>
        <w:t>Lista skraćenica</w:t>
      </w:r>
    </w:p>
    <w:p w14:paraId="72F98281" w14:textId="77777777" w:rsidR="00566A90" w:rsidRPr="00566A90" w:rsidRDefault="00566A90" w:rsidP="00566A90">
      <w:pPr>
        <w:spacing w:after="200"/>
        <w:ind w:firstLine="0"/>
        <w:rPr>
          <w:szCs w:val="24"/>
          <w:lang w:val="sr-Latn-RS"/>
        </w:rPr>
      </w:pPr>
      <w:r w:rsidRPr="00566A90">
        <w:rPr>
          <w:szCs w:val="24"/>
        </w:rPr>
        <w:t>IROP – Individualni razvojno-obrazovni program</w:t>
      </w:r>
    </w:p>
    <w:p w14:paraId="1F5980B0" w14:textId="7D985094" w:rsidR="00566A90" w:rsidRDefault="00566A90" w:rsidP="00566A90">
      <w:pPr>
        <w:spacing w:after="200"/>
        <w:ind w:firstLine="0"/>
        <w:rPr>
          <w:szCs w:val="24"/>
        </w:rPr>
      </w:pPr>
      <w:r>
        <w:rPr>
          <w:szCs w:val="24"/>
        </w:rPr>
        <w:t>JPU – Javne predškolske ustanova</w:t>
      </w:r>
    </w:p>
    <w:p w14:paraId="00389519" w14:textId="28AEC041" w:rsidR="00566A90" w:rsidRPr="00566A90" w:rsidRDefault="00566A90" w:rsidP="00566A90">
      <w:pPr>
        <w:spacing w:after="200"/>
        <w:ind w:firstLine="0"/>
        <w:rPr>
          <w:szCs w:val="24"/>
          <w:lang w:val="sr-Latn-RS"/>
        </w:rPr>
      </w:pPr>
      <w:r>
        <w:rPr>
          <w:szCs w:val="24"/>
        </w:rPr>
        <w:t>LS – Lokalna samouprava</w:t>
      </w:r>
    </w:p>
    <w:p w14:paraId="777AEA1B" w14:textId="1C1C9397" w:rsidR="00566A90" w:rsidRPr="00B209F2" w:rsidRDefault="00566A90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 xml:space="preserve">MEIS – Crnogorski obrazovni informacioni </w:t>
      </w:r>
      <w:r w:rsidR="00F23D87" w:rsidRPr="00B209F2">
        <w:rPr>
          <w:szCs w:val="24"/>
          <w:lang w:val="sr-Latn-RS"/>
        </w:rPr>
        <w:t>system</w:t>
      </w:r>
    </w:p>
    <w:p w14:paraId="0A7DCA84" w14:textId="59D55797" w:rsidR="00F23D87" w:rsidRPr="00B209F2" w:rsidRDefault="00F23D87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>MOP – Materijalno obezbjeđenje porodice</w:t>
      </w:r>
    </w:p>
    <w:p w14:paraId="1C6159CE" w14:textId="77777777" w:rsidR="00566A90" w:rsidRPr="00B209F2" w:rsidRDefault="00566A90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>MPS – Ministarstvo prosvjete</w:t>
      </w:r>
    </w:p>
    <w:p w14:paraId="5DBEF339" w14:textId="77777777" w:rsidR="00566A90" w:rsidRPr="00B209F2" w:rsidRDefault="00566A90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>MRSS – Ministarstvo rada i socijalnog staranja</w:t>
      </w:r>
    </w:p>
    <w:p w14:paraId="0185C52D" w14:textId="77777777" w:rsidR="00566A90" w:rsidRPr="00B209F2" w:rsidRDefault="00566A90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>MZ – Ministarstvo zdravlja</w:t>
      </w:r>
    </w:p>
    <w:p w14:paraId="03E9FF4E" w14:textId="77777777" w:rsidR="00566A90" w:rsidRPr="00B209F2" w:rsidRDefault="00566A90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>NVO – Nevladine organizacije</w:t>
      </w:r>
    </w:p>
    <w:p w14:paraId="796A470C" w14:textId="24487358" w:rsidR="00F23D87" w:rsidRPr="00B209F2" w:rsidRDefault="00F23D87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>PU – Predškoslke usatnove</w:t>
      </w:r>
    </w:p>
    <w:p w14:paraId="33BB2E22" w14:textId="050E14A3" w:rsidR="00F23D87" w:rsidRPr="00B209F2" w:rsidRDefault="00F23D87" w:rsidP="00566A90">
      <w:pPr>
        <w:spacing w:after="200"/>
        <w:ind w:firstLine="0"/>
        <w:rPr>
          <w:szCs w:val="24"/>
          <w:lang w:val="sr-Latn-RS"/>
        </w:rPr>
      </w:pPr>
      <w:r w:rsidRPr="00B209F2">
        <w:rPr>
          <w:szCs w:val="24"/>
          <w:lang w:val="sr-Latn-RS"/>
        </w:rPr>
        <w:t>PVO – Predškolsko vaspitanje i obrazovanje</w:t>
      </w:r>
    </w:p>
    <w:p w14:paraId="2EFC5F2F" w14:textId="4014A35B" w:rsidR="00566A90" w:rsidRPr="00566A90" w:rsidRDefault="00566A90" w:rsidP="00566A90">
      <w:pPr>
        <w:spacing w:after="200"/>
        <w:ind w:firstLine="0"/>
        <w:rPr>
          <w:szCs w:val="24"/>
        </w:rPr>
      </w:pPr>
      <w:r>
        <w:rPr>
          <w:szCs w:val="24"/>
        </w:rPr>
        <w:t>RC – Resursni centar</w:t>
      </w:r>
    </w:p>
    <w:p w14:paraId="292B6976" w14:textId="1FE07015" w:rsidR="00566A90" w:rsidRDefault="00566A90" w:rsidP="00566A90">
      <w:pPr>
        <w:spacing w:after="200"/>
        <w:ind w:firstLine="0"/>
        <w:rPr>
          <w:szCs w:val="24"/>
        </w:rPr>
      </w:pPr>
      <w:r>
        <w:rPr>
          <w:szCs w:val="24"/>
        </w:rPr>
        <w:t>VJ – Vaspitna jedinica</w:t>
      </w:r>
    </w:p>
    <w:p w14:paraId="27AC7D8E" w14:textId="72E09A07" w:rsidR="00566A90" w:rsidRPr="00566A90" w:rsidRDefault="00566A90" w:rsidP="00566A90">
      <w:pPr>
        <w:spacing w:after="200"/>
        <w:ind w:firstLine="0"/>
        <w:rPr>
          <w:szCs w:val="24"/>
        </w:rPr>
      </w:pPr>
      <w:r w:rsidRPr="00566A90">
        <w:rPr>
          <w:szCs w:val="24"/>
        </w:rPr>
        <w:t>UN</w:t>
      </w:r>
      <w:r>
        <w:rPr>
          <w:szCs w:val="24"/>
        </w:rPr>
        <w:t>CRC</w:t>
      </w:r>
      <w:r w:rsidRPr="00566A90">
        <w:rPr>
          <w:szCs w:val="24"/>
        </w:rPr>
        <w:t xml:space="preserve"> </w:t>
      </w:r>
      <w:r w:rsidRPr="00566A90">
        <w:rPr>
          <w:color w:val="000000"/>
          <w:szCs w:val="24"/>
          <w:shd w:val="clear" w:color="auto" w:fill="FFFFFF"/>
        </w:rPr>
        <w:t>–</w:t>
      </w:r>
      <w:r w:rsidRPr="00566A90">
        <w:rPr>
          <w:szCs w:val="24"/>
        </w:rPr>
        <w:t xml:space="preserve"> Konvencija Ujedinjenih nacija o pravima </w:t>
      </w:r>
      <w:r w:rsidR="004C099B">
        <w:rPr>
          <w:szCs w:val="24"/>
        </w:rPr>
        <w:t>dj</w:t>
      </w:r>
      <w:r>
        <w:rPr>
          <w:szCs w:val="24"/>
        </w:rPr>
        <w:t>eteta</w:t>
      </w:r>
    </w:p>
    <w:p w14:paraId="42F41067" w14:textId="53124EFC" w:rsidR="00566A90" w:rsidRPr="00566A90" w:rsidRDefault="00566A90" w:rsidP="00566A90">
      <w:pPr>
        <w:spacing w:after="200"/>
        <w:ind w:firstLine="0"/>
        <w:rPr>
          <w:szCs w:val="24"/>
        </w:rPr>
      </w:pPr>
      <w:r w:rsidRPr="00566A90">
        <w:rPr>
          <w:szCs w:val="24"/>
        </w:rPr>
        <w:t xml:space="preserve">UNICEF – </w:t>
      </w:r>
      <w:r w:rsidRPr="00566A90">
        <w:rPr>
          <w:color w:val="000000"/>
          <w:szCs w:val="24"/>
          <w:shd w:val="clear" w:color="auto" w:fill="FFFFFF"/>
        </w:rPr>
        <w:t>Dječiji fond Ujedinjenih nacija</w:t>
      </w:r>
    </w:p>
    <w:p w14:paraId="2826262F" w14:textId="77777777" w:rsidR="00566A90" w:rsidRPr="00566A90" w:rsidRDefault="00566A90" w:rsidP="00566A90">
      <w:pPr>
        <w:spacing w:after="200"/>
        <w:ind w:firstLine="0"/>
        <w:rPr>
          <w:color w:val="000000"/>
          <w:szCs w:val="24"/>
          <w:shd w:val="clear" w:color="auto" w:fill="FFFFFF"/>
        </w:rPr>
      </w:pPr>
      <w:r w:rsidRPr="00566A90">
        <w:rPr>
          <w:szCs w:val="24"/>
        </w:rPr>
        <w:t xml:space="preserve">UNESCO – </w:t>
      </w:r>
      <w:r w:rsidRPr="00566A90">
        <w:rPr>
          <w:color w:val="000000"/>
          <w:szCs w:val="24"/>
          <w:shd w:val="clear" w:color="auto" w:fill="FFFFFF"/>
        </w:rPr>
        <w:t>Organizacija za obrazovanje, nauku i kulturu Ujedinjenih nacija </w:t>
      </w:r>
    </w:p>
    <w:p w14:paraId="5A93A460" w14:textId="77777777" w:rsidR="00566A90" w:rsidRPr="00566A90" w:rsidRDefault="00566A90" w:rsidP="00566A90">
      <w:pPr>
        <w:spacing w:after="200"/>
        <w:ind w:firstLine="0"/>
        <w:rPr>
          <w:color w:val="000000"/>
          <w:szCs w:val="24"/>
          <w:shd w:val="clear" w:color="auto" w:fill="FFFFFF"/>
        </w:rPr>
      </w:pPr>
      <w:r w:rsidRPr="00566A90">
        <w:rPr>
          <w:color w:val="000000"/>
          <w:szCs w:val="24"/>
          <w:shd w:val="clear" w:color="auto" w:fill="FFFFFF"/>
        </w:rPr>
        <w:t>ZSDZ – Zavoda za socijalnu i dječiju zaštitu</w:t>
      </w:r>
    </w:p>
    <w:p w14:paraId="6D15E5C4" w14:textId="77777777" w:rsidR="00566A90" w:rsidRPr="00566A90" w:rsidRDefault="00566A90" w:rsidP="00566A90">
      <w:pPr>
        <w:spacing w:after="200"/>
        <w:ind w:firstLine="0"/>
        <w:rPr>
          <w:color w:val="000000"/>
          <w:szCs w:val="24"/>
          <w:shd w:val="clear" w:color="auto" w:fill="FFFFFF"/>
          <w:lang w:val="sr-Latn-RS"/>
        </w:rPr>
      </w:pPr>
      <w:r w:rsidRPr="00566A90">
        <w:rPr>
          <w:color w:val="000000"/>
          <w:szCs w:val="24"/>
          <w:shd w:val="clear" w:color="auto" w:fill="FFFFFF"/>
        </w:rPr>
        <w:t xml:space="preserve">ZUNS – Zavod za </w:t>
      </w:r>
      <w:r w:rsidRPr="00566A90">
        <w:rPr>
          <w:color w:val="000000"/>
          <w:szCs w:val="24"/>
          <w:shd w:val="clear" w:color="auto" w:fill="FFFFFF"/>
          <w:lang w:val="sr-Latn-RS"/>
        </w:rPr>
        <w:t>udžbenike i nastavna sredstva</w:t>
      </w:r>
    </w:p>
    <w:p w14:paraId="7C1C89CF" w14:textId="77777777" w:rsidR="00566A90" w:rsidRPr="00B209F2" w:rsidRDefault="00566A90" w:rsidP="00566A90">
      <w:pPr>
        <w:spacing w:after="200"/>
        <w:ind w:firstLine="0"/>
        <w:rPr>
          <w:color w:val="000000"/>
          <w:szCs w:val="24"/>
          <w:shd w:val="clear" w:color="auto" w:fill="FFFFFF"/>
          <w:lang w:val="sr-Latn-RS"/>
        </w:rPr>
      </w:pPr>
      <w:r w:rsidRPr="00B209F2">
        <w:rPr>
          <w:color w:val="000000"/>
          <w:szCs w:val="24"/>
          <w:shd w:val="clear" w:color="auto" w:fill="FFFFFF"/>
          <w:lang w:val="sr-Latn-RS"/>
        </w:rPr>
        <w:t>ZzŠ – Zavod za školstvo</w:t>
      </w:r>
    </w:p>
    <w:p w14:paraId="142999A4" w14:textId="77777777" w:rsidR="00A4296E" w:rsidRDefault="00A4296E">
      <w:pPr>
        <w:spacing w:after="160"/>
        <w:ind w:firstLine="0"/>
        <w:rPr>
          <w:rFonts w:eastAsiaTheme="majorEastAsia"/>
          <w:b/>
          <w:caps/>
          <w:color w:val="000000" w:themeColor="text1"/>
          <w:sz w:val="28"/>
          <w:szCs w:val="32"/>
          <w:lang w:val="sr-Latn-ME"/>
        </w:rPr>
      </w:pPr>
      <w:r>
        <w:rPr>
          <w:lang w:val="sr-Latn-ME"/>
        </w:rPr>
        <w:br w:type="page"/>
      </w:r>
    </w:p>
    <w:p w14:paraId="5A59D136" w14:textId="3ADEE5FB" w:rsidR="00550D6C" w:rsidRPr="00BC1750" w:rsidRDefault="006B7669" w:rsidP="00550D6C">
      <w:pPr>
        <w:pStyle w:val="Heading1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lastRenderedPageBreak/>
        <w:t xml:space="preserve">2. </w:t>
      </w:r>
      <w:r w:rsidR="00550D6C" w:rsidRPr="00BC1750">
        <w:rPr>
          <w:rFonts w:cs="Times New Roman"/>
          <w:lang w:val="sr-Latn-ME"/>
        </w:rPr>
        <w:t>Analiza stanja</w:t>
      </w:r>
    </w:p>
    <w:p w14:paraId="4817D834" w14:textId="69758202" w:rsidR="002C0493" w:rsidRPr="00BC1750" w:rsidRDefault="002C0493" w:rsidP="00AD0037">
      <w:pPr>
        <w:rPr>
          <w:lang w:val="sr-Latn-ME"/>
        </w:rPr>
      </w:pPr>
      <w:r w:rsidRPr="00BC1750">
        <w:rPr>
          <w:lang w:val="sr-Latn-ME"/>
        </w:rPr>
        <w:t>Prema Zakonu</w:t>
      </w:r>
      <w:r w:rsidRPr="00BC1750">
        <w:rPr>
          <w:rStyle w:val="FootnoteReference"/>
          <w:lang w:val="sr-Latn-ME"/>
        </w:rPr>
        <w:footnoteReference w:id="1"/>
      </w:r>
      <w:r w:rsidRPr="00BC1750">
        <w:rPr>
          <w:lang w:val="sr-Latn-ME"/>
        </w:rPr>
        <w:t xml:space="preserve"> </w:t>
      </w:r>
      <w:r w:rsidR="00AD0037" w:rsidRPr="00BC1750">
        <w:rPr>
          <w:lang w:val="sr-Latn-ME"/>
        </w:rPr>
        <w:t>p</w:t>
      </w:r>
      <w:r w:rsidRPr="00BC1750">
        <w:rPr>
          <w:lang w:val="sr-Latn-ME"/>
        </w:rPr>
        <w:t>redškolsko vaspitanje i obrazovanje</w:t>
      </w:r>
      <w:r w:rsidR="00AD0037" w:rsidRPr="00BC1750">
        <w:rPr>
          <w:lang w:val="sr-Latn-ME"/>
        </w:rPr>
        <w:t xml:space="preserve"> je </w:t>
      </w:r>
      <w:r w:rsidR="00CE61DB" w:rsidRPr="00BC1750">
        <w:rPr>
          <w:lang w:val="sr-Latn-ME"/>
        </w:rPr>
        <w:t>dio</w:t>
      </w:r>
      <w:r w:rsidR="00AD0037" w:rsidRPr="00BC1750">
        <w:rPr>
          <w:lang w:val="sr-Latn-ME"/>
        </w:rPr>
        <w:t xml:space="preserve"> </w:t>
      </w:r>
      <w:r w:rsidRPr="00BC1750">
        <w:rPr>
          <w:lang w:val="sr-Latn-ME"/>
        </w:rPr>
        <w:t>jedinstvenog vaspitno-obrazovnog sistema</w:t>
      </w:r>
      <w:r w:rsidR="00AD0037" w:rsidRPr="00BC1750">
        <w:rPr>
          <w:lang w:val="sr-Latn-ME"/>
        </w:rPr>
        <w:t xml:space="preserve"> kojim </w:t>
      </w:r>
      <w:r w:rsidRPr="00BC1750">
        <w:rPr>
          <w:lang w:val="sr-Latn-ME"/>
        </w:rPr>
        <w:t>se ostvaruje vaspitanje i obrazovanje djece, vodi briga o djeci i pruža</w:t>
      </w:r>
      <w:r w:rsidR="00AD0037" w:rsidRPr="00BC1750">
        <w:rPr>
          <w:lang w:val="sr-Latn-ME"/>
        </w:rPr>
        <w:t xml:space="preserve"> </w:t>
      </w:r>
      <w:r w:rsidRPr="00BC1750">
        <w:rPr>
          <w:lang w:val="sr-Latn-ME"/>
        </w:rPr>
        <w:t>pomoć roditeljima</w:t>
      </w:r>
      <w:r w:rsidR="00D02854" w:rsidRPr="00BC1750">
        <w:rPr>
          <w:rStyle w:val="FootnoteReference"/>
          <w:lang w:val="sr-Latn-ME"/>
        </w:rPr>
        <w:footnoteReference w:id="2"/>
      </w:r>
      <w:r w:rsidRPr="00BC1750">
        <w:rPr>
          <w:lang w:val="sr-Latn-ME"/>
        </w:rPr>
        <w:t xml:space="preserve"> u poboljšanju kvaliteta života porodice i djece</w:t>
      </w:r>
      <w:r w:rsidR="00AD0037" w:rsidRPr="00BC1750">
        <w:rPr>
          <w:lang w:val="sr-Latn-ME"/>
        </w:rPr>
        <w:t xml:space="preserve">. </w:t>
      </w:r>
      <w:r w:rsidRPr="00BC1750">
        <w:rPr>
          <w:lang w:val="sr-Latn-ME"/>
        </w:rPr>
        <w:t xml:space="preserve">Predškolsko vaspitanje i obrazovanje </w:t>
      </w:r>
      <w:r w:rsidR="00FD4FFF" w:rsidRPr="00BC1750">
        <w:rPr>
          <w:lang w:val="sr-Latn-ME"/>
        </w:rPr>
        <w:t xml:space="preserve">(u daljem tekstu: PVO) </w:t>
      </w:r>
      <w:r w:rsidRPr="00BC1750">
        <w:rPr>
          <w:lang w:val="sr-Latn-ME"/>
        </w:rPr>
        <w:t>u Crnoj Gori se realizuje u predškolskim ustanovama (javnim i privatnim)</w:t>
      </w:r>
      <w:r w:rsidR="00AD0037" w:rsidRPr="00BC1750">
        <w:rPr>
          <w:lang w:val="sr-Latn-ME"/>
        </w:rPr>
        <w:t xml:space="preserve">. </w:t>
      </w:r>
      <w:r w:rsidRPr="00BC1750">
        <w:rPr>
          <w:lang w:val="sr-Latn-ME"/>
        </w:rPr>
        <w:t>D</w:t>
      </w:r>
      <w:r w:rsidR="00A73486" w:rsidRPr="00BC1750">
        <w:rPr>
          <w:lang w:val="sr-Latn-ME"/>
        </w:rPr>
        <w:t>j</w:t>
      </w:r>
      <w:r w:rsidRPr="00BC1750">
        <w:rPr>
          <w:lang w:val="sr-Latn-ME"/>
        </w:rPr>
        <w:t>eca do tri godine starosti pohađaju jaslice, a d</w:t>
      </w:r>
      <w:r w:rsidR="003F51AC">
        <w:rPr>
          <w:lang w:val="sr-Latn-ME"/>
        </w:rPr>
        <w:t>j</w:t>
      </w:r>
      <w:r w:rsidRPr="00BC1750">
        <w:rPr>
          <w:lang w:val="sr-Latn-ME"/>
        </w:rPr>
        <w:t>eca uzrasta od 3 do 6 godina pohađaju vrtiće. D</w:t>
      </w:r>
      <w:r w:rsidR="00A73486" w:rsidRPr="00BC1750">
        <w:rPr>
          <w:lang w:val="sr-Latn-ME"/>
        </w:rPr>
        <w:t>j</w:t>
      </w:r>
      <w:r w:rsidRPr="00BC1750">
        <w:rPr>
          <w:lang w:val="sr-Latn-ME"/>
        </w:rPr>
        <w:t xml:space="preserve">eca koja su uključena u programe </w:t>
      </w:r>
      <w:r w:rsidR="00FD4FFF" w:rsidRPr="00BC1750">
        <w:rPr>
          <w:lang w:val="sr-Latn-ME"/>
        </w:rPr>
        <w:t>PVO</w:t>
      </w:r>
      <w:r w:rsidRPr="00BC1750">
        <w:rPr>
          <w:lang w:val="sr-Latn-ME"/>
        </w:rPr>
        <w:t xml:space="preserve"> su organizovana u vaspitne grupe koje su definisane prema uzras</w:t>
      </w:r>
      <w:r w:rsidR="00B16A4A" w:rsidRPr="00BC1750">
        <w:rPr>
          <w:lang w:val="sr-Latn-ME"/>
        </w:rPr>
        <w:t>tu</w:t>
      </w:r>
      <w:r w:rsidRPr="00BC1750">
        <w:rPr>
          <w:lang w:val="sr-Latn-ME"/>
        </w:rPr>
        <w:t xml:space="preserve">. </w:t>
      </w:r>
    </w:p>
    <w:p w14:paraId="53997F2D" w14:textId="77777777" w:rsidR="00566A90" w:rsidRDefault="00566A90">
      <w:pPr>
        <w:rPr>
          <w:lang w:val="sr-Latn-ME"/>
        </w:rPr>
      </w:pPr>
    </w:p>
    <w:p w14:paraId="66DFCA0A" w14:textId="73AFD05F" w:rsidR="00550D6C" w:rsidRPr="00BC1750" w:rsidRDefault="00A2691B">
      <w:pPr>
        <w:rPr>
          <w:lang w:val="sr-Latn-ME"/>
        </w:rPr>
      </w:pPr>
      <w:r w:rsidRPr="00BC1750">
        <w:rPr>
          <w:lang w:val="sr-Latn-ME"/>
        </w:rPr>
        <w:t xml:space="preserve">U ovom poglavlju biće analizirano </w:t>
      </w:r>
      <w:r w:rsidR="00C76F43" w:rsidRPr="00BC1750">
        <w:rPr>
          <w:lang w:val="sr-Latn-ME"/>
        </w:rPr>
        <w:t>postojeće</w:t>
      </w:r>
      <w:r w:rsidRPr="00BC1750">
        <w:rPr>
          <w:lang w:val="sr-Latn-ME"/>
        </w:rPr>
        <w:t xml:space="preserve"> stanje u Crnoj Gori</w:t>
      </w:r>
      <w:r w:rsidR="00305C01" w:rsidRPr="00BC1750">
        <w:rPr>
          <w:lang w:val="sr-Latn-ME"/>
        </w:rPr>
        <w:t>, a na osnovu Izvještaj</w:t>
      </w:r>
      <w:r w:rsidR="00C76F43" w:rsidRPr="00BC1750">
        <w:rPr>
          <w:lang w:val="sr-Latn-ME"/>
        </w:rPr>
        <w:t>a</w:t>
      </w:r>
      <w:r w:rsidR="00305C01" w:rsidRPr="00BC1750">
        <w:rPr>
          <w:lang w:val="sr-Latn-ME"/>
        </w:rPr>
        <w:t xml:space="preserve"> o sprovođenju Strategije ranog i predškolskog vaspitanja i obrazovanja 2016-2020</w:t>
      </w:r>
      <w:r w:rsidR="005370BC" w:rsidRPr="00BC1750">
        <w:rPr>
          <w:lang w:val="sr-Latn-ME"/>
        </w:rPr>
        <w:t>,</w:t>
      </w:r>
      <w:r w:rsidR="00305C01" w:rsidRPr="00BC1750">
        <w:rPr>
          <w:lang w:val="sr-Latn-ME"/>
        </w:rPr>
        <w:t xml:space="preserve"> drugih relevantnih analiza</w:t>
      </w:r>
      <w:r w:rsidR="005370BC" w:rsidRPr="00BC1750">
        <w:rPr>
          <w:lang w:val="sr-Latn-ME"/>
        </w:rPr>
        <w:t xml:space="preserve"> i istraživanja i zaključaka</w:t>
      </w:r>
      <w:r w:rsidR="003F51AC">
        <w:rPr>
          <w:lang w:val="sr-Latn-ME"/>
        </w:rPr>
        <w:t>.</w:t>
      </w:r>
      <w:r w:rsidR="005370BC" w:rsidRPr="00BC1750">
        <w:rPr>
          <w:lang w:val="sr-Latn-ME"/>
        </w:rPr>
        <w:t xml:space="preserve"> </w:t>
      </w:r>
      <w:r w:rsidR="00566A90" w:rsidRPr="00BC1750">
        <w:rPr>
          <w:lang w:val="sr-Latn-ME"/>
        </w:rPr>
        <w:t>I</w:t>
      </w:r>
      <w:r w:rsidR="005370BC" w:rsidRPr="00BC1750">
        <w:rPr>
          <w:lang w:val="sr-Latn-ME"/>
        </w:rPr>
        <w:t xml:space="preserve">z </w:t>
      </w:r>
      <w:r w:rsidR="00975560" w:rsidRPr="00BC1750">
        <w:rPr>
          <w:lang w:val="sr-Latn-ME"/>
        </w:rPr>
        <w:t>analize stanja koj</w:t>
      </w:r>
      <w:r w:rsidR="00043116" w:rsidRPr="00BC1750">
        <w:rPr>
          <w:lang w:val="sr-Latn-ME"/>
        </w:rPr>
        <w:t xml:space="preserve">u je sačinila </w:t>
      </w:r>
      <w:r w:rsidR="00566A90">
        <w:rPr>
          <w:lang w:val="sr-Latn-ME"/>
        </w:rPr>
        <w:t>u</w:t>
      </w:r>
      <w:r w:rsidR="00EC0769" w:rsidRPr="00BC1750">
        <w:rPr>
          <w:lang w:val="sr-Latn-ME"/>
        </w:rPr>
        <w:t xml:space="preserve"> skladu sa</w:t>
      </w:r>
      <w:r w:rsidR="00321D78" w:rsidRPr="00BC1750">
        <w:rPr>
          <w:lang w:val="sr-Latn-ME"/>
        </w:rPr>
        <w:t xml:space="preserve"> prioritetima </w:t>
      </w:r>
      <w:r w:rsidR="00B05C46" w:rsidRPr="00BC1750">
        <w:rPr>
          <w:lang w:val="sr-Latn-ME"/>
        </w:rPr>
        <w:t>Strategije ranog i predškolskog vaspitanja i obrazovanja</w:t>
      </w:r>
      <w:r w:rsidR="00321D78" w:rsidRPr="00BC1750">
        <w:rPr>
          <w:lang w:val="sr-Latn-ME"/>
        </w:rPr>
        <w:t xml:space="preserve"> 2016-2020 i EU preporukama za visokokvalitetno PVO analiza stanja će biti organizovana u sl</w:t>
      </w:r>
      <w:r w:rsidR="00A73486" w:rsidRPr="00BC1750">
        <w:rPr>
          <w:lang w:val="sr-Latn-ME"/>
        </w:rPr>
        <w:t>j</w:t>
      </w:r>
      <w:r w:rsidR="00321D78" w:rsidRPr="00BC1750">
        <w:rPr>
          <w:lang w:val="sr-Latn-ME"/>
        </w:rPr>
        <w:t xml:space="preserve">edeće cjeline: </w:t>
      </w:r>
      <w:r w:rsidR="00B05C46" w:rsidRPr="00BC1750">
        <w:rPr>
          <w:lang w:val="sr-Latn-ME"/>
        </w:rPr>
        <w:t xml:space="preserve">(a) </w:t>
      </w:r>
      <w:r w:rsidR="00321D78" w:rsidRPr="00BC1750">
        <w:rPr>
          <w:lang w:val="sr-Latn-ME"/>
        </w:rPr>
        <w:t xml:space="preserve">kapacitet i obuhvat, </w:t>
      </w:r>
      <w:r w:rsidR="00B05C46" w:rsidRPr="00BC1750">
        <w:rPr>
          <w:lang w:val="sr-Latn-ME"/>
        </w:rPr>
        <w:t>(b) kompetencije</w:t>
      </w:r>
      <w:r w:rsidR="00321D78" w:rsidRPr="00BC1750">
        <w:rPr>
          <w:lang w:val="sr-Latn-ME"/>
        </w:rPr>
        <w:t xml:space="preserve"> zaposlenih i </w:t>
      </w:r>
      <w:r w:rsidR="00B05C46" w:rsidRPr="00BC1750">
        <w:rPr>
          <w:lang w:val="sr-Latn-ME"/>
        </w:rPr>
        <w:t xml:space="preserve">kvalitet </w:t>
      </w:r>
      <w:r w:rsidR="00321D78" w:rsidRPr="00BC1750">
        <w:rPr>
          <w:lang w:val="sr-Latn-ME"/>
        </w:rPr>
        <w:t>programa</w:t>
      </w:r>
      <w:r w:rsidR="00B05C46" w:rsidRPr="00BC1750">
        <w:rPr>
          <w:lang w:val="sr-Latn-ME"/>
        </w:rPr>
        <w:t xml:space="preserve"> i (c)</w:t>
      </w:r>
      <w:r w:rsidR="00321D78" w:rsidRPr="00BC1750">
        <w:rPr>
          <w:lang w:val="sr-Latn-ME"/>
        </w:rPr>
        <w:t xml:space="preserve"> pravednost. </w:t>
      </w:r>
    </w:p>
    <w:p w14:paraId="00027144" w14:textId="60CE6B8A" w:rsidR="003D7DCF" w:rsidRPr="00BC1750" w:rsidRDefault="006B7669" w:rsidP="003D7DCF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 xml:space="preserve">2.1. </w:t>
      </w:r>
      <w:r w:rsidR="00FA30CD" w:rsidRPr="00BC1750">
        <w:rPr>
          <w:rFonts w:cs="Times New Roman"/>
          <w:lang w:val="sr-Latn-ME"/>
        </w:rPr>
        <w:t>Kapacitet</w:t>
      </w:r>
      <w:r w:rsidR="00084A11" w:rsidRPr="00BC1750">
        <w:rPr>
          <w:rFonts w:cs="Times New Roman"/>
          <w:lang w:val="sr-Latn-ME"/>
        </w:rPr>
        <w:t xml:space="preserve"> i o</w:t>
      </w:r>
      <w:r w:rsidR="003D7DCF" w:rsidRPr="00BC1750">
        <w:rPr>
          <w:rFonts w:cs="Times New Roman"/>
          <w:lang w:val="sr-Latn-ME"/>
        </w:rPr>
        <w:t>buhvat</w:t>
      </w:r>
    </w:p>
    <w:p w14:paraId="6FBA1A80" w14:textId="09916256" w:rsidR="00084A11" w:rsidRPr="00BC1750" w:rsidRDefault="00734385" w:rsidP="003D7DCF">
      <w:pPr>
        <w:rPr>
          <w:lang w:val="sr-Latn-ME"/>
        </w:rPr>
      </w:pPr>
      <w:r w:rsidRPr="00BC1750">
        <w:rPr>
          <w:lang w:val="sr-Latn-ME"/>
        </w:rPr>
        <w:t>Mreža predškolskih ustanova u Crnoj Gori je sastavljena od 21 javne predškolske ustanove (JPU) i 3</w:t>
      </w:r>
      <w:r w:rsidR="00F546EB" w:rsidRPr="00BC1750">
        <w:rPr>
          <w:lang w:val="sr-Latn-ME"/>
        </w:rPr>
        <w:t>0</w:t>
      </w:r>
      <w:r w:rsidRPr="00BC1750">
        <w:rPr>
          <w:lang w:val="sr-Latn-ME"/>
        </w:rPr>
        <w:t xml:space="preserve"> privatne predškolske ustanove (PPU)</w:t>
      </w:r>
      <w:r w:rsidR="00B50E6F" w:rsidRPr="00BC1750">
        <w:rPr>
          <w:lang w:val="sr-Latn-ME"/>
        </w:rPr>
        <w:t>. Privatne predškolske ustanove</w:t>
      </w:r>
      <w:r w:rsidR="00084A11" w:rsidRPr="00BC1750">
        <w:rPr>
          <w:lang w:val="sr-Latn-ME"/>
        </w:rPr>
        <w:t xml:space="preserve"> postoje uglavnom u većim gradovima (Podgoric</w:t>
      </w:r>
      <w:r w:rsidR="00F546EB" w:rsidRPr="00BC1750">
        <w:rPr>
          <w:lang w:val="sr-Latn-ME"/>
        </w:rPr>
        <w:t>a</w:t>
      </w:r>
      <w:r w:rsidR="00084A11" w:rsidRPr="00BC1750">
        <w:rPr>
          <w:lang w:val="sr-Latn-ME"/>
        </w:rPr>
        <w:t>, Budv</w:t>
      </w:r>
      <w:r w:rsidR="00F546EB" w:rsidRPr="00BC1750">
        <w:rPr>
          <w:lang w:val="sr-Latn-ME"/>
        </w:rPr>
        <w:t>a</w:t>
      </w:r>
      <w:r w:rsidR="00084A11" w:rsidRPr="00BC1750">
        <w:rPr>
          <w:lang w:val="sr-Latn-ME"/>
        </w:rPr>
        <w:t xml:space="preserve">, </w:t>
      </w:r>
      <w:r w:rsidR="00F546EB" w:rsidRPr="00BC1750">
        <w:rPr>
          <w:lang w:val="sr-Latn-ME"/>
        </w:rPr>
        <w:t>Bar, Tivat,</w:t>
      </w:r>
      <w:r w:rsidR="00084A11" w:rsidRPr="00BC1750">
        <w:rPr>
          <w:lang w:val="sr-Latn-ME"/>
        </w:rPr>
        <w:t xml:space="preserve"> Herceg Nov</w:t>
      </w:r>
      <w:r w:rsidR="00F546EB" w:rsidRPr="00BC1750">
        <w:rPr>
          <w:lang w:val="sr-Latn-ME"/>
        </w:rPr>
        <w:t>i</w:t>
      </w:r>
      <w:r w:rsidR="00084A11" w:rsidRPr="00BC1750">
        <w:rPr>
          <w:lang w:val="sr-Latn-ME"/>
        </w:rPr>
        <w:t>, Kotor</w:t>
      </w:r>
      <w:r w:rsidR="00F546EB" w:rsidRPr="00BC1750">
        <w:rPr>
          <w:lang w:val="sr-Latn-ME"/>
        </w:rPr>
        <w:t>,</w:t>
      </w:r>
      <w:r w:rsidR="00084A11" w:rsidRPr="00BC1750">
        <w:rPr>
          <w:lang w:val="sr-Latn-ME"/>
        </w:rPr>
        <w:t xml:space="preserve"> Nikšić i Ulcinj). </w:t>
      </w:r>
    </w:p>
    <w:p w14:paraId="42B0C946" w14:textId="77777777" w:rsidR="00566A90" w:rsidRDefault="00566A90" w:rsidP="003D7DCF">
      <w:pPr>
        <w:rPr>
          <w:lang w:val="sr-Latn-ME"/>
        </w:rPr>
      </w:pPr>
    </w:p>
    <w:p w14:paraId="795AFE09" w14:textId="4E942789" w:rsidR="00084A11" w:rsidRPr="00BC1750" w:rsidRDefault="003D7DCF" w:rsidP="003D7DCF">
      <w:pPr>
        <w:rPr>
          <w:lang w:val="sr-Latn-ME"/>
        </w:rPr>
      </w:pPr>
      <w:r w:rsidRPr="00BC1750">
        <w:rPr>
          <w:lang w:val="sr-Latn-ME"/>
        </w:rPr>
        <w:t>U školskoj godini 2019/2</w:t>
      </w:r>
      <w:r w:rsidR="003F51AC">
        <w:rPr>
          <w:lang w:val="sr-Latn-ME"/>
        </w:rPr>
        <w:t>02</w:t>
      </w:r>
      <w:r w:rsidRPr="00BC1750">
        <w:rPr>
          <w:lang w:val="sr-Latn-ME"/>
        </w:rPr>
        <w:t>0 ukupno 23</w:t>
      </w:r>
      <w:r w:rsidR="003F51AC">
        <w:rPr>
          <w:lang w:val="sr-Latn-ME"/>
        </w:rPr>
        <w:t>.</w:t>
      </w:r>
      <w:r w:rsidRPr="00BC1750">
        <w:rPr>
          <w:lang w:val="sr-Latn-ME"/>
        </w:rPr>
        <w:t xml:space="preserve">080 djece </w:t>
      </w:r>
      <w:r w:rsidR="0051411B" w:rsidRPr="00BC1750">
        <w:rPr>
          <w:lang w:val="sr-Latn-ME"/>
        </w:rPr>
        <w:t xml:space="preserve">(47% djevojčica i 53% dječaka) </w:t>
      </w:r>
      <w:r w:rsidR="00A251E5" w:rsidRPr="00BC1750">
        <w:rPr>
          <w:lang w:val="sr-Latn-ME"/>
        </w:rPr>
        <w:t xml:space="preserve">uzrasta od 0 do polaska u osnovno obrazovanje </w:t>
      </w:r>
      <w:r w:rsidRPr="00BC1750">
        <w:rPr>
          <w:lang w:val="sr-Latn-ME"/>
        </w:rPr>
        <w:t xml:space="preserve">uključeno </w:t>
      </w:r>
      <w:r w:rsidR="003215F6" w:rsidRPr="00BC1750">
        <w:rPr>
          <w:lang w:val="sr-Latn-ME"/>
        </w:rPr>
        <w:t xml:space="preserve">je </w:t>
      </w:r>
      <w:r w:rsidRPr="00BC1750">
        <w:rPr>
          <w:lang w:val="sr-Latn-ME"/>
        </w:rPr>
        <w:t xml:space="preserve">u programe </w:t>
      </w:r>
      <w:r w:rsidR="00C76F43" w:rsidRPr="00BC1750">
        <w:rPr>
          <w:lang w:val="sr-Latn-ME"/>
        </w:rPr>
        <w:t>PVO</w:t>
      </w:r>
      <w:r w:rsidR="00D92FA4" w:rsidRPr="00BC1750">
        <w:rPr>
          <w:lang w:val="sr-Latn-ME"/>
        </w:rPr>
        <w:t xml:space="preserve"> u 170 vaspitnih jedinica</w:t>
      </w:r>
      <w:r w:rsidR="007B528B" w:rsidRPr="00BC1750">
        <w:rPr>
          <w:lang w:val="sr-Latn-ME"/>
        </w:rPr>
        <w:t xml:space="preserve"> i 778 grupa</w:t>
      </w:r>
      <w:r w:rsidR="00D92FA4" w:rsidRPr="00BC1750">
        <w:rPr>
          <w:lang w:val="sr-Latn-ME"/>
        </w:rPr>
        <w:t>.</w:t>
      </w:r>
      <w:r w:rsidR="005031ED" w:rsidRPr="00BC1750">
        <w:rPr>
          <w:lang w:val="sr-Latn-ME"/>
        </w:rPr>
        <w:t xml:space="preserve"> </w:t>
      </w:r>
      <w:r w:rsidR="00D92FA4" w:rsidRPr="00BC1750">
        <w:rPr>
          <w:lang w:val="sr-Latn-ME"/>
        </w:rPr>
        <w:t>U školsk</w:t>
      </w:r>
      <w:r w:rsidR="00303BD7" w:rsidRPr="00BC1750">
        <w:rPr>
          <w:lang w:val="sr-Latn-ME"/>
        </w:rPr>
        <w:t>oj</w:t>
      </w:r>
      <w:r w:rsidR="00D92FA4" w:rsidRPr="00BC1750">
        <w:rPr>
          <w:lang w:val="sr-Latn-ME"/>
        </w:rPr>
        <w:t xml:space="preserve"> 201</w:t>
      </w:r>
      <w:r w:rsidR="007B528B" w:rsidRPr="00BC1750">
        <w:rPr>
          <w:lang w:val="sr-Latn-ME"/>
        </w:rPr>
        <w:t>5</w:t>
      </w:r>
      <w:r w:rsidR="00D92FA4" w:rsidRPr="00BC1750">
        <w:rPr>
          <w:lang w:val="sr-Latn-ME"/>
        </w:rPr>
        <w:t>/1</w:t>
      </w:r>
      <w:r w:rsidR="007B528B" w:rsidRPr="00BC1750">
        <w:rPr>
          <w:lang w:val="sr-Latn-ME"/>
        </w:rPr>
        <w:t>6</w:t>
      </w:r>
      <w:r w:rsidR="002B31C9" w:rsidRPr="00BC1750">
        <w:rPr>
          <w:lang w:val="sr-Latn-ME"/>
        </w:rPr>
        <w:t>,</w:t>
      </w:r>
      <w:r w:rsidR="007B528B" w:rsidRPr="00BC1750">
        <w:rPr>
          <w:lang w:val="sr-Latn-ME"/>
        </w:rPr>
        <w:t xml:space="preserve"> kada je počela da se primjenjuje </w:t>
      </w:r>
      <w:r w:rsidR="002B31C9" w:rsidRPr="00BC1750">
        <w:rPr>
          <w:lang w:val="sr-Latn-ME"/>
        </w:rPr>
        <w:t>S</w:t>
      </w:r>
      <w:r w:rsidR="007B528B" w:rsidRPr="00BC1750">
        <w:rPr>
          <w:lang w:val="sr-Latn-ME"/>
        </w:rPr>
        <w:t>trategija</w:t>
      </w:r>
      <w:r w:rsidR="002B31C9" w:rsidRPr="00BC1750">
        <w:rPr>
          <w:lang w:val="sr-Latn-ME"/>
        </w:rPr>
        <w:t xml:space="preserve"> ranog i predškolskog vaspitanja i obrazovanja</w:t>
      </w:r>
      <w:r w:rsidR="002B31C9" w:rsidRPr="00BC1750">
        <w:rPr>
          <w:rStyle w:val="FootnoteReference"/>
          <w:lang w:val="sr-Latn-ME"/>
        </w:rPr>
        <w:t xml:space="preserve"> </w:t>
      </w:r>
      <w:r w:rsidR="002B31C9" w:rsidRPr="00BC1750">
        <w:rPr>
          <w:lang w:val="sr-Latn-ME"/>
        </w:rPr>
        <w:t>2016-2020,</w:t>
      </w:r>
      <w:r w:rsidR="007B528B" w:rsidRPr="00BC1750">
        <w:rPr>
          <w:lang w:val="sr-Latn-ME"/>
        </w:rPr>
        <w:t xml:space="preserve"> </w:t>
      </w:r>
      <w:r w:rsidR="00303BD7" w:rsidRPr="00BC1750">
        <w:rPr>
          <w:lang w:val="sr-Latn-ME"/>
        </w:rPr>
        <w:t>ukupno je bilo uključeno 16</w:t>
      </w:r>
      <w:r w:rsidR="00936C8E">
        <w:rPr>
          <w:lang w:val="sr-Latn-ME"/>
        </w:rPr>
        <w:t>.</w:t>
      </w:r>
      <w:r w:rsidR="00303BD7" w:rsidRPr="00BC1750">
        <w:rPr>
          <w:lang w:val="sr-Latn-ME"/>
        </w:rPr>
        <w:t>972</w:t>
      </w:r>
      <w:r w:rsidR="005031ED" w:rsidRPr="00BC1750">
        <w:rPr>
          <w:lang w:val="sr-Latn-ME"/>
        </w:rPr>
        <w:t xml:space="preserve"> d</w:t>
      </w:r>
      <w:r w:rsidR="00B638B1" w:rsidRPr="00BC1750">
        <w:rPr>
          <w:lang w:val="sr-Latn-ME"/>
        </w:rPr>
        <w:t>j</w:t>
      </w:r>
      <w:r w:rsidR="005031ED" w:rsidRPr="00BC1750">
        <w:rPr>
          <w:lang w:val="sr-Latn-ME"/>
        </w:rPr>
        <w:t xml:space="preserve">ece </w:t>
      </w:r>
      <w:r w:rsidR="00303BD7" w:rsidRPr="00BC1750">
        <w:rPr>
          <w:lang w:val="sr-Latn-ME"/>
        </w:rPr>
        <w:t>u 123 vaspitnih jedinica i 575 vaspitnih grupa (vidi tabelu 1</w:t>
      </w:r>
      <w:r w:rsidR="00FD4FFF" w:rsidRPr="00BC1750">
        <w:rPr>
          <w:lang w:val="sr-Latn-ME"/>
        </w:rPr>
        <w:t xml:space="preserve"> u prilozima</w:t>
      </w:r>
      <w:r w:rsidR="00303BD7" w:rsidRPr="00BC1750">
        <w:rPr>
          <w:lang w:val="sr-Latn-ME"/>
        </w:rPr>
        <w:t xml:space="preserve">). Na osnovu ovih podataka može da se zaključi da je u periodu primjene prethodne strategije došlo do značajnog povećanja broje djece (za oko 36%), kao i do povećanja kapaciteta (broj vaspitnih jedinica je poveća za oko 38%, a broj vaspitnih grupa za oko 35%) i da je trend povećanja bio ujednačen po godinama. </w:t>
      </w:r>
    </w:p>
    <w:p w14:paraId="132659CD" w14:textId="77777777" w:rsidR="00566A90" w:rsidRDefault="00566A90" w:rsidP="00457EAE">
      <w:pPr>
        <w:rPr>
          <w:lang w:val="sr-Latn-ME"/>
        </w:rPr>
      </w:pPr>
    </w:p>
    <w:p w14:paraId="313BD6B0" w14:textId="25AA0BD0" w:rsidR="00457EAE" w:rsidRPr="00BC1750" w:rsidRDefault="00FD4FFF" w:rsidP="00457EAE">
      <w:pPr>
        <w:rPr>
          <w:lang w:val="sr-Latn-ME"/>
        </w:rPr>
      </w:pPr>
      <w:r w:rsidRPr="00BC1750">
        <w:rPr>
          <w:lang w:val="sr-Latn-ME"/>
        </w:rPr>
        <w:t>Na osnovu analize primjene Strategije</w:t>
      </w:r>
      <w:r w:rsidR="002B31C9" w:rsidRPr="00BC1750">
        <w:rPr>
          <w:lang w:val="sr-Latn-ME"/>
        </w:rPr>
        <w:t xml:space="preserve"> 2016-2020</w:t>
      </w:r>
      <w:r w:rsidR="00E76DC3" w:rsidRPr="00BC1750">
        <w:rPr>
          <w:rStyle w:val="FootnoteReference"/>
          <w:lang w:val="sr-Latn-ME"/>
        </w:rPr>
        <w:footnoteReference w:id="3"/>
      </w:r>
      <w:r w:rsidRPr="00BC1750">
        <w:rPr>
          <w:lang w:val="sr-Latn-ME"/>
        </w:rPr>
        <w:t xml:space="preserve"> proširenje kapaciteta je bilo zasnovano na dobrim analizama na lokalnom nivou i </w:t>
      </w:r>
      <w:r w:rsidR="00AC2EA5" w:rsidRPr="00BC1750">
        <w:rPr>
          <w:lang w:val="sr-Latn-ME"/>
        </w:rPr>
        <w:t xml:space="preserve">izradi </w:t>
      </w:r>
      <w:r w:rsidRPr="00BC1750">
        <w:rPr>
          <w:lang w:val="sr-Latn-ME"/>
        </w:rPr>
        <w:t xml:space="preserve">lokalnim </w:t>
      </w:r>
      <w:r w:rsidR="00AC2EA5" w:rsidRPr="00BC1750">
        <w:rPr>
          <w:lang w:val="sr-Latn-ME"/>
        </w:rPr>
        <w:t xml:space="preserve">implementacionih </w:t>
      </w:r>
      <w:r w:rsidRPr="00BC1750">
        <w:rPr>
          <w:lang w:val="sr-Latn-ME"/>
        </w:rPr>
        <w:t>planovima. U nekim sredinama izgrađeni su novi objekti</w:t>
      </w:r>
      <w:r w:rsidR="00AC2EA5" w:rsidRPr="00BC1750">
        <w:rPr>
          <w:lang w:val="sr-Latn-ME"/>
        </w:rPr>
        <w:t xml:space="preserve"> (uz podršku kredita Banke za razvoj Savjeta Evrope)</w:t>
      </w:r>
      <w:r w:rsidRPr="00BC1750">
        <w:rPr>
          <w:lang w:val="sr-Latn-ME"/>
        </w:rPr>
        <w:t xml:space="preserve">, dok se </w:t>
      </w:r>
      <w:r w:rsidRPr="00BC1750">
        <w:rPr>
          <w:lang w:val="sr-Latn-ME"/>
        </w:rPr>
        <w:lastRenderedPageBreak/>
        <w:t>u drugim sredinama dodatni kapaciteti obezb</w:t>
      </w:r>
      <w:r w:rsidR="00566A90">
        <w:rPr>
          <w:lang w:val="sr-Latn-ME"/>
        </w:rPr>
        <w:t>ij</w:t>
      </w:r>
      <w:r w:rsidRPr="00BC1750">
        <w:rPr>
          <w:lang w:val="sr-Latn-ME"/>
        </w:rPr>
        <w:t xml:space="preserve">eđeni na osnovu rekonstrukcije postojećih kapaciteta i njihovog </w:t>
      </w:r>
      <w:r w:rsidR="00D37C6C" w:rsidRPr="00BC1750">
        <w:rPr>
          <w:lang w:val="sr-Latn-ME"/>
        </w:rPr>
        <w:t>prilagođavanja</w:t>
      </w:r>
      <w:r w:rsidRPr="00BC1750">
        <w:rPr>
          <w:lang w:val="sr-Latn-ME"/>
        </w:rPr>
        <w:t xml:space="preserve"> potrebama </w:t>
      </w:r>
      <w:r w:rsidR="00E82835" w:rsidRPr="00BC1750">
        <w:rPr>
          <w:lang w:val="sr-Latn-ME"/>
        </w:rPr>
        <w:t xml:space="preserve">PVO (npr. </w:t>
      </w:r>
      <w:r w:rsidRPr="00BC1750">
        <w:rPr>
          <w:lang w:val="sr-Latn-ME"/>
        </w:rPr>
        <w:t>područna odjeljenja škola, učionice u školama</w:t>
      </w:r>
      <w:r w:rsidR="00E82835" w:rsidRPr="00BC1750">
        <w:rPr>
          <w:lang w:val="sr-Latn-ME"/>
        </w:rPr>
        <w:t xml:space="preserve"> itd.)</w:t>
      </w:r>
      <w:r w:rsidRPr="00BC1750">
        <w:rPr>
          <w:lang w:val="sr-Latn-ME"/>
        </w:rPr>
        <w:t>.</w:t>
      </w:r>
      <w:r w:rsidR="00E82835" w:rsidRPr="00BC1750">
        <w:rPr>
          <w:lang w:val="sr-Latn-ME"/>
        </w:rPr>
        <w:t xml:space="preserve"> Pored toga, obuhvat je povećan, posebno kada su u pitanju djeca iz </w:t>
      </w:r>
      <w:r w:rsidR="00D37C6C" w:rsidRPr="00BC1750">
        <w:rPr>
          <w:lang w:val="sr-Latn-ME"/>
        </w:rPr>
        <w:t>osjetljivih</w:t>
      </w:r>
      <w:r w:rsidR="00E82835" w:rsidRPr="00BC1750">
        <w:rPr>
          <w:lang w:val="sr-Latn-ME"/>
        </w:rPr>
        <w:t xml:space="preserve"> grupa, i uvođenjem kraćih programa i interaktivnih službi (28 punktova u 16 opština) za djecu koja žive u udaljenim i teško pristupačnim sredinama (koje su besplatne). </w:t>
      </w:r>
      <w:r w:rsidR="00B54518" w:rsidRPr="00BC1750">
        <w:rPr>
          <w:lang w:val="sr-Latn-ME"/>
        </w:rPr>
        <w:t>Pored toga, realizacija kampanje</w:t>
      </w:r>
      <w:r w:rsidR="00457EAE" w:rsidRPr="00BC1750">
        <w:rPr>
          <w:lang w:val="sr-Latn-ME"/>
        </w:rPr>
        <w:t xml:space="preserve"> („Svi u vrtić“</w:t>
      </w:r>
      <w:r w:rsidR="0071334B" w:rsidRPr="00BC1750">
        <w:rPr>
          <w:lang w:val="sr-Latn-ME"/>
        </w:rPr>
        <w:t>,</w:t>
      </w:r>
      <w:r w:rsidR="00457EAE" w:rsidRPr="00BC1750">
        <w:rPr>
          <w:lang w:val="sr-Latn-ME"/>
        </w:rPr>
        <w:t xml:space="preserve"> „Zablistaću u vrtiću“</w:t>
      </w:r>
      <w:r w:rsidR="0071334B" w:rsidRPr="00BC1750">
        <w:rPr>
          <w:lang w:val="sr-Latn-ME"/>
        </w:rPr>
        <w:t xml:space="preserve"> i „Svaki sokolić ide u vrtić“</w:t>
      </w:r>
      <w:r w:rsidR="00457EAE" w:rsidRPr="00BC1750">
        <w:rPr>
          <w:lang w:val="sr-Latn-ME"/>
        </w:rPr>
        <w:t>)</w:t>
      </w:r>
      <w:r w:rsidR="00B54518" w:rsidRPr="00BC1750">
        <w:rPr>
          <w:lang w:val="sr-Latn-ME"/>
        </w:rPr>
        <w:t xml:space="preserve"> </w:t>
      </w:r>
      <w:r w:rsidR="00E76DC3" w:rsidRPr="00BC1750">
        <w:rPr>
          <w:lang w:val="sr-Latn-ME"/>
        </w:rPr>
        <w:t>koje su imale za cilj podizanje svesti roditelja i društva o važnosti PVO za rani razvoj d</w:t>
      </w:r>
      <w:r w:rsidR="00A428F6">
        <w:rPr>
          <w:lang w:val="sr-Latn-ME"/>
        </w:rPr>
        <w:t>j</w:t>
      </w:r>
      <w:r w:rsidR="00E76DC3" w:rsidRPr="00BC1750">
        <w:rPr>
          <w:lang w:val="sr-Latn-ME"/>
        </w:rPr>
        <w:t xml:space="preserve">ece je svakako </w:t>
      </w:r>
      <w:r w:rsidR="00D37C6C" w:rsidRPr="00BC1750">
        <w:rPr>
          <w:lang w:val="sr-Latn-ME"/>
        </w:rPr>
        <w:t>pomogla</w:t>
      </w:r>
      <w:r w:rsidR="00E76DC3" w:rsidRPr="00BC1750">
        <w:rPr>
          <w:lang w:val="sr-Latn-ME"/>
        </w:rPr>
        <w:t xml:space="preserve"> povećanju interesovanja za uključivanje djece u PVO</w:t>
      </w:r>
      <w:r w:rsidR="00AC2EA5" w:rsidRPr="00BC1750">
        <w:rPr>
          <w:lang w:val="sr-Latn-ME"/>
        </w:rPr>
        <w:t xml:space="preserve"> i samim tim i obuhvatu d</w:t>
      </w:r>
      <w:r w:rsidR="00A428F6">
        <w:rPr>
          <w:lang w:val="sr-Latn-ME"/>
        </w:rPr>
        <w:t>j</w:t>
      </w:r>
      <w:r w:rsidR="00AC2EA5" w:rsidRPr="00BC1750">
        <w:rPr>
          <w:lang w:val="sr-Latn-ME"/>
        </w:rPr>
        <w:t>ece</w:t>
      </w:r>
      <w:r w:rsidR="00E76DC3" w:rsidRPr="00BC1750">
        <w:rPr>
          <w:lang w:val="sr-Latn-ME"/>
        </w:rPr>
        <w:t>.</w:t>
      </w:r>
    </w:p>
    <w:p w14:paraId="414FB902" w14:textId="77777777" w:rsidR="00566A90" w:rsidRDefault="00566A90" w:rsidP="003D7DCF">
      <w:pPr>
        <w:rPr>
          <w:lang w:val="sr-Latn-ME"/>
        </w:rPr>
      </w:pPr>
    </w:p>
    <w:p w14:paraId="57DBD6F4" w14:textId="17268E79" w:rsidR="002F0F6A" w:rsidRPr="00BC1750" w:rsidRDefault="002F0F6A" w:rsidP="003D7DCF">
      <w:pPr>
        <w:rPr>
          <w:lang w:val="sr-Latn-ME"/>
        </w:rPr>
      </w:pPr>
      <w:r w:rsidRPr="00BC1750">
        <w:rPr>
          <w:lang w:val="sr-Latn-ME"/>
        </w:rPr>
        <w:t>Ukupni obuhvat d</w:t>
      </w:r>
      <w:r w:rsidR="00A428F6">
        <w:rPr>
          <w:lang w:val="sr-Latn-ME"/>
        </w:rPr>
        <w:t>j</w:t>
      </w:r>
      <w:r w:rsidRPr="00BC1750">
        <w:rPr>
          <w:lang w:val="sr-Latn-ME"/>
        </w:rPr>
        <w:t xml:space="preserve">ece predškolskog uzrasta (0 do 6 godina) u Crnoj Gori je </w:t>
      </w:r>
      <w:r w:rsidR="006A72C5" w:rsidRPr="00BC1750">
        <w:rPr>
          <w:lang w:val="sr-Latn-ME"/>
        </w:rPr>
        <w:t xml:space="preserve">u </w:t>
      </w:r>
      <w:r w:rsidRPr="00BC1750">
        <w:rPr>
          <w:lang w:val="sr-Latn-ME"/>
        </w:rPr>
        <w:t>školskoj 2019/2</w:t>
      </w:r>
      <w:r w:rsidR="00E329B4">
        <w:rPr>
          <w:lang w:val="sr-Latn-ME"/>
        </w:rPr>
        <w:t>02</w:t>
      </w:r>
      <w:r w:rsidRPr="00BC1750">
        <w:rPr>
          <w:lang w:val="sr-Latn-ME"/>
        </w:rPr>
        <w:t>0 oko 52%. Obuhvat je bio značajno niži za djecu do 3 godine starosti</w:t>
      </w:r>
      <w:r w:rsidR="00CE61DB" w:rsidRPr="00BC1750">
        <w:rPr>
          <w:lang w:val="sr-Latn-ME"/>
        </w:rPr>
        <w:t xml:space="preserve"> koja pohađaju jaslice</w:t>
      </w:r>
      <w:r w:rsidRPr="00BC1750">
        <w:rPr>
          <w:lang w:val="sr-Latn-ME"/>
        </w:rPr>
        <w:t xml:space="preserve"> (oko </w:t>
      </w:r>
      <w:r w:rsidR="00E329B4">
        <w:rPr>
          <w:lang w:val="sr-Latn-ME"/>
        </w:rPr>
        <w:t>37%</w:t>
      </w:r>
      <w:r w:rsidRPr="00BC1750">
        <w:rPr>
          <w:lang w:val="sr-Latn-ME"/>
        </w:rPr>
        <w:t>), dok je obuhvat d</w:t>
      </w:r>
      <w:r w:rsidR="00A428F6">
        <w:rPr>
          <w:lang w:val="sr-Latn-ME"/>
        </w:rPr>
        <w:t>j</w:t>
      </w:r>
      <w:r w:rsidRPr="00BC1750">
        <w:rPr>
          <w:lang w:val="sr-Latn-ME"/>
        </w:rPr>
        <w:t>ece starosti od 3 godine do polaska u osnovnu školu</w:t>
      </w:r>
      <w:r w:rsidR="00CE61DB" w:rsidRPr="00BC1750">
        <w:rPr>
          <w:lang w:val="sr-Latn-ME"/>
        </w:rPr>
        <w:t>, koja pohađaju vrtiće,</w:t>
      </w:r>
      <w:r w:rsidRPr="00BC1750">
        <w:rPr>
          <w:lang w:val="sr-Latn-ME"/>
        </w:rPr>
        <w:t xml:space="preserve"> značajno v</w:t>
      </w:r>
      <w:r w:rsidR="00CE61DB" w:rsidRPr="00BC1750">
        <w:rPr>
          <w:lang w:val="sr-Latn-ME"/>
        </w:rPr>
        <w:t>iši</w:t>
      </w:r>
      <w:r w:rsidRPr="00BC1750">
        <w:rPr>
          <w:lang w:val="sr-Latn-ME"/>
        </w:rPr>
        <w:t xml:space="preserve"> (oko 7</w:t>
      </w:r>
      <w:r w:rsidR="001B07B7" w:rsidRPr="00BC1750">
        <w:rPr>
          <w:lang w:val="sr-Latn-ME"/>
        </w:rPr>
        <w:t>7</w:t>
      </w:r>
      <w:r w:rsidR="00B21223" w:rsidRPr="00BC1750">
        <w:rPr>
          <w:lang w:val="sr-Latn-ME"/>
        </w:rPr>
        <w:t>%</w:t>
      </w:r>
      <w:r w:rsidRPr="00BC1750">
        <w:rPr>
          <w:lang w:val="sr-Latn-ME"/>
        </w:rPr>
        <w:t xml:space="preserve">). </w:t>
      </w:r>
      <w:r w:rsidR="002D39A5" w:rsidRPr="00BC1750">
        <w:rPr>
          <w:lang w:val="sr-Latn-ME"/>
        </w:rPr>
        <w:t>Iako je u prethodnom periodu registrovan značajan napredak u pogledu obuhvata</w:t>
      </w:r>
      <w:r w:rsidR="00D16E8A" w:rsidRPr="00BC1750">
        <w:rPr>
          <w:lang w:val="sr-Latn-ME"/>
        </w:rPr>
        <w:t xml:space="preserve"> (po prosječnoj stopi oko 3 procentna poena godišnje)</w:t>
      </w:r>
      <w:r w:rsidR="002D39A5" w:rsidRPr="00BC1750">
        <w:rPr>
          <w:lang w:val="sr-Latn-ME"/>
        </w:rPr>
        <w:t xml:space="preserve">, on je i dalje značajno niži u odnosu na većinu zemalja EU (prosječni obuhvat djece uzrasta od 4 godine do polaska u školu u 27 zemalja EU je </w:t>
      </w:r>
      <w:r w:rsidR="00E73AE5" w:rsidRPr="00BC1750">
        <w:rPr>
          <w:lang w:val="sr-Latn-ME"/>
        </w:rPr>
        <w:t>u 2017. godini bio oko 95%) i u odnosu na EU cilj za 2020. godinu (95%).</w:t>
      </w:r>
      <w:r w:rsidRPr="00BC1750">
        <w:rPr>
          <w:rStyle w:val="FootnoteReference"/>
          <w:lang w:val="sr-Latn-ME"/>
        </w:rPr>
        <w:footnoteReference w:id="4"/>
      </w:r>
      <w:r w:rsidR="00E73AE5" w:rsidRPr="00BC1750">
        <w:rPr>
          <w:lang w:val="sr-Latn-ME"/>
        </w:rPr>
        <w:t xml:space="preserve"> Dakle, primjena prethodne strategije je rezultirala značajnim napretkom u pogledu obuhvata i u narednom periodu treba nastaviti sa širenjem kapaciteta i obuhvata djece kako bi se dostigao nivo obuhvata u </w:t>
      </w:r>
      <w:r w:rsidR="00C76F43" w:rsidRPr="00BC1750">
        <w:rPr>
          <w:lang w:val="sr-Latn-ME"/>
        </w:rPr>
        <w:t xml:space="preserve">EU </w:t>
      </w:r>
      <w:r w:rsidR="00B60500" w:rsidRPr="00BC1750">
        <w:rPr>
          <w:lang w:val="sr-Latn-ME"/>
        </w:rPr>
        <w:t>zemljama</w:t>
      </w:r>
      <w:r w:rsidR="00E73AE5" w:rsidRPr="00BC1750">
        <w:rPr>
          <w:lang w:val="sr-Latn-ME"/>
        </w:rPr>
        <w:t>.</w:t>
      </w:r>
    </w:p>
    <w:p w14:paraId="2A7949A9" w14:textId="77777777" w:rsidR="00566A90" w:rsidRDefault="00566A90" w:rsidP="003D7DCF">
      <w:pPr>
        <w:rPr>
          <w:lang w:val="sr-Latn-ME"/>
        </w:rPr>
      </w:pPr>
    </w:p>
    <w:p w14:paraId="79F5D783" w14:textId="3D34715A" w:rsidR="00B60500" w:rsidRPr="00BC1750" w:rsidRDefault="00B60500" w:rsidP="003D7DCF">
      <w:pPr>
        <w:rPr>
          <w:lang w:val="sr-Latn-ME"/>
        </w:rPr>
      </w:pPr>
      <w:r w:rsidRPr="00BC1750">
        <w:rPr>
          <w:lang w:val="sr-Latn-ME"/>
        </w:rPr>
        <w:t>Značajan napredak koji je ostvaren u prethodnom periodu je rezultat istovremenog širenja kapaciteta i uključivanja većeg broja d</w:t>
      </w:r>
      <w:r w:rsidR="00A428F6">
        <w:rPr>
          <w:lang w:val="sr-Latn-ME"/>
        </w:rPr>
        <w:t>j</w:t>
      </w:r>
      <w:r w:rsidRPr="00BC1750">
        <w:rPr>
          <w:lang w:val="sr-Latn-ME"/>
        </w:rPr>
        <w:t>ece. Ipak, u više od polovine opština postoji problem vaspitnih grupa koje su u velikoj mjeri veće nego što je propisano Zakonom</w:t>
      </w:r>
      <w:r w:rsidR="00457EAE" w:rsidRPr="00BC1750">
        <w:rPr>
          <w:lang w:val="sr-Latn-ME"/>
        </w:rPr>
        <w:t>.</w:t>
      </w:r>
      <w:r w:rsidR="001D1895" w:rsidRPr="00BC1750">
        <w:rPr>
          <w:lang w:val="sr-Latn-ME"/>
        </w:rPr>
        <w:t xml:space="preserve"> Na prim</w:t>
      </w:r>
      <w:r w:rsidR="00B638B1" w:rsidRPr="00BC1750">
        <w:rPr>
          <w:lang w:val="sr-Latn-ME"/>
        </w:rPr>
        <w:t>j</w:t>
      </w:r>
      <w:r w:rsidR="001D1895" w:rsidRPr="00BC1750">
        <w:rPr>
          <w:lang w:val="sr-Latn-ME"/>
        </w:rPr>
        <w:t xml:space="preserve">er, prema podacima </w:t>
      </w:r>
      <w:r w:rsidR="00E329B4">
        <w:rPr>
          <w:lang w:val="sr-Latn-ME"/>
        </w:rPr>
        <w:t>u školskoj</w:t>
      </w:r>
      <w:r w:rsidR="001D1895" w:rsidRPr="00BC1750">
        <w:rPr>
          <w:lang w:val="sr-Latn-ME"/>
        </w:rPr>
        <w:t xml:space="preserve"> 2017/</w:t>
      </w:r>
      <w:r w:rsidR="00E329B4">
        <w:rPr>
          <w:lang w:val="sr-Latn-ME"/>
        </w:rPr>
        <w:t>20</w:t>
      </w:r>
      <w:r w:rsidR="001D1895" w:rsidRPr="00BC1750">
        <w:rPr>
          <w:lang w:val="sr-Latn-ME"/>
        </w:rPr>
        <w:t>18</w:t>
      </w:r>
      <w:r w:rsidR="00E329B4">
        <w:rPr>
          <w:lang w:val="sr-Latn-ME"/>
        </w:rPr>
        <w:t>.</w:t>
      </w:r>
      <w:r w:rsidR="001D1895" w:rsidRPr="00BC1750">
        <w:rPr>
          <w:lang w:val="sr-Latn-ME"/>
        </w:rPr>
        <w:t xml:space="preserve"> godini u prosjeku je bilo 31</w:t>
      </w:r>
      <w:r w:rsidR="00E329B4">
        <w:rPr>
          <w:lang w:val="sr-Latn-ME"/>
        </w:rPr>
        <w:t>,</w:t>
      </w:r>
      <w:r w:rsidR="001D1895" w:rsidRPr="00BC1750">
        <w:rPr>
          <w:lang w:val="sr-Latn-ME"/>
        </w:rPr>
        <w:t xml:space="preserve">9 djece po vaspitnoj grupi. </w:t>
      </w:r>
    </w:p>
    <w:p w14:paraId="6A0077AE" w14:textId="6CD6EE20" w:rsidR="00FA30CD" w:rsidRPr="00BC1750" w:rsidRDefault="00FA30CD" w:rsidP="00FA30CD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2.2. K</w:t>
      </w:r>
      <w:r w:rsidR="00B05C46" w:rsidRPr="00BC1750">
        <w:rPr>
          <w:rFonts w:cs="Times New Roman"/>
          <w:lang w:val="sr-Latn-ME"/>
        </w:rPr>
        <w:t>ompetencije zaposlenih i kvalitet</w:t>
      </w:r>
      <w:r w:rsidR="00EC0769" w:rsidRPr="00BC1750">
        <w:rPr>
          <w:rFonts w:cs="Times New Roman"/>
          <w:lang w:val="sr-Latn-ME"/>
        </w:rPr>
        <w:t xml:space="preserve"> programa</w:t>
      </w:r>
    </w:p>
    <w:p w14:paraId="10BD2940" w14:textId="33E78049" w:rsidR="00564CB4" w:rsidRPr="00BC1750" w:rsidRDefault="00564CB4" w:rsidP="00106DA9">
      <w:pPr>
        <w:rPr>
          <w:lang w:val="sr-Latn-ME"/>
        </w:rPr>
      </w:pPr>
      <w:r w:rsidRPr="00BC1750">
        <w:rPr>
          <w:lang w:val="sr-Latn-ME"/>
        </w:rPr>
        <w:t>U školskoj 2019/</w:t>
      </w:r>
      <w:r w:rsidR="00E329B4">
        <w:rPr>
          <w:lang w:val="sr-Latn-ME"/>
        </w:rPr>
        <w:t>20</w:t>
      </w:r>
      <w:r w:rsidRPr="00BC1750">
        <w:rPr>
          <w:lang w:val="sr-Latn-ME"/>
        </w:rPr>
        <w:t>20 godini u PVO je radilo ukupno 2</w:t>
      </w:r>
      <w:r w:rsidR="00E329B4">
        <w:rPr>
          <w:lang w:val="sr-Latn-ME"/>
        </w:rPr>
        <w:t>.</w:t>
      </w:r>
      <w:r w:rsidRPr="00BC1750">
        <w:rPr>
          <w:lang w:val="sr-Latn-ME"/>
        </w:rPr>
        <w:t>593 zaposlene osobe od kojih je 1</w:t>
      </w:r>
      <w:r w:rsidR="00E329B4">
        <w:rPr>
          <w:lang w:val="sr-Latn-ME"/>
        </w:rPr>
        <w:t>.</w:t>
      </w:r>
      <w:r w:rsidRPr="00BC1750">
        <w:rPr>
          <w:lang w:val="sr-Latn-ME"/>
        </w:rPr>
        <w:t>290 (oko 50%) vaspitača, 572 medicinske sestre (oko 22%), 49 stručnih saradnika (1.8%) i 682 administrativna radnika i pomoćnog osoblja (oko 26%)</w:t>
      </w:r>
      <w:r w:rsidR="00D3001D" w:rsidRPr="00BC1750">
        <w:rPr>
          <w:lang w:val="sr-Latn-ME"/>
        </w:rPr>
        <w:t xml:space="preserve"> pri čemu oko 15% njih bilo neaktivno zbog bolovanja. </w:t>
      </w:r>
      <w:r w:rsidR="00240C7C" w:rsidRPr="00BC1750">
        <w:rPr>
          <w:lang w:val="sr-Latn-ME"/>
        </w:rPr>
        <w:t>Odnos broj djece prema broju onih koji direktno rade sa djecom (vaspitači i medicinske sestre) je oko 14</w:t>
      </w:r>
      <w:r w:rsidR="00E329B4">
        <w:rPr>
          <w:lang w:val="sr-Latn-ME"/>
        </w:rPr>
        <w:t>,</w:t>
      </w:r>
      <w:r w:rsidR="00240C7C" w:rsidRPr="00BC1750">
        <w:rPr>
          <w:lang w:val="sr-Latn-ME"/>
        </w:rPr>
        <w:t>7 djece po stručnjaku koji direktno radi sa djecom što je više od prosjeka u EU zemljama (EU 27 prosjek je 12</w:t>
      </w:r>
      <w:r w:rsidR="00E329B4">
        <w:rPr>
          <w:lang w:val="sr-Latn-ME"/>
        </w:rPr>
        <w:t>,</w:t>
      </w:r>
      <w:r w:rsidR="00240C7C" w:rsidRPr="00BC1750">
        <w:rPr>
          <w:lang w:val="sr-Latn-ME"/>
        </w:rPr>
        <w:t>7</w:t>
      </w:r>
      <w:r w:rsidR="00240C7C" w:rsidRPr="00BC1750">
        <w:rPr>
          <w:rStyle w:val="FootnoteReference"/>
          <w:lang w:val="sr-Latn-ME"/>
        </w:rPr>
        <w:footnoteReference w:id="5"/>
      </w:r>
      <w:r w:rsidR="00240C7C" w:rsidRPr="00BC1750">
        <w:rPr>
          <w:lang w:val="sr-Latn-ME"/>
        </w:rPr>
        <w:t xml:space="preserve">). </w:t>
      </w:r>
    </w:p>
    <w:p w14:paraId="0A0B9A43" w14:textId="77777777" w:rsidR="00566A90" w:rsidRDefault="00566A90" w:rsidP="00106DA9">
      <w:pPr>
        <w:rPr>
          <w:lang w:val="sr-Latn-ME"/>
        </w:rPr>
      </w:pPr>
    </w:p>
    <w:p w14:paraId="684335CC" w14:textId="0793FE90" w:rsidR="00BB5CC0" w:rsidRPr="00BC1750" w:rsidRDefault="00D3001D" w:rsidP="00106DA9">
      <w:pPr>
        <w:rPr>
          <w:lang w:val="sr-Latn-ME"/>
        </w:rPr>
      </w:pPr>
      <w:r w:rsidRPr="00BC1750">
        <w:rPr>
          <w:lang w:val="sr-Latn-ME"/>
        </w:rPr>
        <w:t>Kada je u pitanju inicijalno obrazovanje vaspitača u</w:t>
      </w:r>
      <w:r w:rsidR="009E4476" w:rsidRPr="00BC1750">
        <w:rPr>
          <w:lang w:val="sr-Latn-ME"/>
        </w:rPr>
        <w:t xml:space="preserve"> prethodnom periodu </w:t>
      </w:r>
      <w:r w:rsidR="0000239B" w:rsidRPr="00BC1750">
        <w:rPr>
          <w:lang w:val="sr-Latn-ME"/>
        </w:rPr>
        <w:t xml:space="preserve">(2016. godine) </w:t>
      </w:r>
      <w:r w:rsidR="009E4476" w:rsidRPr="00BC1750">
        <w:rPr>
          <w:lang w:val="sr-Latn-ME"/>
        </w:rPr>
        <w:t xml:space="preserve">revidiran je univerzitetski program inicijalnog obrazovanja koji je </w:t>
      </w:r>
      <w:r w:rsidR="0000239B" w:rsidRPr="00BC1750">
        <w:rPr>
          <w:lang w:val="sr-Latn-ME"/>
        </w:rPr>
        <w:t xml:space="preserve">definisan kao master program (300 kredita) i koji je </w:t>
      </w:r>
      <w:r w:rsidR="009E4476" w:rsidRPr="00BC1750">
        <w:rPr>
          <w:lang w:val="sr-Latn-ME"/>
        </w:rPr>
        <w:t xml:space="preserve">unaprijeđen </w:t>
      </w:r>
      <w:r w:rsidR="00881B10" w:rsidRPr="00BC1750">
        <w:rPr>
          <w:lang w:val="sr-Latn-ME"/>
        </w:rPr>
        <w:t>u smislu da je sa primijenjenog podignut na viši, akademski nivo</w:t>
      </w:r>
      <w:r w:rsidR="009E4476" w:rsidRPr="00BC1750">
        <w:rPr>
          <w:lang w:val="sr-Latn-ME"/>
        </w:rPr>
        <w:t xml:space="preserve">. Na taj način se obezbjeđuje </w:t>
      </w:r>
      <w:r w:rsidR="00AE1DAE" w:rsidRPr="00BC1750">
        <w:rPr>
          <w:lang w:val="sr-Latn-ME"/>
        </w:rPr>
        <w:t xml:space="preserve">unapređenje kompetencija i kvaliteta rada zaposlenih u PVO. </w:t>
      </w:r>
      <w:r w:rsidR="009E4476" w:rsidRPr="00BC1750">
        <w:rPr>
          <w:lang w:val="sr-Latn-ME"/>
        </w:rPr>
        <w:lastRenderedPageBreak/>
        <w:t>Pored toga, uspostavljani su aktivi, tj. mreže praktičara</w:t>
      </w:r>
      <w:r w:rsidR="00131984" w:rsidRPr="00BC1750">
        <w:rPr>
          <w:lang w:val="sr-Latn-ME"/>
        </w:rPr>
        <w:t xml:space="preserve">, redovno se organizuju </w:t>
      </w:r>
      <w:r w:rsidR="009E4476" w:rsidRPr="00BC1750">
        <w:rPr>
          <w:lang w:val="sr-Latn-ME"/>
        </w:rPr>
        <w:t xml:space="preserve">sajmovi inovativnih praksi PU </w:t>
      </w:r>
      <w:r w:rsidR="00131984" w:rsidRPr="00BC1750">
        <w:rPr>
          <w:lang w:val="sr-Latn-ME"/>
        </w:rPr>
        <w:t>(</w:t>
      </w:r>
      <w:r w:rsidR="009E4476" w:rsidRPr="00BC1750">
        <w:rPr>
          <w:lang w:val="sr-Latn-ME"/>
        </w:rPr>
        <w:t>od 2017. godine)</w:t>
      </w:r>
      <w:r w:rsidR="00C857AE" w:rsidRPr="00BC1750">
        <w:rPr>
          <w:rStyle w:val="FootnoteReference"/>
          <w:lang w:val="sr-Latn-ME"/>
        </w:rPr>
        <w:footnoteReference w:id="6"/>
      </w:r>
      <w:r w:rsidR="00131984" w:rsidRPr="00BC1750">
        <w:rPr>
          <w:lang w:val="sr-Latn-ME"/>
        </w:rPr>
        <w:t xml:space="preserve"> i razvijeni su </w:t>
      </w:r>
      <w:r w:rsidR="00F80E67" w:rsidRPr="00BC1750">
        <w:rPr>
          <w:lang w:val="sr-Latn-ME"/>
        </w:rPr>
        <w:t>standardi rada stručnih saradnika koji definišu njihovu ulogu u obezb</w:t>
      </w:r>
      <w:r w:rsidR="00566A90">
        <w:rPr>
          <w:lang w:val="sr-Latn-ME"/>
        </w:rPr>
        <w:t>j</w:t>
      </w:r>
      <w:r w:rsidR="00F80E67" w:rsidRPr="00BC1750">
        <w:rPr>
          <w:lang w:val="sr-Latn-ME"/>
        </w:rPr>
        <w:t xml:space="preserve">eđivanju kvaliteta PVO. </w:t>
      </w:r>
      <w:r w:rsidR="00DA4C16" w:rsidRPr="00BC1750">
        <w:rPr>
          <w:lang w:val="sr-Latn-ME"/>
        </w:rPr>
        <w:t>Pored toga, realizovane su i obuke zaposlenih za nove usluge kao što su trosatni programi, interaktivne službe i biblioteke igračaka</w:t>
      </w:r>
      <w:r w:rsidR="00481A17" w:rsidRPr="00BC1750">
        <w:rPr>
          <w:lang w:val="sr-Latn-ME"/>
        </w:rPr>
        <w:t xml:space="preserve"> i knjiga</w:t>
      </w:r>
      <w:r w:rsidR="003A5ED5" w:rsidRPr="00BC1750">
        <w:rPr>
          <w:lang w:val="sr-Latn-ME"/>
        </w:rPr>
        <w:t xml:space="preserve">. </w:t>
      </w:r>
      <w:r w:rsidR="00131984" w:rsidRPr="00BC1750">
        <w:rPr>
          <w:lang w:val="sr-Latn-ME"/>
        </w:rPr>
        <w:t xml:space="preserve">Na osnovu </w:t>
      </w:r>
      <w:r w:rsidR="00CE3E8D" w:rsidRPr="00BC1750">
        <w:rPr>
          <w:lang w:val="sr-Latn-ME"/>
        </w:rPr>
        <w:t>analize potreba u vezi sa profesionalnim razvojem zaposlenih u predškolskim ustanovama</w:t>
      </w:r>
      <w:r w:rsidR="00131984" w:rsidRPr="00BC1750">
        <w:rPr>
          <w:lang w:val="sr-Latn-ME"/>
        </w:rPr>
        <w:t xml:space="preserve"> identifikovane su mogućnosti za usavršavanje postojećeg sistema i prakse</w:t>
      </w:r>
      <w:r w:rsidR="00C340A9" w:rsidRPr="00BC1750">
        <w:rPr>
          <w:rStyle w:val="FootnoteReference"/>
          <w:lang w:val="sr-Latn-ME"/>
        </w:rPr>
        <w:footnoteReference w:id="7"/>
      </w:r>
      <w:r w:rsidR="00131984" w:rsidRPr="00BC1750">
        <w:rPr>
          <w:lang w:val="sr-Latn-ME"/>
        </w:rPr>
        <w:t xml:space="preserve">. Na osnovu rezultata te studije organizovane su fokusirane obuke vaspitača u pogledu rada sa djecom sa posebnim obrazovnim potrebama i djecom iz </w:t>
      </w:r>
      <w:r w:rsidR="000D64E3" w:rsidRPr="00BC1750">
        <w:rPr>
          <w:lang w:val="sr-Latn-ME"/>
        </w:rPr>
        <w:t xml:space="preserve">romske i egipćanske </w:t>
      </w:r>
      <w:r w:rsidR="00131984" w:rsidRPr="00BC1750">
        <w:rPr>
          <w:lang w:val="sr-Latn-ME"/>
        </w:rPr>
        <w:t>zajednice</w:t>
      </w:r>
      <w:r w:rsidR="000D64E3" w:rsidRPr="00BC1750">
        <w:rPr>
          <w:lang w:val="sr-Latn-ME"/>
        </w:rPr>
        <w:t xml:space="preserve"> (u daljem tekstu RE zajednice)</w:t>
      </w:r>
      <w:r w:rsidR="00131984" w:rsidRPr="00BC1750">
        <w:rPr>
          <w:lang w:val="sr-Latn-ME"/>
        </w:rPr>
        <w:t xml:space="preserve">, praćenje razvoja djece </w:t>
      </w:r>
      <w:r w:rsidR="00AB6810" w:rsidRPr="00BC1750">
        <w:rPr>
          <w:lang w:val="sr-Latn-ME"/>
        </w:rPr>
        <w:t xml:space="preserve">od polaska u vrtić do upisa u osnovnu školu </w:t>
      </w:r>
      <w:r w:rsidR="00131984" w:rsidRPr="00BC1750">
        <w:rPr>
          <w:lang w:val="sr-Latn-ME"/>
        </w:rPr>
        <w:t xml:space="preserve">putem </w:t>
      </w:r>
      <w:r w:rsidR="00E14CF8" w:rsidRPr="00BC1750">
        <w:rPr>
          <w:lang w:val="sr-Latn-ME"/>
        </w:rPr>
        <w:t>P</w:t>
      </w:r>
      <w:r w:rsidR="00131984" w:rsidRPr="00BC1750">
        <w:rPr>
          <w:lang w:val="sr-Latn-ME"/>
        </w:rPr>
        <w:t>ortfolija</w:t>
      </w:r>
      <w:r w:rsidR="00F57610" w:rsidRPr="00BC1750">
        <w:rPr>
          <w:lang w:val="sr-Latn-ME"/>
        </w:rPr>
        <w:t xml:space="preserve"> i </w:t>
      </w:r>
      <w:r w:rsidR="00BB5CC0" w:rsidRPr="00BC1750">
        <w:rPr>
          <w:lang w:val="sr-Latn-ME"/>
        </w:rPr>
        <w:t>unaprijeđen</w:t>
      </w:r>
      <w:r w:rsidR="00F57610" w:rsidRPr="00BC1750">
        <w:rPr>
          <w:lang w:val="sr-Latn-ME"/>
        </w:rPr>
        <w:t xml:space="preserve"> je Konkurs za izbor programa stručnog usavršavanja nastavnika u školskoj 2019/2021. godini.</w:t>
      </w:r>
      <w:r w:rsidR="00131984" w:rsidRPr="00BC1750">
        <w:rPr>
          <w:lang w:val="sr-Latn-ME"/>
        </w:rPr>
        <w:t xml:space="preserve"> </w:t>
      </w:r>
    </w:p>
    <w:p w14:paraId="7A29A2DA" w14:textId="77777777" w:rsidR="00566A90" w:rsidRDefault="00566A90" w:rsidP="00106DA9">
      <w:pPr>
        <w:rPr>
          <w:lang w:val="sr-Latn-ME"/>
        </w:rPr>
      </w:pPr>
    </w:p>
    <w:p w14:paraId="105B9DF0" w14:textId="1E107FA0" w:rsidR="00EC0769" w:rsidRPr="00BC1750" w:rsidRDefault="00C340A9" w:rsidP="00106DA9">
      <w:pPr>
        <w:rPr>
          <w:lang w:val="sr-Latn-ME"/>
        </w:rPr>
      </w:pPr>
      <w:r w:rsidRPr="00BC1750">
        <w:rPr>
          <w:lang w:val="sr-Latn-ME"/>
        </w:rPr>
        <w:t>Pored navedenih pozitivnih promjena ključni izazovi kada je u pitanju obezb</w:t>
      </w:r>
      <w:r w:rsidR="00CB7298" w:rsidRPr="00BC1750">
        <w:rPr>
          <w:lang w:val="sr-Latn-ME"/>
        </w:rPr>
        <w:t>j</w:t>
      </w:r>
      <w:r w:rsidRPr="00BC1750">
        <w:rPr>
          <w:lang w:val="sr-Latn-ME"/>
        </w:rPr>
        <w:t xml:space="preserve">eđivanje kvaliteta rada zaposlenih su prevelike vaspitne grupe i dalje </w:t>
      </w:r>
      <w:r w:rsidR="00BB5CC0" w:rsidRPr="00BC1750">
        <w:rPr>
          <w:lang w:val="sr-Latn-ME"/>
        </w:rPr>
        <w:t>unaprjeđivanje</w:t>
      </w:r>
      <w:r w:rsidRPr="00BC1750">
        <w:rPr>
          <w:lang w:val="sr-Latn-ME"/>
        </w:rPr>
        <w:t xml:space="preserve"> sistema kontinuiranog sistema profesionalnog razvoja. </w:t>
      </w:r>
      <w:r w:rsidR="00BB5CC0" w:rsidRPr="00BC1750">
        <w:rPr>
          <w:lang w:val="sr-Latn-ME"/>
        </w:rPr>
        <w:t xml:space="preserve">Iako se u septembru svake godine identifikuju potrebe PU za dodatnim kadrom snažno povećanje obuhvata u prethodnim godinama je rezultiralo prekobrojnim </w:t>
      </w:r>
      <w:r w:rsidR="00B04EFB" w:rsidRPr="00BC1750">
        <w:rPr>
          <w:lang w:val="sr-Latn-ME"/>
        </w:rPr>
        <w:t xml:space="preserve">vaspitnim grupama što </w:t>
      </w:r>
      <w:r w:rsidR="00207087" w:rsidRPr="00BC1750">
        <w:rPr>
          <w:lang w:val="sr-Latn-ME"/>
        </w:rPr>
        <w:t>povećava broj djece po vaspitaču čime se ugrožava kvalitet PVO.</w:t>
      </w:r>
      <w:r w:rsidR="00BB5CC0" w:rsidRPr="00BC1750">
        <w:rPr>
          <w:lang w:val="sr-Latn-ME"/>
        </w:rPr>
        <w:t xml:space="preserve"> </w:t>
      </w:r>
      <w:r w:rsidR="001D1895" w:rsidRPr="00BC1750">
        <w:rPr>
          <w:lang w:val="sr-Latn-ME"/>
        </w:rPr>
        <w:t xml:space="preserve">Ovaj nalaz </w:t>
      </w:r>
      <w:r w:rsidR="00CA004A" w:rsidRPr="00BC1750">
        <w:rPr>
          <w:lang w:val="sr-Latn-ME"/>
        </w:rPr>
        <w:t xml:space="preserve">ukazuje na potrebu da se </w:t>
      </w:r>
      <w:r w:rsidR="00207087" w:rsidRPr="00BC1750">
        <w:rPr>
          <w:lang w:val="sr-Latn-ME"/>
        </w:rPr>
        <w:t xml:space="preserve">poveća broj </w:t>
      </w:r>
      <w:r w:rsidR="00B04EFB" w:rsidRPr="00BC1750">
        <w:rPr>
          <w:lang w:val="sr-Latn-ME"/>
        </w:rPr>
        <w:t>vaspitača</w:t>
      </w:r>
      <w:r w:rsidR="00405134" w:rsidRPr="00BC1750">
        <w:rPr>
          <w:lang w:val="sr-Latn-ME"/>
        </w:rPr>
        <w:t>.</w:t>
      </w:r>
      <w:r w:rsidR="00207087" w:rsidRPr="00BC1750">
        <w:rPr>
          <w:lang w:val="sr-Latn-ME"/>
        </w:rPr>
        <w:t xml:space="preserve"> Kada je u pitanju sistem profesionalnog razvoja vaspitača, pored pozitivnih </w:t>
      </w:r>
      <w:r w:rsidR="00F57610" w:rsidRPr="00BC1750">
        <w:rPr>
          <w:lang w:val="sr-Latn-ME"/>
        </w:rPr>
        <w:t>promjena</w:t>
      </w:r>
      <w:r w:rsidR="00207087" w:rsidRPr="00BC1750">
        <w:rPr>
          <w:lang w:val="sr-Latn-ME"/>
        </w:rPr>
        <w:t xml:space="preserve"> koje su pomenute potrebno je da se dodatno osavremeni postojeći sistem profesionalnog razvoja u skladu sa preporukama iz studije o kontinuiranom profesionalnom razvoju vaspitača.</w:t>
      </w:r>
      <w:r w:rsidR="00207087" w:rsidRPr="00BC1750">
        <w:rPr>
          <w:rStyle w:val="FootnoteReference"/>
          <w:lang w:val="sr-Latn-ME"/>
        </w:rPr>
        <w:footnoteReference w:id="8"/>
      </w:r>
      <w:r w:rsidR="00207087" w:rsidRPr="00BC1750">
        <w:rPr>
          <w:lang w:val="sr-Latn-ME"/>
        </w:rPr>
        <w:t xml:space="preserve">  </w:t>
      </w:r>
    </w:p>
    <w:p w14:paraId="2A596CF9" w14:textId="77777777" w:rsidR="00566A90" w:rsidRDefault="00566A90" w:rsidP="00106DA9">
      <w:pPr>
        <w:rPr>
          <w:lang w:val="sr-Latn-ME"/>
        </w:rPr>
      </w:pPr>
    </w:p>
    <w:p w14:paraId="5FE18688" w14:textId="266229AB" w:rsidR="00230AAD" w:rsidRPr="00BC1750" w:rsidRDefault="00106DA9" w:rsidP="00106DA9">
      <w:pPr>
        <w:rPr>
          <w:lang w:val="sr-Latn-ME"/>
        </w:rPr>
      </w:pPr>
      <w:r w:rsidRPr="00BC1750">
        <w:rPr>
          <w:lang w:val="sr-Latn-ME"/>
        </w:rPr>
        <w:t>Kvalitet programa je dodatno unaprijeđen uvođenjem novog trosatnog programa,</w:t>
      </w:r>
      <w:r w:rsidR="006267D3" w:rsidRPr="00BC1750">
        <w:rPr>
          <w:lang w:val="sr-Latn-ME"/>
        </w:rPr>
        <w:t xml:space="preserve"> kao i kroz</w:t>
      </w:r>
      <w:r w:rsidRPr="00BC1750">
        <w:rPr>
          <w:lang w:val="sr-Latn-ME"/>
        </w:rPr>
        <w:t xml:space="preserve"> </w:t>
      </w:r>
      <w:r w:rsidR="00DA4C16" w:rsidRPr="00BC1750">
        <w:rPr>
          <w:lang w:val="sr-Latn-ME"/>
        </w:rPr>
        <w:t xml:space="preserve">organizovanje besplatnih interaktivnih službi u 16 opština i biblioteka igračaka, </w:t>
      </w:r>
      <w:r w:rsidRPr="00BC1750">
        <w:rPr>
          <w:lang w:val="sr-Latn-ME"/>
        </w:rPr>
        <w:t xml:space="preserve">programa Engleskog jezika za djecu uzrasta tri do šest godina, </w:t>
      </w:r>
      <w:r w:rsidR="007E3A64" w:rsidRPr="00BC1750">
        <w:rPr>
          <w:lang w:val="sr-Latn-ME"/>
        </w:rPr>
        <w:t>uveden program prelaska iz vrtića u osnovnu školu koji je kontinuiran, saradnički, partic</w:t>
      </w:r>
      <w:r w:rsidR="00920968" w:rsidRPr="00BC1750">
        <w:rPr>
          <w:lang w:val="sr-Latn-ME"/>
        </w:rPr>
        <w:t>i</w:t>
      </w:r>
      <w:r w:rsidR="007E3A64" w:rsidRPr="00BC1750">
        <w:rPr>
          <w:lang w:val="sr-Latn-ME"/>
        </w:rPr>
        <w:t xml:space="preserve">pativan </w:t>
      </w:r>
      <w:r w:rsidRPr="00BC1750">
        <w:rPr>
          <w:lang w:val="sr-Latn-ME"/>
        </w:rPr>
        <w:t>i unapr</w:t>
      </w:r>
      <w:r w:rsidR="0030781B" w:rsidRPr="00BC1750">
        <w:rPr>
          <w:lang w:val="sr-Latn-ME"/>
        </w:rPr>
        <w:t>ij</w:t>
      </w:r>
      <w:r w:rsidRPr="00BC1750">
        <w:rPr>
          <w:lang w:val="sr-Latn-ME"/>
        </w:rPr>
        <w:t xml:space="preserve">eđen je kvalitet saradnje vrtića sa roditeljima. </w:t>
      </w:r>
      <w:r w:rsidR="00C574C2" w:rsidRPr="00BC1750">
        <w:rPr>
          <w:lang w:val="sr-Latn-ME"/>
        </w:rPr>
        <w:t>Pored toga, izm</w:t>
      </w:r>
      <w:r w:rsidR="0030781B" w:rsidRPr="00BC1750">
        <w:rPr>
          <w:lang w:val="sr-Latn-ME"/>
        </w:rPr>
        <w:t>j</w:t>
      </w:r>
      <w:r w:rsidR="00C574C2" w:rsidRPr="00BC1750">
        <w:rPr>
          <w:lang w:val="sr-Latn-ME"/>
        </w:rPr>
        <w:t>enama zakona iz 2017. godine definisano je vrijeme trajanja pojedinih programa u skladu sa potrebama roditelja i interesovanjem djece, definisana je mogućnost organizovanja produženog boravka i drugih programe za animaciju i zabavu djece i podršku roditeljima (u skladu sa prostornim i kadrovskim mogućnostima PU) koji bi bili finansirani od strane roditelja čime su stvorene mogućnosti za širenje diver</w:t>
      </w:r>
      <w:r w:rsidR="0030781B" w:rsidRPr="00BC1750">
        <w:rPr>
          <w:lang w:val="sr-Latn-ME"/>
        </w:rPr>
        <w:t>s</w:t>
      </w:r>
      <w:r w:rsidR="00C574C2" w:rsidRPr="00BC1750">
        <w:rPr>
          <w:lang w:val="sr-Latn-ME"/>
        </w:rPr>
        <w:t>ifikovanih programa. U</w:t>
      </w:r>
      <w:r w:rsidRPr="00BC1750">
        <w:rPr>
          <w:lang w:val="sr-Latn-ME"/>
        </w:rPr>
        <w:t>napređenje kvaliteta PVO je dodatno podržano razvojem publikacije „Razvojno-edukativna uputstva i informativni materijal” čija je svrha podsticanje i evaluacija pojedinih razvojnih oblasti, a namijenjen je vaspitačima i roditeljima.</w:t>
      </w:r>
      <w:r w:rsidR="00E64371" w:rsidRPr="00BC1750">
        <w:rPr>
          <w:lang w:val="sr-Latn-ME"/>
        </w:rPr>
        <w:t xml:space="preserve"> </w:t>
      </w:r>
    </w:p>
    <w:p w14:paraId="43B655F6" w14:textId="77777777" w:rsidR="00566A90" w:rsidRDefault="00566A90" w:rsidP="00230AAD">
      <w:pPr>
        <w:rPr>
          <w:lang w:val="sr-Latn-ME"/>
        </w:rPr>
      </w:pPr>
    </w:p>
    <w:p w14:paraId="5DB00196" w14:textId="21CCA412" w:rsidR="00230AAD" w:rsidRPr="00BC1750" w:rsidRDefault="00230AAD" w:rsidP="00230AAD">
      <w:pPr>
        <w:rPr>
          <w:lang w:val="sr-Latn-ME"/>
        </w:rPr>
      </w:pPr>
      <w:r w:rsidRPr="00BC1750">
        <w:rPr>
          <w:lang w:val="sr-Latn-ME"/>
        </w:rPr>
        <w:lastRenderedPageBreak/>
        <w:t xml:space="preserve">Kvalitet PVO je unaprijeđen i </w:t>
      </w:r>
      <w:r w:rsidR="00177C7F" w:rsidRPr="00BC1750">
        <w:rPr>
          <w:lang w:val="sr-Latn-ME"/>
        </w:rPr>
        <w:t>primjenom</w:t>
      </w:r>
      <w:r w:rsidRPr="00BC1750">
        <w:rPr>
          <w:lang w:val="sr-Latn-ME"/>
        </w:rPr>
        <w:t xml:space="preserve"> međunarodno priznat</w:t>
      </w:r>
      <w:r w:rsidR="00177C7F" w:rsidRPr="00BC1750">
        <w:rPr>
          <w:lang w:val="sr-Latn-ME"/>
        </w:rPr>
        <w:t>og</w:t>
      </w:r>
      <w:r w:rsidRPr="00BC1750">
        <w:rPr>
          <w:lang w:val="sr-Latn-ME"/>
        </w:rPr>
        <w:t xml:space="preserve"> program roditeljstva „Roditeljstvo za cjeloživotno zdravlje za malu djecu“ u PU u Podgorici, Cetinju, Nikšiću i Bijelom Polju u saradnji sa UNICEF-om</w:t>
      </w:r>
      <w:r w:rsidR="00177C7F" w:rsidRPr="00BC1750">
        <w:rPr>
          <w:rStyle w:val="FootnoteReference"/>
          <w:lang w:val="sr-Latn-ME"/>
        </w:rPr>
        <w:footnoteReference w:id="9"/>
      </w:r>
      <w:r w:rsidRPr="00BC1750">
        <w:rPr>
          <w:lang w:val="sr-Latn-ME"/>
        </w:rPr>
        <w:t xml:space="preserve">. Ovaj program roditeljstva prvenstveno je usmjeren na uspostavljanje pozitivnih odnosa između roditelja i djece, na razvijanje osjećaja kompetentnosti kod roditelja, a time i na sprječavanje nasilja nad djecom i na sprječavanje problema u ponašanju kod djece. Pored toga, program obuke za sprovođenje ovog programa jedan je od programa stručnog usavršavanja nastavnika. </w:t>
      </w:r>
    </w:p>
    <w:p w14:paraId="450C9F79" w14:textId="77777777" w:rsidR="00566A90" w:rsidRDefault="00566A90" w:rsidP="00230AAD">
      <w:pPr>
        <w:rPr>
          <w:lang w:val="sr-Latn-ME"/>
        </w:rPr>
      </w:pPr>
    </w:p>
    <w:p w14:paraId="2BFB4D3C" w14:textId="25394DA8" w:rsidR="00230AAD" w:rsidRPr="00BC1750" w:rsidRDefault="00230AAD" w:rsidP="00230AAD">
      <w:pPr>
        <w:rPr>
          <w:lang w:val="sr-Latn-ME"/>
        </w:rPr>
      </w:pPr>
      <w:r w:rsidRPr="00BC1750">
        <w:rPr>
          <w:lang w:val="sr-Latn-ME"/>
        </w:rPr>
        <w:t xml:space="preserve">Najzad, započete su aktivnosti u cilju unapređenja kvaliteta ishrane u predškolskim ustanovama. Naime, Institut za javno zdravlje Crne Gore </w:t>
      </w:r>
      <w:r w:rsidR="00180CDC" w:rsidRPr="00BC1750">
        <w:rPr>
          <w:lang w:val="sr-Latn-ME"/>
        </w:rPr>
        <w:t xml:space="preserve">je sačinio </w:t>
      </w:r>
      <w:r w:rsidRPr="00BC1750">
        <w:rPr>
          <w:lang w:val="sr-Latn-ME"/>
        </w:rPr>
        <w:t>analizu jelovnika u predškolskim ustanovama sa preporukama i smjernicama za unapređenje kvaliteta ishrane u predškolskim ustanovama i uvođenje promotivno edukativnih aktivnosti za djecu što je važno zato što oko 37% dječaka u Crnoj Gori uzrasta 7 godina ima prekomjernu težinu, a 19% je gojazno, dok u slučaju djevojčice istog uzrasta podaci iznose 29% odnosno 9%.</w:t>
      </w:r>
      <w:r w:rsidRPr="00BC1750">
        <w:rPr>
          <w:rStyle w:val="FootnoteReference"/>
          <w:lang w:val="sr-Latn-ME"/>
        </w:rPr>
        <w:footnoteReference w:id="10"/>
      </w:r>
    </w:p>
    <w:p w14:paraId="104ECE62" w14:textId="77777777" w:rsidR="00566A90" w:rsidRDefault="00566A90" w:rsidP="00106DA9">
      <w:pPr>
        <w:rPr>
          <w:lang w:val="sr-Latn-ME"/>
        </w:rPr>
      </w:pPr>
    </w:p>
    <w:p w14:paraId="3369EEC4" w14:textId="688E19E3" w:rsidR="00106DA9" w:rsidRPr="00BC1750" w:rsidRDefault="00E64371" w:rsidP="00106DA9">
      <w:pPr>
        <w:rPr>
          <w:lang w:val="sr-Latn-ME"/>
        </w:rPr>
      </w:pPr>
      <w:r w:rsidRPr="00BC1750">
        <w:rPr>
          <w:lang w:val="sr-Latn-ME"/>
        </w:rPr>
        <w:t xml:space="preserve">Kada je u pitanju </w:t>
      </w:r>
      <w:r w:rsidR="00DB31F6" w:rsidRPr="00BC1750">
        <w:rPr>
          <w:lang w:val="sr-Latn-ME"/>
        </w:rPr>
        <w:t xml:space="preserve">unapređenje </w:t>
      </w:r>
      <w:r w:rsidRPr="00BC1750">
        <w:rPr>
          <w:lang w:val="sr-Latn-ME"/>
        </w:rPr>
        <w:t xml:space="preserve">kvaliteta </w:t>
      </w:r>
      <w:r w:rsidR="00BE4052" w:rsidRPr="00BC1750">
        <w:rPr>
          <w:lang w:val="sr-Latn-ME"/>
        </w:rPr>
        <w:t>PVO</w:t>
      </w:r>
      <w:r w:rsidRPr="00BC1750">
        <w:rPr>
          <w:lang w:val="sr-Latn-ME"/>
        </w:rPr>
        <w:t xml:space="preserve"> identifikovani su sledeći glavni izazovi: (a) </w:t>
      </w:r>
      <w:r w:rsidR="00CE4BF7" w:rsidRPr="00BC1750">
        <w:rPr>
          <w:lang w:val="sr-Latn-ME"/>
        </w:rPr>
        <w:t xml:space="preserve">unapređenje kvaliteta </w:t>
      </w:r>
      <w:r w:rsidR="00504CE8" w:rsidRPr="00BC1750">
        <w:rPr>
          <w:lang w:val="sr-Latn-ME"/>
        </w:rPr>
        <w:t xml:space="preserve">postojećeg </w:t>
      </w:r>
      <w:r w:rsidR="00D31D81" w:rsidRPr="00BC1750">
        <w:rPr>
          <w:lang w:val="sr-Latn-ME"/>
        </w:rPr>
        <w:t xml:space="preserve">plana i </w:t>
      </w:r>
      <w:r w:rsidR="00504CE8" w:rsidRPr="00BC1750">
        <w:rPr>
          <w:lang w:val="sr-Latn-ME"/>
        </w:rPr>
        <w:t xml:space="preserve">programa </w:t>
      </w:r>
      <w:r w:rsidR="00BE4052" w:rsidRPr="00BC1750">
        <w:rPr>
          <w:lang w:val="sr-Latn-ME"/>
        </w:rPr>
        <w:t xml:space="preserve">i sistema profesionalnog usavršavanja </w:t>
      </w:r>
      <w:r w:rsidR="00CE4BF7" w:rsidRPr="00BC1750">
        <w:rPr>
          <w:lang w:val="sr-Latn-ME"/>
        </w:rPr>
        <w:t>u skladu sa EU preporukama o visokokvalitetnom PVO</w:t>
      </w:r>
      <w:r w:rsidR="00B544F8" w:rsidRPr="00BC1750">
        <w:rPr>
          <w:lang w:val="sr-Latn-ME"/>
        </w:rPr>
        <w:t xml:space="preserve">, </w:t>
      </w:r>
      <w:r w:rsidR="00CE4BF7" w:rsidRPr="00BC1750">
        <w:rPr>
          <w:lang w:val="sr-Latn-ME"/>
        </w:rPr>
        <w:t>(b) inovira</w:t>
      </w:r>
      <w:r w:rsidR="008D1919" w:rsidRPr="00BC1750">
        <w:rPr>
          <w:lang w:val="sr-Latn-ME"/>
        </w:rPr>
        <w:t>nje</w:t>
      </w:r>
      <w:r w:rsidR="00CE4BF7" w:rsidRPr="00BC1750">
        <w:rPr>
          <w:lang w:val="sr-Latn-ME"/>
        </w:rPr>
        <w:t xml:space="preserve"> postojeć</w:t>
      </w:r>
      <w:r w:rsidR="008D1919" w:rsidRPr="00BC1750">
        <w:rPr>
          <w:lang w:val="sr-Latn-ME"/>
        </w:rPr>
        <w:t>ih</w:t>
      </w:r>
      <w:r w:rsidR="00CE4BF7" w:rsidRPr="00BC1750">
        <w:rPr>
          <w:lang w:val="sr-Latn-ME"/>
        </w:rPr>
        <w:t xml:space="preserve"> planov</w:t>
      </w:r>
      <w:r w:rsidR="008D1919" w:rsidRPr="00BC1750">
        <w:rPr>
          <w:lang w:val="sr-Latn-ME"/>
        </w:rPr>
        <w:t>a</w:t>
      </w:r>
      <w:r w:rsidR="00CE4BF7" w:rsidRPr="00BC1750">
        <w:rPr>
          <w:lang w:val="sr-Latn-ME"/>
        </w:rPr>
        <w:t xml:space="preserve"> izdavaštva kako bi oni obezb</w:t>
      </w:r>
      <w:r w:rsidR="00F23D87">
        <w:rPr>
          <w:lang w:val="sr-Latn-ME"/>
        </w:rPr>
        <w:t>ij</w:t>
      </w:r>
      <w:r w:rsidR="00CE4BF7" w:rsidRPr="00BC1750">
        <w:rPr>
          <w:lang w:val="sr-Latn-ME"/>
        </w:rPr>
        <w:t xml:space="preserve">edili razvoj i izdavanje kvalitetnog materijala </w:t>
      </w:r>
      <w:r w:rsidR="006276D5" w:rsidRPr="00BC1750">
        <w:rPr>
          <w:lang w:val="sr-Latn-ME"/>
        </w:rPr>
        <w:t xml:space="preserve">u oblasti </w:t>
      </w:r>
      <w:r w:rsidR="00CE4BF7" w:rsidRPr="00BC1750">
        <w:rPr>
          <w:lang w:val="sr-Latn-ME"/>
        </w:rPr>
        <w:t>ranog učenja i razvoja</w:t>
      </w:r>
      <w:r w:rsidR="00B544F8" w:rsidRPr="00BC1750">
        <w:rPr>
          <w:lang w:val="sr-Latn-ME"/>
        </w:rPr>
        <w:t xml:space="preserve"> i (c) pružanje podrške roditeljima u stvaranju podsticajnijeg porodičnog okruženja za rani razvoj djece (sa naglaskom ne veću uključenost očeva/staratelja pošto su, prema nalazima MICS 2018 studije oni značajno manje uključeni u rani razvoj djece)</w:t>
      </w:r>
      <w:r w:rsidR="00B544F8" w:rsidRPr="00BC1750">
        <w:rPr>
          <w:rStyle w:val="FootnoteReference"/>
          <w:lang w:val="sr-Latn-ME"/>
        </w:rPr>
        <w:footnoteReference w:id="11"/>
      </w:r>
      <w:r w:rsidR="00CE4BF7" w:rsidRPr="00BC1750">
        <w:rPr>
          <w:lang w:val="sr-Latn-ME"/>
        </w:rPr>
        <w:t>.</w:t>
      </w:r>
    </w:p>
    <w:p w14:paraId="3A504EE2" w14:textId="77777777" w:rsidR="00566A90" w:rsidRDefault="00566A90" w:rsidP="006410E3">
      <w:pPr>
        <w:rPr>
          <w:lang w:val="sr-Latn-ME"/>
        </w:rPr>
      </w:pPr>
    </w:p>
    <w:p w14:paraId="3E76970A" w14:textId="1C9D2983" w:rsidR="00581CC7" w:rsidRPr="00BC1750" w:rsidRDefault="00504CE8" w:rsidP="006410E3">
      <w:pPr>
        <w:rPr>
          <w:lang w:val="sr-Latn-ME"/>
        </w:rPr>
      </w:pPr>
      <w:r w:rsidRPr="00BC1750">
        <w:rPr>
          <w:lang w:val="sr-Latn-ME"/>
        </w:rPr>
        <w:t xml:space="preserve">U pogledu sistema </w:t>
      </w:r>
      <w:r w:rsidR="00DB31F6" w:rsidRPr="00BC1750">
        <w:rPr>
          <w:lang w:val="sr-Latn-ME"/>
        </w:rPr>
        <w:t xml:space="preserve">za </w:t>
      </w:r>
      <w:r w:rsidRPr="00BC1750">
        <w:rPr>
          <w:lang w:val="sr-Latn-ME"/>
        </w:rPr>
        <w:t>praćenj</w:t>
      </w:r>
      <w:r w:rsidR="00DB31F6" w:rsidRPr="00BC1750">
        <w:rPr>
          <w:lang w:val="sr-Latn-ME"/>
        </w:rPr>
        <w:t>e</w:t>
      </w:r>
      <w:r w:rsidRPr="00BC1750">
        <w:rPr>
          <w:lang w:val="sr-Latn-ME"/>
        </w:rPr>
        <w:t xml:space="preserve"> i </w:t>
      </w:r>
      <w:r w:rsidR="00DE64AC" w:rsidRPr="00BC1750">
        <w:rPr>
          <w:lang w:val="sr-Latn-ME"/>
        </w:rPr>
        <w:t>obezb</w:t>
      </w:r>
      <w:r w:rsidR="00F23D87">
        <w:rPr>
          <w:lang w:val="sr-Latn-ME"/>
        </w:rPr>
        <w:t>j</w:t>
      </w:r>
      <w:r w:rsidR="00DE64AC" w:rsidRPr="00BC1750">
        <w:rPr>
          <w:lang w:val="sr-Latn-ME"/>
        </w:rPr>
        <w:t>eđivanje</w:t>
      </w:r>
      <w:r w:rsidRPr="00BC1750">
        <w:rPr>
          <w:lang w:val="sr-Latn-ME"/>
        </w:rPr>
        <w:t xml:space="preserve"> kvaliteta u prethodnom periodu su </w:t>
      </w:r>
      <w:r w:rsidR="00701798" w:rsidRPr="00BC1750">
        <w:rPr>
          <w:lang w:val="sr-Latn-ME"/>
        </w:rPr>
        <w:t>uvedene jasnije i pojednostavljene procedure licenciranja vrtića (izm</w:t>
      </w:r>
      <w:r w:rsidR="0030781B" w:rsidRPr="00BC1750">
        <w:rPr>
          <w:lang w:val="sr-Latn-ME"/>
        </w:rPr>
        <w:t>j</w:t>
      </w:r>
      <w:r w:rsidR="00701798" w:rsidRPr="00BC1750">
        <w:rPr>
          <w:lang w:val="sr-Latn-ME"/>
        </w:rPr>
        <w:t xml:space="preserve">enama zakona o obrazovanju iz 2017. godine). Pored toga, </w:t>
      </w:r>
      <w:r w:rsidRPr="00BC1750">
        <w:rPr>
          <w:lang w:val="sr-Latn-ME"/>
        </w:rPr>
        <w:t xml:space="preserve">realizovane </w:t>
      </w:r>
      <w:r w:rsidR="00701798" w:rsidRPr="00BC1750">
        <w:rPr>
          <w:lang w:val="sr-Latn-ME"/>
        </w:rPr>
        <w:t xml:space="preserve">su </w:t>
      </w:r>
      <w:r w:rsidRPr="00BC1750">
        <w:rPr>
          <w:lang w:val="sr-Latn-ME"/>
        </w:rPr>
        <w:t xml:space="preserve">kontinuirane posjete PU radi pružanja savjetodavne podrške ustanovama i zaposlenima koje su bile usmjerene na prioritetne oblasti rada iz perspektive </w:t>
      </w:r>
      <w:r w:rsidR="00710A6B" w:rsidRPr="00BC1750">
        <w:rPr>
          <w:lang w:val="sr-Latn-ME"/>
        </w:rPr>
        <w:t>unaprjeđenja</w:t>
      </w:r>
      <w:r w:rsidRPr="00BC1750">
        <w:rPr>
          <w:lang w:val="sr-Latn-ME"/>
        </w:rPr>
        <w:t xml:space="preserve"> kvaliteta PU (saradnja sa roditeljima, timski rad i samoevaluacija). </w:t>
      </w:r>
      <w:r w:rsidR="00F57610" w:rsidRPr="00BC1750">
        <w:rPr>
          <w:lang w:val="sr-Latn-ME"/>
        </w:rPr>
        <w:t>Razvijen je i sistem p</w:t>
      </w:r>
      <w:r w:rsidR="00617C6D" w:rsidRPr="00BC1750">
        <w:rPr>
          <w:lang w:val="sr-Latn-ME"/>
        </w:rPr>
        <w:t>odrške</w:t>
      </w:r>
      <w:r w:rsidR="00F57610" w:rsidRPr="00BC1750">
        <w:rPr>
          <w:lang w:val="sr-Latn-ME"/>
        </w:rPr>
        <w:t xml:space="preserve"> za </w:t>
      </w:r>
      <w:r w:rsidR="00391862" w:rsidRPr="00BC1750">
        <w:rPr>
          <w:lang w:val="sr-Latn-ME"/>
        </w:rPr>
        <w:t>primjenu</w:t>
      </w:r>
      <w:r w:rsidR="00F57610" w:rsidRPr="00BC1750">
        <w:rPr>
          <w:lang w:val="sr-Latn-ME"/>
        </w:rPr>
        <w:t xml:space="preserve"> </w:t>
      </w:r>
      <w:r w:rsidR="00E14CF8" w:rsidRPr="00BC1750">
        <w:rPr>
          <w:lang w:val="sr-Latn-ME"/>
        </w:rPr>
        <w:t xml:space="preserve">Portfolija za praćenje razvoja djece i promovisana je njegova upotreba u zdravstvenim ustanovama i osnovnim školama. </w:t>
      </w:r>
      <w:r w:rsidR="00481A17" w:rsidRPr="00BC1750">
        <w:rPr>
          <w:lang w:val="sr-Latn-ME"/>
        </w:rPr>
        <w:t>U okviru Ministarstva prosvjete aktivan je MEIS sistem gdje se nalaze svi podaci o djeci koja su uključena u predškolsko vaspitanje i obrazovanje</w:t>
      </w:r>
      <w:r w:rsidR="00841FBD" w:rsidRPr="00BC1750">
        <w:rPr>
          <w:lang w:val="sr-Latn-ME"/>
        </w:rPr>
        <w:t xml:space="preserve">, a </w:t>
      </w:r>
      <w:r w:rsidR="00391862" w:rsidRPr="00BC1750">
        <w:rPr>
          <w:lang w:val="sr-Latn-ME"/>
        </w:rPr>
        <w:t>izmjenama</w:t>
      </w:r>
      <w:r w:rsidR="00481A17" w:rsidRPr="00BC1750">
        <w:rPr>
          <w:lang w:val="sr-Latn-ME"/>
        </w:rPr>
        <w:t xml:space="preserve"> i dopunama </w:t>
      </w:r>
      <w:r w:rsidR="00841FBD" w:rsidRPr="00BC1750">
        <w:rPr>
          <w:lang w:val="sr-Latn-ME"/>
        </w:rPr>
        <w:t>Opšteg z</w:t>
      </w:r>
      <w:r w:rsidR="00481A17" w:rsidRPr="00BC1750">
        <w:rPr>
          <w:lang w:val="sr-Latn-ME"/>
        </w:rPr>
        <w:t xml:space="preserve">akona o obrazovanju i vaspitanju iz 2017. godine su uvedeni mehanizmi koji </w:t>
      </w:r>
      <w:r w:rsidR="00391862" w:rsidRPr="00BC1750">
        <w:rPr>
          <w:lang w:val="sr-Latn-ME"/>
        </w:rPr>
        <w:t>obezbjeđuju</w:t>
      </w:r>
      <w:r w:rsidR="00481A17" w:rsidRPr="00BC1750">
        <w:rPr>
          <w:lang w:val="sr-Latn-ME"/>
        </w:rPr>
        <w:t xml:space="preserve"> da podaci u MEIS-u budu redovno ažurirani i da budu validni. </w:t>
      </w:r>
      <w:r w:rsidR="00E14CF8" w:rsidRPr="00BC1750">
        <w:rPr>
          <w:lang w:val="sr-Latn-ME"/>
        </w:rPr>
        <w:t xml:space="preserve">Takođe je započet i razvoj standarda i metodologije za praćenje kvaliteta vaspitno obrazovnog rada u PU. Kada je u pitanju </w:t>
      </w:r>
      <w:r w:rsidR="00DB31F6" w:rsidRPr="00BC1750">
        <w:rPr>
          <w:lang w:val="sr-Latn-ME"/>
        </w:rPr>
        <w:t>unapre</w:t>
      </w:r>
      <w:r w:rsidR="006410E3" w:rsidRPr="00BC1750">
        <w:rPr>
          <w:lang w:val="sr-Latn-ME"/>
        </w:rPr>
        <w:t xml:space="preserve">đenje sistema za </w:t>
      </w:r>
      <w:r w:rsidR="00DE64AC" w:rsidRPr="00BC1750">
        <w:rPr>
          <w:lang w:val="sr-Latn-ME"/>
        </w:rPr>
        <w:t>obezb</w:t>
      </w:r>
      <w:r w:rsidR="00F23D87">
        <w:rPr>
          <w:lang w:val="sr-Latn-ME"/>
        </w:rPr>
        <w:t>j</w:t>
      </w:r>
      <w:r w:rsidR="00DE64AC" w:rsidRPr="00BC1750">
        <w:rPr>
          <w:lang w:val="sr-Latn-ME"/>
        </w:rPr>
        <w:t>eđivanje</w:t>
      </w:r>
      <w:r w:rsidR="00E14CF8" w:rsidRPr="00BC1750">
        <w:rPr>
          <w:lang w:val="sr-Latn-ME"/>
        </w:rPr>
        <w:t xml:space="preserve"> kvaliteta PVO u narednom periodu glavni izazovi su: (a) usvajanje i primjena novih standarda i metodologije za praćenje kvaliteta vaspitno </w:t>
      </w:r>
      <w:r w:rsidR="00E14CF8" w:rsidRPr="00BC1750">
        <w:rPr>
          <w:lang w:val="sr-Latn-ME"/>
        </w:rPr>
        <w:lastRenderedPageBreak/>
        <w:t xml:space="preserve">obrazovnog rada PU, </w:t>
      </w:r>
      <w:r w:rsidR="00342ABA" w:rsidRPr="00BC1750">
        <w:rPr>
          <w:lang w:val="sr-Latn-ME"/>
        </w:rPr>
        <w:t xml:space="preserve">(b) revidiranje pedagoške i druge dokumentacije kako bi se ona uskladila sa EU preporukama o visokokvalitetnom PVO i kako bi u većoj mjeri bila u funkciji </w:t>
      </w:r>
      <w:r w:rsidR="00710A6B" w:rsidRPr="00BC1750">
        <w:rPr>
          <w:lang w:val="sr-Latn-ME"/>
        </w:rPr>
        <w:t>unaprjeđenja</w:t>
      </w:r>
      <w:r w:rsidR="00342ABA" w:rsidRPr="00BC1750">
        <w:rPr>
          <w:lang w:val="sr-Latn-ME"/>
        </w:rPr>
        <w:t xml:space="preserve"> kvaliteta rada, a u manje u funkciji administracije. </w:t>
      </w:r>
    </w:p>
    <w:p w14:paraId="03FA90AF" w14:textId="58EE4FBB" w:rsidR="00581CC7" w:rsidRPr="00BC1750" w:rsidRDefault="00581CC7" w:rsidP="00581CC7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2.3. Pravednost PVO</w:t>
      </w:r>
    </w:p>
    <w:p w14:paraId="532E5444" w14:textId="544E436E" w:rsidR="00080B96" w:rsidRPr="00BC1750" w:rsidRDefault="00DA4C16" w:rsidP="003D7DCF">
      <w:pPr>
        <w:rPr>
          <w:lang w:val="sr-Latn-ME"/>
        </w:rPr>
      </w:pPr>
      <w:r w:rsidRPr="00BC1750">
        <w:rPr>
          <w:lang w:val="sr-Latn-ME"/>
        </w:rPr>
        <w:t>Važan dio kvaliteta PVO se odnosi na obezb</w:t>
      </w:r>
      <w:r w:rsidR="00F23D87">
        <w:rPr>
          <w:lang w:val="sr-Latn-ME"/>
        </w:rPr>
        <w:t>j</w:t>
      </w:r>
      <w:r w:rsidRPr="00BC1750">
        <w:rPr>
          <w:lang w:val="sr-Latn-ME"/>
        </w:rPr>
        <w:t xml:space="preserve">eđivanje jednake dostupnosti kvalitetnih </w:t>
      </w:r>
      <w:r w:rsidR="003A64EF" w:rsidRPr="00BC1750">
        <w:rPr>
          <w:lang w:val="sr-Latn-ME"/>
        </w:rPr>
        <w:t xml:space="preserve">PVO </w:t>
      </w:r>
      <w:r w:rsidRPr="00BC1750">
        <w:rPr>
          <w:lang w:val="sr-Latn-ME"/>
        </w:rPr>
        <w:t>programa.</w:t>
      </w:r>
      <w:r w:rsidR="00B8418E" w:rsidRPr="00BC1750">
        <w:rPr>
          <w:lang w:val="sr-Latn-ME"/>
        </w:rPr>
        <w:t xml:space="preserve"> </w:t>
      </w:r>
      <w:r w:rsidRPr="00BC1750">
        <w:rPr>
          <w:lang w:val="sr-Latn-ME"/>
        </w:rPr>
        <w:t xml:space="preserve">U </w:t>
      </w:r>
      <w:r w:rsidR="00756101" w:rsidRPr="00BC1750">
        <w:rPr>
          <w:lang w:val="sr-Latn-ME"/>
        </w:rPr>
        <w:t>pogledu povećanja pravednosti PVO</w:t>
      </w:r>
      <w:r w:rsidRPr="00BC1750">
        <w:rPr>
          <w:lang w:val="sr-Latn-ME"/>
        </w:rPr>
        <w:t>, u prethodnom periodu su</w:t>
      </w:r>
      <w:r w:rsidR="00581CC7" w:rsidRPr="00BC1750">
        <w:rPr>
          <w:lang w:val="sr-Latn-ME"/>
        </w:rPr>
        <w:t xml:space="preserve"> realizovane različite</w:t>
      </w:r>
      <w:r w:rsidR="00AC2EA5" w:rsidRPr="00BC1750">
        <w:rPr>
          <w:lang w:val="sr-Latn-ME"/>
        </w:rPr>
        <w:t xml:space="preserve"> aktivnosti namijenjene podršci za kadar i djecu iz marginalizovanih grupa</w:t>
      </w:r>
      <w:r w:rsidR="00080B96" w:rsidRPr="00BC1750">
        <w:rPr>
          <w:lang w:val="sr-Latn-ME"/>
        </w:rPr>
        <w:t xml:space="preserve"> čija </w:t>
      </w:r>
      <w:r w:rsidR="00C76F43" w:rsidRPr="00BC1750">
        <w:rPr>
          <w:lang w:val="sr-Latn-ME"/>
        </w:rPr>
        <w:t xml:space="preserve">se </w:t>
      </w:r>
      <w:r w:rsidR="00080B96" w:rsidRPr="00BC1750">
        <w:rPr>
          <w:lang w:val="sr-Latn-ME"/>
        </w:rPr>
        <w:t xml:space="preserve">realizacija prati kroz redovnu saradnju i razmenu informacija i praksi sa </w:t>
      </w:r>
      <w:r w:rsidR="00B44522" w:rsidRPr="00BC1750">
        <w:rPr>
          <w:lang w:val="sr-Latn-ME"/>
        </w:rPr>
        <w:t>zaposlenima</w:t>
      </w:r>
      <w:r w:rsidR="00AC2EA5" w:rsidRPr="00BC1750">
        <w:rPr>
          <w:lang w:val="sr-Latn-ME"/>
        </w:rPr>
        <w:t xml:space="preserve"> i uprav</w:t>
      </w:r>
      <w:r w:rsidR="00B44522" w:rsidRPr="00BC1750">
        <w:rPr>
          <w:lang w:val="sr-Latn-ME"/>
        </w:rPr>
        <w:t>om</w:t>
      </w:r>
      <w:r w:rsidR="00AC2EA5" w:rsidRPr="00BC1750">
        <w:rPr>
          <w:lang w:val="sr-Latn-ME"/>
        </w:rPr>
        <w:t xml:space="preserve"> vrtića</w:t>
      </w:r>
      <w:r w:rsidR="00080B96" w:rsidRPr="00BC1750">
        <w:rPr>
          <w:lang w:val="sr-Latn-ME"/>
        </w:rPr>
        <w:t>.</w:t>
      </w:r>
    </w:p>
    <w:p w14:paraId="35EF004E" w14:textId="77777777" w:rsidR="00566A90" w:rsidRDefault="00566A90" w:rsidP="003D7DCF">
      <w:pPr>
        <w:rPr>
          <w:lang w:val="sr-Latn-ME"/>
        </w:rPr>
      </w:pPr>
    </w:p>
    <w:p w14:paraId="1F70D184" w14:textId="2A1CA36F" w:rsidR="00D353B6" w:rsidRPr="00BC1750" w:rsidRDefault="00D353B6" w:rsidP="003D7DCF">
      <w:pPr>
        <w:rPr>
          <w:lang w:val="sr-Latn-ME"/>
        </w:rPr>
      </w:pPr>
      <w:r w:rsidRPr="00BC1750">
        <w:rPr>
          <w:lang w:val="sr-Latn-ME"/>
        </w:rPr>
        <w:t>Važna mjera koja je doprin</w:t>
      </w:r>
      <w:r w:rsidR="00B4290E" w:rsidRPr="00BC1750">
        <w:rPr>
          <w:lang w:val="sr-Latn-ME"/>
        </w:rPr>
        <w:t>ij</w:t>
      </w:r>
      <w:r w:rsidRPr="00BC1750">
        <w:rPr>
          <w:lang w:val="sr-Latn-ME"/>
        </w:rPr>
        <w:t>ela većoj dostupnosti PV</w:t>
      </w:r>
      <w:r w:rsidR="007D1C4D" w:rsidRPr="00BC1750">
        <w:rPr>
          <w:lang w:val="sr-Latn-ME"/>
        </w:rPr>
        <w:t>O</w:t>
      </w:r>
      <w:r w:rsidRPr="00BC1750">
        <w:rPr>
          <w:lang w:val="sr-Latn-ME"/>
        </w:rPr>
        <w:t xml:space="preserve"> za djecu iz ranjivih grupa jeste pokrivanje ukupnih troškova za boravak </w:t>
      </w:r>
      <w:r w:rsidR="00AB6810" w:rsidRPr="00BC1750">
        <w:rPr>
          <w:lang w:val="sr-Latn-ME"/>
        </w:rPr>
        <w:t xml:space="preserve">i ishranu </w:t>
      </w:r>
      <w:r w:rsidRPr="00BC1750">
        <w:rPr>
          <w:lang w:val="sr-Latn-ME"/>
        </w:rPr>
        <w:t>djece sa rješenjem o usmjeravanju,</w:t>
      </w:r>
      <w:r w:rsidR="00F3068C" w:rsidRPr="00BC1750">
        <w:rPr>
          <w:lang w:val="sr-Latn-ME"/>
        </w:rPr>
        <w:t xml:space="preserve"> djece iz</w:t>
      </w:r>
      <w:r w:rsidRPr="00BC1750">
        <w:rPr>
          <w:lang w:val="sr-Latn-ME"/>
        </w:rPr>
        <w:t xml:space="preserve"> </w:t>
      </w:r>
      <w:r w:rsidR="00F3068C" w:rsidRPr="00BC1750">
        <w:rPr>
          <w:lang w:val="sr-Latn-ME"/>
        </w:rPr>
        <w:t>romske i egipćanske</w:t>
      </w:r>
      <w:r w:rsidRPr="00BC1750">
        <w:rPr>
          <w:lang w:val="sr-Latn-ME"/>
        </w:rPr>
        <w:t xml:space="preserve"> </w:t>
      </w:r>
      <w:r w:rsidR="00F3068C" w:rsidRPr="00BC1750">
        <w:rPr>
          <w:lang w:val="sr-Latn-ME"/>
        </w:rPr>
        <w:t>zajednice</w:t>
      </w:r>
      <w:r w:rsidRPr="00BC1750">
        <w:rPr>
          <w:lang w:val="sr-Latn-ME"/>
        </w:rPr>
        <w:t>, porodica korisnika MOP-a i bez roditeljskog staranja od strane Ministarstva rada i socijalnog staranja i pokrivanj</w:t>
      </w:r>
      <w:r w:rsidR="00BB5A4A" w:rsidRPr="00BC1750">
        <w:rPr>
          <w:lang w:val="sr-Latn-ME"/>
        </w:rPr>
        <w:t>e</w:t>
      </w:r>
      <w:r w:rsidRPr="00BC1750">
        <w:rPr>
          <w:lang w:val="sr-Latn-ME"/>
        </w:rPr>
        <w:t xml:space="preserve"> 50% cijene za djecu samohranih roditelja od strane Ministarstva prosvjete.</w:t>
      </w:r>
      <w:r w:rsidR="0022360D" w:rsidRPr="00BC1750">
        <w:rPr>
          <w:lang w:val="sr-Latn-ME"/>
        </w:rPr>
        <w:t xml:space="preserve"> </w:t>
      </w:r>
      <w:r w:rsidR="00BB5A4A" w:rsidRPr="00BC1750">
        <w:rPr>
          <w:lang w:val="sr-Latn-ME"/>
        </w:rPr>
        <w:t xml:space="preserve">Izmjenama zakona iz oblasti obrazovanja 2017. godine precizno je utvrđeno načelo nediskriminacije u skladu sa posebnim propisom što će doprijeti većoj inkluzivnosti PVO. </w:t>
      </w:r>
      <w:r w:rsidR="0022360D" w:rsidRPr="00BC1750">
        <w:rPr>
          <w:lang w:val="sr-Latn-ME"/>
        </w:rPr>
        <w:t>Pored toga, uvođenje trosatnih programa i interaktivnih službi sa bibliotekama igračaka i knjiga je u značajnoj mjeri povećalo dostupnost PVO djeci koja žive u udaljenim i teško dostupnim sredinama koja su tradicionalno bila veoma malo uključena u programa PVO.</w:t>
      </w:r>
    </w:p>
    <w:p w14:paraId="2CEB7FC3" w14:textId="77777777" w:rsidR="00566A90" w:rsidRDefault="00566A90" w:rsidP="003D7DCF">
      <w:pPr>
        <w:rPr>
          <w:lang w:val="sr-Latn-ME"/>
        </w:rPr>
      </w:pPr>
    </w:p>
    <w:p w14:paraId="12537516" w14:textId="482F658E" w:rsidR="00D2603F" w:rsidRPr="00BC1750" w:rsidRDefault="00AC2EA5" w:rsidP="003D7DCF">
      <w:pPr>
        <w:rPr>
          <w:lang w:val="sr-Latn-ME"/>
        </w:rPr>
      </w:pPr>
      <w:r w:rsidRPr="00BC1750">
        <w:rPr>
          <w:lang w:val="sr-Latn-ME"/>
        </w:rPr>
        <w:t xml:space="preserve">Za djecu </w:t>
      </w:r>
      <w:r w:rsidR="00F3068C" w:rsidRPr="00BC1750">
        <w:rPr>
          <w:lang w:val="sr-Latn-ME"/>
        </w:rPr>
        <w:t>iz romskih i egipćanskih zajednica</w:t>
      </w:r>
      <w:r w:rsidRPr="00BC1750">
        <w:rPr>
          <w:lang w:val="sr-Latn-ME"/>
        </w:rPr>
        <w:t xml:space="preserve"> fokus je </w:t>
      </w:r>
      <w:r w:rsidR="00581CC7" w:rsidRPr="00BC1750">
        <w:rPr>
          <w:lang w:val="sr-Latn-ME"/>
        </w:rPr>
        <w:t xml:space="preserve">bio </w:t>
      </w:r>
      <w:r w:rsidRPr="00BC1750">
        <w:rPr>
          <w:lang w:val="sr-Latn-ME"/>
        </w:rPr>
        <w:t>na integraciji</w:t>
      </w:r>
      <w:r w:rsidR="00581CC7" w:rsidRPr="00BC1750">
        <w:rPr>
          <w:lang w:val="sr-Latn-ME"/>
        </w:rPr>
        <w:t xml:space="preserve"> kroz </w:t>
      </w:r>
      <w:r w:rsidR="00D2603F" w:rsidRPr="00BC1750">
        <w:rPr>
          <w:lang w:val="sr-Latn-ME"/>
        </w:rPr>
        <w:t xml:space="preserve">redovnu </w:t>
      </w:r>
      <w:r w:rsidR="00581CC7" w:rsidRPr="00BC1750">
        <w:rPr>
          <w:lang w:val="sr-Latn-ME"/>
        </w:rPr>
        <w:t xml:space="preserve">realizaciju </w:t>
      </w:r>
      <w:r w:rsidRPr="00BC1750">
        <w:rPr>
          <w:lang w:val="sr-Latn-ME"/>
        </w:rPr>
        <w:t>tzv. „pripremni</w:t>
      </w:r>
      <w:r w:rsidR="00581CC7" w:rsidRPr="00BC1750">
        <w:rPr>
          <w:lang w:val="sr-Latn-ME"/>
        </w:rPr>
        <w:t>h</w:t>
      </w:r>
      <w:r w:rsidRPr="00BC1750">
        <w:rPr>
          <w:lang w:val="sr-Latn-ME"/>
        </w:rPr>
        <w:t xml:space="preserve"> vrtić</w:t>
      </w:r>
      <w:r w:rsidR="00581CC7" w:rsidRPr="00BC1750">
        <w:rPr>
          <w:lang w:val="sr-Latn-ME"/>
        </w:rPr>
        <w:t>a</w:t>
      </w:r>
      <w:r w:rsidRPr="00BC1750">
        <w:rPr>
          <w:lang w:val="sr-Latn-ME"/>
        </w:rPr>
        <w:t xml:space="preserve">“ </w:t>
      </w:r>
      <w:r w:rsidR="0022360D" w:rsidRPr="00BC1750">
        <w:rPr>
          <w:lang w:val="sr-Latn-ME"/>
        </w:rPr>
        <w:t xml:space="preserve">(svake godine </w:t>
      </w:r>
      <w:r w:rsidR="00D2603F" w:rsidRPr="00BC1750">
        <w:rPr>
          <w:lang w:val="sr-Latn-ME"/>
        </w:rPr>
        <w:t>u periodu april-jun</w:t>
      </w:r>
      <w:r w:rsidR="0022360D" w:rsidRPr="00BC1750">
        <w:rPr>
          <w:lang w:val="sr-Latn-ME"/>
        </w:rPr>
        <w:t>)</w:t>
      </w:r>
      <w:r w:rsidR="00D2603F" w:rsidRPr="00BC1750">
        <w:rPr>
          <w:lang w:val="sr-Latn-ME"/>
        </w:rPr>
        <w:t xml:space="preserve"> </w:t>
      </w:r>
      <w:r w:rsidRPr="00BC1750">
        <w:rPr>
          <w:lang w:val="sr-Latn-ME"/>
        </w:rPr>
        <w:t>s</w:t>
      </w:r>
      <w:r w:rsidR="00581CC7" w:rsidRPr="00BC1750">
        <w:rPr>
          <w:lang w:val="sr-Latn-ME"/>
        </w:rPr>
        <w:t>a</w:t>
      </w:r>
      <w:r w:rsidRPr="00BC1750">
        <w:rPr>
          <w:lang w:val="sr-Latn-ME"/>
        </w:rPr>
        <w:t xml:space="preserve"> </w:t>
      </w:r>
      <w:r w:rsidR="00581CC7" w:rsidRPr="00BC1750">
        <w:rPr>
          <w:lang w:val="sr-Latn-ME"/>
        </w:rPr>
        <w:t>primarnim ciljem da se d</w:t>
      </w:r>
      <w:r w:rsidR="00A428F6">
        <w:rPr>
          <w:lang w:val="sr-Latn-ME"/>
        </w:rPr>
        <w:t>j</w:t>
      </w:r>
      <w:r w:rsidR="00581CC7" w:rsidRPr="00BC1750">
        <w:rPr>
          <w:lang w:val="sr-Latn-ME"/>
        </w:rPr>
        <w:t xml:space="preserve">eca iz ove populacije adekvatno pripreme za upis </w:t>
      </w:r>
      <w:r w:rsidRPr="00BC1750">
        <w:rPr>
          <w:lang w:val="sr-Latn-ME"/>
        </w:rPr>
        <w:t xml:space="preserve">u osnovnu školu. </w:t>
      </w:r>
      <w:r w:rsidR="006C5111" w:rsidRPr="00BC1750">
        <w:rPr>
          <w:lang w:val="sr-Latn-ME"/>
        </w:rPr>
        <w:t>Pored toga, uvedeno je novo zanimanje Saradnik u socijalnoj inkluziji Roma i Egipćana u oblasti obrazovanja, razvijen je standard zanimanja i organizovana je njihova obuka. Ključni zadatak Saradnika u obrazovanju jeste da pruža stručnu podršku porodicama iz romske i egipćanske zajednice pri upisu djece u obrazovanja</w:t>
      </w:r>
      <w:r w:rsidR="00CC081E" w:rsidRPr="00BC1750">
        <w:rPr>
          <w:lang w:val="sr-Latn-ME"/>
        </w:rPr>
        <w:t xml:space="preserve">, kao i da </w:t>
      </w:r>
      <w:r w:rsidR="006C5111" w:rsidRPr="00BC1750">
        <w:rPr>
          <w:lang w:val="sr-Latn-ME"/>
        </w:rPr>
        <w:t>u saradnji sa školskim institucijama pomogne pri identifikaciji i upisu romske i egipćanske djece u obrazovni sistem</w:t>
      </w:r>
      <w:r w:rsidR="00CC081E" w:rsidRPr="00BC1750">
        <w:rPr>
          <w:lang w:val="sr-Latn-ME"/>
        </w:rPr>
        <w:t xml:space="preserve">. </w:t>
      </w:r>
      <w:r w:rsidRPr="00BC1750">
        <w:rPr>
          <w:lang w:val="sr-Latn-ME"/>
        </w:rPr>
        <w:t>Takođe, u opštinama u kojima se bilježi značajan broj</w:t>
      </w:r>
      <w:r w:rsidR="00F3068C" w:rsidRPr="00BC1750">
        <w:rPr>
          <w:lang w:val="sr-Latn-ME"/>
        </w:rPr>
        <w:t xml:space="preserve"> djece iz </w:t>
      </w:r>
      <w:r w:rsidRPr="00BC1750">
        <w:rPr>
          <w:lang w:val="sr-Latn-ME"/>
        </w:rPr>
        <w:t xml:space="preserve">RE </w:t>
      </w:r>
      <w:r w:rsidR="00F3068C" w:rsidRPr="00BC1750">
        <w:rPr>
          <w:lang w:val="sr-Latn-ME"/>
        </w:rPr>
        <w:t>zajednica</w:t>
      </w:r>
      <w:r w:rsidRPr="00BC1750">
        <w:rPr>
          <w:lang w:val="sr-Latn-ME"/>
        </w:rPr>
        <w:t xml:space="preserve"> </w:t>
      </w:r>
      <w:r w:rsidR="0022360D" w:rsidRPr="00BC1750">
        <w:rPr>
          <w:lang w:val="sr-Latn-ME"/>
        </w:rPr>
        <w:t xml:space="preserve">realizovano </w:t>
      </w:r>
      <w:r w:rsidRPr="00BC1750">
        <w:rPr>
          <w:lang w:val="sr-Latn-ME"/>
        </w:rPr>
        <w:t xml:space="preserve">je </w:t>
      </w:r>
      <w:r w:rsidR="0022360D" w:rsidRPr="00BC1750">
        <w:rPr>
          <w:lang w:val="sr-Latn-ME"/>
        </w:rPr>
        <w:t xml:space="preserve">i </w:t>
      </w:r>
      <w:r w:rsidRPr="00BC1750">
        <w:rPr>
          <w:lang w:val="sr-Latn-ME"/>
        </w:rPr>
        <w:t>dopunsk</w:t>
      </w:r>
      <w:r w:rsidR="0022360D" w:rsidRPr="00BC1750">
        <w:rPr>
          <w:lang w:val="sr-Latn-ME"/>
        </w:rPr>
        <w:t>o</w:t>
      </w:r>
      <w:r w:rsidRPr="00BC1750">
        <w:rPr>
          <w:lang w:val="sr-Latn-ME"/>
        </w:rPr>
        <w:t xml:space="preserve"> praćenj</w:t>
      </w:r>
      <w:r w:rsidR="0022360D" w:rsidRPr="00BC1750">
        <w:rPr>
          <w:lang w:val="sr-Latn-ME"/>
        </w:rPr>
        <w:t>e</w:t>
      </w:r>
      <w:r w:rsidR="00D2603F" w:rsidRPr="00BC1750">
        <w:rPr>
          <w:lang w:val="sr-Latn-ME"/>
        </w:rPr>
        <w:t xml:space="preserve"> radi </w:t>
      </w:r>
      <w:r w:rsidR="00F23D87">
        <w:rPr>
          <w:lang w:val="sr-Latn-ME"/>
        </w:rPr>
        <w:t>obezbjeđivanja</w:t>
      </w:r>
      <w:r w:rsidRPr="00BC1750">
        <w:rPr>
          <w:lang w:val="sr-Latn-ME"/>
        </w:rPr>
        <w:t xml:space="preserve"> pune integracije u redovne predškolske aktivnosti</w:t>
      </w:r>
      <w:r w:rsidR="00D2603F" w:rsidRPr="00BC1750">
        <w:rPr>
          <w:lang w:val="sr-Latn-ME"/>
        </w:rPr>
        <w:t xml:space="preserve"> (terenski obilasci, praćenje dolazaka i pohađanja, rad s roditeljima, savjetovanja zaposlenih, rad u zajednici i monitoring mehanizma i sl</w:t>
      </w:r>
      <w:r w:rsidR="00D7208E" w:rsidRPr="00BC1750">
        <w:rPr>
          <w:lang w:val="sr-Latn-ME"/>
        </w:rPr>
        <w:t>.</w:t>
      </w:r>
      <w:r w:rsidR="00D2603F" w:rsidRPr="00BC1750">
        <w:rPr>
          <w:lang w:val="sr-Latn-ME"/>
        </w:rPr>
        <w:t>)</w:t>
      </w:r>
      <w:r w:rsidR="00D7208E" w:rsidRPr="00BC1750">
        <w:rPr>
          <w:lang w:val="sr-Latn-ME"/>
        </w:rPr>
        <w:t xml:space="preserve"> što je doprinijelo povećanju obuhvata djece iz ovih zajednica</w:t>
      </w:r>
      <w:r w:rsidR="00D2603F" w:rsidRPr="00BC1750">
        <w:rPr>
          <w:lang w:val="sr-Latn-ME"/>
        </w:rPr>
        <w:t xml:space="preserve">. </w:t>
      </w:r>
    </w:p>
    <w:p w14:paraId="619123FE" w14:textId="77777777" w:rsidR="00566A90" w:rsidRDefault="00566A90" w:rsidP="003D7DCF">
      <w:pPr>
        <w:rPr>
          <w:lang w:val="sr-Latn-ME"/>
        </w:rPr>
      </w:pPr>
    </w:p>
    <w:p w14:paraId="5ADD1E66" w14:textId="28E926B6" w:rsidR="0075226B" w:rsidRPr="00BC1750" w:rsidRDefault="00AC2EA5" w:rsidP="003D7DCF">
      <w:pPr>
        <w:rPr>
          <w:lang w:val="sr-Latn-ME"/>
        </w:rPr>
      </w:pPr>
      <w:r w:rsidRPr="00BC1750">
        <w:rPr>
          <w:lang w:val="sr-Latn-ME"/>
        </w:rPr>
        <w:t>Uveden</w:t>
      </w:r>
      <w:r w:rsidR="00581CC7" w:rsidRPr="00BC1750">
        <w:rPr>
          <w:lang w:val="sr-Latn-ME"/>
        </w:rPr>
        <w:t xml:space="preserve"> je i program </w:t>
      </w:r>
      <w:r w:rsidRPr="00BC1750">
        <w:rPr>
          <w:lang w:val="sr-Latn-ME"/>
        </w:rPr>
        <w:t>ran</w:t>
      </w:r>
      <w:r w:rsidR="00581CC7" w:rsidRPr="00BC1750">
        <w:rPr>
          <w:lang w:val="sr-Latn-ME"/>
        </w:rPr>
        <w:t>ih</w:t>
      </w:r>
      <w:r w:rsidRPr="00BC1750">
        <w:rPr>
          <w:lang w:val="sr-Latn-ME"/>
        </w:rPr>
        <w:t xml:space="preserve"> intervencija i </w:t>
      </w:r>
      <w:r w:rsidR="00581CC7" w:rsidRPr="00BC1750">
        <w:rPr>
          <w:lang w:val="sr-Latn-ME"/>
        </w:rPr>
        <w:t xml:space="preserve">pružanja rane </w:t>
      </w:r>
      <w:r w:rsidRPr="00BC1750">
        <w:rPr>
          <w:lang w:val="sr-Latn-ME"/>
        </w:rPr>
        <w:t>podršk</w:t>
      </w:r>
      <w:r w:rsidR="00581CC7" w:rsidRPr="00BC1750">
        <w:rPr>
          <w:lang w:val="sr-Latn-ME"/>
        </w:rPr>
        <w:t>e</w:t>
      </w:r>
      <w:r w:rsidRPr="00BC1750">
        <w:rPr>
          <w:lang w:val="sr-Latn-ME"/>
        </w:rPr>
        <w:t xml:space="preserve"> djeci s posebnim obrazovnim potrebama</w:t>
      </w:r>
      <w:r w:rsidR="00581CC7" w:rsidRPr="00BC1750">
        <w:rPr>
          <w:lang w:val="sr-Latn-ME"/>
        </w:rPr>
        <w:t xml:space="preserve"> koji se sprovodi od strane resursnih centara</w:t>
      </w:r>
      <w:r w:rsidRPr="00BC1750">
        <w:rPr>
          <w:lang w:val="sr-Latn-ME"/>
        </w:rPr>
        <w:t xml:space="preserve"> (od strane defektologa, psihologa, pedagoga</w:t>
      </w:r>
      <w:r w:rsidR="00617C6D" w:rsidRPr="00BC1750">
        <w:rPr>
          <w:lang w:val="sr-Latn-ME"/>
        </w:rPr>
        <w:t>, drugih terapeuta</w:t>
      </w:r>
      <w:r w:rsidRPr="00BC1750">
        <w:rPr>
          <w:lang w:val="sr-Latn-ME"/>
        </w:rPr>
        <w:t xml:space="preserve">). </w:t>
      </w:r>
      <w:r w:rsidR="00581CC7" w:rsidRPr="00BC1750">
        <w:rPr>
          <w:lang w:val="sr-Latn-ME"/>
        </w:rPr>
        <w:t>Stručnjaci iz resursnih centara</w:t>
      </w:r>
      <w:r w:rsidR="00C83C67" w:rsidRPr="00BC1750">
        <w:rPr>
          <w:lang w:val="sr-Latn-ME"/>
        </w:rPr>
        <w:t xml:space="preserve"> su pružali obuku i podršku </w:t>
      </w:r>
      <w:r w:rsidR="00140D6F" w:rsidRPr="00BC1750">
        <w:rPr>
          <w:lang w:val="sr-Latn-ME"/>
        </w:rPr>
        <w:t xml:space="preserve">zaposlenima u </w:t>
      </w:r>
      <w:r w:rsidR="00617C6D" w:rsidRPr="00BC1750">
        <w:rPr>
          <w:lang w:val="sr-Latn-ME"/>
        </w:rPr>
        <w:t>J</w:t>
      </w:r>
      <w:r w:rsidR="00140D6F" w:rsidRPr="00BC1750">
        <w:rPr>
          <w:lang w:val="sr-Latn-ME"/>
        </w:rPr>
        <w:t xml:space="preserve">PU u radu sa djecom s autizmom, tjelesnim i smetnjama vida u koje su bili uključeni i stručnjaci iz zdravstvenih ustanova i lokalnih komisija za usmjeravanje sa ciljem da unaprijede vještine </w:t>
      </w:r>
      <w:r w:rsidRPr="00BC1750">
        <w:rPr>
          <w:lang w:val="sr-Latn-ME"/>
        </w:rPr>
        <w:t>prepoznavanj</w:t>
      </w:r>
      <w:r w:rsidR="00140D6F" w:rsidRPr="00BC1750">
        <w:rPr>
          <w:lang w:val="sr-Latn-ME"/>
        </w:rPr>
        <w:t>a</w:t>
      </w:r>
      <w:r w:rsidR="00C83C67" w:rsidRPr="00BC1750">
        <w:rPr>
          <w:lang w:val="sr-Latn-ME"/>
        </w:rPr>
        <w:t xml:space="preserve"> potreba djece i </w:t>
      </w:r>
      <w:r w:rsidRPr="00BC1750">
        <w:rPr>
          <w:lang w:val="sr-Latn-ME"/>
        </w:rPr>
        <w:t>prilagođavanj</w:t>
      </w:r>
      <w:r w:rsidR="00140D6F" w:rsidRPr="00BC1750">
        <w:rPr>
          <w:lang w:val="sr-Latn-ME"/>
        </w:rPr>
        <w:t>a</w:t>
      </w:r>
      <w:r w:rsidRPr="00BC1750">
        <w:rPr>
          <w:lang w:val="sr-Latn-ME"/>
        </w:rPr>
        <w:t xml:space="preserve"> i izradu didaktičkih sredstava. </w:t>
      </w:r>
      <w:r w:rsidR="008027A3" w:rsidRPr="00BC1750">
        <w:rPr>
          <w:lang w:val="sr-Latn-ME"/>
        </w:rPr>
        <w:t xml:space="preserve">Pored toga, vaspitači su </w:t>
      </w:r>
      <w:r w:rsidR="00765C23" w:rsidRPr="00BC1750">
        <w:rPr>
          <w:lang w:val="sr-Latn-ME"/>
        </w:rPr>
        <w:t xml:space="preserve">obučeni za ciljanu izradu didaktike koja se integriše u svakodnevni rad, </w:t>
      </w:r>
      <w:r w:rsidR="00765C23" w:rsidRPr="00BC1750">
        <w:rPr>
          <w:lang w:val="sr-Latn-ME"/>
        </w:rPr>
        <w:lastRenderedPageBreak/>
        <w:t xml:space="preserve">kao i neposredno praktično vođeni (engl. coaching). </w:t>
      </w:r>
      <w:r w:rsidR="0075226B" w:rsidRPr="00BC1750">
        <w:rPr>
          <w:lang w:val="sr-Latn-ME"/>
        </w:rPr>
        <w:t>U Analizi podrške i multisektorskog odgovora na potrebe djece sa smetnjama u razvoju u Crnoj Gori</w:t>
      </w:r>
      <w:r w:rsidR="0075226B" w:rsidRPr="00BC1750">
        <w:rPr>
          <w:rStyle w:val="FootnoteReference"/>
          <w:lang w:val="sr-Latn-ME"/>
        </w:rPr>
        <w:footnoteReference w:id="12"/>
      </w:r>
      <w:r w:rsidR="0075226B" w:rsidRPr="00BC1750">
        <w:rPr>
          <w:lang w:val="sr-Latn-ME"/>
        </w:rPr>
        <w:t xml:space="preserve"> ocjenjuje se da opšti pristup nije dovoljno tra</w:t>
      </w:r>
      <w:r w:rsidR="001318E4" w:rsidRPr="00BC1750">
        <w:rPr>
          <w:lang w:val="sr-Latn-ME"/>
        </w:rPr>
        <w:t>n</w:t>
      </w:r>
      <w:r w:rsidR="0075226B" w:rsidRPr="00BC1750">
        <w:rPr>
          <w:lang w:val="sr-Latn-ME"/>
        </w:rPr>
        <w:t xml:space="preserve">sformisan u pravcu bio-psiho-socijalnog modela i da još </w:t>
      </w:r>
      <w:r w:rsidR="001318E4" w:rsidRPr="00BC1750">
        <w:rPr>
          <w:lang w:val="sr-Latn-ME"/>
        </w:rPr>
        <w:t>uvijek</w:t>
      </w:r>
      <w:r w:rsidR="0075226B" w:rsidRPr="00BC1750">
        <w:rPr>
          <w:lang w:val="sr-Latn-ME"/>
        </w:rPr>
        <w:t xml:space="preserve"> dominira medicinski model, da je opšti nivo dostupnosti uslug</w:t>
      </w:r>
      <w:r w:rsidR="00617C6D" w:rsidRPr="00BC1750">
        <w:rPr>
          <w:lang w:val="sr-Latn-ME"/>
        </w:rPr>
        <w:t>a</w:t>
      </w:r>
      <w:r w:rsidR="0075226B" w:rsidRPr="00BC1750">
        <w:rPr>
          <w:lang w:val="sr-Latn-ME"/>
        </w:rPr>
        <w:t xml:space="preserve"> nedovoljan i da međusektorska saradnja nije na zadovoljavajućem nivou.</w:t>
      </w:r>
    </w:p>
    <w:p w14:paraId="181EC468" w14:textId="77777777" w:rsidR="00566A90" w:rsidRDefault="00566A90" w:rsidP="003D7DCF">
      <w:pPr>
        <w:rPr>
          <w:lang w:val="sr-Latn-ME"/>
        </w:rPr>
      </w:pPr>
    </w:p>
    <w:p w14:paraId="7034E174" w14:textId="1E558BF6" w:rsidR="00FA30CD" w:rsidRPr="00BC1750" w:rsidRDefault="00AC2EA5" w:rsidP="003D7DCF">
      <w:pPr>
        <w:rPr>
          <w:lang w:val="sr-Latn-ME"/>
        </w:rPr>
      </w:pPr>
      <w:r w:rsidRPr="00BC1750">
        <w:rPr>
          <w:lang w:val="sr-Latn-ME"/>
        </w:rPr>
        <w:t>Djeca bez roditeljskog staranja iz JU Dječiji dom „Mladost” uključena su već treću školsku godinu u redovni predškolski program</w:t>
      </w:r>
      <w:r w:rsidR="00C83C67" w:rsidRPr="00BC1750">
        <w:rPr>
          <w:lang w:val="sr-Latn-ME"/>
        </w:rPr>
        <w:t>, a s</w:t>
      </w:r>
      <w:r w:rsidRPr="00BC1750">
        <w:rPr>
          <w:lang w:val="sr-Latn-ME"/>
        </w:rPr>
        <w:t xml:space="preserve">provedene su </w:t>
      </w:r>
      <w:r w:rsidR="00C83C67" w:rsidRPr="00BC1750">
        <w:rPr>
          <w:lang w:val="sr-Latn-ME"/>
        </w:rPr>
        <w:t xml:space="preserve">i </w:t>
      </w:r>
      <w:r w:rsidRPr="00BC1750">
        <w:rPr>
          <w:lang w:val="sr-Latn-ME"/>
        </w:rPr>
        <w:t xml:space="preserve">obuke za </w:t>
      </w:r>
      <w:r w:rsidR="00C83C67" w:rsidRPr="00BC1750">
        <w:rPr>
          <w:lang w:val="sr-Latn-ME"/>
        </w:rPr>
        <w:t>zaposlene</w:t>
      </w:r>
      <w:r w:rsidRPr="00BC1750">
        <w:rPr>
          <w:lang w:val="sr-Latn-ME"/>
        </w:rPr>
        <w:t xml:space="preserve"> vrtića i Dječijeg doma Bijela.</w:t>
      </w:r>
    </w:p>
    <w:p w14:paraId="6F618A4B" w14:textId="77777777" w:rsidR="00566A90" w:rsidRDefault="00566A90" w:rsidP="003D7DCF">
      <w:pPr>
        <w:rPr>
          <w:lang w:val="sr-Latn-ME"/>
        </w:rPr>
      </w:pPr>
    </w:p>
    <w:p w14:paraId="702E5A5C" w14:textId="3FE76779" w:rsidR="00B4290E" w:rsidRPr="00BC1750" w:rsidRDefault="00B960AA" w:rsidP="003D7DCF">
      <w:pPr>
        <w:rPr>
          <w:lang w:val="sr-Latn-ME"/>
        </w:rPr>
      </w:pPr>
      <w:r w:rsidRPr="00BC1750">
        <w:rPr>
          <w:lang w:val="sr-Latn-ME"/>
        </w:rPr>
        <w:t xml:space="preserve">Sve navedene mjere koje su realizovane u prethodnom periodu su doprinijele unapređenju pravednosti što se pokazuje i kroz poređenje nalaza MICS studije iz 2013. i 2018. godine. Ipak nalazi MICS 2018 ukazuju da i dalje postoje značajni izazovi u domenu pravednosti PVO. Naime, prema nalazima MICS 2018 studija </w:t>
      </w:r>
      <w:r w:rsidR="00920968" w:rsidRPr="00BC1750">
        <w:rPr>
          <w:lang w:val="sr-Latn-ME"/>
        </w:rPr>
        <w:t xml:space="preserve">stopa pohađanja </w:t>
      </w:r>
      <w:r w:rsidRPr="00BC1750">
        <w:rPr>
          <w:lang w:val="sr-Latn-ME"/>
        </w:rPr>
        <w:t>dječaka i djevojčica uzrasta 3-6 godina je relativno sličan (53% naspram 47%), ali postoje značajne razlike u obuhvatu djece iz pojedinih grupa - stopa upisa za djecu iz najbogatijih porodica je 65%, a za djecu iz 20% najsiromašnijih porodica svega 18%; obuhvat djece iz urbanih sredina je 62%, a za djecu iz ruralnih sredina svega 35%; svega 16% djece iz romskih naselja uzrasta 3-6 godina je upisano u  PVO, dok je u opštoj populaciji djece istog uzrasta stopa upisa oko 53%</w:t>
      </w:r>
      <w:r w:rsidRPr="00BC1750">
        <w:rPr>
          <w:rStyle w:val="FootnoteReference"/>
          <w:lang w:val="sr-Latn-ME"/>
        </w:rPr>
        <w:footnoteReference w:id="13"/>
      </w:r>
      <w:r w:rsidRPr="00BC1750">
        <w:rPr>
          <w:lang w:val="sr-Latn-ME"/>
        </w:rPr>
        <w:t>. Pored toga, nalazi iste studije ukazuju na značajne razlike u pogledu indeksa ranog razvoja (ECDI indeks</w:t>
      </w:r>
      <w:r w:rsidRPr="00BC1750">
        <w:rPr>
          <w:rStyle w:val="FootnoteReference"/>
          <w:lang w:val="sr-Latn-ME"/>
        </w:rPr>
        <w:footnoteReference w:id="14"/>
      </w:r>
      <w:r w:rsidRPr="00BC1750">
        <w:rPr>
          <w:lang w:val="sr-Latn-ME"/>
        </w:rPr>
        <w:t>) – prosječna vrijednost indeksa za djecu iz najbogatijih porodica je 92 dok je za djecu iz najsiromašnijih porodica 76; prosječna vrijednost indeksa za djecu visokoobrazovanih majki je 97, dok je vrijednost ovog indeksa 76 u slučaju djece čije su majke nisko obrazovane (završile su osnovnu školu ili nemaju završenu osnovnu školu); prosječni ECDI indeks za djecu koja pohađaju PVO je 97, dok je on značajno niži za djecu koja ne pohađaju PVO i iznosi oko 83</w:t>
      </w:r>
      <w:r w:rsidRPr="00BC1750">
        <w:rPr>
          <w:rStyle w:val="FootnoteReference"/>
          <w:lang w:val="sr-Latn-ME"/>
        </w:rPr>
        <w:footnoteReference w:id="15"/>
      </w:r>
      <w:r w:rsidRPr="00BC1750">
        <w:rPr>
          <w:lang w:val="sr-Latn-ME"/>
        </w:rPr>
        <w:t xml:space="preserve">. Ovi nalazi ukazuju da djeca iz siromašnijih porodica, ruralnih sredina i djeca čiji roditelji imaju nizak nivo obrazovanja nemaju iste šanse za rani razvoj i da je, stoga, ona imaju potrebu da budu u većoj mjeri uključena u PVO i da se njihovi roditelji podrže u </w:t>
      </w:r>
      <w:r w:rsidR="00F23D87">
        <w:rPr>
          <w:lang w:val="sr-Latn-ME"/>
        </w:rPr>
        <w:t>obezbjeđivanju</w:t>
      </w:r>
      <w:r w:rsidRPr="00BC1750">
        <w:rPr>
          <w:lang w:val="sr-Latn-ME"/>
        </w:rPr>
        <w:t xml:space="preserve"> podsticajnijeg porodičnog okruženja za rani razvoj.   </w:t>
      </w:r>
    </w:p>
    <w:p w14:paraId="0C034826" w14:textId="77777777" w:rsidR="00566A90" w:rsidRDefault="00566A90" w:rsidP="003D7DCF">
      <w:pPr>
        <w:rPr>
          <w:lang w:val="sr-Latn-ME"/>
        </w:rPr>
      </w:pPr>
    </w:p>
    <w:p w14:paraId="52E72A54" w14:textId="71C00E56" w:rsidR="00B960AA" w:rsidRPr="00BC1750" w:rsidRDefault="00B4290E" w:rsidP="003D7DCF">
      <w:pPr>
        <w:rPr>
          <w:lang w:val="sr-Latn-ME"/>
        </w:rPr>
      </w:pPr>
      <w:r w:rsidRPr="00BC1750">
        <w:rPr>
          <w:lang w:val="sr-Latn-ME"/>
        </w:rPr>
        <w:t xml:space="preserve">Tokom pauze izazvane epidemije koronavirusom roditeljima je bilo omogućeno da koriste pripremljeni materijal za rad sa djecom koji je bio objavljen na web stranici Školski portal (www.skolskiportal.edu.me). U saradnji sa kancelarijom UNICEF-a u Crnoj Gori </w:t>
      </w:r>
      <w:r w:rsidR="000839CC" w:rsidRPr="00BC1750">
        <w:rPr>
          <w:lang w:val="sr-Latn-ME"/>
        </w:rPr>
        <w:t>kreirani</w:t>
      </w:r>
      <w:r w:rsidRPr="00BC1750">
        <w:rPr>
          <w:lang w:val="sr-Latn-ME"/>
        </w:rPr>
        <w:t xml:space="preserve"> su kratki </w:t>
      </w:r>
      <w:r w:rsidRPr="00BC1750">
        <w:rPr>
          <w:lang w:val="sr-Latn-ME"/>
        </w:rPr>
        <w:lastRenderedPageBreak/>
        <w:t xml:space="preserve">video sadržaji sa ciljem da inspirišu i usmjere roditelje na koji način da rade sa svojom djecom pod nazivom #IgrajSeDoma. Vaspitači su na snimcima edukovali roditelje kako da naprave određeni didaktički materijal i kako da podstiču razvoj svoje djece na kvalitetan način. </w:t>
      </w:r>
      <w:r w:rsidR="00765C23" w:rsidRPr="00BC1750">
        <w:rPr>
          <w:lang w:val="sr-Latn-ME"/>
        </w:rPr>
        <w:t xml:space="preserve">Takođe, </w:t>
      </w:r>
      <w:r w:rsidR="000839CC" w:rsidRPr="00BC1750">
        <w:rPr>
          <w:lang w:val="sr-Latn-ME"/>
        </w:rPr>
        <w:t xml:space="preserve">vaspitaču su bili u svakodnevnom kontaktu sa roditelja i </w:t>
      </w:r>
      <w:r w:rsidR="00765C23" w:rsidRPr="00BC1750">
        <w:rPr>
          <w:lang w:val="sr-Latn-ME"/>
        </w:rPr>
        <w:t xml:space="preserve">slali </w:t>
      </w:r>
      <w:r w:rsidR="000839CC" w:rsidRPr="00BC1750">
        <w:rPr>
          <w:lang w:val="sr-Latn-ME"/>
        </w:rPr>
        <w:t xml:space="preserve">su im </w:t>
      </w:r>
      <w:r w:rsidR="00765C23" w:rsidRPr="00BC1750">
        <w:rPr>
          <w:lang w:val="sr-Latn-ME"/>
        </w:rPr>
        <w:t xml:space="preserve">instrukcije, ideje za učenje, razvoj i rad </w:t>
      </w:r>
      <w:r w:rsidR="000839CC" w:rsidRPr="00BC1750">
        <w:rPr>
          <w:lang w:val="sr-Latn-ME"/>
        </w:rPr>
        <w:t>sa d</w:t>
      </w:r>
      <w:r w:rsidR="00A428F6">
        <w:rPr>
          <w:lang w:val="sr-Latn-ME"/>
        </w:rPr>
        <w:t>j</w:t>
      </w:r>
      <w:r w:rsidR="000839CC" w:rsidRPr="00BC1750">
        <w:rPr>
          <w:lang w:val="sr-Latn-ME"/>
        </w:rPr>
        <w:t xml:space="preserve">ecom </w:t>
      </w:r>
      <w:r w:rsidR="00765C23" w:rsidRPr="00BC1750">
        <w:rPr>
          <w:lang w:val="sr-Latn-ME"/>
        </w:rPr>
        <w:t>kod kuće.</w:t>
      </w:r>
      <w:r w:rsidR="00B960AA" w:rsidRPr="00BC1750">
        <w:rPr>
          <w:lang w:val="sr-Latn-ME"/>
        </w:rPr>
        <w:t xml:space="preserve">   </w:t>
      </w:r>
    </w:p>
    <w:p w14:paraId="74F398AB" w14:textId="77777777" w:rsidR="00566A90" w:rsidRDefault="00140D6F" w:rsidP="0022360D">
      <w:pPr>
        <w:spacing w:after="160"/>
        <w:ind w:firstLine="0"/>
        <w:rPr>
          <w:lang w:val="sr-Latn-ME"/>
        </w:rPr>
      </w:pPr>
      <w:r w:rsidRPr="00BC1750">
        <w:rPr>
          <w:lang w:val="sr-Latn-ME"/>
        </w:rPr>
        <w:tab/>
      </w:r>
    </w:p>
    <w:p w14:paraId="19578232" w14:textId="6C0E2C5F" w:rsidR="0022360D" w:rsidRPr="00BC1750" w:rsidRDefault="00256EEE" w:rsidP="0022360D">
      <w:pPr>
        <w:spacing w:after="160"/>
        <w:ind w:firstLine="0"/>
        <w:rPr>
          <w:lang w:val="sr-Latn-ME"/>
        </w:rPr>
      </w:pPr>
      <w:r w:rsidRPr="00BC1750">
        <w:rPr>
          <w:lang w:val="sr-Latn-ME"/>
        </w:rPr>
        <w:t xml:space="preserve">Kada je </w:t>
      </w:r>
      <w:r w:rsidR="00E26BDE" w:rsidRPr="00BC1750">
        <w:rPr>
          <w:lang w:val="sr-Latn-ME"/>
        </w:rPr>
        <w:t xml:space="preserve">u pitanju povećanje dostupnosti PVO djeci i roditeljima iz osjetljivih grupa </w:t>
      </w:r>
      <w:r w:rsidR="0022360D" w:rsidRPr="00BC1750">
        <w:rPr>
          <w:lang w:val="sr-Latn-ME"/>
        </w:rPr>
        <w:t xml:space="preserve">najveći izazovi za naredni period predstavljaju </w:t>
      </w:r>
      <w:r w:rsidR="008F1062" w:rsidRPr="00BC1750">
        <w:rPr>
          <w:lang w:val="sr-Latn-ME"/>
        </w:rPr>
        <w:t xml:space="preserve">povećanje obuhvata i </w:t>
      </w:r>
      <w:r w:rsidR="00F23D87">
        <w:rPr>
          <w:lang w:val="sr-Latn-ME"/>
        </w:rPr>
        <w:t>obezbjeđivanje</w:t>
      </w:r>
      <w:r w:rsidR="0022360D" w:rsidRPr="00BC1750">
        <w:rPr>
          <w:lang w:val="sr-Latn-ME"/>
        </w:rPr>
        <w:t xml:space="preserve"> redovnog pohađanja PVO, podizanje profesionalnih kapaciteta zaposlenih u radu sa djecom iz osjetljivih grupa, prilagođavanje didaktičkih sredstava za rad sa djecom iz osjetljivih grupa</w:t>
      </w:r>
      <w:r w:rsidR="0075226B" w:rsidRPr="00BC1750">
        <w:rPr>
          <w:lang w:val="sr-Latn-ME"/>
        </w:rPr>
        <w:t>, jačanje ranih intervencija za djecu sa posebnim potrebama i njihovim roditeljima</w:t>
      </w:r>
      <w:r w:rsidR="0022360D" w:rsidRPr="00BC1750">
        <w:rPr>
          <w:lang w:val="sr-Latn-ME"/>
        </w:rPr>
        <w:t xml:space="preserve"> i </w:t>
      </w:r>
      <w:r w:rsidR="00F23D87">
        <w:rPr>
          <w:lang w:val="sr-Latn-ME"/>
        </w:rPr>
        <w:t>obezbjeđivanje</w:t>
      </w:r>
      <w:r w:rsidR="0075226B" w:rsidRPr="00BC1750">
        <w:rPr>
          <w:lang w:val="sr-Latn-ME"/>
        </w:rPr>
        <w:t xml:space="preserve"> </w:t>
      </w:r>
      <w:r w:rsidR="001318E4" w:rsidRPr="00BC1750">
        <w:rPr>
          <w:lang w:val="sr-Latn-ME"/>
        </w:rPr>
        <w:t>djelotvornije</w:t>
      </w:r>
      <w:r w:rsidR="0022360D" w:rsidRPr="00BC1750">
        <w:rPr>
          <w:lang w:val="sr-Latn-ME"/>
        </w:rPr>
        <w:t xml:space="preserve"> inter resorne saradnje </w:t>
      </w:r>
      <w:r w:rsidR="00427A58" w:rsidRPr="00BC1750">
        <w:rPr>
          <w:lang w:val="sr-Latn-ME"/>
        </w:rPr>
        <w:t xml:space="preserve">i saradnje sa NVO </w:t>
      </w:r>
      <w:r w:rsidR="0022360D" w:rsidRPr="00BC1750">
        <w:rPr>
          <w:lang w:val="sr-Latn-ME"/>
        </w:rPr>
        <w:t>bez koj</w:t>
      </w:r>
      <w:r w:rsidR="00427A58" w:rsidRPr="00BC1750">
        <w:rPr>
          <w:lang w:val="sr-Latn-ME"/>
        </w:rPr>
        <w:t>ih</w:t>
      </w:r>
      <w:r w:rsidR="0022360D" w:rsidRPr="00BC1750">
        <w:rPr>
          <w:lang w:val="sr-Latn-ME"/>
        </w:rPr>
        <w:t xml:space="preserve"> je teško </w:t>
      </w:r>
      <w:r w:rsidR="00F23D87">
        <w:rPr>
          <w:lang w:val="sr-Latn-ME"/>
        </w:rPr>
        <w:t>obezbijediti</w:t>
      </w:r>
      <w:r w:rsidR="0022360D" w:rsidRPr="00BC1750">
        <w:rPr>
          <w:lang w:val="sr-Latn-ME"/>
        </w:rPr>
        <w:t xml:space="preserve"> kvalitetnu inkluzivnost PVO.</w:t>
      </w:r>
    </w:p>
    <w:p w14:paraId="30FB429F" w14:textId="734DE59D" w:rsidR="00532083" w:rsidRPr="00BC1750" w:rsidRDefault="00532083" w:rsidP="00532083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2.4. SWOT analiza</w:t>
      </w:r>
    </w:p>
    <w:p w14:paraId="4A260E31" w14:textId="1D75D9B7" w:rsidR="00532083" w:rsidRPr="00BC1750" w:rsidRDefault="00532083" w:rsidP="0022360D">
      <w:pPr>
        <w:spacing w:after="160"/>
        <w:ind w:firstLine="0"/>
        <w:rPr>
          <w:lang w:val="sr-Latn-ME"/>
        </w:rPr>
      </w:pPr>
      <w:r w:rsidRPr="00BC1750">
        <w:rPr>
          <w:lang w:val="sr-Latn-ME"/>
        </w:rPr>
        <w:tab/>
        <w:t xml:space="preserve">Na osnovu analize postojećeg stanja i na osnovu konsultativnog procesa sa donosiocima odluka, stručnjacima i praktičarima u oblasti PVO </w:t>
      </w:r>
      <w:r w:rsidR="00BC6421" w:rsidRPr="00BC1750">
        <w:rPr>
          <w:lang w:val="sr-Latn-ME"/>
        </w:rPr>
        <w:t xml:space="preserve">identifikovane su specifične </w:t>
      </w:r>
      <w:r w:rsidR="002E76E1" w:rsidRPr="00BC1750">
        <w:rPr>
          <w:lang w:val="sr-Latn-ME"/>
        </w:rPr>
        <w:t>prijednosti</w:t>
      </w:r>
      <w:r w:rsidR="00BC6421" w:rsidRPr="00BC1750">
        <w:rPr>
          <w:lang w:val="sr-Latn-ME"/>
        </w:rPr>
        <w:t>, slabosti, šanse i prijetnje (SWOT analiza) i one su sumirane u tabeli 1.</w:t>
      </w:r>
      <w:r w:rsidRPr="00BC1750">
        <w:rPr>
          <w:lang w:val="sr-Latn-ME"/>
        </w:rPr>
        <w:t xml:space="preserve"> </w:t>
      </w:r>
    </w:p>
    <w:p w14:paraId="66B58A81" w14:textId="4BB57111" w:rsidR="00800989" w:rsidRPr="00BC1750" w:rsidRDefault="00800989" w:rsidP="00800989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  <w:r w:rsidRPr="00BC1750">
        <w:rPr>
          <w:i w:val="0"/>
          <w:iCs w:val="0"/>
          <w:color w:val="auto"/>
          <w:sz w:val="24"/>
          <w:szCs w:val="24"/>
          <w:lang w:val="sr-Latn-ME"/>
        </w:rPr>
        <w:t xml:space="preserve">Tabela 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begin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instrText xml:space="preserve"> SEQ Tabela \* ARABIC </w:instrTex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separate"/>
      </w:r>
      <w:r w:rsidR="0054592B" w:rsidRPr="00BC1750">
        <w:rPr>
          <w:i w:val="0"/>
          <w:iCs w:val="0"/>
          <w:noProof/>
          <w:color w:val="auto"/>
          <w:sz w:val="24"/>
          <w:szCs w:val="24"/>
          <w:lang w:val="sr-Latn-ME"/>
        </w:rPr>
        <w:t>1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end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t>. SWOT analiza sistema PVO u Crnoj Gori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4608"/>
        <w:gridCol w:w="4747"/>
      </w:tblGrid>
      <w:tr w:rsidR="0087161C" w:rsidRPr="009730D2" w14:paraId="2937E615" w14:textId="77777777" w:rsidTr="00946D9A">
        <w:tc>
          <w:tcPr>
            <w:tcW w:w="4608" w:type="dxa"/>
          </w:tcPr>
          <w:p w14:paraId="0586CC4A" w14:textId="73A9AFF3" w:rsidR="0087161C" w:rsidRPr="00BC1750" w:rsidRDefault="0087161C" w:rsidP="0075226B">
            <w:pPr>
              <w:ind w:firstLine="0"/>
              <w:jc w:val="center"/>
              <w:rPr>
                <w:b/>
                <w:bCs/>
                <w:lang w:val="sr-Latn-ME"/>
              </w:rPr>
            </w:pPr>
            <w:r w:rsidRPr="00BC1750">
              <w:rPr>
                <w:b/>
                <w:bCs/>
                <w:lang w:val="sr-Latn-ME"/>
              </w:rPr>
              <w:t>PREDNOSTI</w:t>
            </w:r>
          </w:p>
          <w:p w14:paraId="17039F2C" w14:textId="7622AE35" w:rsidR="0087161C" w:rsidRPr="00BC1750" w:rsidRDefault="007158A6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Širenje kapaciteta PVO</w:t>
            </w:r>
            <w:r w:rsidR="00A104E5" w:rsidRPr="00BC1750">
              <w:rPr>
                <w:lang w:val="sr-Latn-ME"/>
              </w:rPr>
              <w:t xml:space="preserve"> izgradnjom novih objekata i adaptacijom postojećih</w:t>
            </w:r>
          </w:p>
          <w:p w14:paraId="3BCDD967" w14:textId="77777777" w:rsidR="0087161C" w:rsidRPr="00BC1750" w:rsidRDefault="007158A6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Kontinuirano povećanje obuhvata djece</w:t>
            </w:r>
          </w:p>
          <w:p w14:paraId="24E666A5" w14:textId="701494D1" w:rsidR="007158A6" w:rsidRPr="00BC1750" w:rsidRDefault="0043131D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Povećana </w:t>
            </w:r>
            <w:r w:rsidR="007158A6" w:rsidRPr="00BC1750">
              <w:rPr>
                <w:lang w:val="sr-Latn-ME"/>
              </w:rPr>
              <w:t>dostupnost za djecu iz osjetljivih grupa</w:t>
            </w:r>
            <w:r w:rsidRPr="00BC1750">
              <w:rPr>
                <w:lang w:val="sr-Latn-ME"/>
              </w:rPr>
              <w:t xml:space="preserve"> u prethodnim godinama</w:t>
            </w:r>
          </w:p>
          <w:p w14:paraId="51328A9A" w14:textId="6E934701" w:rsidR="00E90BC7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Uvođenje novih programa (</w:t>
            </w:r>
            <w:r w:rsidR="0043131D" w:rsidRPr="00BC1750">
              <w:rPr>
                <w:lang w:val="sr-Latn-ME"/>
              </w:rPr>
              <w:t>tročasovni</w:t>
            </w:r>
            <w:r w:rsidRPr="00BC1750">
              <w:rPr>
                <w:lang w:val="sr-Latn-ME"/>
              </w:rPr>
              <w:t xml:space="preserve"> programi, interaktivna služba, Engleski jezik</w:t>
            </w:r>
            <w:r w:rsidR="00AE39D4" w:rsidRPr="00BC1750">
              <w:rPr>
                <w:lang w:val="sr-Latn-ME"/>
              </w:rPr>
              <w:t>, rane intervencije</w:t>
            </w:r>
            <w:r w:rsidRPr="00BC1750">
              <w:rPr>
                <w:lang w:val="sr-Latn-ME"/>
              </w:rPr>
              <w:t>)</w:t>
            </w:r>
          </w:p>
          <w:p w14:paraId="46784A7F" w14:textId="459AF34A" w:rsidR="00A104E5" w:rsidRPr="00BC1750" w:rsidRDefault="00A104E5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Kvalifikovani</w:t>
            </w:r>
            <w:r w:rsidR="008D7304" w:rsidRPr="00BC1750">
              <w:rPr>
                <w:lang w:val="sr-Latn-ME"/>
              </w:rPr>
              <w:t>, kreativan,</w:t>
            </w:r>
            <w:r w:rsidRPr="00BC1750">
              <w:rPr>
                <w:lang w:val="sr-Latn-ME"/>
              </w:rPr>
              <w:t xml:space="preserve"> i posvećen kadar</w:t>
            </w:r>
            <w:r w:rsidR="00BD2ED1" w:rsidRPr="00BC1750">
              <w:rPr>
                <w:lang w:val="sr-Latn-ME"/>
              </w:rPr>
              <w:t xml:space="preserve"> koji učestvuje u programima profesionalnog usavršavanja</w:t>
            </w:r>
          </w:p>
          <w:p w14:paraId="046209B5" w14:textId="1F3D129A" w:rsidR="00446010" w:rsidRPr="00BC1750" w:rsidRDefault="00446010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Postoji viš</w:t>
            </w:r>
            <w:r w:rsidR="008946AB" w:rsidRPr="00BC1750">
              <w:rPr>
                <w:lang w:val="sr-Latn-ME"/>
              </w:rPr>
              <w:t>i</w:t>
            </w:r>
            <w:r w:rsidRPr="00BC1750">
              <w:rPr>
                <w:lang w:val="sr-Latn-ME"/>
              </w:rPr>
              <w:t xml:space="preserve"> nivo svijesti među praktičarima o potrebi holističkog pristupa usmjerenog na rani razvoj djece i saradnje sa roditeljima/starateljima</w:t>
            </w:r>
          </w:p>
          <w:p w14:paraId="1B4A4987" w14:textId="0DF7DEA0" w:rsidR="00A104E5" w:rsidRPr="00BC1750" w:rsidRDefault="00A104E5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Postoji viši nivo svijesti o značaju inkluzije</w:t>
            </w:r>
            <w:r w:rsidR="00E90BC7" w:rsidRPr="00BC1750">
              <w:rPr>
                <w:lang w:val="sr-Latn-ME"/>
              </w:rPr>
              <w:t xml:space="preserve"> među donosiocima odluka i praktičarima</w:t>
            </w:r>
          </w:p>
          <w:p w14:paraId="1D16D41A" w14:textId="77777777" w:rsidR="00A104E5" w:rsidRPr="00BC1750" w:rsidRDefault="00A104E5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Dobra saradnja između donosioca odluka i praktičara</w:t>
            </w:r>
          </w:p>
          <w:p w14:paraId="5AED389D" w14:textId="77777777" w:rsidR="005C63C9" w:rsidRPr="00BC1750" w:rsidRDefault="00446010" w:rsidP="005C63C9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>Pravno su omogućeni diversifikovani programi usmjereni na potrebe porodica</w:t>
            </w:r>
          </w:p>
          <w:p w14:paraId="28264E86" w14:textId="591DC4A4" w:rsidR="00927697" w:rsidRPr="00BC1750" w:rsidRDefault="00507776" w:rsidP="005C63C9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Pokrenuto </w:t>
            </w:r>
            <w:r w:rsidR="00AC4297" w:rsidRPr="00BC1750">
              <w:rPr>
                <w:lang w:val="sr-Latn-ME"/>
              </w:rPr>
              <w:t xml:space="preserve">je </w:t>
            </w:r>
            <w:r w:rsidRPr="00BC1750">
              <w:rPr>
                <w:lang w:val="sr-Latn-ME"/>
              </w:rPr>
              <w:t>praktično vođenje</w:t>
            </w:r>
            <w:r w:rsidR="005C63C9" w:rsidRPr="00BC1750">
              <w:rPr>
                <w:lang w:val="sr-Latn-ME"/>
              </w:rPr>
              <w:t xml:space="preserve"> za programe: portfolio, interaktivne službe, prilagođavanje u radu sa djecom s posebnim obrazovnim potrebama i monitoring pohađanja RE djece</w:t>
            </w:r>
          </w:p>
          <w:p w14:paraId="656A01E7" w14:textId="17D17AF4" w:rsidR="00AC4297" w:rsidRPr="00BC1750" w:rsidRDefault="00AC4297" w:rsidP="00BD2ED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Sistem je u toku krize pokazao kapacitet da pruži podršku djeci i porodicama na nove i inovativne načine (npr. sistem učenja i podrške na daljinu)</w:t>
            </w:r>
          </w:p>
        </w:tc>
        <w:tc>
          <w:tcPr>
            <w:tcW w:w="4747" w:type="dxa"/>
          </w:tcPr>
          <w:p w14:paraId="56D5D6E5" w14:textId="75CC9F26" w:rsidR="0087161C" w:rsidRPr="00BC1750" w:rsidRDefault="00A104E5" w:rsidP="0075226B">
            <w:pPr>
              <w:ind w:firstLine="0"/>
              <w:jc w:val="center"/>
              <w:rPr>
                <w:b/>
                <w:bCs/>
                <w:lang w:val="sr-Latn-ME"/>
              </w:rPr>
            </w:pPr>
            <w:r w:rsidRPr="00BC1750">
              <w:rPr>
                <w:b/>
                <w:bCs/>
                <w:lang w:val="sr-Latn-ME"/>
              </w:rPr>
              <w:lastRenderedPageBreak/>
              <w:t>SLABOSTI</w:t>
            </w:r>
          </w:p>
          <w:p w14:paraId="2B4C08DD" w14:textId="0FEE8623" w:rsidR="0087161C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Nedostatak </w:t>
            </w:r>
            <w:r w:rsidR="007815D1" w:rsidRPr="00BC1750">
              <w:rPr>
                <w:lang w:val="sr-Latn-ME"/>
              </w:rPr>
              <w:t xml:space="preserve">prostornih </w:t>
            </w:r>
            <w:r w:rsidRPr="00BC1750">
              <w:rPr>
                <w:lang w:val="sr-Latn-ME"/>
              </w:rPr>
              <w:t>kapaciteta</w:t>
            </w:r>
          </w:p>
          <w:p w14:paraId="245498F9" w14:textId="2CA346A0" w:rsidR="00446010" w:rsidRPr="00BC1750" w:rsidRDefault="00446010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Nedovoljan broj vaspitača i stručnih saradnika</w:t>
            </w:r>
            <w:r w:rsidR="007815D1" w:rsidRPr="00BC1750">
              <w:rPr>
                <w:lang w:val="sr-Latn-ME"/>
              </w:rPr>
              <w:t>, a u nekim opštinama postoji i deficit ponude</w:t>
            </w:r>
          </w:p>
          <w:p w14:paraId="108EB5DF" w14:textId="3C3556C1" w:rsidR="00E90BC7" w:rsidRPr="00BC1750" w:rsidRDefault="0043131D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Broj djece u vaspitnim grupama  je daleko veći od zakonskih normi što ugrožava kvalitet usluga</w:t>
            </w:r>
          </w:p>
          <w:p w14:paraId="3A6E8ACC" w14:textId="4B212021" w:rsidR="00E90BC7" w:rsidRPr="00BC1750" w:rsidRDefault="00D31D81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Nacionalni plan i program</w:t>
            </w:r>
            <w:r w:rsidR="00E90BC7" w:rsidRPr="00BC1750">
              <w:rPr>
                <w:lang w:val="sr-Latn-ME"/>
              </w:rPr>
              <w:t xml:space="preserve"> nije usklađen sa EU standardima visokokvalitetnog PVO</w:t>
            </w:r>
          </w:p>
          <w:p w14:paraId="4ECC8AD4" w14:textId="3ADF2ACA" w:rsidR="00446010" w:rsidRPr="00BC1750" w:rsidRDefault="00446010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Kontinuirani profesionalni razvoj je djel</w:t>
            </w:r>
            <w:r w:rsidR="007815D1" w:rsidRPr="00BC1750">
              <w:rPr>
                <w:lang w:val="sr-Latn-ME"/>
              </w:rPr>
              <w:t>i</w:t>
            </w:r>
            <w:r w:rsidRPr="00BC1750">
              <w:rPr>
                <w:lang w:val="sr-Latn-ME"/>
              </w:rPr>
              <w:t xml:space="preserve">mično usklađen sa EU standardima </w:t>
            </w:r>
          </w:p>
          <w:p w14:paraId="39B95151" w14:textId="7D7BC321" w:rsidR="0087161C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Niži obuhvat djece </w:t>
            </w:r>
            <w:r w:rsidR="00C76F43" w:rsidRPr="00BC1750">
              <w:rPr>
                <w:lang w:val="sr-Latn-ME"/>
              </w:rPr>
              <w:t xml:space="preserve">jaslenog uzrasta i djece </w:t>
            </w:r>
            <w:r w:rsidRPr="00BC1750">
              <w:rPr>
                <w:lang w:val="sr-Latn-ME"/>
              </w:rPr>
              <w:t>iz najugroženijih grupa (</w:t>
            </w:r>
            <w:r w:rsidR="00F3068C" w:rsidRPr="00BC1750">
              <w:rPr>
                <w:lang w:val="sr-Latn-ME"/>
              </w:rPr>
              <w:t xml:space="preserve">djeca iz </w:t>
            </w:r>
            <w:r w:rsidRPr="00BC1750">
              <w:rPr>
                <w:lang w:val="sr-Latn-ME"/>
              </w:rPr>
              <w:t xml:space="preserve">RE </w:t>
            </w:r>
            <w:r w:rsidR="00F3068C" w:rsidRPr="00BC1750">
              <w:rPr>
                <w:lang w:val="sr-Latn-ME"/>
              </w:rPr>
              <w:t>zajednica</w:t>
            </w:r>
            <w:r w:rsidRPr="00BC1750">
              <w:rPr>
                <w:lang w:val="sr-Latn-ME"/>
              </w:rPr>
              <w:t>, djeca korisnika MOP-a, djeca iz ruralnih područja)</w:t>
            </w:r>
          </w:p>
          <w:p w14:paraId="7E279F10" w14:textId="62836DFA" w:rsidR="00446010" w:rsidRPr="00BC1750" w:rsidRDefault="00BD2ED1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Postojeće </w:t>
            </w:r>
            <w:r w:rsidR="00446010" w:rsidRPr="00BC1750">
              <w:rPr>
                <w:lang w:val="sr-Latn-ME"/>
              </w:rPr>
              <w:t xml:space="preserve">usluge </w:t>
            </w:r>
            <w:r w:rsidRPr="00BC1750">
              <w:rPr>
                <w:lang w:val="sr-Latn-ME"/>
              </w:rPr>
              <w:t xml:space="preserve">i programi namijenjeni </w:t>
            </w:r>
            <w:r w:rsidR="00446010" w:rsidRPr="00BC1750">
              <w:rPr>
                <w:lang w:val="sr-Latn-ME"/>
              </w:rPr>
              <w:t>djec</w:t>
            </w:r>
            <w:r w:rsidRPr="00BC1750">
              <w:rPr>
                <w:lang w:val="sr-Latn-ME"/>
              </w:rPr>
              <w:t>i</w:t>
            </w:r>
            <w:r w:rsidR="00446010" w:rsidRPr="00BC1750">
              <w:rPr>
                <w:lang w:val="sr-Latn-ME"/>
              </w:rPr>
              <w:t xml:space="preserve"> iz osjetljivih grupa</w:t>
            </w:r>
            <w:r w:rsidRPr="00BC1750">
              <w:rPr>
                <w:lang w:val="sr-Latn-ME"/>
              </w:rPr>
              <w:t xml:space="preserve"> nijesu dovoljne da obezb</w:t>
            </w:r>
            <w:r w:rsidR="00F23D87">
              <w:rPr>
                <w:lang w:val="sr-Latn-ME"/>
              </w:rPr>
              <w:t>ij</w:t>
            </w:r>
            <w:r w:rsidRPr="00BC1750">
              <w:rPr>
                <w:lang w:val="sr-Latn-ME"/>
              </w:rPr>
              <w:t xml:space="preserve">ede jednaku dostupnost kvalitetnom PVO </w:t>
            </w:r>
          </w:p>
          <w:p w14:paraId="30EF0202" w14:textId="484FAFFA" w:rsidR="0055621B" w:rsidRPr="00BC1750" w:rsidRDefault="0055621B" w:rsidP="007815D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Niži nivo </w:t>
            </w:r>
            <w:r w:rsidR="007815D1" w:rsidRPr="00BC1750">
              <w:rPr>
                <w:lang w:val="sr-Latn-ME"/>
              </w:rPr>
              <w:t xml:space="preserve">kontinuiteta </w:t>
            </w:r>
            <w:r w:rsidRPr="00BC1750">
              <w:rPr>
                <w:lang w:val="sr-Latn-ME"/>
              </w:rPr>
              <w:t>prisutnosti od strane upisane djece</w:t>
            </w:r>
          </w:p>
          <w:p w14:paraId="0BFB9EDE" w14:textId="2340BB1A" w:rsidR="003A08DC" w:rsidRPr="00BC1750" w:rsidRDefault="003A08DC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 xml:space="preserve">Sistem nadzora i </w:t>
            </w:r>
            <w:r w:rsidR="00F23D87">
              <w:rPr>
                <w:lang w:val="sr-Latn-ME"/>
              </w:rPr>
              <w:t>obezbjeđivanja</w:t>
            </w:r>
            <w:r w:rsidRPr="00BC1750">
              <w:rPr>
                <w:lang w:val="sr-Latn-ME"/>
              </w:rPr>
              <w:t xml:space="preserve"> kvaliteta je nedovoljno participativan i </w:t>
            </w:r>
            <w:r w:rsidR="00BD2ED1" w:rsidRPr="00BC1750">
              <w:rPr>
                <w:lang w:val="sr-Latn-ME"/>
              </w:rPr>
              <w:t xml:space="preserve">treba da bude u većoj mjeri savjetodavan i usmjeren na </w:t>
            </w:r>
            <w:r w:rsidRPr="00BC1750">
              <w:rPr>
                <w:lang w:val="sr-Latn-ME"/>
              </w:rPr>
              <w:t>unapr</w:t>
            </w:r>
            <w:r w:rsidR="00BD2ED1" w:rsidRPr="00BC1750">
              <w:rPr>
                <w:lang w:val="sr-Latn-ME"/>
              </w:rPr>
              <w:t>eđenje kvaliteta i pravednosti PVO</w:t>
            </w:r>
          </w:p>
          <w:p w14:paraId="17F5E7B8" w14:textId="72AD4B11" w:rsidR="0055621B" w:rsidRPr="00BC1750" w:rsidRDefault="00BD2ED1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Iako je p</w:t>
            </w:r>
            <w:r w:rsidR="0055621B" w:rsidRPr="00BC1750">
              <w:rPr>
                <w:lang w:val="sr-Latn-ME"/>
              </w:rPr>
              <w:t>edagoška i administrativna dokumentacija</w:t>
            </w:r>
            <w:r w:rsidRPr="00BC1750">
              <w:rPr>
                <w:lang w:val="sr-Latn-ME"/>
              </w:rPr>
              <w:t xml:space="preserve"> postala preciznija i jasnija ona je preobimna  </w:t>
            </w:r>
          </w:p>
          <w:p w14:paraId="35BA35CC" w14:textId="77777777" w:rsidR="0055621B" w:rsidRPr="00BC1750" w:rsidRDefault="00446010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Nedovoljni nivo saradnje sa roditeljima/starateljima</w:t>
            </w:r>
          </w:p>
          <w:p w14:paraId="3329BBB2" w14:textId="69868781" w:rsidR="003A56A6" w:rsidRPr="00BC1750" w:rsidRDefault="003A56A6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Nedovoljni kapaciteti PU za pružanje podrške roditeljima u </w:t>
            </w:r>
            <w:r w:rsidR="00F23D87">
              <w:rPr>
                <w:lang w:val="sr-Latn-ME"/>
              </w:rPr>
              <w:t>obezbjeđivanju</w:t>
            </w:r>
            <w:r w:rsidRPr="00BC1750">
              <w:rPr>
                <w:lang w:val="sr-Latn-ME"/>
              </w:rPr>
              <w:t xml:space="preserve"> podsticajnog okruženja za rani razvoj</w:t>
            </w:r>
          </w:p>
          <w:p w14:paraId="2ED7D5F5" w14:textId="6509A7E4" w:rsidR="00085AC6" w:rsidRPr="00BC1750" w:rsidRDefault="0043131D" w:rsidP="00085AC6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Neredovno plaćanje mjesečne naknade za boravak u vrtiću</w:t>
            </w:r>
          </w:p>
        </w:tc>
      </w:tr>
      <w:tr w:rsidR="0087161C" w:rsidRPr="009730D2" w14:paraId="1FAA931D" w14:textId="77777777" w:rsidTr="00946D9A">
        <w:tc>
          <w:tcPr>
            <w:tcW w:w="4608" w:type="dxa"/>
          </w:tcPr>
          <w:p w14:paraId="5D183F50" w14:textId="47C43D66" w:rsidR="0087161C" w:rsidRPr="00BC1750" w:rsidRDefault="00A104E5" w:rsidP="0075226B">
            <w:pPr>
              <w:ind w:firstLine="0"/>
              <w:jc w:val="center"/>
              <w:rPr>
                <w:b/>
                <w:bCs/>
                <w:lang w:val="sr-Latn-ME"/>
              </w:rPr>
            </w:pPr>
            <w:r w:rsidRPr="00BC1750">
              <w:rPr>
                <w:b/>
                <w:bCs/>
                <w:lang w:val="sr-Latn-ME"/>
              </w:rPr>
              <w:lastRenderedPageBreak/>
              <w:t>ŠANSE</w:t>
            </w:r>
          </w:p>
          <w:p w14:paraId="52249BAB" w14:textId="78CF6993" w:rsidR="00E90BC7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Postoji viši nivo društvene svijest o značaju PVO i inkluzije</w:t>
            </w:r>
          </w:p>
          <w:p w14:paraId="523B8DD4" w14:textId="08DD0B85" w:rsidR="00E90BC7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Spremnost da se više sredstava ulaže u PVO  </w:t>
            </w:r>
          </w:p>
          <w:p w14:paraId="2AA95F16" w14:textId="68C82EA3" w:rsidR="00A104E5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I</w:t>
            </w:r>
            <w:r w:rsidR="00A104E5" w:rsidRPr="00BC1750">
              <w:rPr>
                <w:lang w:val="sr-Latn-ME"/>
              </w:rPr>
              <w:t>ntegracija u EU</w:t>
            </w:r>
          </w:p>
          <w:p w14:paraId="63BE374E" w14:textId="025BA1E6" w:rsidR="009D4256" w:rsidRPr="00BC1750" w:rsidRDefault="009D4256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Programi podrške EU, </w:t>
            </w:r>
            <w:r w:rsidR="008946AB" w:rsidRPr="00BC1750">
              <w:rPr>
                <w:lang w:val="sr-Latn-ME"/>
              </w:rPr>
              <w:t>UNICEF</w:t>
            </w:r>
            <w:r w:rsidRPr="00BC1750">
              <w:rPr>
                <w:lang w:val="sr-Latn-ME"/>
              </w:rPr>
              <w:t xml:space="preserve"> i drugih međunarodnih organizacija</w:t>
            </w:r>
          </w:p>
          <w:p w14:paraId="2FCFD6D6" w14:textId="181E7FFF" w:rsidR="0087161C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U</w:t>
            </w:r>
            <w:r w:rsidR="009D4256" w:rsidRPr="00BC1750">
              <w:rPr>
                <w:lang w:val="sr-Latn-ME"/>
              </w:rPr>
              <w:t>svajanje i unapređivanje</w:t>
            </w:r>
            <w:r w:rsidR="00A104E5" w:rsidRPr="00BC1750">
              <w:rPr>
                <w:lang w:val="sr-Latn-ME"/>
              </w:rPr>
              <w:t xml:space="preserve"> EU standarda visokokvalitetnog PVO</w:t>
            </w:r>
          </w:p>
          <w:p w14:paraId="233080D5" w14:textId="77777777" w:rsidR="002E76E1" w:rsidRPr="00BC1750" w:rsidRDefault="00446010" w:rsidP="002E76E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Akreditacija novog </w:t>
            </w:r>
            <w:r w:rsidR="009D4256" w:rsidRPr="00BC1750">
              <w:rPr>
                <w:lang w:val="sr-Latn-ME"/>
              </w:rPr>
              <w:t xml:space="preserve">univerzitetskog </w:t>
            </w:r>
            <w:r w:rsidRPr="00BC1750">
              <w:rPr>
                <w:lang w:val="sr-Latn-ME"/>
              </w:rPr>
              <w:t>programa inicijalnog obrazovanja vaspitača</w:t>
            </w:r>
          </w:p>
          <w:p w14:paraId="0AB327FD" w14:textId="5189C088" w:rsidR="002E76E1" w:rsidRPr="00BC1750" w:rsidRDefault="002E76E1" w:rsidP="002E76E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Unapređenje sistema profesionalnog razvoja </w:t>
            </w:r>
          </w:p>
          <w:p w14:paraId="12CAB628" w14:textId="330C7021" w:rsidR="002E76E1" w:rsidRPr="00BC1750" w:rsidRDefault="002E76E1" w:rsidP="002E76E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Postojanje kvalitetnog programa podrške roditeljima koji je prim</w:t>
            </w:r>
            <w:r w:rsidR="00505272" w:rsidRPr="00BC1750">
              <w:rPr>
                <w:lang w:val="sr-Latn-ME"/>
              </w:rPr>
              <w:t>ij</w:t>
            </w:r>
            <w:r w:rsidRPr="00BC1750">
              <w:rPr>
                <w:lang w:val="sr-Latn-ME"/>
              </w:rPr>
              <w:t>enjen uspješno u nekim opštinama i koji treba proširiti</w:t>
            </w:r>
          </w:p>
          <w:p w14:paraId="393F32C4" w14:textId="64A964B8" w:rsidR="002E76E1" w:rsidRPr="00BC1750" w:rsidRDefault="002E76E1" w:rsidP="002E76E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Sajmovi razmjene dobrih praksi su uspostavljeni i treba ih proširiti</w:t>
            </w:r>
          </w:p>
          <w:p w14:paraId="0BB152FC" w14:textId="11AA1047" w:rsidR="00927697" w:rsidRPr="00BC1750" w:rsidRDefault="00927697" w:rsidP="002E76E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Tokom pandemije izazvane COVID 19, produkovan</w:t>
            </w:r>
            <w:r w:rsidR="00900A7A" w:rsidRPr="00BC1750">
              <w:rPr>
                <w:lang w:val="sr-Latn-ME"/>
              </w:rPr>
              <w:t>i</w:t>
            </w:r>
            <w:r w:rsidRPr="00BC1750">
              <w:rPr>
                <w:lang w:val="sr-Latn-ME"/>
              </w:rPr>
              <w:t xml:space="preserve"> brojni materijal za rad kod kuće</w:t>
            </w:r>
          </w:p>
          <w:p w14:paraId="0C3A1279" w14:textId="4ED5549F" w:rsidR="00507776" w:rsidRPr="00BC1750" w:rsidRDefault="00507776" w:rsidP="002E76E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Vrtići koji mogu biti tematski centri izvrsnosti</w:t>
            </w:r>
            <w:r w:rsidR="007E3A64" w:rsidRPr="00BC1750">
              <w:rPr>
                <w:lang w:val="sr-Latn-ME"/>
              </w:rPr>
              <w:t xml:space="preserve"> i vježbaonice – centri prakse za studente</w:t>
            </w:r>
          </w:p>
          <w:p w14:paraId="691C4142" w14:textId="587D9476" w:rsidR="00505272" w:rsidRPr="00BC1750" w:rsidRDefault="00505272" w:rsidP="002E76E1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Kreirana je platforme za učenje na daljinu koja može obuhvatiti sve nivoe obrazovanja</w:t>
            </w:r>
          </w:p>
          <w:p w14:paraId="0746F6A3" w14:textId="4B76DE30" w:rsidR="003A08DC" w:rsidRPr="00BC1750" w:rsidRDefault="003A08DC" w:rsidP="00C46729">
            <w:pPr>
              <w:pStyle w:val="ListParagraph"/>
              <w:ind w:left="432" w:firstLine="0"/>
              <w:rPr>
                <w:lang w:val="sr-Latn-ME"/>
              </w:rPr>
            </w:pPr>
          </w:p>
        </w:tc>
        <w:tc>
          <w:tcPr>
            <w:tcW w:w="4747" w:type="dxa"/>
          </w:tcPr>
          <w:p w14:paraId="45B30895" w14:textId="042A7C33" w:rsidR="0087161C" w:rsidRPr="00BC1750" w:rsidRDefault="0087161C" w:rsidP="0075226B">
            <w:pPr>
              <w:ind w:firstLine="0"/>
              <w:jc w:val="center"/>
              <w:rPr>
                <w:b/>
                <w:bCs/>
                <w:lang w:val="sr-Latn-ME"/>
              </w:rPr>
            </w:pPr>
            <w:r w:rsidRPr="00BC1750">
              <w:rPr>
                <w:b/>
                <w:bCs/>
                <w:lang w:val="sr-Latn-ME"/>
              </w:rPr>
              <w:t>PR</w:t>
            </w:r>
            <w:r w:rsidR="00A104E5" w:rsidRPr="00BC1750">
              <w:rPr>
                <w:b/>
                <w:bCs/>
                <w:lang w:val="sr-Latn-ME"/>
              </w:rPr>
              <w:t>IJETNJE</w:t>
            </w:r>
          </w:p>
          <w:p w14:paraId="600044A8" w14:textId="62998703" w:rsidR="009D4256" w:rsidRPr="00BC1750" w:rsidRDefault="009D4256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Demografski trendovi u pojedinim djelovima Crne Gore (naglo povećanje i smanjenje populacije, značajne unutrašnje migracije)</w:t>
            </w:r>
          </w:p>
          <w:p w14:paraId="5621189C" w14:textId="3010C320" w:rsidR="0087161C" w:rsidRPr="00BC1750" w:rsidRDefault="00E90BC7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Barijere koje otežavaju inter resornu saradnju posebno u domenu inkluzije</w:t>
            </w:r>
            <w:r w:rsidR="007815D1" w:rsidRPr="00BC1750">
              <w:rPr>
                <w:lang w:val="sr-Latn-ME"/>
              </w:rPr>
              <w:t xml:space="preserve"> (podrška od strane usluga socijalne, dječije i, prije svih, zdravstvene zaštite)</w:t>
            </w:r>
          </w:p>
          <w:p w14:paraId="472265BD" w14:textId="77777777" w:rsidR="0055621B" w:rsidRPr="00BC1750" w:rsidRDefault="0055621B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Nedovoljni finansijski kapaciteti roditelja u pojedinim dijelovima Crne Gore</w:t>
            </w:r>
          </w:p>
          <w:p w14:paraId="0DA5EE96" w14:textId="271E0B10" w:rsidR="00C76F43" w:rsidRPr="00BC1750" w:rsidRDefault="00C76F43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Nedovoljan nivo društvene svijest o značaju PVO</w:t>
            </w:r>
          </w:p>
          <w:p w14:paraId="01863FDD" w14:textId="77777777" w:rsidR="00E2372B" w:rsidRPr="00BC1750" w:rsidRDefault="009D4256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Nepristupačnost nekih naselja (posebno u zimsko</w:t>
            </w:r>
            <w:r w:rsidR="007815D1" w:rsidRPr="00BC1750">
              <w:rPr>
                <w:lang w:val="sr-Latn-ME"/>
              </w:rPr>
              <w:t>m</w:t>
            </w:r>
            <w:r w:rsidRPr="00BC1750">
              <w:rPr>
                <w:lang w:val="sr-Latn-ME"/>
              </w:rPr>
              <w:t xml:space="preserve"> periodu godine)</w:t>
            </w:r>
          </w:p>
          <w:p w14:paraId="487084FC" w14:textId="59ECE8AD" w:rsidR="00C76F43" w:rsidRPr="00BC1750" w:rsidRDefault="00E2372B" w:rsidP="0075226B">
            <w:pPr>
              <w:pStyle w:val="ListParagraph"/>
              <w:numPr>
                <w:ilvl w:val="0"/>
                <w:numId w:val="1"/>
              </w:numPr>
              <w:ind w:left="432"/>
              <w:rPr>
                <w:lang w:val="sr-Latn-ME"/>
              </w:rPr>
            </w:pPr>
            <w:r w:rsidRPr="00BC1750">
              <w:rPr>
                <w:lang w:val="sr-Latn-ME"/>
              </w:rPr>
              <w:t>Finansijske teškoće izazvane COVID-19 epidemijom i ograničenja u pogledu dodatnih ulaganja u PVO</w:t>
            </w:r>
            <w:r w:rsidR="009D4256" w:rsidRPr="00BC1750">
              <w:rPr>
                <w:lang w:val="sr-Latn-ME"/>
              </w:rPr>
              <w:t xml:space="preserve"> </w:t>
            </w:r>
          </w:p>
        </w:tc>
      </w:tr>
    </w:tbl>
    <w:p w14:paraId="57166E81" w14:textId="5328C085" w:rsidR="00140D6F" w:rsidRPr="00BC1750" w:rsidRDefault="00140D6F">
      <w:pPr>
        <w:spacing w:after="160"/>
        <w:ind w:firstLine="0"/>
        <w:rPr>
          <w:rFonts w:eastAsiaTheme="majorEastAsia"/>
          <w:b/>
          <w:caps/>
          <w:color w:val="000000" w:themeColor="text1"/>
          <w:sz w:val="28"/>
          <w:szCs w:val="32"/>
          <w:lang w:val="sr-Latn-ME"/>
        </w:rPr>
      </w:pPr>
      <w:r w:rsidRPr="00BC1750">
        <w:rPr>
          <w:lang w:val="sr-Latn-ME"/>
        </w:rPr>
        <w:br w:type="page"/>
      </w:r>
    </w:p>
    <w:p w14:paraId="564AC148" w14:textId="43A2C96F" w:rsidR="006B7669" w:rsidRPr="00BC1750" w:rsidRDefault="006B7669" w:rsidP="006B7669">
      <w:pPr>
        <w:pStyle w:val="Heading1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lastRenderedPageBreak/>
        <w:t>3. Strateški i operativni ciljevi s pratećim indikatorima uspjeha</w:t>
      </w:r>
    </w:p>
    <w:p w14:paraId="098988B1" w14:textId="1A00D5B4" w:rsidR="00875422" w:rsidRPr="00BC1750" w:rsidRDefault="00875422" w:rsidP="00C77D7E">
      <w:pPr>
        <w:ind w:firstLine="0"/>
        <w:rPr>
          <w:lang w:val="sr-Latn-ME"/>
        </w:rPr>
      </w:pPr>
      <w:r w:rsidRPr="00BC1750">
        <w:rPr>
          <w:lang w:val="sr-Latn-ME"/>
        </w:rPr>
        <w:tab/>
        <w:t>Imajući u vidu analizu postojećeg stanja u sektoru predškolskog vaspitanja i obrazovanja</w:t>
      </w:r>
      <w:r w:rsidR="008139DB" w:rsidRPr="00BC1750">
        <w:rPr>
          <w:lang w:val="sr-Latn-ME"/>
        </w:rPr>
        <w:t>,</w:t>
      </w:r>
      <w:r w:rsidR="004E4500" w:rsidRPr="00BC1750">
        <w:rPr>
          <w:lang w:val="sr-Latn-ME"/>
        </w:rPr>
        <w:t xml:space="preserve"> dugoročnu viziju da se kroz uključivanje u PVO svoj djeci predškolskog uzrasta u Crnoj Gori osigura najbolji mogući početak u životu kao preduslov za razvoj svih njihovih potencijala</w:t>
      </w:r>
      <w:r w:rsidR="008139DB" w:rsidRPr="00BC1750">
        <w:rPr>
          <w:lang w:val="sr-Latn-ME"/>
        </w:rPr>
        <w:t xml:space="preserve"> i principe na kojima počiva PVO</w:t>
      </w:r>
      <w:r w:rsidR="00EC15B2" w:rsidRPr="00BC1750">
        <w:rPr>
          <w:lang w:val="sr-Latn-ME"/>
        </w:rPr>
        <w:t xml:space="preserve"> (vidi okvir 1)</w:t>
      </w:r>
      <w:r w:rsidR="008139DB" w:rsidRPr="00BC1750">
        <w:rPr>
          <w:lang w:val="sr-Latn-ME"/>
        </w:rPr>
        <w:t xml:space="preserve">, </w:t>
      </w:r>
      <w:r w:rsidRPr="00BC1750">
        <w:rPr>
          <w:lang w:val="sr-Latn-ME"/>
        </w:rPr>
        <w:t xml:space="preserve">izdvajaju se tri </w:t>
      </w:r>
      <w:r w:rsidR="009815D5" w:rsidRPr="00BC1750">
        <w:rPr>
          <w:lang w:val="sr-Latn-ME"/>
        </w:rPr>
        <w:t>glavna</w:t>
      </w:r>
      <w:r w:rsidRPr="00BC1750">
        <w:rPr>
          <w:lang w:val="sr-Latn-ME"/>
        </w:rPr>
        <w:t xml:space="preserve"> strateška cilja </w:t>
      </w:r>
      <w:r w:rsidR="008139DB" w:rsidRPr="00BC1750">
        <w:rPr>
          <w:lang w:val="sr-Latn-ME"/>
        </w:rPr>
        <w:t>za period 2021-202</w:t>
      </w:r>
      <w:r w:rsidR="00580198" w:rsidRPr="00BC1750">
        <w:rPr>
          <w:lang w:val="sr-Latn-ME"/>
        </w:rPr>
        <w:t>4</w:t>
      </w:r>
      <w:r w:rsidR="008139DB" w:rsidRPr="00BC1750">
        <w:rPr>
          <w:lang w:val="sr-Latn-ME"/>
        </w:rPr>
        <w:t xml:space="preserve"> godina </w:t>
      </w:r>
      <w:r w:rsidRPr="00BC1750">
        <w:rPr>
          <w:lang w:val="sr-Latn-ME"/>
        </w:rPr>
        <w:t xml:space="preserve">koji treba da usmjeravaju </w:t>
      </w:r>
      <w:r w:rsidR="008139DB" w:rsidRPr="00BC1750">
        <w:rPr>
          <w:lang w:val="sr-Latn-ME"/>
        </w:rPr>
        <w:t xml:space="preserve">sve </w:t>
      </w:r>
      <w:r w:rsidRPr="00BC1750">
        <w:rPr>
          <w:lang w:val="sr-Latn-ME"/>
        </w:rPr>
        <w:t>buduće mjere i aktivnosti</w:t>
      </w:r>
      <w:r w:rsidR="008139DB" w:rsidRPr="00BC1750">
        <w:rPr>
          <w:lang w:val="sr-Latn-ME"/>
        </w:rPr>
        <w:t xml:space="preserve"> usmjerene ka unaprjeđenju PVO</w:t>
      </w:r>
      <w:r w:rsidRPr="00BC1750">
        <w:rPr>
          <w:lang w:val="sr-Latn-ME"/>
        </w:rPr>
        <w:t>:</w:t>
      </w:r>
    </w:p>
    <w:p w14:paraId="20AC5200" w14:textId="77777777" w:rsidR="00C77D7E" w:rsidRPr="00BC1750" w:rsidRDefault="00C77D7E" w:rsidP="00C77D7E">
      <w:pPr>
        <w:ind w:left="720" w:firstLine="0"/>
        <w:rPr>
          <w:i/>
          <w:iCs/>
          <w:lang w:val="sr-Latn-ME"/>
        </w:rPr>
      </w:pPr>
    </w:p>
    <w:p w14:paraId="1C5733C2" w14:textId="1F7A42CF" w:rsidR="000F3BCB" w:rsidRPr="00BC1750" w:rsidRDefault="000F3BCB" w:rsidP="00C77D7E">
      <w:pPr>
        <w:ind w:left="720" w:firstLine="0"/>
        <w:rPr>
          <w:i/>
          <w:iCs/>
          <w:lang w:val="sr-Latn-ME"/>
        </w:rPr>
      </w:pPr>
      <w:r w:rsidRPr="00BC1750">
        <w:rPr>
          <w:i/>
          <w:iCs/>
          <w:lang w:val="sr-Latn-ME"/>
        </w:rPr>
        <w:t>Strateški cilj 1:</w:t>
      </w:r>
      <w:r w:rsidR="00441EE3" w:rsidRPr="00BC1750">
        <w:rPr>
          <w:i/>
          <w:iCs/>
          <w:lang w:val="sr-Latn-ME"/>
        </w:rPr>
        <w:t xml:space="preserve"> Povećanje o</w:t>
      </w:r>
      <w:r w:rsidR="00D671E1" w:rsidRPr="00BC1750">
        <w:rPr>
          <w:i/>
          <w:iCs/>
          <w:lang w:val="sr-Latn-ME"/>
        </w:rPr>
        <w:t>buhvat</w:t>
      </w:r>
      <w:r w:rsidR="00441EE3" w:rsidRPr="00BC1750">
        <w:rPr>
          <w:i/>
          <w:iCs/>
          <w:lang w:val="sr-Latn-ME"/>
        </w:rPr>
        <w:t>a PVO</w:t>
      </w:r>
    </w:p>
    <w:p w14:paraId="7994BDCB" w14:textId="1BE8ABD3" w:rsidR="00BC06D9" w:rsidRPr="00BC1750" w:rsidRDefault="00C20A00" w:rsidP="00C77D7E">
      <w:pPr>
        <w:ind w:left="720" w:firstLine="0"/>
        <w:rPr>
          <w:lang w:val="sr-Latn-ME"/>
        </w:rPr>
      </w:pPr>
      <w:bookmarkStart w:id="1" w:name="_Hlk40712047"/>
      <w:r w:rsidRPr="00BC1750">
        <w:rPr>
          <w:lang w:val="sr-Latn-ME"/>
        </w:rPr>
        <w:t xml:space="preserve">Do 2024. </w:t>
      </w:r>
      <w:r w:rsidR="00806051" w:rsidRPr="00BC1750">
        <w:rPr>
          <w:lang w:val="sr-Latn-ME"/>
        </w:rPr>
        <w:t>g</w:t>
      </w:r>
      <w:r w:rsidRPr="00BC1750">
        <w:rPr>
          <w:lang w:val="sr-Latn-ME"/>
        </w:rPr>
        <w:t>odine p</w:t>
      </w:r>
      <w:r w:rsidR="004E4500" w:rsidRPr="00BC1750">
        <w:rPr>
          <w:lang w:val="sr-Latn-ME"/>
        </w:rPr>
        <w:t xml:space="preserve">ovećati uključenost djece predškolskog uzrasta u programe predškolskog vaspitanja i obrazovanja i </w:t>
      </w:r>
      <w:r w:rsidR="00F23D87">
        <w:rPr>
          <w:lang w:val="sr-Latn-ME"/>
        </w:rPr>
        <w:t>obezbijediti</w:t>
      </w:r>
      <w:r w:rsidR="004E4500" w:rsidRPr="00BC1750">
        <w:rPr>
          <w:lang w:val="sr-Latn-ME"/>
        </w:rPr>
        <w:t xml:space="preserve"> </w:t>
      </w:r>
      <w:r w:rsidR="00085AC6" w:rsidRPr="00BC1750">
        <w:rPr>
          <w:lang w:val="sr-Latn-ME"/>
        </w:rPr>
        <w:t xml:space="preserve">ukupan </w:t>
      </w:r>
      <w:r w:rsidR="004E4500" w:rsidRPr="00BC1750">
        <w:rPr>
          <w:lang w:val="sr-Latn-ME"/>
        </w:rPr>
        <w:t xml:space="preserve">obuhvat </w:t>
      </w:r>
      <w:r w:rsidR="00BC06D9" w:rsidRPr="00BC1750">
        <w:rPr>
          <w:lang w:val="sr-Latn-ME"/>
        </w:rPr>
        <w:t xml:space="preserve">djece </w:t>
      </w:r>
      <w:r w:rsidR="004E4500" w:rsidRPr="00BC1750">
        <w:rPr>
          <w:lang w:val="sr-Latn-ME"/>
        </w:rPr>
        <w:t xml:space="preserve">od </w:t>
      </w:r>
      <w:r w:rsidR="00BC06D9" w:rsidRPr="00BC1750">
        <w:rPr>
          <w:lang w:val="sr-Latn-ME"/>
        </w:rPr>
        <w:t>6</w:t>
      </w:r>
      <w:r w:rsidR="00797AC5" w:rsidRPr="00BC1750">
        <w:rPr>
          <w:lang w:val="sr-Latn-ME"/>
        </w:rPr>
        <w:t>0</w:t>
      </w:r>
      <w:r w:rsidR="004E4500" w:rsidRPr="00BC1750">
        <w:rPr>
          <w:lang w:val="sr-Latn-ME"/>
        </w:rPr>
        <w:t>%</w:t>
      </w:r>
      <w:r w:rsidR="00BC06D9" w:rsidRPr="00BC1750">
        <w:rPr>
          <w:lang w:val="sr-Latn-ME"/>
        </w:rPr>
        <w:t xml:space="preserve"> sa obuhvatom </w:t>
      </w:r>
      <w:r w:rsidRPr="00BC1750">
        <w:rPr>
          <w:lang w:val="sr-Latn-ME"/>
        </w:rPr>
        <w:t xml:space="preserve">od </w:t>
      </w:r>
      <w:r w:rsidR="00797AC5" w:rsidRPr="00BC1750">
        <w:rPr>
          <w:lang w:val="sr-Latn-ME"/>
        </w:rPr>
        <w:t>3</w:t>
      </w:r>
      <w:r w:rsidRPr="00BC1750">
        <w:rPr>
          <w:lang w:val="sr-Latn-ME"/>
        </w:rPr>
        <w:t xml:space="preserve">0% djece mlađe od 3 godine i 90% </w:t>
      </w:r>
      <w:r w:rsidR="00BC06D9" w:rsidRPr="00BC1750">
        <w:rPr>
          <w:lang w:val="sr-Latn-ME"/>
        </w:rPr>
        <w:t>djece starije od 3 godine</w:t>
      </w:r>
      <w:r w:rsidRPr="00BC1750">
        <w:rPr>
          <w:lang w:val="sr-Latn-ME"/>
        </w:rPr>
        <w:t>.</w:t>
      </w:r>
    </w:p>
    <w:bookmarkEnd w:id="1"/>
    <w:p w14:paraId="2303CD72" w14:textId="77777777" w:rsidR="00C77D7E" w:rsidRPr="00BC1750" w:rsidRDefault="00C77D7E" w:rsidP="00C77D7E">
      <w:pPr>
        <w:ind w:left="720" w:firstLine="0"/>
        <w:rPr>
          <w:i/>
          <w:iCs/>
          <w:lang w:val="sr-Latn-ME"/>
        </w:rPr>
      </w:pPr>
    </w:p>
    <w:p w14:paraId="19BA8EA9" w14:textId="10121CEA" w:rsidR="000F3BCB" w:rsidRPr="00BC1750" w:rsidRDefault="000F3BCB" w:rsidP="00C77D7E">
      <w:pPr>
        <w:ind w:left="720" w:firstLine="0"/>
        <w:rPr>
          <w:i/>
          <w:iCs/>
          <w:lang w:val="sr-Latn-ME"/>
        </w:rPr>
      </w:pPr>
      <w:r w:rsidRPr="00BC1750">
        <w:rPr>
          <w:i/>
          <w:iCs/>
          <w:lang w:val="sr-Latn-ME"/>
        </w:rPr>
        <w:t>Strateški cilj 2:</w:t>
      </w:r>
      <w:r w:rsidR="00441EE3" w:rsidRPr="00BC1750">
        <w:rPr>
          <w:i/>
          <w:iCs/>
          <w:lang w:val="sr-Latn-ME"/>
        </w:rPr>
        <w:t xml:space="preserve"> </w:t>
      </w:r>
      <w:bookmarkStart w:id="2" w:name="_Hlk40940337"/>
      <w:r w:rsidR="009C54B5" w:rsidRPr="00BC1750">
        <w:rPr>
          <w:i/>
          <w:iCs/>
          <w:lang w:val="sr-Latn-ME"/>
        </w:rPr>
        <w:t>Unapređenje</w:t>
      </w:r>
      <w:r w:rsidR="00441EE3" w:rsidRPr="00BC1750">
        <w:rPr>
          <w:i/>
          <w:iCs/>
          <w:lang w:val="sr-Latn-ME"/>
        </w:rPr>
        <w:t xml:space="preserve"> </w:t>
      </w:r>
      <w:r w:rsidR="00A91CB6" w:rsidRPr="00BC1750">
        <w:rPr>
          <w:i/>
          <w:iCs/>
          <w:lang w:val="sr-Latn-ME"/>
        </w:rPr>
        <w:t xml:space="preserve">i </w:t>
      </w:r>
      <w:r w:rsidR="00F23D87">
        <w:rPr>
          <w:i/>
          <w:iCs/>
          <w:lang w:val="sr-Latn-ME"/>
        </w:rPr>
        <w:t>obezbjeđivanje</w:t>
      </w:r>
      <w:r w:rsidR="00A91CB6" w:rsidRPr="00BC1750">
        <w:rPr>
          <w:i/>
          <w:iCs/>
          <w:lang w:val="sr-Latn-ME"/>
        </w:rPr>
        <w:t xml:space="preserve"> </w:t>
      </w:r>
      <w:r w:rsidR="00441EE3" w:rsidRPr="00BC1750">
        <w:rPr>
          <w:i/>
          <w:iCs/>
          <w:lang w:val="sr-Latn-ME"/>
        </w:rPr>
        <w:t>k</w:t>
      </w:r>
      <w:r w:rsidR="00D671E1" w:rsidRPr="00BC1750">
        <w:rPr>
          <w:i/>
          <w:iCs/>
          <w:lang w:val="sr-Latn-ME"/>
        </w:rPr>
        <w:t>valitet</w:t>
      </w:r>
      <w:r w:rsidR="00441EE3" w:rsidRPr="00BC1750">
        <w:rPr>
          <w:i/>
          <w:iCs/>
          <w:lang w:val="sr-Latn-ME"/>
        </w:rPr>
        <w:t>a PVO</w:t>
      </w:r>
      <w:bookmarkEnd w:id="2"/>
    </w:p>
    <w:p w14:paraId="1A99D83B" w14:textId="741F2F16" w:rsidR="00BC06D9" w:rsidRPr="00BC1750" w:rsidRDefault="008A28A4" w:rsidP="00C77D7E">
      <w:pPr>
        <w:ind w:left="720" w:firstLine="0"/>
        <w:rPr>
          <w:lang w:val="sr-Latn-ME"/>
        </w:rPr>
      </w:pPr>
      <w:r w:rsidRPr="00BC1750">
        <w:rPr>
          <w:lang w:val="sr-Latn-ME"/>
        </w:rPr>
        <w:t>Osavremeniti</w:t>
      </w:r>
      <w:r w:rsidR="00D7392B" w:rsidRPr="00BC1750">
        <w:rPr>
          <w:lang w:val="sr-Latn-ME"/>
        </w:rPr>
        <w:t xml:space="preserve"> </w:t>
      </w:r>
      <w:r w:rsidRPr="00BC1750">
        <w:rPr>
          <w:lang w:val="sr-Latn-ME"/>
        </w:rPr>
        <w:t xml:space="preserve">postojeći Plan i program za oblast predškolskog vaspitanja i obrazovanja u svijetlu naučnih saznanja i najboljih međunarodnih praksi koje vode sveukupnom razvoju potencijala svakog djeteta </w:t>
      </w:r>
      <w:r w:rsidR="00D7392B" w:rsidRPr="00BC1750">
        <w:rPr>
          <w:lang w:val="sr-Latn-ME"/>
        </w:rPr>
        <w:t xml:space="preserve">i unaprijediti </w:t>
      </w:r>
      <w:r w:rsidR="0090025D" w:rsidRPr="00BC1750">
        <w:rPr>
          <w:lang w:val="sr-Latn-ME"/>
        </w:rPr>
        <w:t xml:space="preserve">sistem za </w:t>
      </w:r>
      <w:r w:rsidR="00F23D87">
        <w:rPr>
          <w:lang w:val="sr-Latn-ME"/>
        </w:rPr>
        <w:t>obezbjeđivanje</w:t>
      </w:r>
      <w:r w:rsidR="0090025D" w:rsidRPr="00BC1750">
        <w:rPr>
          <w:lang w:val="sr-Latn-ME"/>
        </w:rPr>
        <w:t xml:space="preserve"> kvaliteta </w:t>
      </w:r>
      <w:r w:rsidR="00BC06D9" w:rsidRPr="00BC1750">
        <w:rPr>
          <w:lang w:val="sr-Latn-ME"/>
        </w:rPr>
        <w:t>u skladu sa EU okvirom za visokokvalitetno PVO</w:t>
      </w:r>
      <w:r w:rsidR="0003200B" w:rsidRPr="00BC1750">
        <w:rPr>
          <w:lang w:val="sr-Latn-ME"/>
        </w:rPr>
        <w:t xml:space="preserve"> do 2024. </w:t>
      </w:r>
      <w:r w:rsidR="00D7392B" w:rsidRPr="00BC1750">
        <w:rPr>
          <w:lang w:val="sr-Latn-ME"/>
        </w:rPr>
        <w:t>g</w:t>
      </w:r>
      <w:r w:rsidR="0003200B" w:rsidRPr="00BC1750">
        <w:rPr>
          <w:lang w:val="sr-Latn-ME"/>
        </w:rPr>
        <w:t>odine</w:t>
      </w:r>
      <w:r w:rsidR="002319DD" w:rsidRPr="00BC1750">
        <w:rPr>
          <w:lang w:val="sr-Latn-ME"/>
        </w:rPr>
        <w:t>.</w:t>
      </w:r>
    </w:p>
    <w:p w14:paraId="2809D37C" w14:textId="1C030DA5" w:rsidR="00D11BB1" w:rsidRPr="00BC1750" w:rsidRDefault="00D11BB1" w:rsidP="00C77D7E">
      <w:pPr>
        <w:ind w:left="720" w:firstLine="0"/>
        <w:rPr>
          <w:lang w:val="sr-Latn-ME"/>
        </w:rPr>
      </w:pPr>
    </w:p>
    <w:p w14:paraId="3101CE4C" w14:textId="5E794439" w:rsidR="000F3BCB" w:rsidRPr="00BC1750" w:rsidRDefault="000F3BCB" w:rsidP="00C77D7E">
      <w:pPr>
        <w:ind w:left="720" w:firstLine="0"/>
        <w:rPr>
          <w:i/>
          <w:iCs/>
          <w:lang w:val="sr-Latn-ME"/>
        </w:rPr>
      </w:pPr>
      <w:r w:rsidRPr="00BC1750">
        <w:rPr>
          <w:i/>
          <w:iCs/>
          <w:lang w:val="sr-Latn-ME"/>
        </w:rPr>
        <w:t>Strateški cilj 3:</w:t>
      </w:r>
      <w:r w:rsidR="00441EE3" w:rsidRPr="00BC1750">
        <w:rPr>
          <w:i/>
          <w:iCs/>
          <w:lang w:val="sr-Latn-ME"/>
        </w:rPr>
        <w:t xml:space="preserve"> </w:t>
      </w:r>
      <w:r w:rsidR="00134D9D" w:rsidRPr="00BC1750">
        <w:rPr>
          <w:i/>
          <w:iCs/>
          <w:lang w:val="sr-Latn-ME"/>
        </w:rPr>
        <w:t>Unapređenje šansi za rani razvoj djece iz osjetljivih grupa</w:t>
      </w:r>
    </w:p>
    <w:p w14:paraId="65917228" w14:textId="67509A88" w:rsidR="00EC15B2" w:rsidRPr="00BC1750" w:rsidRDefault="002319DD" w:rsidP="00C77D7E">
      <w:pPr>
        <w:ind w:left="720" w:firstLine="0"/>
        <w:rPr>
          <w:lang w:val="sr-Latn-ME"/>
        </w:rPr>
      </w:pPr>
      <w:bookmarkStart w:id="3" w:name="_Hlk41223188"/>
      <w:r w:rsidRPr="00BC1750">
        <w:rPr>
          <w:lang w:val="sr-Latn-ME"/>
        </w:rPr>
        <w:t xml:space="preserve">Do 2024. </w:t>
      </w:r>
      <w:r w:rsidR="00D7392B" w:rsidRPr="00BC1750">
        <w:rPr>
          <w:lang w:val="sr-Latn-ME"/>
        </w:rPr>
        <w:t>g</w:t>
      </w:r>
      <w:r w:rsidRPr="00BC1750">
        <w:rPr>
          <w:lang w:val="sr-Latn-ME"/>
        </w:rPr>
        <w:t>odine u</w:t>
      </w:r>
      <w:r w:rsidR="00C46764" w:rsidRPr="00BC1750">
        <w:rPr>
          <w:lang w:val="sr-Latn-ME"/>
        </w:rPr>
        <w:t xml:space="preserve">naprijediti </w:t>
      </w:r>
      <w:r w:rsidR="00134D9D" w:rsidRPr="00BC1750">
        <w:rPr>
          <w:lang w:val="sr-Latn-ME"/>
        </w:rPr>
        <w:t>postojeći sistem za pružanje podrške za ran</w:t>
      </w:r>
      <w:r w:rsidR="00C46764" w:rsidRPr="00BC1750">
        <w:rPr>
          <w:lang w:val="sr-Latn-ME"/>
        </w:rPr>
        <w:t>i</w:t>
      </w:r>
      <w:r w:rsidR="00134D9D" w:rsidRPr="00BC1750">
        <w:rPr>
          <w:lang w:val="sr-Latn-ME"/>
        </w:rPr>
        <w:t xml:space="preserve"> razvoj djece iz osjetljivih grupa kroz pružanje podrške roditeljima i kroz veću uključenost u kvalitetne programe PVO tako da </w:t>
      </w:r>
      <w:r w:rsidR="00A8355C" w:rsidRPr="00BC1750">
        <w:rPr>
          <w:lang w:val="sr-Latn-ME"/>
        </w:rPr>
        <w:t>se poveća indeks ranog razvoja (ECDI) djece iz najsiromašnijih porodica sa 76 na 85</w:t>
      </w:r>
      <w:r w:rsidR="00556560" w:rsidRPr="00BC1750">
        <w:rPr>
          <w:rStyle w:val="FootnoteReference"/>
          <w:lang w:val="sr-Latn-ME"/>
        </w:rPr>
        <w:footnoteReference w:id="16"/>
      </w:r>
      <w:r w:rsidR="00A8355C" w:rsidRPr="00BC1750">
        <w:rPr>
          <w:lang w:val="sr-Latn-ME"/>
        </w:rPr>
        <w:t>.</w:t>
      </w:r>
      <w:bookmarkEnd w:id="3"/>
      <w:r w:rsidR="00C46764" w:rsidRPr="00BC1750">
        <w:rPr>
          <w:lang w:val="sr-Latn-ME"/>
        </w:rPr>
        <w:t xml:space="preserve">  </w:t>
      </w:r>
      <w:r w:rsidR="004E4500" w:rsidRPr="00BC1750">
        <w:rPr>
          <w:lang w:val="sr-Latn-ME"/>
        </w:rPr>
        <w:t xml:space="preserve"> </w:t>
      </w:r>
    </w:p>
    <w:p w14:paraId="25530D1B" w14:textId="77777777" w:rsidR="00EC15B2" w:rsidRPr="00BC1750" w:rsidRDefault="00EC15B2" w:rsidP="00C77D7E">
      <w:pPr>
        <w:ind w:left="720" w:firstLine="0"/>
        <w:rPr>
          <w:lang w:val="sr-Latn-ME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39DB" w:rsidRPr="009730D2" w14:paraId="7CA68B26" w14:textId="77777777" w:rsidTr="008139DB">
        <w:tc>
          <w:tcPr>
            <w:tcW w:w="9350" w:type="dxa"/>
          </w:tcPr>
          <w:p w14:paraId="707DF905" w14:textId="215CC2FB" w:rsidR="008139DB" w:rsidRPr="00BC1750" w:rsidRDefault="008139DB" w:rsidP="008139DB">
            <w:pPr>
              <w:spacing w:after="160"/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Okvir 1: Principi na kojima počiva Strategija za predškolsko vaspitanje i obrazovanje za period 2021-2024 u Crnoj Gori </w:t>
            </w:r>
          </w:p>
          <w:p w14:paraId="1D0B85C5" w14:textId="0057283F" w:rsidR="008139DB" w:rsidRPr="00BC1750" w:rsidRDefault="00AA7BF1" w:rsidP="008139DB">
            <w:pPr>
              <w:spacing w:after="160"/>
              <w:ind w:firstLine="0"/>
              <w:rPr>
                <w:i/>
                <w:iCs/>
                <w:lang w:val="sr-Latn-ME"/>
              </w:rPr>
            </w:pPr>
            <w:r w:rsidRPr="00BC1750">
              <w:rPr>
                <w:i/>
                <w:iCs/>
                <w:lang w:val="sr-Latn-ME"/>
              </w:rPr>
              <w:t>Visok k</w:t>
            </w:r>
            <w:r w:rsidR="008139DB" w:rsidRPr="00BC1750">
              <w:rPr>
                <w:i/>
                <w:iCs/>
                <w:lang w:val="sr-Latn-ME"/>
              </w:rPr>
              <w:t>valitet usluga</w:t>
            </w:r>
            <w:r w:rsidRPr="00BC1750">
              <w:rPr>
                <w:i/>
                <w:iCs/>
                <w:lang w:val="sr-Latn-ME"/>
              </w:rPr>
              <w:t xml:space="preserve"> i iskustvenost</w:t>
            </w:r>
          </w:p>
          <w:p w14:paraId="42069508" w14:textId="2188AA35" w:rsidR="00C61C49" w:rsidRPr="00BC1750" w:rsidRDefault="00A02AB2" w:rsidP="008139DB">
            <w:pPr>
              <w:spacing w:after="160"/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Diversifikovani p</w:t>
            </w:r>
            <w:r w:rsidR="008139DB" w:rsidRPr="00BC1750">
              <w:rPr>
                <w:lang w:val="sr-Latn-ME"/>
              </w:rPr>
              <w:t>rogrami i usluge predškolskog vaspitanja i obrazovanja se zasnivaju na savremenim naučnim saznanjima</w:t>
            </w:r>
            <w:r w:rsidRPr="00BC1750">
              <w:rPr>
                <w:lang w:val="sr-Latn-ME"/>
              </w:rPr>
              <w:t>, potrebama djece i porodica</w:t>
            </w:r>
            <w:r w:rsidR="008139DB" w:rsidRPr="00BC1750">
              <w:rPr>
                <w:lang w:val="sr-Latn-ME"/>
              </w:rPr>
              <w:t xml:space="preserve"> i dobrim praksama koje su razvijene od strane praktičara </w:t>
            </w:r>
            <w:r w:rsidRPr="00BC1750">
              <w:rPr>
                <w:lang w:val="sr-Latn-ME"/>
              </w:rPr>
              <w:t xml:space="preserve">radi </w:t>
            </w:r>
            <w:r w:rsidR="008139DB" w:rsidRPr="00BC1750">
              <w:rPr>
                <w:lang w:val="sr-Latn-ME"/>
              </w:rPr>
              <w:t>pružanj</w:t>
            </w:r>
            <w:r w:rsidRPr="00BC1750">
              <w:rPr>
                <w:lang w:val="sr-Latn-ME"/>
              </w:rPr>
              <w:t>a</w:t>
            </w:r>
            <w:r w:rsidR="008139DB" w:rsidRPr="00BC1750">
              <w:rPr>
                <w:lang w:val="sr-Latn-ME"/>
              </w:rPr>
              <w:t xml:space="preserve"> </w:t>
            </w:r>
            <w:r w:rsidR="00AA7BF1" w:rsidRPr="00BC1750">
              <w:rPr>
                <w:lang w:val="sr-Latn-ME"/>
              </w:rPr>
              <w:t>o</w:t>
            </w:r>
            <w:r w:rsidR="00C61C49" w:rsidRPr="00BC1750">
              <w:rPr>
                <w:lang w:val="sr-Latn-ME"/>
              </w:rPr>
              <w:t>ptimalne</w:t>
            </w:r>
            <w:r w:rsidR="00AA7BF1" w:rsidRPr="00BC1750">
              <w:rPr>
                <w:lang w:val="sr-Latn-ME"/>
              </w:rPr>
              <w:t xml:space="preserve"> </w:t>
            </w:r>
            <w:r w:rsidR="008139DB" w:rsidRPr="00BC1750">
              <w:rPr>
                <w:lang w:val="sr-Latn-ME"/>
              </w:rPr>
              <w:t xml:space="preserve">podrške ranom razvoju </w:t>
            </w:r>
            <w:r w:rsidR="00C61C49" w:rsidRPr="00BC1750">
              <w:rPr>
                <w:lang w:val="sr-Latn-ME"/>
              </w:rPr>
              <w:t xml:space="preserve">sve </w:t>
            </w:r>
            <w:r w:rsidR="008139DB" w:rsidRPr="00BC1750">
              <w:rPr>
                <w:lang w:val="sr-Latn-ME"/>
              </w:rPr>
              <w:t xml:space="preserve">djece kroz razvojno </w:t>
            </w:r>
            <w:r w:rsidR="00AA7BF1" w:rsidRPr="00BC1750">
              <w:rPr>
                <w:lang w:val="sr-Latn-ME"/>
              </w:rPr>
              <w:t xml:space="preserve">prilagođene </w:t>
            </w:r>
            <w:r w:rsidR="008139DB" w:rsidRPr="00BC1750">
              <w:rPr>
                <w:lang w:val="sr-Latn-ME"/>
              </w:rPr>
              <w:t>aktivnosti i igru.</w:t>
            </w:r>
          </w:p>
          <w:p w14:paraId="52414744" w14:textId="1C7449FD" w:rsidR="00AA7BF1" w:rsidRPr="00BC1750" w:rsidRDefault="00C61C49" w:rsidP="008139DB">
            <w:pPr>
              <w:spacing w:after="160"/>
              <w:ind w:firstLine="0"/>
              <w:rPr>
                <w:i/>
                <w:iCs/>
                <w:lang w:val="sr-Latn-ME"/>
              </w:rPr>
            </w:pPr>
            <w:r w:rsidRPr="00BC1750">
              <w:rPr>
                <w:i/>
                <w:iCs/>
                <w:lang w:val="sr-Latn-ME"/>
              </w:rPr>
              <w:t>Zajednica refleksivnih praktičara</w:t>
            </w:r>
            <w:r w:rsidR="00770C4B" w:rsidRPr="00BC1750">
              <w:rPr>
                <w:i/>
                <w:iCs/>
                <w:lang w:val="sr-Latn-ME"/>
              </w:rPr>
              <w:t xml:space="preserve">, inovativnost i </w:t>
            </w:r>
            <w:r w:rsidR="00F23D87">
              <w:rPr>
                <w:i/>
                <w:iCs/>
                <w:lang w:val="sr-Latn-ME"/>
              </w:rPr>
              <w:t>obezbjeđivanje</w:t>
            </w:r>
            <w:r w:rsidR="00770C4B" w:rsidRPr="00BC1750">
              <w:rPr>
                <w:i/>
                <w:iCs/>
                <w:lang w:val="sr-Latn-ME"/>
              </w:rPr>
              <w:t xml:space="preserve"> kvaliteta</w:t>
            </w:r>
            <w:r w:rsidR="008139DB" w:rsidRPr="00BC1750">
              <w:rPr>
                <w:i/>
                <w:iCs/>
                <w:lang w:val="sr-Latn-ME"/>
              </w:rPr>
              <w:t xml:space="preserve"> </w:t>
            </w:r>
          </w:p>
          <w:p w14:paraId="5E178D90" w14:textId="1F5960FE" w:rsidR="008139DB" w:rsidRPr="00BC1750" w:rsidRDefault="00AA7BF1" w:rsidP="008139DB">
            <w:pPr>
              <w:spacing w:after="160"/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 xml:space="preserve">Ključni faktor za </w:t>
            </w:r>
            <w:r w:rsidR="00E86E27" w:rsidRPr="00BC1750">
              <w:rPr>
                <w:lang w:val="sr-Latn-ME"/>
              </w:rPr>
              <w:t>unaprjeđivanje</w:t>
            </w:r>
            <w:r w:rsidRPr="00BC1750">
              <w:rPr>
                <w:lang w:val="sr-Latn-ME"/>
              </w:rPr>
              <w:t xml:space="preserve"> kvaliteta je zajednica refleksivnih praktičara koj</w:t>
            </w:r>
            <w:r w:rsidR="0095338D" w:rsidRPr="00BC1750">
              <w:rPr>
                <w:lang w:val="sr-Latn-ME"/>
              </w:rPr>
              <w:t>i rade u adekv</w:t>
            </w:r>
            <w:r w:rsidR="00770C4B" w:rsidRPr="00BC1750">
              <w:rPr>
                <w:lang w:val="sr-Latn-ME"/>
              </w:rPr>
              <w:t xml:space="preserve">atnim </w:t>
            </w:r>
            <w:r w:rsidR="0095338D" w:rsidRPr="00BC1750">
              <w:rPr>
                <w:lang w:val="sr-Latn-ME"/>
              </w:rPr>
              <w:t>uslovima koji im omogućavaju da</w:t>
            </w:r>
            <w:r w:rsidRPr="00BC1750">
              <w:rPr>
                <w:lang w:val="sr-Latn-ME"/>
              </w:rPr>
              <w:t xml:space="preserve"> kroz saradnju i celoživotno učenje kontinuirano inovira</w:t>
            </w:r>
            <w:r w:rsidR="0095338D" w:rsidRPr="00BC1750">
              <w:rPr>
                <w:lang w:val="sr-Latn-ME"/>
              </w:rPr>
              <w:t>ju</w:t>
            </w:r>
            <w:r w:rsidRPr="00BC1750">
              <w:rPr>
                <w:lang w:val="sr-Latn-ME"/>
              </w:rPr>
              <w:t xml:space="preserve"> </w:t>
            </w:r>
            <w:r w:rsidR="0095338D" w:rsidRPr="00BC1750">
              <w:rPr>
                <w:lang w:val="sr-Latn-ME"/>
              </w:rPr>
              <w:t xml:space="preserve">svoju </w:t>
            </w:r>
            <w:r w:rsidRPr="00BC1750">
              <w:rPr>
                <w:lang w:val="sr-Latn-ME"/>
              </w:rPr>
              <w:t xml:space="preserve">praksu </w:t>
            </w:r>
            <w:r w:rsidR="008139DB" w:rsidRPr="00BC1750">
              <w:rPr>
                <w:lang w:val="sr-Latn-ME"/>
              </w:rPr>
              <w:t xml:space="preserve">kako bi bili u stanju da </w:t>
            </w:r>
            <w:r w:rsidR="0095338D" w:rsidRPr="00BC1750">
              <w:rPr>
                <w:lang w:val="sr-Latn-ME"/>
              </w:rPr>
              <w:t>pruži adekvatnu podršku djeci i porodici</w:t>
            </w:r>
            <w:r w:rsidR="008139DB" w:rsidRPr="00BC1750">
              <w:rPr>
                <w:lang w:val="sr-Latn-ME"/>
              </w:rPr>
              <w:t xml:space="preserve">. </w:t>
            </w:r>
          </w:p>
          <w:p w14:paraId="3A942743" w14:textId="745463B3" w:rsidR="0095338D" w:rsidRPr="00BC1750" w:rsidRDefault="0095338D" w:rsidP="0095338D">
            <w:pPr>
              <w:spacing w:after="160"/>
              <w:ind w:firstLine="0"/>
              <w:rPr>
                <w:i/>
                <w:iCs/>
                <w:lang w:val="sr-Latn-ME"/>
              </w:rPr>
            </w:pPr>
            <w:r w:rsidRPr="00BC1750">
              <w:rPr>
                <w:i/>
                <w:iCs/>
                <w:lang w:val="sr-Latn-ME"/>
              </w:rPr>
              <w:t>Dostupnost, individualizacija i integrisanost usluga</w:t>
            </w:r>
          </w:p>
          <w:p w14:paraId="6CACA99D" w14:textId="58D188C3" w:rsidR="0095338D" w:rsidRPr="00BC1750" w:rsidRDefault="0095338D" w:rsidP="0095338D">
            <w:pPr>
              <w:spacing w:after="160"/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Podrška i usluge u predškolskom vaspitanju i obrazovanju treba da budu dostupne svakom dijetetu, da budu usmjerene na dijete i porodicu i usklađene sa njihovim potrebama</w:t>
            </w:r>
            <w:r w:rsidR="00A02AB2" w:rsidRPr="00BC1750">
              <w:rPr>
                <w:lang w:val="sr-Latn-ME"/>
              </w:rPr>
              <w:t>,</w:t>
            </w:r>
            <w:r w:rsidR="00C61C49" w:rsidRPr="00BC1750">
              <w:rPr>
                <w:lang w:val="sr-Latn-ME"/>
              </w:rPr>
              <w:t xml:space="preserve"> </w:t>
            </w:r>
            <w:r w:rsidRPr="00BC1750">
              <w:rPr>
                <w:lang w:val="sr-Latn-ME"/>
              </w:rPr>
              <w:t xml:space="preserve">da budu integrisane sa </w:t>
            </w:r>
            <w:r w:rsidR="00AA5323" w:rsidRPr="00BC1750">
              <w:rPr>
                <w:lang w:val="sr-Latn-ME"/>
              </w:rPr>
              <w:t>uslugama iz zdravstvenog sektora i sektora socijalnog staranja</w:t>
            </w:r>
            <w:r w:rsidR="00072C9E" w:rsidRPr="00BC1750">
              <w:rPr>
                <w:lang w:val="sr-Latn-ME"/>
              </w:rPr>
              <w:t xml:space="preserve"> i da doprinose inkluzivnosti i kohezivnosti zajednice</w:t>
            </w:r>
            <w:r w:rsidRPr="00BC1750">
              <w:rPr>
                <w:lang w:val="sr-Latn-ME"/>
              </w:rPr>
              <w:t>.</w:t>
            </w:r>
          </w:p>
          <w:p w14:paraId="53720A3B" w14:textId="3D99C4AD" w:rsidR="0095338D" w:rsidRPr="00BC1750" w:rsidRDefault="0095338D" w:rsidP="0095338D">
            <w:pPr>
              <w:spacing w:after="160"/>
              <w:ind w:firstLine="0"/>
              <w:rPr>
                <w:i/>
                <w:iCs/>
                <w:lang w:val="sr-Latn-ME"/>
              </w:rPr>
            </w:pPr>
            <w:r w:rsidRPr="00BC1750">
              <w:rPr>
                <w:i/>
                <w:iCs/>
                <w:lang w:val="sr-Latn-ME"/>
              </w:rPr>
              <w:t>Participacija</w:t>
            </w:r>
            <w:r w:rsidR="00655FEC" w:rsidRPr="00BC1750">
              <w:rPr>
                <w:i/>
                <w:iCs/>
                <w:lang w:val="sr-Latn-ME"/>
              </w:rPr>
              <w:t xml:space="preserve">, partnerstvo i </w:t>
            </w:r>
            <w:r w:rsidR="00FD338F" w:rsidRPr="00BC1750">
              <w:rPr>
                <w:i/>
                <w:iCs/>
                <w:lang w:val="sr-Latn-ME"/>
              </w:rPr>
              <w:t xml:space="preserve">intersektorska </w:t>
            </w:r>
            <w:r w:rsidR="00655FEC" w:rsidRPr="00BC1750">
              <w:rPr>
                <w:i/>
                <w:iCs/>
                <w:lang w:val="sr-Latn-ME"/>
              </w:rPr>
              <w:t>saradnja</w:t>
            </w:r>
          </w:p>
          <w:p w14:paraId="58FF6E8C" w14:textId="431C0B56" w:rsidR="0095338D" w:rsidRPr="00BC1750" w:rsidRDefault="00655FEC" w:rsidP="0095338D">
            <w:pPr>
              <w:spacing w:after="160"/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Svi važni akteri u PVO (praktičari, r</w:t>
            </w:r>
            <w:r w:rsidR="0095338D" w:rsidRPr="00BC1750">
              <w:rPr>
                <w:lang w:val="sr-Latn-ME"/>
              </w:rPr>
              <w:t>oditelji, lokalna zajednica, donosioci odluka</w:t>
            </w:r>
            <w:r w:rsidRPr="00BC1750">
              <w:rPr>
                <w:lang w:val="sr-Latn-ME"/>
              </w:rPr>
              <w:t xml:space="preserve"> i drugi)</w:t>
            </w:r>
            <w:r w:rsidR="0095338D" w:rsidRPr="00BC1750">
              <w:rPr>
                <w:lang w:val="sr-Latn-ME"/>
              </w:rPr>
              <w:t xml:space="preserve"> će </w:t>
            </w:r>
            <w:r w:rsidRPr="00BC1750">
              <w:rPr>
                <w:lang w:val="sr-Latn-ME"/>
              </w:rPr>
              <w:t xml:space="preserve">kroz partnerstvo i saradnju </w:t>
            </w:r>
            <w:r w:rsidR="00AA5323" w:rsidRPr="00BC1750">
              <w:rPr>
                <w:lang w:val="sr-Latn-ME"/>
              </w:rPr>
              <w:t xml:space="preserve">sa ustanovama drugim sektorima (zdravstveni sektor i sektor za socijalnog staranja) </w:t>
            </w:r>
            <w:r w:rsidR="00C61C49" w:rsidRPr="00BC1750">
              <w:rPr>
                <w:lang w:val="sr-Latn-ME"/>
              </w:rPr>
              <w:t>obezb</w:t>
            </w:r>
            <w:r w:rsidR="00E86E27" w:rsidRPr="00BC1750">
              <w:rPr>
                <w:lang w:val="sr-Latn-ME"/>
              </w:rPr>
              <w:t>j</w:t>
            </w:r>
            <w:r w:rsidR="00C61C49" w:rsidRPr="00BC1750">
              <w:rPr>
                <w:lang w:val="sr-Latn-ME"/>
              </w:rPr>
              <w:t>eđivati</w:t>
            </w:r>
            <w:r w:rsidR="0095338D" w:rsidRPr="00BC1750">
              <w:rPr>
                <w:lang w:val="sr-Latn-ME"/>
              </w:rPr>
              <w:t xml:space="preserve"> podržavajuće i zdravo okruženja</w:t>
            </w:r>
            <w:r w:rsidR="00C61C49" w:rsidRPr="00BC1750">
              <w:rPr>
                <w:lang w:val="sr-Latn-ME"/>
              </w:rPr>
              <w:t xml:space="preserve"> za rani razvoj sve djece</w:t>
            </w:r>
            <w:r w:rsidR="0095338D" w:rsidRPr="00BC1750">
              <w:rPr>
                <w:lang w:val="sr-Latn-ME"/>
              </w:rPr>
              <w:t xml:space="preserve"> i prilagodiće svoje usluge kako bi se zadovoljile jedinstvene potrebe djece i njihovih porodica. </w:t>
            </w:r>
          </w:p>
          <w:p w14:paraId="538217A5" w14:textId="7F628B84" w:rsidR="00770C4B" w:rsidRPr="00BC1750" w:rsidRDefault="00770C4B" w:rsidP="008139DB">
            <w:pPr>
              <w:spacing w:after="160"/>
              <w:ind w:firstLine="0"/>
              <w:rPr>
                <w:i/>
                <w:iCs/>
                <w:lang w:val="sr-Latn-ME"/>
              </w:rPr>
            </w:pPr>
            <w:r w:rsidRPr="00BC1750">
              <w:rPr>
                <w:i/>
                <w:iCs/>
                <w:lang w:val="sr-Latn-ME"/>
              </w:rPr>
              <w:t>Adekvatni uslovi</w:t>
            </w:r>
            <w:r w:rsidR="00580198" w:rsidRPr="00BC1750">
              <w:rPr>
                <w:i/>
                <w:iCs/>
                <w:lang w:val="sr-Latn-ME"/>
              </w:rPr>
              <w:t xml:space="preserve"> i kapaciteti</w:t>
            </w:r>
          </w:p>
          <w:p w14:paraId="047AF9DE" w14:textId="2940F327" w:rsidR="008139DB" w:rsidRPr="00BC1750" w:rsidRDefault="00770C4B" w:rsidP="00770C4B">
            <w:pPr>
              <w:spacing w:after="160"/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Kvalitet usluga u PVO je nužno povezan sa </w:t>
            </w:r>
            <w:r w:rsidR="00F23D87">
              <w:rPr>
                <w:lang w:val="sr-Latn-ME"/>
              </w:rPr>
              <w:t>obezbjeđivanje</w:t>
            </w:r>
            <w:r w:rsidRPr="00BC1750">
              <w:rPr>
                <w:lang w:val="sr-Latn-ME"/>
              </w:rPr>
              <w:t>m adekvatnih uslova (prostor, oprema i didaktički materijali, veličina vaspitinih grupa, društveni status PVO</w:t>
            </w:r>
            <w:r w:rsidR="00580198" w:rsidRPr="00BC1750">
              <w:rPr>
                <w:lang w:val="sr-Latn-ME"/>
              </w:rPr>
              <w:t>) i kapaciteta (npr. odgovarajući broj vaspitača i drugog kadra)</w:t>
            </w:r>
            <w:r w:rsidRPr="00BC1750">
              <w:rPr>
                <w:lang w:val="sr-Latn-ME"/>
              </w:rPr>
              <w:t xml:space="preserve"> i zato je neophodno da se, u skladu sa raspoloživim resursima, unapr</w:t>
            </w:r>
            <w:r w:rsidR="00E86E27" w:rsidRPr="00BC1750">
              <w:rPr>
                <w:lang w:val="sr-Latn-ME"/>
              </w:rPr>
              <w:t>ij</w:t>
            </w:r>
            <w:r w:rsidRPr="00BC1750">
              <w:rPr>
                <w:lang w:val="sr-Latn-ME"/>
              </w:rPr>
              <w:t>ede postojeći uslovi u kojima se realizuju programi u usluge predškolskog vaspitanja i obrazovanja</w:t>
            </w:r>
            <w:r w:rsidR="00580198" w:rsidRPr="00BC1750">
              <w:rPr>
                <w:lang w:val="sr-Latn-ME"/>
              </w:rPr>
              <w:t xml:space="preserve"> i kapaciteti PVO</w:t>
            </w:r>
            <w:r w:rsidRPr="00BC1750">
              <w:rPr>
                <w:lang w:val="sr-Latn-ME"/>
              </w:rPr>
              <w:t xml:space="preserve">. </w:t>
            </w:r>
          </w:p>
          <w:p w14:paraId="68B760C5" w14:textId="77777777" w:rsidR="00FF7254" w:rsidRPr="00BC1750" w:rsidRDefault="00FF7254" w:rsidP="00FF7254">
            <w:pPr>
              <w:spacing w:before="100" w:beforeAutospacing="1" w:after="160"/>
              <w:ind w:firstLine="0"/>
              <w:jc w:val="left"/>
              <w:rPr>
                <w:rFonts w:eastAsia="Times New Roman"/>
                <w:i/>
                <w:iCs/>
                <w:szCs w:val="24"/>
                <w:lang w:val="sr-Latn-ME"/>
              </w:rPr>
            </w:pPr>
            <w:r w:rsidRPr="00BC1750">
              <w:rPr>
                <w:rFonts w:eastAsia="Times New Roman"/>
                <w:i/>
                <w:iCs/>
                <w:szCs w:val="24"/>
                <w:lang w:val="sr-Latn-ME"/>
              </w:rPr>
              <w:t>Institucionalizacija inovacija</w:t>
            </w:r>
          </w:p>
          <w:p w14:paraId="4DEC4882" w14:textId="5E08677E" w:rsidR="000839CC" w:rsidRPr="00BC1750" w:rsidRDefault="00FF7254" w:rsidP="00FF7254">
            <w:pPr>
              <w:spacing w:before="100" w:beforeAutospacing="1" w:after="160"/>
              <w:ind w:firstLine="0"/>
              <w:jc w:val="left"/>
              <w:rPr>
                <w:rFonts w:eastAsia="Times New Roman"/>
                <w:szCs w:val="24"/>
                <w:lang w:val="sr-Latn-ME"/>
              </w:rPr>
            </w:pPr>
            <w:r w:rsidRPr="00BC1750">
              <w:rPr>
                <w:rFonts w:eastAsia="Times New Roman"/>
                <w:szCs w:val="24"/>
                <w:lang w:val="sr-Latn-ME"/>
              </w:rPr>
              <w:t>Pravci razvoja, nove prakse, uspostavljene nove usluge treba da budu prepoznate, precizno određene, utemeljene, postavljene i propraćene u odgovarajućoj legislativi i pravno-tehničkoj osnovi i normi da bi se osigurala njihova primjena i kapacitet.</w:t>
            </w:r>
          </w:p>
        </w:tc>
      </w:tr>
    </w:tbl>
    <w:p w14:paraId="0AB91E4A" w14:textId="77777777" w:rsidR="003D7F02" w:rsidRPr="00BC1750" w:rsidRDefault="003D7F02" w:rsidP="006B7669">
      <w:pPr>
        <w:spacing w:after="160"/>
        <w:ind w:firstLine="0"/>
        <w:rPr>
          <w:lang w:val="sr-Latn-ME"/>
        </w:rPr>
      </w:pPr>
      <w:r w:rsidRPr="00BC1750">
        <w:rPr>
          <w:lang w:val="sr-Latn-ME"/>
        </w:rPr>
        <w:lastRenderedPageBreak/>
        <w:tab/>
      </w:r>
    </w:p>
    <w:p w14:paraId="205FAC15" w14:textId="46614947" w:rsidR="006B7669" w:rsidRPr="00BC1750" w:rsidRDefault="000A3E8E" w:rsidP="000A3E8E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Strateški cilj 1</w:t>
      </w:r>
      <w:r w:rsidR="006B7003" w:rsidRPr="00BC1750">
        <w:rPr>
          <w:rFonts w:cs="Times New Roman"/>
          <w:lang w:val="sr-Latn-ME"/>
        </w:rPr>
        <w:t xml:space="preserve">: </w:t>
      </w:r>
      <w:r w:rsidR="009C54B5" w:rsidRPr="00BC1750">
        <w:rPr>
          <w:rFonts w:cs="Times New Roman"/>
          <w:lang w:val="sr-Latn-ME"/>
        </w:rPr>
        <w:t>P</w:t>
      </w:r>
      <w:r w:rsidR="006B7003" w:rsidRPr="00BC1750">
        <w:rPr>
          <w:rFonts w:cs="Times New Roman"/>
          <w:lang w:val="sr-Latn-ME"/>
        </w:rPr>
        <w:t>ovećanje obuhvata</w:t>
      </w:r>
      <w:r w:rsidR="009C54B5" w:rsidRPr="00BC1750">
        <w:rPr>
          <w:rFonts w:cs="Times New Roman"/>
          <w:lang w:val="sr-Latn-ME"/>
        </w:rPr>
        <w:t xml:space="preserve"> PVO</w:t>
      </w:r>
    </w:p>
    <w:p w14:paraId="52E9EAF3" w14:textId="1B27A479" w:rsidR="00797AC5" w:rsidRPr="00BC1750" w:rsidRDefault="00093D46" w:rsidP="00C77D7E">
      <w:pPr>
        <w:ind w:firstLine="0"/>
        <w:rPr>
          <w:lang w:val="sr-Latn-ME"/>
        </w:rPr>
      </w:pPr>
      <w:r w:rsidRPr="00BC1750">
        <w:rPr>
          <w:lang w:val="sr-Latn-ME"/>
        </w:rPr>
        <w:tab/>
      </w:r>
      <w:r w:rsidR="006B7003" w:rsidRPr="00BC1750">
        <w:rPr>
          <w:lang w:val="sr-Latn-ME"/>
        </w:rPr>
        <w:t xml:space="preserve">Prvi strateški cilj se odnosi na povećanje obuhvata. Imajući u vidu da je tokom perioda primjene prethodne strategije (2016-2020) obuhvat u prosjeku uvećavan za 3 procentna poena </w:t>
      </w:r>
      <w:r w:rsidR="003C6917">
        <w:rPr>
          <w:lang w:val="sr-Latn-ME"/>
        </w:rPr>
        <w:t xml:space="preserve">godišnje </w:t>
      </w:r>
      <w:r w:rsidR="006B7003" w:rsidRPr="00BC1750">
        <w:rPr>
          <w:lang w:val="sr-Latn-ME"/>
        </w:rPr>
        <w:t>to znači da uz postojeći intenzitet širenja obuhvata može da se dostigne obuhvat od 6</w:t>
      </w:r>
      <w:r w:rsidR="00797AC5" w:rsidRPr="00BC1750">
        <w:rPr>
          <w:lang w:val="sr-Latn-ME"/>
        </w:rPr>
        <w:t>0</w:t>
      </w:r>
      <w:r w:rsidR="006B7003" w:rsidRPr="00BC1750">
        <w:rPr>
          <w:lang w:val="sr-Latn-ME"/>
        </w:rPr>
        <w:t xml:space="preserve">% do 2024. </w:t>
      </w:r>
      <w:r w:rsidR="003C6917">
        <w:rPr>
          <w:lang w:val="sr-Latn-ME"/>
        </w:rPr>
        <w:t>g</w:t>
      </w:r>
      <w:r w:rsidR="006B7003" w:rsidRPr="00BC1750">
        <w:rPr>
          <w:lang w:val="sr-Latn-ME"/>
        </w:rPr>
        <w:t>odine.</w:t>
      </w:r>
      <w:r w:rsidR="00C77D7E" w:rsidRPr="00BC1750">
        <w:rPr>
          <w:lang w:val="sr-Latn-ME"/>
        </w:rPr>
        <w:t xml:space="preserve"> </w:t>
      </w:r>
      <w:r w:rsidR="00085AC6" w:rsidRPr="00BC1750">
        <w:rPr>
          <w:lang w:val="sr-Latn-ME"/>
        </w:rPr>
        <w:t>To znači da bi oko 27</w:t>
      </w:r>
      <w:r w:rsidR="003C6917">
        <w:rPr>
          <w:lang w:val="sr-Latn-ME"/>
        </w:rPr>
        <w:t>.</w:t>
      </w:r>
      <w:r w:rsidR="00085AC6" w:rsidRPr="00BC1750">
        <w:rPr>
          <w:lang w:val="sr-Latn-ME"/>
        </w:rPr>
        <w:t xml:space="preserve">000 djece trebalo da pohađa PVO u 2024. </w:t>
      </w:r>
      <w:r w:rsidR="003C6917">
        <w:rPr>
          <w:lang w:val="sr-Latn-ME"/>
        </w:rPr>
        <w:t>g</w:t>
      </w:r>
      <w:r w:rsidR="00085AC6" w:rsidRPr="00BC1750">
        <w:rPr>
          <w:lang w:val="sr-Latn-ME"/>
        </w:rPr>
        <w:t>odini, odnosno oko 3</w:t>
      </w:r>
      <w:r w:rsidR="003C6917">
        <w:rPr>
          <w:lang w:val="sr-Latn-ME"/>
        </w:rPr>
        <w:t>.</w:t>
      </w:r>
      <w:r w:rsidR="00085AC6" w:rsidRPr="00BC1750">
        <w:rPr>
          <w:lang w:val="sr-Latn-ME"/>
        </w:rPr>
        <w:t xml:space="preserve">600 više djece nego što je to bio slučaj u 2020. </w:t>
      </w:r>
      <w:r w:rsidR="003C6917">
        <w:rPr>
          <w:lang w:val="sr-Latn-ME"/>
        </w:rPr>
        <w:t>g</w:t>
      </w:r>
      <w:r w:rsidR="00085AC6" w:rsidRPr="00BC1750">
        <w:rPr>
          <w:lang w:val="sr-Latn-ME"/>
        </w:rPr>
        <w:t>odini. Pored toga, povećanje obuhvata treba da bude ostvareno tako da obuhvat djece mlađe od 3 godine bude 30%, a da obuhvat djece od 3 godine do polaska u osnovnu školu bude 90% (vidi tabelu 2). Da bi se ostvario taj cilj potrebno je da se broj djece u jaslicama poveća za oko 600 i da se broj djece u vrtićima poveća za oko 3</w:t>
      </w:r>
      <w:r w:rsidR="003C6917">
        <w:rPr>
          <w:lang w:val="sr-Latn-ME"/>
        </w:rPr>
        <w:t>.</w:t>
      </w:r>
      <w:r w:rsidR="00085AC6" w:rsidRPr="00BC1750">
        <w:rPr>
          <w:lang w:val="sr-Latn-ME"/>
        </w:rPr>
        <w:t xml:space="preserve">000. </w:t>
      </w:r>
      <w:r w:rsidR="00797AC5" w:rsidRPr="00BC1750">
        <w:rPr>
          <w:lang w:val="sr-Latn-ME"/>
        </w:rPr>
        <w:t xml:space="preserve"> </w:t>
      </w:r>
    </w:p>
    <w:p w14:paraId="42E381C9" w14:textId="77777777" w:rsidR="00566A90" w:rsidRDefault="00566A90" w:rsidP="00797AC5">
      <w:pPr>
        <w:rPr>
          <w:lang w:val="sr-Latn-ME"/>
        </w:rPr>
      </w:pPr>
    </w:p>
    <w:p w14:paraId="4C693455" w14:textId="4572D83A" w:rsidR="00797AC5" w:rsidRPr="00BC1750" w:rsidRDefault="00797AC5" w:rsidP="00797AC5">
      <w:pPr>
        <w:rPr>
          <w:lang w:val="sr-Latn-ME"/>
        </w:rPr>
      </w:pPr>
      <w:r w:rsidRPr="00BC1750">
        <w:rPr>
          <w:lang w:val="sr-Latn-ME"/>
        </w:rPr>
        <w:t>Planirano povećanje broja djece u PVO je niže od povećanja koje je ostvareno u periodu 2016-2020 u kojem je oko 6</w:t>
      </w:r>
      <w:r w:rsidR="003C6917">
        <w:rPr>
          <w:lang w:val="sr-Latn-ME"/>
        </w:rPr>
        <w:t>.</w:t>
      </w:r>
      <w:r w:rsidRPr="00BC1750">
        <w:rPr>
          <w:lang w:val="sr-Latn-ME"/>
        </w:rPr>
        <w:t>000 dodatne djece uključeno u PVO (oko 4</w:t>
      </w:r>
      <w:r w:rsidR="003C6917">
        <w:rPr>
          <w:lang w:val="sr-Latn-ME"/>
        </w:rPr>
        <w:t>.</w:t>
      </w:r>
      <w:r w:rsidRPr="00BC1750">
        <w:rPr>
          <w:lang w:val="sr-Latn-ME"/>
        </w:rPr>
        <w:t>000 u vrtiće i oko 2</w:t>
      </w:r>
      <w:r w:rsidR="003C6917">
        <w:rPr>
          <w:lang w:val="sr-Latn-ME"/>
        </w:rPr>
        <w:t>.</w:t>
      </w:r>
      <w:r w:rsidRPr="00BC1750">
        <w:rPr>
          <w:lang w:val="sr-Latn-ME"/>
        </w:rPr>
        <w:t xml:space="preserve">000 u jaslene programe). Ključni razlog zašto se za period 2020-2024 planira niži porast u broju djece </w:t>
      </w:r>
      <w:r w:rsidRPr="00BC1750">
        <w:rPr>
          <w:lang w:val="sr-Latn-ME"/>
        </w:rPr>
        <w:lastRenderedPageBreak/>
        <w:t>se odnosi na potrebu da se smanji veličina postojećih grupa (koje su sada u velikom broju PU veoma velike</w:t>
      </w:r>
      <w:r w:rsidR="006A72C5" w:rsidRPr="00BC1750">
        <w:rPr>
          <w:lang w:val="sr-Latn-ME"/>
        </w:rPr>
        <w:t>) i da se na taj način ostvari strateški cilj 2 (povećanje kvaliteta, vidi dole).</w:t>
      </w:r>
    </w:p>
    <w:p w14:paraId="2CF6DCD4" w14:textId="77777777" w:rsidR="00566A90" w:rsidRDefault="00566A90" w:rsidP="00797AC5">
      <w:pPr>
        <w:rPr>
          <w:lang w:val="sr-Latn-ME"/>
        </w:rPr>
      </w:pPr>
    </w:p>
    <w:p w14:paraId="37F14805" w14:textId="24387CEB" w:rsidR="009E2114" w:rsidRPr="00BC1750" w:rsidRDefault="00797AC5" w:rsidP="00797AC5">
      <w:pPr>
        <w:rPr>
          <w:lang w:val="sr-Latn-ME"/>
        </w:rPr>
      </w:pPr>
      <w:r w:rsidRPr="00BC1750">
        <w:rPr>
          <w:lang w:val="sr-Latn-ME"/>
        </w:rPr>
        <w:t xml:space="preserve">Ostvarenjem ovog strateškog cilja PVO u Crnoj Gori bi se približila prosječnom obuhvatu jaslenim programima u zemljama EU (prosječni obuhvat je oko 35%) i EU cilju za 2020. </w:t>
      </w:r>
      <w:r w:rsidR="00CB79CE">
        <w:rPr>
          <w:lang w:val="sr-Latn-ME"/>
        </w:rPr>
        <w:t>g</w:t>
      </w:r>
      <w:r w:rsidRPr="00BC1750">
        <w:rPr>
          <w:lang w:val="sr-Latn-ME"/>
        </w:rPr>
        <w:t>odinu kada je u pitanju obuhvat djece starije od 4 godine (95%).</w:t>
      </w:r>
    </w:p>
    <w:p w14:paraId="3A4C3CDE" w14:textId="77777777" w:rsidR="009E2114" w:rsidRPr="00BC1750" w:rsidRDefault="009E2114" w:rsidP="00797AC5">
      <w:pPr>
        <w:rPr>
          <w:lang w:val="sr-Latn-ME"/>
        </w:rPr>
      </w:pPr>
    </w:p>
    <w:p w14:paraId="22C1B673" w14:textId="67CD7723" w:rsidR="007C3A96" w:rsidRPr="00BC1750" w:rsidRDefault="007C3A96" w:rsidP="007C3A96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  <w:r w:rsidRPr="00BC1750">
        <w:rPr>
          <w:i w:val="0"/>
          <w:iCs w:val="0"/>
          <w:color w:val="auto"/>
          <w:sz w:val="24"/>
          <w:szCs w:val="24"/>
          <w:lang w:val="sr-Latn-ME"/>
        </w:rPr>
        <w:t xml:space="preserve">Tabela 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begin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instrText xml:space="preserve"> SEQ Tabela \* ARABIC </w:instrTex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separate"/>
      </w:r>
      <w:r w:rsidR="0054592B" w:rsidRPr="00BC1750">
        <w:rPr>
          <w:i w:val="0"/>
          <w:iCs w:val="0"/>
          <w:noProof/>
          <w:color w:val="auto"/>
          <w:sz w:val="24"/>
          <w:szCs w:val="24"/>
          <w:lang w:val="sr-Latn-ME"/>
        </w:rPr>
        <w:t>2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end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t>. Indikatori za praćenje strateškog cilja 1</w:t>
      </w:r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2448"/>
        <w:gridCol w:w="2448"/>
        <w:gridCol w:w="1584"/>
        <w:gridCol w:w="1584"/>
        <w:gridCol w:w="1584"/>
      </w:tblGrid>
      <w:tr w:rsidR="009E2114" w:rsidRPr="00BC1750" w14:paraId="5AA5225B" w14:textId="77777777" w:rsidTr="009E2114">
        <w:tc>
          <w:tcPr>
            <w:tcW w:w="2448" w:type="dxa"/>
          </w:tcPr>
          <w:p w14:paraId="5EC7CE96" w14:textId="12F833AF" w:rsidR="009E2114" w:rsidRPr="00BC1750" w:rsidRDefault="009E2114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Strateški cilj</w:t>
            </w:r>
          </w:p>
        </w:tc>
        <w:tc>
          <w:tcPr>
            <w:tcW w:w="2448" w:type="dxa"/>
          </w:tcPr>
          <w:p w14:paraId="324D3C3D" w14:textId="30250051" w:rsidR="009E2114" w:rsidRPr="00BC1750" w:rsidRDefault="009E2114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Indikator</w:t>
            </w:r>
            <w:r w:rsidR="00EE49B4" w:rsidRPr="00BC1750">
              <w:rPr>
                <w:lang w:val="sr-Latn-ME"/>
              </w:rPr>
              <w:t xml:space="preserve"> (izvor)</w:t>
            </w:r>
          </w:p>
        </w:tc>
        <w:tc>
          <w:tcPr>
            <w:tcW w:w="1584" w:type="dxa"/>
          </w:tcPr>
          <w:p w14:paraId="580CD1A4" w14:textId="77777777" w:rsidR="009E2114" w:rsidRPr="00BC1750" w:rsidRDefault="009E2114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Sadašnja vrijednost 2020</w:t>
            </w:r>
          </w:p>
        </w:tc>
        <w:tc>
          <w:tcPr>
            <w:tcW w:w="1584" w:type="dxa"/>
          </w:tcPr>
          <w:p w14:paraId="7ED3667A" w14:textId="77777777" w:rsidR="009E2114" w:rsidRPr="00BC1750" w:rsidRDefault="009E2114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2022</w:t>
            </w:r>
          </w:p>
        </w:tc>
        <w:tc>
          <w:tcPr>
            <w:tcW w:w="1584" w:type="dxa"/>
          </w:tcPr>
          <w:p w14:paraId="0F0F57BA" w14:textId="77777777" w:rsidR="009E2114" w:rsidRPr="00BC1750" w:rsidRDefault="009E2114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2024</w:t>
            </w:r>
          </w:p>
        </w:tc>
      </w:tr>
      <w:tr w:rsidR="00E44A85" w:rsidRPr="00BC1750" w14:paraId="7B013963" w14:textId="77777777" w:rsidTr="004B1FD4">
        <w:tc>
          <w:tcPr>
            <w:tcW w:w="2448" w:type="dxa"/>
          </w:tcPr>
          <w:p w14:paraId="413B8057" w14:textId="77777777" w:rsidR="00E44A85" w:rsidRPr="00BC1750" w:rsidRDefault="00E44A85" w:rsidP="004B1FD4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>1. Povećanje obuhvata PVO</w:t>
            </w:r>
          </w:p>
        </w:tc>
        <w:tc>
          <w:tcPr>
            <w:tcW w:w="2448" w:type="dxa"/>
          </w:tcPr>
          <w:p w14:paraId="22B77308" w14:textId="45AF71B3" w:rsidR="00E44A85" w:rsidRPr="00BC1750" w:rsidRDefault="00E44A85" w:rsidP="004B1FD4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>1.1 Ukupan obuhvat djece uzrasta od 0 do 6 godina</w:t>
            </w:r>
            <w:r w:rsidR="00EE49B4" w:rsidRPr="00BC1750">
              <w:rPr>
                <w:lang w:val="sr-Latn-ME"/>
              </w:rPr>
              <w:t xml:space="preserve"> (MONSTAT)</w:t>
            </w:r>
          </w:p>
        </w:tc>
        <w:tc>
          <w:tcPr>
            <w:tcW w:w="1584" w:type="dxa"/>
          </w:tcPr>
          <w:p w14:paraId="72C4C32F" w14:textId="77777777" w:rsidR="00E44A85" w:rsidRPr="00BC1750" w:rsidRDefault="00E44A85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52%</w:t>
            </w:r>
          </w:p>
        </w:tc>
        <w:tc>
          <w:tcPr>
            <w:tcW w:w="1584" w:type="dxa"/>
          </w:tcPr>
          <w:p w14:paraId="0180D4A5" w14:textId="77777777" w:rsidR="00E44A85" w:rsidRPr="00BC1750" w:rsidRDefault="00E44A85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56%</w:t>
            </w:r>
          </w:p>
        </w:tc>
        <w:tc>
          <w:tcPr>
            <w:tcW w:w="1584" w:type="dxa"/>
          </w:tcPr>
          <w:p w14:paraId="466A6714" w14:textId="77777777" w:rsidR="00E44A85" w:rsidRPr="00BC1750" w:rsidRDefault="00E44A85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60%</w:t>
            </w:r>
          </w:p>
        </w:tc>
      </w:tr>
      <w:tr w:rsidR="00E44A85" w:rsidRPr="00BC1750" w14:paraId="04FFC106" w14:textId="77777777" w:rsidTr="004B1FD4">
        <w:tc>
          <w:tcPr>
            <w:tcW w:w="2448" w:type="dxa"/>
          </w:tcPr>
          <w:p w14:paraId="3DEADC65" w14:textId="77777777" w:rsidR="00E44A85" w:rsidRPr="00BC1750" w:rsidRDefault="00E44A85" w:rsidP="004B1FD4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>1. Povećanje obuhvata PVO</w:t>
            </w:r>
          </w:p>
        </w:tc>
        <w:tc>
          <w:tcPr>
            <w:tcW w:w="2448" w:type="dxa"/>
          </w:tcPr>
          <w:p w14:paraId="7615DEDD" w14:textId="7C4B86BD" w:rsidR="00E44A85" w:rsidRPr="00BC1750" w:rsidRDefault="00E44A85" w:rsidP="004B1FD4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>1.2 Ukupan obuhvat djece uzrasta od 3 do 6 godina</w:t>
            </w:r>
            <w:r w:rsidR="00EE49B4" w:rsidRPr="00BC1750">
              <w:rPr>
                <w:lang w:val="sr-Latn-ME"/>
              </w:rPr>
              <w:t xml:space="preserve"> (MONSTAT)</w:t>
            </w:r>
          </w:p>
        </w:tc>
        <w:tc>
          <w:tcPr>
            <w:tcW w:w="1584" w:type="dxa"/>
          </w:tcPr>
          <w:p w14:paraId="4013ABC3" w14:textId="10432025" w:rsidR="00E44A85" w:rsidRPr="00BC1750" w:rsidRDefault="00E44A85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7</w:t>
            </w:r>
            <w:r w:rsidR="005E50D2" w:rsidRPr="00BC1750">
              <w:rPr>
                <w:lang w:val="sr-Latn-ME"/>
              </w:rPr>
              <w:t>7%</w:t>
            </w:r>
          </w:p>
        </w:tc>
        <w:tc>
          <w:tcPr>
            <w:tcW w:w="1584" w:type="dxa"/>
          </w:tcPr>
          <w:p w14:paraId="4DB12BD5" w14:textId="77777777" w:rsidR="00E44A85" w:rsidRPr="00BC1750" w:rsidRDefault="00E44A85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83%</w:t>
            </w:r>
          </w:p>
        </w:tc>
        <w:tc>
          <w:tcPr>
            <w:tcW w:w="1584" w:type="dxa"/>
          </w:tcPr>
          <w:p w14:paraId="20EB7BF9" w14:textId="77777777" w:rsidR="00E44A85" w:rsidRPr="00BC1750" w:rsidRDefault="00E44A85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90%</w:t>
            </w:r>
          </w:p>
        </w:tc>
      </w:tr>
      <w:tr w:rsidR="009E2114" w:rsidRPr="00BC1750" w14:paraId="36F52F79" w14:textId="77777777" w:rsidTr="009E2114">
        <w:tc>
          <w:tcPr>
            <w:tcW w:w="2448" w:type="dxa"/>
          </w:tcPr>
          <w:p w14:paraId="0C23E836" w14:textId="5094824C" w:rsidR="009E2114" w:rsidRPr="00BC1750" w:rsidRDefault="009E2114" w:rsidP="009E2114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>1. Povećanje obuhvata PVO</w:t>
            </w:r>
          </w:p>
        </w:tc>
        <w:tc>
          <w:tcPr>
            <w:tcW w:w="2448" w:type="dxa"/>
          </w:tcPr>
          <w:p w14:paraId="5890095A" w14:textId="13E9E198" w:rsidR="009E2114" w:rsidRPr="00BC1750" w:rsidRDefault="009E2114" w:rsidP="009E2114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>1.</w:t>
            </w:r>
            <w:r w:rsidR="00E44A85" w:rsidRPr="00BC1750">
              <w:rPr>
                <w:lang w:val="sr-Latn-ME"/>
              </w:rPr>
              <w:t>3</w:t>
            </w:r>
            <w:r w:rsidRPr="00BC1750">
              <w:rPr>
                <w:lang w:val="sr-Latn-ME"/>
              </w:rPr>
              <w:t xml:space="preserve"> Ukupan obuhvat djece uzrasta od </w:t>
            </w:r>
            <w:r w:rsidR="00E44A85" w:rsidRPr="00BC1750">
              <w:rPr>
                <w:lang w:val="sr-Latn-ME"/>
              </w:rPr>
              <w:t>0</w:t>
            </w:r>
            <w:r w:rsidRPr="00BC1750">
              <w:rPr>
                <w:lang w:val="sr-Latn-ME"/>
              </w:rPr>
              <w:t xml:space="preserve"> do </w:t>
            </w:r>
            <w:r w:rsidR="00E44A85" w:rsidRPr="00BC1750">
              <w:rPr>
                <w:lang w:val="sr-Latn-ME"/>
              </w:rPr>
              <w:t>3</w:t>
            </w:r>
            <w:r w:rsidRPr="00BC1750">
              <w:rPr>
                <w:lang w:val="sr-Latn-ME"/>
              </w:rPr>
              <w:t xml:space="preserve"> godina</w:t>
            </w:r>
            <w:r w:rsidR="00EE49B4" w:rsidRPr="00BC1750">
              <w:rPr>
                <w:lang w:val="sr-Latn-ME"/>
              </w:rPr>
              <w:t xml:space="preserve"> (MONSTAT)</w:t>
            </w:r>
          </w:p>
        </w:tc>
        <w:tc>
          <w:tcPr>
            <w:tcW w:w="1584" w:type="dxa"/>
          </w:tcPr>
          <w:p w14:paraId="28C3A234" w14:textId="35D4C809" w:rsidR="009E2114" w:rsidRPr="00BC1750" w:rsidRDefault="00E44A85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</w:t>
            </w:r>
            <w:r w:rsidR="008514D8" w:rsidRPr="00BC1750">
              <w:rPr>
                <w:lang w:val="sr-Latn-ME"/>
              </w:rPr>
              <w:t>8</w:t>
            </w:r>
            <w:r w:rsidR="009E2114" w:rsidRPr="00BC1750">
              <w:rPr>
                <w:lang w:val="sr-Latn-ME"/>
              </w:rPr>
              <w:t>%</w:t>
            </w:r>
          </w:p>
        </w:tc>
        <w:tc>
          <w:tcPr>
            <w:tcW w:w="1584" w:type="dxa"/>
          </w:tcPr>
          <w:p w14:paraId="74327CEE" w14:textId="1DCF7AFE" w:rsidR="009E2114" w:rsidRPr="00BC1750" w:rsidRDefault="00E44A85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</w:t>
            </w:r>
            <w:r w:rsidR="008514D8" w:rsidRPr="00BC1750">
              <w:rPr>
                <w:lang w:val="sr-Latn-ME"/>
              </w:rPr>
              <w:t>9</w:t>
            </w:r>
            <w:r w:rsidRPr="00BC1750">
              <w:rPr>
                <w:lang w:val="sr-Latn-ME"/>
              </w:rPr>
              <w:t>%</w:t>
            </w:r>
          </w:p>
        </w:tc>
        <w:tc>
          <w:tcPr>
            <w:tcW w:w="1584" w:type="dxa"/>
          </w:tcPr>
          <w:p w14:paraId="4FEFA0B5" w14:textId="3112FB0B" w:rsidR="009E2114" w:rsidRPr="00BC1750" w:rsidRDefault="009E2114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</w:t>
            </w:r>
            <w:r w:rsidR="00E44A85" w:rsidRPr="00BC1750">
              <w:rPr>
                <w:lang w:val="sr-Latn-ME"/>
              </w:rPr>
              <w:t>3</w:t>
            </w:r>
            <w:r w:rsidRPr="00BC1750">
              <w:rPr>
                <w:lang w:val="sr-Latn-ME"/>
              </w:rPr>
              <w:t>0%</w:t>
            </w:r>
          </w:p>
        </w:tc>
      </w:tr>
    </w:tbl>
    <w:p w14:paraId="2539720F" w14:textId="77777777" w:rsidR="009E2114" w:rsidRPr="00BC1750" w:rsidRDefault="009E2114" w:rsidP="00797AC5">
      <w:pPr>
        <w:rPr>
          <w:lang w:val="sr-Latn-ME"/>
        </w:rPr>
      </w:pPr>
    </w:p>
    <w:p w14:paraId="188D8223" w14:textId="110E62EB" w:rsidR="00C60C9D" w:rsidRPr="00BC1750" w:rsidRDefault="00797AC5" w:rsidP="006A72C5">
      <w:pPr>
        <w:rPr>
          <w:lang w:val="sr-Latn-ME"/>
        </w:rPr>
      </w:pPr>
      <w:r w:rsidRPr="00BC1750">
        <w:rPr>
          <w:lang w:val="sr-Latn-ME"/>
        </w:rPr>
        <w:t xml:space="preserve"> </w:t>
      </w:r>
      <w:r w:rsidR="00823423" w:rsidRPr="00BC1750">
        <w:rPr>
          <w:lang w:val="sr-Latn-ME"/>
        </w:rPr>
        <w:t>Da bi se ostvario ovaj strateški cilj potrebno je da se realizuju sledeći operativni ciljevi</w:t>
      </w:r>
      <w:r w:rsidR="00F24E7F" w:rsidRPr="00BC1750">
        <w:rPr>
          <w:lang w:val="sr-Latn-ME"/>
        </w:rPr>
        <w:t xml:space="preserve"> koji se </w:t>
      </w:r>
      <w:r w:rsidR="004B3182" w:rsidRPr="00BC1750">
        <w:rPr>
          <w:lang w:val="sr-Latn-ME"/>
        </w:rPr>
        <w:t xml:space="preserve">bi doprinijeli </w:t>
      </w:r>
      <w:r w:rsidR="00F24E7F" w:rsidRPr="00BC1750">
        <w:rPr>
          <w:lang w:val="sr-Latn-ME"/>
        </w:rPr>
        <w:t>proširenj</w:t>
      </w:r>
      <w:r w:rsidR="004B3182" w:rsidRPr="00BC1750">
        <w:rPr>
          <w:lang w:val="sr-Latn-ME"/>
        </w:rPr>
        <w:t>u</w:t>
      </w:r>
      <w:r w:rsidR="00F24E7F" w:rsidRPr="00BC1750">
        <w:rPr>
          <w:lang w:val="sr-Latn-ME"/>
        </w:rPr>
        <w:t xml:space="preserve"> postojećih kapaciteta</w:t>
      </w:r>
      <w:r w:rsidR="00823423" w:rsidRPr="00BC1750">
        <w:rPr>
          <w:lang w:val="sr-Latn-ME"/>
        </w:rPr>
        <w:t>:</w:t>
      </w:r>
    </w:p>
    <w:p w14:paraId="69E2CBC1" w14:textId="77777777" w:rsidR="00075DEC" w:rsidRPr="00BC1750" w:rsidRDefault="00075DEC" w:rsidP="006A72C5">
      <w:pPr>
        <w:rPr>
          <w:lang w:val="sr-Latn-ME"/>
        </w:rPr>
      </w:pPr>
    </w:p>
    <w:p w14:paraId="41DD2493" w14:textId="78200538" w:rsidR="00823423" w:rsidRPr="00BC1750" w:rsidRDefault="00823423" w:rsidP="00075DEC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>Operativ</w:t>
      </w:r>
      <w:r w:rsidR="00D52D94" w:rsidRPr="00BC1750">
        <w:rPr>
          <w:lang w:val="sr-Latn-ME"/>
        </w:rPr>
        <w:t>n</w:t>
      </w:r>
      <w:r w:rsidRPr="00BC1750">
        <w:rPr>
          <w:lang w:val="sr-Latn-ME"/>
        </w:rPr>
        <w:t xml:space="preserve">i cilj </w:t>
      </w:r>
      <w:r w:rsidR="00441EE3" w:rsidRPr="00BC1750">
        <w:rPr>
          <w:lang w:val="sr-Latn-ME"/>
        </w:rPr>
        <w:t>1.</w:t>
      </w:r>
      <w:r w:rsidRPr="00BC1750">
        <w:rPr>
          <w:lang w:val="sr-Latn-ME"/>
        </w:rPr>
        <w:t xml:space="preserve">1: </w:t>
      </w:r>
      <w:r w:rsidR="00D52D94" w:rsidRPr="00BC1750">
        <w:rPr>
          <w:lang w:val="sr-Latn-ME"/>
        </w:rPr>
        <w:t>P</w:t>
      </w:r>
      <w:r w:rsidRPr="00BC1750">
        <w:rPr>
          <w:lang w:val="sr-Latn-ME"/>
        </w:rPr>
        <w:t xml:space="preserve">ovećanje </w:t>
      </w:r>
      <w:r w:rsidR="00D52D94" w:rsidRPr="00BC1750">
        <w:rPr>
          <w:lang w:val="sr-Latn-ME"/>
        </w:rPr>
        <w:t>kapacitet</w:t>
      </w:r>
      <w:r w:rsidR="00627AD2" w:rsidRPr="00BC1750">
        <w:rPr>
          <w:lang w:val="sr-Latn-ME"/>
        </w:rPr>
        <w:t>a</w:t>
      </w:r>
      <w:r w:rsidR="00D52D94" w:rsidRPr="00BC1750">
        <w:rPr>
          <w:lang w:val="sr-Latn-ME"/>
        </w:rPr>
        <w:t xml:space="preserve"> u </w:t>
      </w:r>
      <w:r w:rsidR="00B41E40" w:rsidRPr="00BC1750">
        <w:rPr>
          <w:lang w:val="sr-Latn-ME"/>
        </w:rPr>
        <w:t xml:space="preserve">javnim </w:t>
      </w:r>
      <w:r w:rsidR="00D52D94" w:rsidRPr="00BC1750">
        <w:rPr>
          <w:lang w:val="sr-Latn-ME"/>
        </w:rPr>
        <w:t>predškolskim ustanovama</w:t>
      </w:r>
    </w:p>
    <w:p w14:paraId="03786560" w14:textId="4BFEEB5A" w:rsidR="00414824" w:rsidRPr="00BC1750" w:rsidRDefault="00414824" w:rsidP="00075DEC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</w:t>
      </w:r>
      <w:r w:rsidR="00441EE3" w:rsidRPr="00BC1750">
        <w:rPr>
          <w:lang w:val="sr-Latn-ME"/>
        </w:rPr>
        <w:t>1.</w:t>
      </w:r>
      <w:r w:rsidR="008578CB" w:rsidRPr="00BC1750">
        <w:rPr>
          <w:lang w:val="sr-Latn-ME"/>
        </w:rPr>
        <w:t>2</w:t>
      </w:r>
      <w:r w:rsidRPr="00BC1750">
        <w:rPr>
          <w:lang w:val="sr-Latn-ME"/>
        </w:rPr>
        <w:t>: Povećanje kapacitet</w:t>
      </w:r>
      <w:r w:rsidR="00627AD2" w:rsidRPr="00BC1750">
        <w:rPr>
          <w:lang w:val="sr-Latn-ME"/>
        </w:rPr>
        <w:t>a</w:t>
      </w:r>
      <w:r w:rsidRPr="00BC1750">
        <w:rPr>
          <w:lang w:val="sr-Latn-ME"/>
        </w:rPr>
        <w:t xml:space="preserve"> kroz adaptaciju javnih lokalnih prostora</w:t>
      </w:r>
    </w:p>
    <w:p w14:paraId="4731A4BA" w14:textId="77777777" w:rsidR="00C86867" w:rsidRPr="00BC1750" w:rsidRDefault="00B43C1B" w:rsidP="00075DEC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</w:t>
      </w:r>
      <w:r w:rsidR="00441EE3" w:rsidRPr="00BC1750">
        <w:rPr>
          <w:lang w:val="sr-Latn-ME"/>
        </w:rPr>
        <w:t>1.</w:t>
      </w:r>
      <w:r w:rsidRPr="00BC1750">
        <w:rPr>
          <w:lang w:val="sr-Latn-ME"/>
        </w:rPr>
        <w:t xml:space="preserve">3: Povećanje kapaciteta </w:t>
      </w:r>
      <w:r w:rsidR="00B0047A" w:rsidRPr="00BC1750">
        <w:rPr>
          <w:lang w:val="sr-Latn-ME"/>
        </w:rPr>
        <w:t xml:space="preserve">mreže </w:t>
      </w:r>
      <w:r w:rsidRPr="00BC1750">
        <w:rPr>
          <w:lang w:val="sr-Latn-ME"/>
        </w:rPr>
        <w:t>interaktivnih službi</w:t>
      </w:r>
    </w:p>
    <w:p w14:paraId="63E06CA9" w14:textId="35908731" w:rsidR="00B43C1B" w:rsidRPr="00BC1750" w:rsidRDefault="00C86867" w:rsidP="00075DEC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>Operativni cilj 1.4: Izraditi dugoročni plan širenja kapaciteta</w:t>
      </w:r>
      <w:r w:rsidR="00765C23" w:rsidRPr="00BC1750">
        <w:rPr>
          <w:lang w:val="sr-Latn-ME"/>
        </w:rPr>
        <w:t>, koji će uključiti i inovativne, društveno odgovorne opcije</w:t>
      </w:r>
    </w:p>
    <w:p w14:paraId="049F2651" w14:textId="11880C5D" w:rsidR="003A6126" w:rsidRPr="00BC1750" w:rsidRDefault="003A6126" w:rsidP="00075DEC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1.5: Jačati svijest javnosti o značaju uključivanja </w:t>
      </w:r>
      <w:r w:rsidR="00354802" w:rsidRPr="00BC1750">
        <w:rPr>
          <w:lang w:val="sr-Latn-ME"/>
        </w:rPr>
        <w:t>dje</w:t>
      </w:r>
      <w:r w:rsidRPr="00BC1750">
        <w:rPr>
          <w:lang w:val="sr-Latn-ME"/>
        </w:rPr>
        <w:t>ce u programe ranog i predškolskog učenja</w:t>
      </w:r>
    </w:p>
    <w:p w14:paraId="2E22FB4A" w14:textId="77777777" w:rsidR="007C3A96" w:rsidRPr="00BC1750" w:rsidRDefault="007C3A96" w:rsidP="00D52D94">
      <w:pPr>
        <w:rPr>
          <w:lang w:val="sr-Latn-ME"/>
        </w:rPr>
      </w:pPr>
    </w:p>
    <w:p w14:paraId="6ADAF373" w14:textId="221873C4" w:rsidR="00515BE8" w:rsidRPr="00BC1750" w:rsidRDefault="007C3A96" w:rsidP="007C3A96">
      <w:pPr>
        <w:rPr>
          <w:lang w:val="sr-Latn-ME"/>
        </w:rPr>
      </w:pPr>
      <w:r w:rsidRPr="00BC1750">
        <w:rPr>
          <w:lang w:val="sr-Latn-ME"/>
        </w:rPr>
        <w:t>U tabeli 3 su pregledno prikazani indikatori pomoću kojih se prati ostvarenje operativnih ciljeva 1.1 do 1.</w:t>
      </w:r>
      <w:r w:rsidR="001318E4" w:rsidRPr="00BC1750">
        <w:rPr>
          <w:lang w:val="sr-Latn-ME"/>
        </w:rPr>
        <w:t>3</w:t>
      </w:r>
      <w:r w:rsidRPr="00BC1750">
        <w:rPr>
          <w:lang w:val="sr-Latn-ME"/>
        </w:rPr>
        <w:t>.</w:t>
      </w:r>
    </w:p>
    <w:p w14:paraId="60497CB3" w14:textId="57E773A2" w:rsidR="00640A64" w:rsidRPr="00BC1750" w:rsidRDefault="00640A64" w:rsidP="00640A64">
      <w:pPr>
        <w:ind w:firstLine="0"/>
        <w:rPr>
          <w:lang w:val="sr-Latn-ME"/>
        </w:rPr>
      </w:pPr>
    </w:p>
    <w:p w14:paraId="5B88223D" w14:textId="5831AE80" w:rsidR="007C3A96" w:rsidRPr="00BC1750" w:rsidRDefault="007C3A96" w:rsidP="007C3A96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  <w:r w:rsidRPr="00BC1750">
        <w:rPr>
          <w:i w:val="0"/>
          <w:iCs w:val="0"/>
          <w:color w:val="auto"/>
          <w:sz w:val="24"/>
          <w:szCs w:val="24"/>
          <w:lang w:val="sr-Latn-ME"/>
        </w:rPr>
        <w:t xml:space="preserve">Tabela 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begin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instrText xml:space="preserve"> SEQ Tabela \* ARABIC </w:instrTex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separate"/>
      </w:r>
      <w:r w:rsidR="0054592B" w:rsidRPr="00BC1750">
        <w:rPr>
          <w:i w:val="0"/>
          <w:iCs w:val="0"/>
          <w:noProof/>
          <w:color w:val="auto"/>
          <w:sz w:val="24"/>
          <w:szCs w:val="24"/>
          <w:lang w:val="sr-Latn-ME"/>
        </w:rPr>
        <w:t>3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end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t>. Indikatori za praćenje operativnih ciljeva 1.1-1.</w:t>
      </w:r>
      <w:r w:rsidR="001318E4" w:rsidRPr="00BC1750">
        <w:rPr>
          <w:i w:val="0"/>
          <w:iCs w:val="0"/>
          <w:color w:val="auto"/>
          <w:sz w:val="24"/>
          <w:szCs w:val="24"/>
          <w:lang w:val="sr-Latn-ME"/>
        </w:rPr>
        <w:t>3</w:t>
      </w:r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2448"/>
        <w:gridCol w:w="2448"/>
        <w:gridCol w:w="1584"/>
        <w:gridCol w:w="1584"/>
        <w:gridCol w:w="1584"/>
      </w:tblGrid>
      <w:tr w:rsidR="00D33188" w:rsidRPr="00BC1750" w14:paraId="7C289A54" w14:textId="77777777" w:rsidTr="00D33188">
        <w:tc>
          <w:tcPr>
            <w:tcW w:w="2448" w:type="dxa"/>
          </w:tcPr>
          <w:p w14:paraId="3E09598C" w14:textId="70D5B62C" w:rsidR="00D33188" w:rsidRPr="00BC1750" w:rsidRDefault="00D33188" w:rsidP="00B156B6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Operativni cilj</w:t>
            </w:r>
          </w:p>
        </w:tc>
        <w:tc>
          <w:tcPr>
            <w:tcW w:w="2448" w:type="dxa"/>
          </w:tcPr>
          <w:p w14:paraId="2325D7F5" w14:textId="2508757A" w:rsidR="00D33188" w:rsidRPr="00BC1750" w:rsidRDefault="00D33188" w:rsidP="00B156B6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Indikator</w:t>
            </w:r>
            <w:r w:rsidR="00EE49B4" w:rsidRPr="00BC1750">
              <w:rPr>
                <w:lang w:val="sr-Latn-ME"/>
              </w:rPr>
              <w:t xml:space="preserve"> (izvor)</w:t>
            </w:r>
          </w:p>
        </w:tc>
        <w:tc>
          <w:tcPr>
            <w:tcW w:w="1584" w:type="dxa"/>
          </w:tcPr>
          <w:p w14:paraId="7DDA997B" w14:textId="74CDD5CB" w:rsidR="00D33188" w:rsidRPr="00BC1750" w:rsidRDefault="00D33188" w:rsidP="00B156B6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Sadašnja vrijednost 2020</w:t>
            </w:r>
          </w:p>
        </w:tc>
        <w:tc>
          <w:tcPr>
            <w:tcW w:w="1584" w:type="dxa"/>
          </w:tcPr>
          <w:p w14:paraId="22EDF788" w14:textId="3E8B0591" w:rsidR="00D33188" w:rsidRPr="00BC1750" w:rsidRDefault="00D33188" w:rsidP="00B156B6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2022</w:t>
            </w:r>
          </w:p>
        </w:tc>
        <w:tc>
          <w:tcPr>
            <w:tcW w:w="1584" w:type="dxa"/>
          </w:tcPr>
          <w:p w14:paraId="463F0ED3" w14:textId="2E4DDDD1" w:rsidR="00D33188" w:rsidRPr="00BC1750" w:rsidRDefault="00D33188" w:rsidP="00B156B6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2024</w:t>
            </w:r>
          </w:p>
        </w:tc>
      </w:tr>
      <w:tr w:rsidR="00D33188" w:rsidRPr="00BC1750" w14:paraId="10EA85BA" w14:textId="77777777" w:rsidTr="00D33188">
        <w:tc>
          <w:tcPr>
            <w:tcW w:w="2448" w:type="dxa"/>
          </w:tcPr>
          <w:p w14:paraId="006E18C3" w14:textId="012B9CB7" w:rsidR="00D33188" w:rsidRPr="00BC1750" w:rsidRDefault="00D33188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>1.1. Povećanje kapacitet u javnim predškolskim ustanovama</w:t>
            </w:r>
          </w:p>
        </w:tc>
        <w:tc>
          <w:tcPr>
            <w:tcW w:w="2448" w:type="dxa"/>
          </w:tcPr>
          <w:p w14:paraId="1E4DB2E0" w14:textId="68FEA948" w:rsidR="00D33188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1.1.1 </w:t>
            </w:r>
            <w:r w:rsidR="00D33188" w:rsidRPr="00BC1750">
              <w:rPr>
                <w:lang w:val="sr-Latn-ME"/>
              </w:rPr>
              <w:t>Ukupna nova površina u javnim PU (m</w:t>
            </w:r>
            <w:r w:rsidR="00D33188" w:rsidRPr="00BC1750">
              <w:rPr>
                <w:vertAlign w:val="superscript"/>
                <w:lang w:val="sr-Latn-ME"/>
              </w:rPr>
              <w:t>2</w:t>
            </w:r>
            <w:r w:rsidR="00D33188" w:rsidRPr="00BC1750">
              <w:rPr>
                <w:lang w:val="sr-Latn-ME"/>
              </w:rPr>
              <w:t>)</w:t>
            </w:r>
            <w:r w:rsidR="00EE49B4" w:rsidRPr="00BC1750">
              <w:rPr>
                <w:lang w:val="sr-Latn-ME"/>
              </w:rPr>
              <w:t xml:space="preserve"> (MEIS)</w:t>
            </w:r>
          </w:p>
        </w:tc>
        <w:tc>
          <w:tcPr>
            <w:tcW w:w="1584" w:type="dxa"/>
          </w:tcPr>
          <w:p w14:paraId="25D3EAF5" w14:textId="186EA1D6" w:rsidR="00D33188" w:rsidRPr="00BC1750" w:rsidRDefault="00D33188" w:rsidP="00640A6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0</w:t>
            </w:r>
          </w:p>
        </w:tc>
        <w:tc>
          <w:tcPr>
            <w:tcW w:w="1584" w:type="dxa"/>
          </w:tcPr>
          <w:p w14:paraId="2579F9E0" w14:textId="5BF90E26" w:rsidR="00D33188" w:rsidRPr="00BC1750" w:rsidRDefault="00D33188" w:rsidP="00640A6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6000</w:t>
            </w:r>
          </w:p>
        </w:tc>
        <w:tc>
          <w:tcPr>
            <w:tcW w:w="1584" w:type="dxa"/>
          </w:tcPr>
          <w:p w14:paraId="4DE97997" w14:textId="231A4854" w:rsidR="00D33188" w:rsidRPr="00BC1750" w:rsidRDefault="00D33188" w:rsidP="00640A6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13000</w:t>
            </w:r>
          </w:p>
        </w:tc>
      </w:tr>
      <w:tr w:rsidR="00E93620" w:rsidRPr="00BC1750" w14:paraId="632A19B0" w14:textId="77777777" w:rsidTr="00E93620">
        <w:tc>
          <w:tcPr>
            <w:tcW w:w="2448" w:type="dxa"/>
          </w:tcPr>
          <w:p w14:paraId="61E50031" w14:textId="3E440411" w:rsidR="00E93620" w:rsidRPr="00BC1750" w:rsidRDefault="00E93620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1.2. Povećanje kapaciteta kroz adaptaciju javnih lokalnih prostora</w:t>
            </w:r>
          </w:p>
        </w:tc>
        <w:tc>
          <w:tcPr>
            <w:tcW w:w="2448" w:type="dxa"/>
          </w:tcPr>
          <w:p w14:paraId="48A8B131" w14:textId="39DBAE76" w:rsidR="00E93620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1.2.1 </w:t>
            </w:r>
            <w:r w:rsidR="00E93620" w:rsidRPr="00BC1750">
              <w:rPr>
                <w:lang w:val="sr-Latn-ME"/>
              </w:rPr>
              <w:t>Ukupna površina u novim adaptiranim prostorima (m</w:t>
            </w:r>
            <w:r w:rsidR="00E93620" w:rsidRPr="00BC1750">
              <w:rPr>
                <w:vertAlign w:val="superscript"/>
                <w:lang w:val="sr-Latn-ME"/>
              </w:rPr>
              <w:t>2</w:t>
            </w:r>
            <w:r w:rsidR="00E93620" w:rsidRPr="00BC1750">
              <w:rPr>
                <w:lang w:val="sr-Latn-ME"/>
              </w:rPr>
              <w:t>)</w:t>
            </w:r>
            <w:r w:rsidR="00EE49B4" w:rsidRPr="00BC1750">
              <w:rPr>
                <w:lang w:val="sr-Latn-ME"/>
              </w:rPr>
              <w:t xml:space="preserve"> (MEIS)</w:t>
            </w:r>
          </w:p>
        </w:tc>
        <w:tc>
          <w:tcPr>
            <w:tcW w:w="1584" w:type="dxa"/>
          </w:tcPr>
          <w:p w14:paraId="0AA2865C" w14:textId="22BA0C7A" w:rsidR="00E93620" w:rsidRPr="00BC1750" w:rsidRDefault="00E93620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0</w:t>
            </w:r>
          </w:p>
        </w:tc>
        <w:tc>
          <w:tcPr>
            <w:tcW w:w="1584" w:type="dxa"/>
          </w:tcPr>
          <w:p w14:paraId="18093DEF" w14:textId="3BB4763C" w:rsidR="00E93620" w:rsidRPr="00BC1750" w:rsidRDefault="00300DA9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500</w:t>
            </w:r>
            <w:r w:rsidR="00E93620" w:rsidRPr="00BC1750">
              <w:rPr>
                <w:lang w:val="sr-Latn-ME"/>
              </w:rPr>
              <w:t xml:space="preserve"> m2</w:t>
            </w:r>
          </w:p>
        </w:tc>
        <w:tc>
          <w:tcPr>
            <w:tcW w:w="1584" w:type="dxa"/>
          </w:tcPr>
          <w:p w14:paraId="3599AA61" w14:textId="7831C7A0" w:rsidR="00E93620" w:rsidRPr="00BC1750" w:rsidRDefault="00300DA9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1500</w:t>
            </w:r>
            <w:r w:rsidR="00E93620" w:rsidRPr="00BC1750">
              <w:rPr>
                <w:lang w:val="sr-Latn-ME"/>
              </w:rPr>
              <w:t xml:space="preserve"> m2</w:t>
            </w:r>
          </w:p>
        </w:tc>
      </w:tr>
      <w:tr w:rsidR="00E93620" w:rsidRPr="00BC1750" w14:paraId="7E1BCEF6" w14:textId="77777777" w:rsidTr="00E93620">
        <w:tc>
          <w:tcPr>
            <w:tcW w:w="2448" w:type="dxa"/>
          </w:tcPr>
          <w:p w14:paraId="677FB357" w14:textId="0B8F2C7C" w:rsidR="00E93620" w:rsidRPr="00BC1750" w:rsidRDefault="00E93620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1.3. Povećanje kapaciteta mreže interaktivnih službi</w:t>
            </w:r>
          </w:p>
        </w:tc>
        <w:tc>
          <w:tcPr>
            <w:tcW w:w="2448" w:type="dxa"/>
          </w:tcPr>
          <w:p w14:paraId="42402B43" w14:textId="44B2C881" w:rsidR="00E93620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1.3.1 </w:t>
            </w:r>
            <w:r w:rsidR="00E93620" w:rsidRPr="00BC1750">
              <w:rPr>
                <w:lang w:val="sr-Latn-ME"/>
              </w:rPr>
              <w:t>Broj punktova interaktivne službe</w:t>
            </w:r>
            <w:r w:rsidR="00E22744" w:rsidRPr="00BC1750">
              <w:rPr>
                <w:lang w:val="sr-Latn-ME"/>
              </w:rPr>
              <w:t xml:space="preserve"> (MEIS)</w:t>
            </w:r>
          </w:p>
        </w:tc>
        <w:tc>
          <w:tcPr>
            <w:tcW w:w="1584" w:type="dxa"/>
          </w:tcPr>
          <w:p w14:paraId="32C88A60" w14:textId="09DC8BC2" w:rsidR="00E93620" w:rsidRPr="00BC1750" w:rsidRDefault="00007FCF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</w:t>
            </w:r>
            <w:r w:rsidR="00DF1417" w:rsidRPr="00BC1750">
              <w:rPr>
                <w:lang w:val="sr-Latn-ME"/>
              </w:rPr>
              <w:t>1</w:t>
            </w:r>
          </w:p>
        </w:tc>
        <w:tc>
          <w:tcPr>
            <w:tcW w:w="1584" w:type="dxa"/>
          </w:tcPr>
          <w:p w14:paraId="527140F7" w14:textId="733E8C7B" w:rsidR="00E93620" w:rsidRPr="00BC1750" w:rsidRDefault="00E93620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4</w:t>
            </w:r>
            <w:r w:rsidR="00DF1417" w:rsidRPr="00BC1750">
              <w:rPr>
                <w:lang w:val="sr-Latn-ME"/>
              </w:rPr>
              <w:t>0</w:t>
            </w:r>
          </w:p>
        </w:tc>
        <w:tc>
          <w:tcPr>
            <w:tcW w:w="1584" w:type="dxa"/>
          </w:tcPr>
          <w:p w14:paraId="5DD6377E" w14:textId="1A246999" w:rsidR="00E93620" w:rsidRPr="00BC1750" w:rsidRDefault="00E93620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5</w:t>
            </w:r>
            <w:r w:rsidR="00DF1417" w:rsidRPr="00BC1750">
              <w:rPr>
                <w:lang w:val="sr-Latn-ME"/>
              </w:rPr>
              <w:t>0</w:t>
            </w:r>
          </w:p>
        </w:tc>
      </w:tr>
      <w:tr w:rsidR="00C86867" w:rsidRPr="00BC1750" w14:paraId="255C6971" w14:textId="77777777" w:rsidTr="00E93620">
        <w:tc>
          <w:tcPr>
            <w:tcW w:w="2448" w:type="dxa"/>
          </w:tcPr>
          <w:p w14:paraId="351B31FB" w14:textId="3B4FDFAC" w:rsidR="00C86867" w:rsidRPr="00BC1750" w:rsidRDefault="00C86867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1.4. Izraditi dugoročni plan širenja kapaciteta</w:t>
            </w:r>
            <w:r w:rsidR="00FC1958" w:rsidRPr="00BC1750">
              <w:rPr>
                <w:lang w:val="sr-Latn-ME"/>
              </w:rPr>
              <w:t xml:space="preserve"> </w:t>
            </w:r>
          </w:p>
        </w:tc>
        <w:tc>
          <w:tcPr>
            <w:tcW w:w="2448" w:type="dxa"/>
          </w:tcPr>
          <w:p w14:paraId="6F593050" w14:textId="4F3DC4FB" w:rsidR="00C86867" w:rsidRPr="00BC1750" w:rsidRDefault="00C86867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1.4.1. Usvojen dugoročni plan širenja kapaciteta</w:t>
            </w:r>
          </w:p>
        </w:tc>
        <w:tc>
          <w:tcPr>
            <w:tcW w:w="1584" w:type="dxa"/>
          </w:tcPr>
          <w:p w14:paraId="4B9F6DDD" w14:textId="357259D7" w:rsidR="00C86867" w:rsidRPr="00BC1750" w:rsidRDefault="00C86867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3E469A6A" w14:textId="729C1A37" w:rsidR="00C86867" w:rsidRPr="00BC1750" w:rsidRDefault="00C86867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359EBA43" w14:textId="398B5ACA" w:rsidR="00C86867" w:rsidRPr="00BC1750" w:rsidRDefault="00C86867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</w:tr>
      <w:tr w:rsidR="003A6126" w:rsidRPr="00BC1750" w14:paraId="3F83C72F" w14:textId="77777777" w:rsidTr="00E93620">
        <w:tc>
          <w:tcPr>
            <w:tcW w:w="2448" w:type="dxa"/>
          </w:tcPr>
          <w:p w14:paraId="77D29B7C" w14:textId="1349E07E" w:rsidR="003A6126" w:rsidRPr="00BC1750" w:rsidRDefault="003A6126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1.5. Jačati svijest javnosti o značaju uključivanja </w:t>
            </w:r>
            <w:r w:rsidR="00354802" w:rsidRPr="00BC1750">
              <w:rPr>
                <w:lang w:val="sr-Latn-ME"/>
              </w:rPr>
              <w:t>dje</w:t>
            </w:r>
            <w:r w:rsidRPr="00BC1750">
              <w:rPr>
                <w:lang w:val="sr-Latn-ME"/>
              </w:rPr>
              <w:t>ce u programe ranog i predškolskog učenja</w:t>
            </w:r>
          </w:p>
        </w:tc>
        <w:tc>
          <w:tcPr>
            <w:tcW w:w="2448" w:type="dxa"/>
          </w:tcPr>
          <w:p w14:paraId="65A3DE8D" w14:textId="78B77FC2" w:rsidR="003A6126" w:rsidRPr="00BC1750" w:rsidRDefault="003A6126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1.5.1. Kampanja za podizanje svesti o značaju uključivanja </w:t>
            </w:r>
            <w:r w:rsidR="00354802" w:rsidRPr="00BC1750">
              <w:rPr>
                <w:lang w:val="sr-Latn-ME"/>
              </w:rPr>
              <w:t>dje</w:t>
            </w:r>
            <w:r w:rsidRPr="00BC1750">
              <w:rPr>
                <w:lang w:val="sr-Latn-ME"/>
              </w:rPr>
              <w:t>ce u programe ranog i predškolskog učenja je realizovana</w:t>
            </w:r>
          </w:p>
        </w:tc>
        <w:tc>
          <w:tcPr>
            <w:tcW w:w="1584" w:type="dxa"/>
          </w:tcPr>
          <w:p w14:paraId="5A9DC6D3" w14:textId="4B4BF6F9" w:rsidR="003A6126" w:rsidRPr="00BC1750" w:rsidRDefault="003A6126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  <w:tc>
          <w:tcPr>
            <w:tcW w:w="1584" w:type="dxa"/>
          </w:tcPr>
          <w:p w14:paraId="71E1734D" w14:textId="5C19E1E4" w:rsidR="003A6126" w:rsidRPr="00BC1750" w:rsidRDefault="003A6126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  <w:tc>
          <w:tcPr>
            <w:tcW w:w="1584" w:type="dxa"/>
          </w:tcPr>
          <w:p w14:paraId="71114B54" w14:textId="40FF4642" w:rsidR="003A6126" w:rsidRPr="00BC1750" w:rsidRDefault="003A6126" w:rsidP="00D8128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</w:tr>
    </w:tbl>
    <w:p w14:paraId="50177EF7" w14:textId="5B6A563E" w:rsidR="00441EE3" w:rsidRPr="00BC1750" w:rsidRDefault="00441EE3" w:rsidP="00441EE3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 xml:space="preserve">Strateški cilj 2: </w:t>
      </w:r>
      <w:r w:rsidR="009C54B5" w:rsidRPr="00BC1750">
        <w:rPr>
          <w:rFonts w:cs="Times New Roman"/>
          <w:lang w:val="sr-Latn-ME"/>
        </w:rPr>
        <w:t xml:space="preserve">Unapređenje </w:t>
      </w:r>
      <w:r w:rsidR="00A91CB6" w:rsidRPr="00BC1750">
        <w:rPr>
          <w:rFonts w:cs="Times New Roman"/>
          <w:lang w:val="sr-Latn-ME"/>
        </w:rPr>
        <w:t xml:space="preserve">i </w:t>
      </w:r>
      <w:r w:rsidR="00F23D87">
        <w:rPr>
          <w:rFonts w:cs="Times New Roman"/>
          <w:lang w:val="sr-Latn-ME"/>
        </w:rPr>
        <w:t>obezbjeđivanje</w:t>
      </w:r>
      <w:r w:rsidR="00A91CB6" w:rsidRPr="00BC1750">
        <w:rPr>
          <w:rFonts w:cs="Times New Roman"/>
          <w:lang w:val="sr-Latn-ME"/>
        </w:rPr>
        <w:t xml:space="preserve"> </w:t>
      </w:r>
      <w:r w:rsidR="009C54B5" w:rsidRPr="00BC1750">
        <w:rPr>
          <w:rFonts w:cs="Times New Roman"/>
          <w:lang w:val="sr-Latn-ME"/>
        </w:rPr>
        <w:t>kvaliteta PVO</w:t>
      </w:r>
    </w:p>
    <w:p w14:paraId="306EB8C7" w14:textId="13A6CD43" w:rsidR="00441EE3" w:rsidRPr="00BC1750" w:rsidRDefault="00441EE3" w:rsidP="00441EE3">
      <w:pPr>
        <w:ind w:firstLine="0"/>
        <w:rPr>
          <w:lang w:val="sr-Latn-ME"/>
        </w:rPr>
      </w:pPr>
      <w:r w:rsidRPr="00BC1750">
        <w:rPr>
          <w:lang w:val="sr-Latn-ME"/>
        </w:rPr>
        <w:tab/>
      </w:r>
      <w:r w:rsidR="004B3182" w:rsidRPr="00BC1750">
        <w:rPr>
          <w:lang w:val="sr-Latn-ME"/>
        </w:rPr>
        <w:t xml:space="preserve">Drugi </w:t>
      </w:r>
      <w:r w:rsidRPr="00BC1750">
        <w:rPr>
          <w:lang w:val="sr-Latn-ME"/>
        </w:rPr>
        <w:t xml:space="preserve">strateški cilj se odnosi na </w:t>
      </w:r>
      <w:r w:rsidR="004B3182" w:rsidRPr="00BC1750">
        <w:rPr>
          <w:lang w:val="sr-Latn-ME"/>
        </w:rPr>
        <w:t>unapređenje kvaliteta predškolskog vaspitanja i obrazovanja</w:t>
      </w:r>
      <w:r w:rsidR="0035418D" w:rsidRPr="00BC1750">
        <w:rPr>
          <w:lang w:val="sr-Latn-ME"/>
        </w:rPr>
        <w:t xml:space="preserve">. </w:t>
      </w:r>
      <w:r w:rsidR="00C277A9" w:rsidRPr="00BC1750">
        <w:rPr>
          <w:lang w:val="sr-Latn-ME"/>
        </w:rPr>
        <w:t xml:space="preserve">Analiza postojećeg stanja je ukazala da postoji potreba da se kvalitet PVO značajno unaprijedi u narednom periodu u skladu sa EU okvirom za visokokvalitetni PVO. Pored toga, osnovna misija PVO </w:t>
      </w:r>
      <w:r w:rsidR="002B6FE7" w:rsidRPr="00BC1750">
        <w:rPr>
          <w:lang w:val="sr-Latn-ME"/>
        </w:rPr>
        <w:t xml:space="preserve">u Crnoj Gori jeste podrška ranom razvoju djece zbog čega pitanje </w:t>
      </w:r>
      <w:r w:rsidR="00A507A9" w:rsidRPr="00BC1750">
        <w:rPr>
          <w:lang w:val="sr-Latn-ME"/>
        </w:rPr>
        <w:t>unaprjeđenja</w:t>
      </w:r>
      <w:r w:rsidR="002B6FE7" w:rsidRPr="00BC1750">
        <w:rPr>
          <w:lang w:val="sr-Latn-ME"/>
        </w:rPr>
        <w:t xml:space="preserve"> kvalitet treba da budu u fokusu u periodu 2021-2024</w:t>
      </w:r>
      <w:r w:rsidR="00C277A9" w:rsidRPr="00BC1750">
        <w:rPr>
          <w:lang w:val="sr-Latn-ME"/>
        </w:rPr>
        <w:t>.</w:t>
      </w:r>
    </w:p>
    <w:p w14:paraId="15827E92" w14:textId="77777777" w:rsidR="00566A90" w:rsidRDefault="00C277A9" w:rsidP="00441EE3">
      <w:pPr>
        <w:ind w:firstLine="0"/>
        <w:rPr>
          <w:lang w:val="sr-Latn-ME"/>
        </w:rPr>
      </w:pPr>
      <w:r w:rsidRPr="00BC1750">
        <w:rPr>
          <w:lang w:val="sr-Latn-ME"/>
        </w:rPr>
        <w:tab/>
      </w:r>
    </w:p>
    <w:p w14:paraId="1A56944B" w14:textId="65E540AB" w:rsidR="00C277A9" w:rsidRPr="00BC1750" w:rsidRDefault="00C277A9" w:rsidP="00566A90">
      <w:pPr>
        <w:rPr>
          <w:lang w:val="sr-Latn-ME"/>
        </w:rPr>
      </w:pPr>
      <w:r w:rsidRPr="00BC1750">
        <w:rPr>
          <w:lang w:val="sr-Latn-ME"/>
        </w:rPr>
        <w:t xml:space="preserve">Analiza trenutnog stanja je ukazala na ključne preprjeke kada je u pitanju sadašnji kvalitet PVO u Crnoj Gori: (a) </w:t>
      </w:r>
      <w:r w:rsidR="00540A76" w:rsidRPr="00BC1750">
        <w:rPr>
          <w:lang w:val="sr-Latn-ME"/>
        </w:rPr>
        <w:t xml:space="preserve">nedovoljan broj vaspitača i posledično </w:t>
      </w:r>
      <w:r w:rsidRPr="00BC1750">
        <w:rPr>
          <w:lang w:val="sr-Latn-ME"/>
        </w:rPr>
        <w:t xml:space="preserve">prevelike vaspitne grupe </w:t>
      </w:r>
      <w:r w:rsidR="00A507A9" w:rsidRPr="00BC1750">
        <w:rPr>
          <w:lang w:val="sr-Latn-ME"/>
        </w:rPr>
        <w:t>i previsok broj d</w:t>
      </w:r>
      <w:r w:rsidR="00A428F6">
        <w:rPr>
          <w:lang w:val="sr-Latn-ME"/>
        </w:rPr>
        <w:t>j</w:t>
      </w:r>
      <w:r w:rsidR="00A507A9" w:rsidRPr="00BC1750">
        <w:rPr>
          <w:lang w:val="sr-Latn-ME"/>
        </w:rPr>
        <w:t xml:space="preserve">ece po vaspitaču </w:t>
      </w:r>
      <w:r w:rsidRPr="00BC1750">
        <w:rPr>
          <w:lang w:val="sr-Latn-ME"/>
        </w:rPr>
        <w:t>koj</w:t>
      </w:r>
      <w:r w:rsidR="00A507A9" w:rsidRPr="00BC1750">
        <w:rPr>
          <w:lang w:val="sr-Latn-ME"/>
        </w:rPr>
        <w:t>i</w:t>
      </w:r>
      <w:r w:rsidRPr="00BC1750">
        <w:rPr>
          <w:lang w:val="sr-Latn-ME"/>
        </w:rPr>
        <w:t xml:space="preserve"> otežavaju </w:t>
      </w:r>
      <w:r w:rsidR="00A507A9" w:rsidRPr="00BC1750">
        <w:rPr>
          <w:lang w:val="sr-Latn-ME"/>
        </w:rPr>
        <w:t xml:space="preserve">pružanje </w:t>
      </w:r>
      <w:r w:rsidRPr="00BC1750">
        <w:rPr>
          <w:lang w:val="sr-Latn-ME"/>
        </w:rPr>
        <w:t>kvalitetn</w:t>
      </w:r>
      <w:r w:rsidR="00787CBD" w:rsidRPr="00BC1750">
        <w:rPr>
          <w:lang w:val="sr-Latn-ME"/>
        </w:rPr>
        <w:t>og</w:t>
      </w:r>
      <w:r w:rsidRPr="00BC1750">
        <w:rPr>
          <w:lang w:val="sr-Latn-ME"/>
        </w:rPr>
        <w:t xml:space="preserve"> rad</w:t>
      </w:r>
      <w:r w:rsidR="00787CBD" w:rsidRPr="00BC1750">
        <w:rPr>
          <w:lang w:val="sr-Latn-ME"/>
        </w:rPr>
        <w:t>a</w:t>
      </w:r>
      <w:r w:rsidRPr="00BC1750">
        <w:rPr>
          <w:lang w:val="sr-Latn-ME"/>
        </w:rPr>
        <w:t xml:space="preserve">, (b) kvalitet postojećeg programa PVO nije usklađen sa EU okvirom, (c) </w:t>
      </w:r>
      <w:r w:rsidR="00765C23" w:rsidRPr="00BC1750">
        <w:rPr>
          <w:lang w:val="sr-Latn-ME"/>
        </w:rPr>
        <w:t xml:space="preserve">inicijalno obrazovanje i </w:t>
      </w:r>
      <w:r w:rsidRPr="00BC1750">
        <w:rPr>
          <w:lang w:val="sr-Latn-ME"/>
        </w:rPr>
        <w:t xml:space="preserve">profesionalni razvoj </w:t>
      </w:r>
      <w:r w:rsidR="009C3985" w:rsidRPr="00BC1750">
        <w:rPr>
          <w:lang w:val="sr-Latn-ME"/>
        </w:rPr>
        <w:t>zaposlenih ni</w:t>
      </w:r>
      <w:r w:rsidR="00A507A9" w:rsidRPr="00BC1750">
        <w:rPr>
          <w:lang w:val="sr-Latn-ME"/>
        </w:rPr>
        <w:t>su</w:t>
      </w:r>
      <w:r w:rsidR="009C3985" w:rsidRPr="00BC1750">
        <w:rPr>
          <w:lang w:val="sr-Latn-ME"/>
        </w:rPr>
        <w:t xml:space="preserve"> usklađen</w:t>
      </w:r>
      <w:r w:rsidR="00A507A9" w:rsidRPr="00BC1750">
        <w:rPr>
          <w:lang w:val="sr-Latn-ME"/>
        </w:rPr>
        <w:t>i</w:t>
      </w:r>
      <w:r w:rsidR="009C3985" w:rsidRPr="00BC1750">
        <w:rPr>
          <w:lang w:val="sr-Latn-ME"/>
        </w:rPr>
        <w:t xml:space="preserve"> sa EU okvirom</w:t>
      </w:r>
      <w:r w:rsidR="00A507A9" w:rsidRPr="00BC1750">
        <w:rPr>
          <w:lang w:val="sr-Latn-ME"/>
        </w:rPr>
        <w:t>, a nisu ni međusobno dovoljno usklađeni</w:t>
      </w:r>
      <w:r w:rsidR="009C3985" w:rsidRPr="00BC1750">
        <w:rPr>
          <w:lang w:val="sr-Latn-ME"/>
        </w:rPr>
        <w:t>,</w:t>
      </w:r>
      <w:r w:rsidRPr="00BC1750">
        <w:rPr>
          <w:lang w:val="sr-Latn-ME"/>
        </w:rPr>
        <w:t xml:space="preserve"> </w:t>
      </w:r>
      <w:r w:rsidR="009C3985" w:rsidRPr="00BC1750">
        <w:rPr>
          <w:lang w:val="sr-Latn-ME"/>
        </w:rPr>
        <w:t xml:space="preserve">(d) pružanje podrške roditeljima u stvaranju podsticajnog okruženja za rani razvoj nije dovoljno razvijen, </w:t>
      </w:r>
      <w:r w:rsidR="00787CBD" w:rsidRPr="00BC1750">
        <w:rPr>
          <w:lang w:val="sr-Latn-ME"/>
        </w:rPr>
        <w:t xml:space="preserve">i </w:t>
      </w:r>
      <w:r w:rsidR="009C3985" w:rsidRPr="00BC1750">
        <w:rPr>
          <w:lang w:val="sr-Latn-ME"/>
        </w:rPr>
        <w:t xml:space="preserve">(e) sistem </w:t>
      </w:r>
      <w:r w:rsidR="00F23D87">
        <w:rPr>
          <w:lang w:val="sr-Latn-ME"/>
        </w:rPr>
        <w:t>obezbjeđivanja</w:t>
      </w:r>
      <w:r w:rsidR="009C3985" w:rsidRPr="00BC1750">
        <w:rPr>
          <w:lang w:val="sr-Latn-ME"/>
        </w:rPr>
        <w:t xml:space="preserve"> kvaliteta je nedovoljno usmjeren na unapređivanje kvaliteta, a više na nadzor</w:t>
      </w:r>
      <w:r w:rsidR="00025176" w:rsidRPr="00BC1750">
        <w:rPr>
          <w:lang w:val="sr-Latn-ME"/>
        </w:rPr>
        <w:t>.</w:t>
      </w:r>
    </w:p>
    <w:p w14:paraId="1EF184AA" w14:textId="327B34A4" w:rsidR="007C3A96" w:rsidRPr="00BC1750" w:rsidRDefault="007C3A96" w:rsidP="00441EE3">
      <w:pPr>
        <w:ind w:firstLine="0"/>
        <w:rPr>
          <w:lang w:val="sr-Latn-ME"/>
        </w:rPr>
      </w:pPr>
    </w:p>
    <w:p w14:paraId="4A32A99C" w14:textId="3DCFDD25" w:rsidR="007C3A96" w:rsidRPr="00BC1750" w:rsidRDefault="007C3A96" w:rsidP="007C3A96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  <w:r w:rsidRPr="00BC1750">
        <w:rPr>
          <w:i w:val="0"/>
          <w:iCs w:val="0"/>
          <w:color w:val="auto"/>
          <w:sz w:val="24"/>
          <w:szCs w:val="24"/>
          <w:lang w:val="sr-Latn-ME"/>
        </w:rPr>
        <w:t xml:space="preserve">Tabela 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begin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instrText xml:space="preserve"> SEQ Tabela \* ARABIC </w:instrTex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separate"/>
      </w:r>
      <w:r w:rsidR="0054592B" w:rsidRPr="00BC1750">
        <w:rPr>
          <w:i w:val="0"/>
          <w:iCs w:val="0"/>
          <w:noProof/>
          <w:color w:val="auto"/>
          <w:sz w:val="24"/>
          <w:szCs w:val="24"/>
          <w:lang w:val="sr-Latn-ME"/>
        </w:rPr>
        <w:t>4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end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t>. Indikatori za praćenje strateškog cilja 2</w:t>
      </w:r>
    </w:p>
    <w:p w14:paraId="5F771570" w14:textId="77777777" w:rsidR="00765C23" w:rsidRPr="00BC1750" w:rsidRDefault="00765C23" w:rsidP="00C86935">
      <w:pPr>
        <w:rPr>
          <w:lang w:val="sr-Latn-ME"/>
        </w:rPr>
      </w:pPr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2448"/>
        <w:gridCol w:w="2448"/>
        <w:gridCol w:w="1584"/>
        <w:gridCol w:w="1584"/>
        <w:gridCol w:w="1584"/>
      </w:tblGrid>
      <w:tr w:rsidR="007C3A96" w:rsidRPr="00BC1750" w14:paraId="635AF22C" w14:textId="77777777" w:rsidTr="004B1FD4">
        <w:tc>
          <w:tcPr>
            <w:tcW w:w="2448" w:type="dxa"/>
          </w:tcPr>
          <w:p w14:paraId="42A27570" w14:textId="77777777" w:rsidR="007C3A96" w:rsidRPr="00BC1750" w:rsidRDefault="007C3A96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Strateški cilj</w:t>
            </w:r>
          </w:p>
        </w:tc>
        <w:tc>
          <w:tcPr>
            <w:tcW w:w="2448" w:type="dxa"/>
          </w:tcPr>
          <w:p w14:paraId="6D802360" w14:textId="77777777" w:rsidR="007C3A96" w:rsidRPr="00BC1750" w:rsidRDefault="007C3A96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Indikator</w:t>
            </w:r>
          </w:p>
        </w:tc>
        <w:tc>
          <w:tcPr>
            <w:tcW w:w="1584" w:type="dxa"/>
          </w:tcPr>
          <w:p w14:paraId="67DA03F9" w14:textId="77777777" w:rsidR="007C3A96" w:rsidRPr="00BC1750" w:rsidRDefault="007C3A96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Sadašnja vrijednost 2020</w:t>
            </w:r>
          </w:p>
        </w:tc>
        <w:tc>
          <w:tcPr>
            <w:tcW w:w="1584" w:type="dxa"/>
          </w:tcPr>
          <w:p w14:paraId="31D74917" w14:textId="77777777" w:rsidR="007C3A96" w:rsidRPr="00BC1750" w:rsidRDefault="007C3A96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2022</w:t>
            </w:r>
          </w:p>
        </w:tc>
        <w:tc>
          <w:tcPr>
            <w:tcW w:w="1584" w:type="dxa"/>
          </w:tcPr>
          <w:p w14:paraId="2B1BC4D5" w14:textId="77777777" w:rsidR="007C3A96" w:rsidRPr="00BC1750" w:rsidRDefault="007C3A96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2024</w:t>
            </w:r>
          </w:p>
        </w:tc>
      </w:tr>
      <w:tr w:rsidR="007C3A96" w:rsidRPr="00BC1750" w14:paraId="32AC5032" w14:textId="77777777" w:rsidTr="004B1FD4">
        <w:tc>
          <w:tcPr>
            <w:tcW w:w="2448" w:type="dxa"/>
          </w:tcPr>
          <w:p w14:paraId="3309772C" w14:textId="0A88D21F" w:rsidR="007C3A96" w:rsidRPr="00BC1750" w:rsidRDefault="00842D41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>2</w:t>
            </w:r>
            <w:r w:rsidR="007C3A96" w:rsidRPr="00BC1750">
              <w:rPr>
                <w:lang w:val="sr-Latn-ME"/>
              </w:rPr>
              <w:t xml:space="preserve">. </w:t>
            </w:r>
            <w:r w:rsidRPr="00BC1750">
              <w:rPr>
                <w:lang w:val="sr-Latn-ME"/>
              </w:rPr>
              <w:t xml:space="preserve">Unapređenje i </w:t>
            </w:r>
            <w:r w:rsidR="00DE64AC" w:rsidRPr="00BC1750">
              <w:rPr>
                <w:lang w:val="sr-Latn-ME"/>
              </w:rPr>
              <w:t>obezb</w:t>
            </w:r>
            <w:r w:rsidR="00566A90">
              <w:rPr>
                <w:lang w:val="sr-Latn-ME"/>
              </w:rPr>
              <w:t>j</w:t>
            </w:r>
            <w:r w:rsidR="00DE64AC" w:rsidRPr="00BC1750">
              <w:rPr>
                <w:lang w:val="sr-Latn-ME"/>
              </w:rPr>
              <w:t>eđivanj</w:t>
            </w:r>
            <w:r w:rsidRPr="00BC1750">
              <w:rPr>
                <w:lang w:val="sr-Latn-ME"/>
              </w:rPr>
              <w:t>e kvaliteta PVO</w:t>
            </w:r>
          </w:p>
        </w:tc>
        <w:tc>
          <w:tcPr>
            <w:tcW w:w="2448" w:type="dxa"/>
          </w:tcPr>
          <w:p w14:paraId="0D2DB020" w14:textId="3D6B28FE" w:rsidR="007C3A96" w:rsidRPr="00BC1750" w:rsidRDefault="00842D41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</w:t>
            </w:r>
            <w:r w:rsidR="007C3A96" w:rsidRPr="00BC1750">
              <w:rPr>
                <w:lang w:val="sr-Latn-ME"/>
              </w:rPr>
              <w:t xml:space="preserve">.1 </w:t>
            </w:r>
            <w:r w:rsidRPr="00BC1750">
              <w:rPr>
                <w:lang w:val="sr-Latn-ME"/>
              </w:rPr>
              <w:t xml:space="preserve">Broj javnih PU u kojima je prosječna veličina vaspitnih grupa do 26 </w:t>
            </w:r>
            <w:r w:rsidR="00B84F60" w:rsidRPr="00BC1750">
              <w:rPr>
                <w:lang w:val="sr-Latn-ME"/>
              </w:rPr>
              <w:t>djece po vaspitnoj grupi</w:t>
            </w:r>
            <w:r w:rsidR="00E22744" w:rsidRPr="00BC1750">
              <w:rPr>
                <w:lang w:val="sr-Latn-ME"/>
              </w:rPr>
              <w:t xml:space="preserve"> (MONSTAT)</w:t>
            </w:r>
          </w:p>
        </w:tc>
        <w:tc>
          <w:tcPr>
            <w:tcW w:w="1584" w:type="dxa"/>
          </w:tcPr>
          <w:p w14:paraId="2CCA66A3" w14:textId="7DA13DA7" w:rsidR="007C3A96" w:rsidRPr="00BC1750" w:rsidRDefault="00842D41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10</w:t>
            </w:r>
          </w:p>
        </w:tc>
        <w:tc>
          <w:tcPr>
            <w:tcW w:w="1584" w:type="dxa"/>
          </w:tcPr>
          <w:p w14:paraId="6BD038BB" w14:textId="6BF4F3FD" w:rsidR="007C3A96" w:rsidRPr="00BC1750" w:rsidRDefault="00842D41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14</w:t>
            </w:r>
          </w:p>
        </w:tc>
        <w:tc>
          <w:tcPr>
            <w:tcW w:w="1584" w:type="dxa"/>
          </w:tcPr>
          <w:p w14:paraId="2E1D3CA5" w14:textId="341E45E2" w:rsidR="007C3A96" w:rsidRPr="00BC1750" w:rsidRDefault="007C3A96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</w:t>
            </w:r>
            <w:r w:rsidR="00842D41" w:rsidRPr="00BC1750">
              <w:rPr>
                <w:lang w:val="sr-Latn-ME"/>
              </w:rPr>
              <w:t>18</w:t>
            </w:r>
          </w:p>
        </w:tc>
      </w:tr>
      <w:tr w:rsidR="00842D41" w:rsidRPr="00BC1750" w14:paraId="4E86C2A6" w14:textId="77777777" w:rsidTr="004B1FD4">
        <w:tc>
          <w:tcPr>
            <w:tcW w:w="2448" w:type="dxa"/>
          </w:tcPr>
          <w:p w14:paraId="178D683B" w14:textId="155C21C9" w:rsidR="00842D41" w:rsidRPr="00BC1750" w:rsidRDefault="00842D41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2. Unapređenje i </w:t>
            </w:r>
            <w:r w:rsidR="00DE64AC" w:rsidRPr="00BC1750">
              <w:rPr>
                <w:lang w:val="sr-Latn-ME"/>
              </w:rPr>
              <w:t>obezb</w:t>
            </w:r>
            <w:r w:rsidR="00566A90">
              <w:rPr>
                <w:lang w:val="sr-Latn-ME"/>
              </w:rPr>
              <w:t>j</w:t>
            </w:r>
            <w:r w:rsidR="00DE64AC" w:rsidRPr="00BC1750">
              <w:rPr>
                <w:lang w:val="sr-Latn-ME"/>
              </w:rPr>
              <w:t>eđivanj</w:t>
            </w:r>
            <w:r w:rsidRPr="00BC1750">
              <w:rPr>
                <w:lang w:val="sr-Latn-ME"/>
              </w:rPr>
              <w:t>e kvaliteta PVO</w:t>
            </w:r>
          </w:p>
        </w:tc>
        <w:tc>
          <w:tcPr>
            <w:tcW w:w="2448" w:type="dxa"/>
          </w:tcPr>
          <w:p w14:paraId="26E45FA6" w14:textId="0B5DBD4A" w:rsidR="00842D41" w:rsidRPr="00BC1750" w:rsidRDefault="00842D41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2.2 </w:t>
            </w:r>
            <w:r w:rsidR="00EA333E" w:rsidRPr="00EA333E">
              <w:rPr>
                <w:lang w:val="sr-Latn-ME"/>
              </w:rPr>
              <w:t xml:space="preserve">Novi plan i program PVO i novi model profesionalnog usavršavanja su usaglašeni sa EU okvirom </w:t>
            </w:r>
            <w:r w:rsidR="00E22744" w:rsidRPr="00BC1750">
              <w:rPr>
                <w:lang w:val="sr-Latn-ME"/>
              </w:rPr>
              <w:t>(MP)</w:t>
            </w:r>
          </w:p>
        </w:tc>
        <w:tc>
          <w:tcPr>
            <w:tcW w:w="1584" w:type="dxa"/>
          </w:tcPr>
          <w:p w14:paraId="22363055" w14:textId="35F8F986" w:rsidR="00842D41" w:rsidRPr="00BC1750" w:rsidRDefault="00B84F60" w:rsidP="00842D41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13E8FC3B" w14:textId="7E2432D1" w:rsidR="00842D41" w:rsidRPr="00BC1750" w:rsidRDefault="00B84F60" w:rsidP="00842D41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6C21249E" w14:textId="1E33F223" w:rsidR="00842D41" w:rsidRPr="00BC1750" w:rsidRDefault="00B84F60" w:rsidP="00842D41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</w:tr>
    </w:tbl>
    <w:p w14:paraId="17FF7A53" w14:textId="77777777" w:rsidR="007C3A96" w:rsidRPr="00BC1750" w:rsidRDefault="007C3A96" w:rsidP="00441EE3">
      <w:pPr>
        <w:ind w:firstLine="0"/>
        <w:rPr>
          <w:lang w:val="sr-Latn-ME"/>
        </w:rPr>
      </w:pPr>
    </w:p>
    <w:p w14:paraId="06D326D7" w14:textId="5077F6A8" w:rsidR="00441EE3" w:rsidRPr="00BC1750" w:rsidRDefault="00441EE3" w:rsidP="00441EE3">
      <w:pPr>
        <w:rPr>
          <w:lang w:val="sr-Latn-ME"/>
        </w:rPr>
      </w:pPr>
      <w:r w:rsidRPr="00BC1750">
        <w:rPr>
          <w:lang w:val="sr-Latn-ME"/>
        </w:rPr>
        <w:t xml:space="preserve">Da bi se </w:t>
      </w:r>
      <w:r w:rsidR="00025176" w:rsidRPr="00BC1750">
        <w:rPr>
          <w:lang w:val="sr-Latn-ME"/>
        </w:rPr>
        <w:t xml:space="preserve">u narednom periodu unaprijedio kvalitet PVO </w:t>
      </w:r>
      <w:r w:rsidRPr="00BC1750">
        <w:rPr>
          <w:lang w:val="sr-Latn-ME"/>
        </w:rPr>
        <w:t>potrebno je da se realizuju sledeći operativni ciljevi:</w:t>
      </w:r>
    </w:p>
    <w:p w14:paraId="6D85AC51" w14:textId="77777777" w:rsidR="00441EE3" w:rsidRPr="00BC1750" w:rsidRDefault="00441EE3" w:rsidP="00441EE3">
      <w:pPr>
        <w:rPr>
          <w:highlight w:val="yellow"/>
          <w:lang w:val="sr-Latn-ME"/>
        </w:rPr>
      </w:pPr>
    </w:p>
    <w:p w14:paraId="00376950" w14:textId="0AFE5C93" w:rsidR="009832ED" w:rsidRPr="00BC1750" w:rsidRDefault="00441EE3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</w:t>
      </w:r>
      <w:r w:rsidR="00025176" w:rsidRPr="00BC1750">
        <w:rPr>
          <w:lang w:val="sr-Latn-ME"/>
        </w:rPr>
        <w:t>2.</w:t>
      </w:r>
      <w:r w:rsidRPr="00BC1750">
        <w:rPr>
          <w:lang w:val="sr-Latn-ME"/>
        </w:rPr>
        <w:t xml:space="preserve">1: </w:t>
      </w:r>
      <w:r w:rsidR="009832ED" w:rsidRPr="00BC1750">
        <w:rPr>
          <w:lang w:val="sr-Latn-ME"/>
        </w:rPr>
        <w:t>Smanjivanje veličine vaspitnih grupa</w:t>
      </w:r>
    </w:p>
    <w:p w14:paraId="3C3091B1" w14:textId="29043A5C" w:rsidR="00441EE3" w:rsidRPr="00BC1750" w:rsidRDefault="009832ED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2.2: </w:t>
      </w:r>
      <w:r w:rsidR="006B02F9" w:rsidRPr="00BC1750">
        <w:rPr>
          <w:lang w:val="sr-Latn-ME"/>
        </w:rPr>
        <w:t>Razvoj i primjena osavremenjenog Plana i programa PVO</w:t>
      </w:r>
    </w:p>
    <w:p w14:paraId="2E520D4B" w14:textId="524DBE69" w:rsidR="00441EE3" w:rsidRPr="00BC1750" w:rsidRDefault="00441EE3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</w:t>
      </w:r>
      <w:r w:rsidR="00025176" w:rsidRPr="00BC1750">
        <w:rPr>
          <w:lang w:val="sr-Latn-ME"/>
        </w:rPr>
        <w:t>2.</w:t>
      </w:r>
      <w:r w:rsidR="009832ED" w:rsidRPr="00BC1750">
        <w:rPr>
          <w:lang w:val="sr-Latn-ME"/>
        </w:rPr>
        <w:t>3</w:t>
      </w:r>
      <w:r w:rsidRPr="00BC1750">
        <w:rPr>
          <w:lang w:val="sr-Latn-ME"/>
        </w:rPr>
        <w:t xml:space="preserve">: </w:t>
      </w:r>
      <w:r w:rsidR="009832ED" w:rsidRPr="00BC1750">
        <w:rPr>
          <w:lang w:val="sr-Latn-ME"/>
        </w:rPr>
        <w:t>Uskladiti postojeći sistem profesionalnog razvoja sa EU okvirom</w:t>
      </w:r>
    </w:p>
    <w:p w14:paraId="0B8E9252" w14:textId="55D1ECB4" w:rsidR="003B6CCE" w:rsidRPr="00BC1750" w:rsidRDefault="003B6CCE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>Operativni cilj 2.4: Unaprijediti sadržaj i praksu inicijalnog obrazovanja</w:t>
      </w:r>
    </w:p>
    <w:p w14:paraId="1CD4AF7E" w14:textId="3DF1A848" w:rsidR="00441EE3" w:rsidRPr="00BC1750" w:rsidRDefault="00441EE3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</w:t>
      </w:r>
      <w:r w:rsidR="00025176" w:rsidRPr="00BC1750">
        <w:rPr>
          <w:lang w:val="sr-Latn-ME"/>
        </w:rPr>
        <w:t>2.</w:t>
      </w:r>
      <w:r w:rsidR="003B6CCE" w:rsidRPr="00BC1750">
        <w:rPr>
          <w:lang w:val="sr-Latn-ME"/>
        </w:rPr>
        <w:t>5</w:t>
      </w:r>
      <w:r w:rsidRPr="00BC1750">
        <w:rPr>
          <w:lang w:val="sr-Latn-ME"/>
        </w:rPr>
        <w:t xml:space="preserve">: </w:t>
      </w:r>
      <w:r w:rsidR="009832ED" w:rsidRPr="00BC1750">
        <w:rPr>
          <w:lang w:val="sr-Latn-ME"/>
        </w:rPr>
        <w:t xml:space="preserve">Unaprijediti postojeći sistem </w:t>
      </w:r>
      <w:r w:rsidR="00DE64AC" w:rsidRPr="00BC1750">
        <w:rPr>
          <w:lang w:val="sr-Latn-ME"/>
        </w:rPr>
        <w:t>obezb</w:t>
      </w:r>
      <w:r w:rsidR="00566A90">
        <w:rPr>
          <w:lang w:val="sr-Latn-ME"/>
        </w:rPr>
        <w:t>j</w:t>
      </w:r>
      <w:r w:rsidR="00DE64AC" w:rsidRPr="00BC1750">
        <w:rPr>
          <w:lang w:val="sr-Latn-ME"/>
        </w:rPr>
        <w:t>eđivanj</w:t>
      </w:r>
      <w:r w:rsidR="009832ED" w:rsidRPr="00BC1750">
        <w:rPr>
          <w:lang w:val="sr-Latn-ME"/>
        </w:rPr>
        <w:t>a kvaliteta</w:t>
      </w:r>
    </w:p>
    <w:p w14:paraId="38A05DFF" w14:textId="30C4BCEA" w:rsidR="009832ED" w:rsidRPr="00BC1750" w:rsidRDefault="009832ED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>Operativni cilj 2.</w:t>
      </w:r>
      <w:r w:rsidR="003B6CCE" w:rsidRPr="00BC1750">
        <w:rPr>
          <w:lang w:val="sr-Latn-ME"/>
        </w:rPr>
        <w:t>6</w:t>
      </w:r>
      <w:r w:rsidRPr="00BC1750">
        <w:rPr>
          <w:lang w:val="sr-Latn-ME"/>
        </w:rPr>
        <w:t>: Jačanje podrške roditeljima i porodicama</w:t>
      </w:r>
    </w:p>
    <w:p w14:paraId="11D10F39" w14:textId="38938166" w:rsidR="00C8150A" w:rsidRPr="00BC1750" w:rsidRDefault="00C8150A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>Operativni cilj 2.</w:t>
      </w:r>
      <w:r w:rsidR="003B6CCE" w:rsidRPr="00BC1750">
        <w:rPr>
          <w:lang w:val="sr-Latn-ME"/>
        </w:rPr>
        <w:t>7</w:t>
      </w:r>
      <w:r w:rsidRPr="00BC1750">
        <w:rPr>
          <w:lang w:val="sr-Latn-ME"/>
        </w:rPr>
        <w:t xml:space="preserve">: </w:t>
      </w:r>
      <w:r w:rsidR="0071472D" w:rsidRPr="00BC1750">
        <w:rPr>
          <w:lang w:val="sr-Latn-ME"/>
        </w:rPr>
        <w:t>Revizija režima rada i unapređenje kvaliteta ishrane u predškolskim ustanovama</w:t>
      </w:r>
    </w:p>
    <w:p w14:paraId="0DD7F123" w14:textId="304A7F57" w:rsidR="008A7296" w:rsidRPr="00BC1750" w:rsidRDefault="008A7296" w:rsidP="00441EE3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>Operativni cilj 2.8: Uvezati i učiniti održivim aktivnosti prelaza u osnovnu školu</w:t>
      </w:r>
    </w:p>
    <w:p w14:paraId="3A512631" w14:textId="5B821361" w:rsidR="00C041A1" w:rsidRPr="00BC1750" w:rsidRDefault="00C041A1" w:rsidP="00C041A1">
      <w:pPr>
        <w:rPr>
          <w:lang w:val="sr-Latn-ME"/>
        </w:rPr>
      </w:pPr>
    </w:p>
    <w:p w14:paraId="01B12781" w14:textId="555CDBA9" w:rsidR="00C041A1" w:rsidRPr="00BC1750" w:rsidRDefault="00C041A1" w:rsidP="00C041A1">
      <w:pPr>
        <w:rPr>
          <w:lang w:val="sr-Latn-ME"/>
        </w:rPr>
      </w:pPr>
      <w:r w:rsidRPr="00BC1750">
        <w:rPr>
          <w:lang w:val="sr-Latn-ME"/>
        </w:rPr>
        <w:t>U tabeli 5 su pregledno prikazani indikatori pomoću kojih se prati ostvarenje operativnih ciljeva 2.1 do 2.5.</w:t>
      </w:r>
    </w:p>
    <w:p w14:paraId="6663CE97" w14:textId="77777777" w:rsidR="00E22744" w:rsidRPr="00BC1750" w:rsidRDefault="00E22744" w:rsidP="00C041A1">
      <w:pPr>
        <w:rPr>
          <w:lang w:val="sr-Latn-ME"/>
        </w:rPr>
      </w:pPr>
    </w:p>
    <w:p w14:paraId="6E090192" w14:textId="41CE6A4A" w:rsidR="00C041A1" w:rsidRPr="00566A90" w:rsidRDefault="00C041A1" w:rsidP="00C041A1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  <w:r w:rsidRPr="00566A90">
        <w:rPr>
          <w:i w:val="0"/>
          <w:iCs w:val="0"/>
          <w:color w:val="auto"/>
          <w:sz w:val="24"/>
          <w:szCs w:val="24"/>
          <w:lang w:val="sr-Latn-ME"/>
        </w:rPr>
        <w:t xml:space="preserve">Tabela </w:t>
      </w:r>
      <w:r w:rsidRPr="00566A90">
        <w:rPr>
          <w:i w:val="0"/>
          <w:iCs w:val="0"/>
          <w:color w:val="auto"/>
          <w:sz w:val="24"/>
          <w:szCs w:val="24"/>
          <w:lang w:val="sr-Latn-ME"/>
        </w:rPr>
        <w:fldChar w:fldCharType="begin"/>
      </w:r>
      <w:r w:rsidRPr="00566A90">
        <w:rPr>
          <w:i w:val="0"/>
          <w:iCs w:val="0"/>
          <w:color w:val="auto"/>
          <w:sz w:val="24"/>
          <w:szCs w:val="24"/>
          <w:lang w:val="sr-Latn-ME"/>
        </w:rPr>
        <w:instrText xml:space="preserve"> SEQ Tabela \* ARABIC </w:instrText>
      </w:r>
      <w:r w:rsidRPr="00566A90">
        <w:rPr>
          <w:i w:val="0"/>
          <w:iCs w:val="0"/>
          <w:color w:val="auto"/>
          <w:sz w:val="24"/>
          <w:szCs w:val="24"/>
          <w:lang w:val="sr-Latn-ME"/>
        </w:rPr>
        <w:fldChar w:fldCharType="separate"/>
      </w:r>
      <w:r w:rsidR="0054592B" w:rsidRPr="00566A90">
        <w:rPr>
          <w:i w:val="0"/>
          <w:iCs w:val="0"/>
          <w:noProof/>
          <w:color w:val="auto"/>
          <w:sz w:val="24"/>
          <w:szCs w:val="24"/>
          <w:lang w:val="sr-Latn-ME"/>
        </w:rPr>
        <w:t>5</w:t>
      </w:r>
      <w:r w:rsidRPr="00566A90">
        <w:rPr>
          <w:i w:val="0"/>
          <w:iCs w:val="0"/>
          <w:color w:val="auto"/>
          <w:sz w:val="24"/>
          <w:szCs w:val="24"/>
          <w:lang w:val="sr-Latn-ME"/>
        </w:rPr>
        <w:fldChar w:fldCharType="end"/>
      </w:r>
      <w:r w:rsidRPr="00566A90">
        <w:rPr>
          <w:i w:val="0"/>
          <w:iCs w:val="0"/>
          <w:color w:val="auto"/>
          <w:sz w:val="24"/>
          <w:szCs w:val="24"/>
          <w:lang w:val="sr-Latn-ME"/>
        </w:rPr>
        <w:t>. Indikatori za praćenje operativnih ciljeva 2.1-2.5</w:t>
      </w:r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2448"/>
        <w:gridCol w:w="2448"/>
        <w:gridCol w:w="1584"/>
        <w:gridCol w:w="1584"/>
        <w:gridCol w:w="1584"/>
      </w:tblGrid>
      <w:tr w:rsidR="00D33188" w:rsidRPr="00BC1750" w14:paraId="4F7B3B85" w14:textId="77777777" w:rsidTr="00D52C82">
        <w:tc>
          <w:tcPr>
            <w:tcW w:w="2448" w:type="dxa"/>
          </w:tcPr>
          <w:p w14:paraId="02AC99A2" w14:textId="77777777" w:rsidR="00C041A1" w:rsidRPr="00BC1750" w:rsidRDefault="00C041A1" w:rsidP="00D52C82">
            <w:pPr>
              <w:ind w:firstLine="0"/>
              <w:rPr>
                <w:lang w:val="sr-Latn-ME"/>
              </w:rPr>
            </w:pPr>
          </w:p>
          <w:p w14:paraId="0AB27170" w14:textId="36CA1C4D" w:rsidR="00D33188" w:rsidRPr="00BC1750" w:rsidRDefault="00D33188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Operativni cilj</w:t>
            </w:r>
          </w:p>
        </w:tc>
        <w:tc>
          <w:tcPr>
            <w:tcW w:w="2448" w:type="dxa"/>
          </w:tcPr>
          <w:p w14:paraId="68F933A9" w14:textId="5A29A52C" w:rsidR="00D33188" w:rsidRPr="00BC1750" w:rsidRDefault="00D33188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Indikator</w:t>
            </w:r>
          </w:p>
        </w:tc>
        <w:tc>
          <w:tcPr>
            <w:tcW w:w="1584" w:type="dxa"/>
          </w:tcPr>
          <w:p w14:paraId="3B3FB835" w14:textId="77777777" w:rsidR="00D33188" w:rsidRPr="00BC1750" w:rsidRDefault="00D33188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Sadašnja vrijednost 2020</w:t>
            </w:r>
          </w:p>
        </w:tc>
        <w:tc>
          <w:tcPr>
            <w:tcW w:w="1584" w:type="dxa"/>
          </w:tcPr>
          <w:p w14:paraId="168A8C9E" w14:textId="77777777" w:rsidR="00D33188" w:rsidRPr="00BC1750" w:rsidRDefault="00D33188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2022</w:t>
            </w:r>
          </w:p>
        </w:tc>
        <w:tc>
          <w:tcPr>
            <w:tcW w:w="1584" w:type="dxa"/>
          </w:tcPr>
          <w:p w14:paraId="5C414830" w14:textId="77777777" w:rsidR="00D33188" w:rsidRPr="00BC1750" w:rsidRDefault="00D33188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2024</w:t>
            </w:r>
          </w:p>
        </w:tc>
      </w:tr>
      <w:tr w:rsidR="00D33188" w:rsidRPr="00BC1750" w14:paraId="69455171" w14:textId="77777777" w:rsidTr="00D52C82">
        <w:tc>
          <w:tcPr>
            <w:tcW w:w="2448" w:type="dxa"/>
          </w:tcPr>
          <w:p w14:paraId="48E99439" w14:textId="0480DE65" w:rsidR="00D33188" w:rsidRPr="00BC1750" w:rsidRDefault="00D52C82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2.1. Smanjivanje veličine vaspitinih grupa</w:t>
            </w:r>
          </w:p>
        </w:tc>
        <w:tc>
          <w:tcPr>
            <w:tcW w:w="2448" w:type="dxa"/>
          </w:tcPr>
          <w:p w14:paraId="45A72E3D" w14:textId="12E08CF8" w:rsidR="00D33188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2.1.1 </w:t>
            </w:r>
            <w:r w:rsidR="00D33188" w:rsidRPr="00BC1750">
              <w:rPr>
                <w:lang w:val="sr-Latn-ME"/>
              </w:rPr>
              <w:t>Prosječna veličina vaspitnih grupa</w:t>
            </w:r>
            <w:r w:rsidR="00E22744" w:rsidRPr="00BC1750">
              <w:rPr>
                <w:lang w:val="sr-Latn-ME"/>
              </w:rPr>
              <w:t xml:space="preserve"> (MONSTAT)</w:t>
            </w:r>
          </w:p>
        </w:tc>
        <w:tc>
          <w:tcPr>
            <w:tcW w:w="1584" w:type="dxa"/>
          </w:tcPr>
          <w:p w14:paraId="39A5BA98" w14:textId="331C3EDB" w:rsidR="00D33188" w:rsidRPr="00BC1750" w:rsidRDefault="00D33188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32</w:t>
            </w:r>
          </w:p>
        </w:tc>
        <w:tc>
          <w:tcPr>
            <w:tcW w:w="1584" w:type="dxa"/>
          </w:tcPr>
          <w:p w14:paraId="028949B5" w14:textId="6C2EC627" w:rsidR="00D33188" w:rsidRPr="00BC1750" w:rsidRDefault="00D33188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30</w:t>
            </w:r>
          </w:p>
          <w:p w14:paraId="25F42A4B" w14:textId="40867D7F" w:rsidR="00D33188" w:rsidRPr="00BC1750" w:rsidRDefault="00D33188" w:rsidP="00D52C82">
            <w:pPr>
              <w:ind w:firstLine="0"/>
              <w:rPr>
                <w:lang w:val="sr-Latn-ME"/>
              </w:rPr>
            </w:pPr>
          </w:p>
        </w:tc>
        <w:tc>
          <w:tcPr>
            <w:tcW w:w="1584" w:type="dxa"/>
          </w:tcPr>
          <w:p w14:paraId="23074741" w14:textId="373D6610" w:rsidR="00D33188" w:rsidRPr="00BC1750" w:rsidRDefault="00D33188" w:rsidP="00AC05F7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26</w:t>
            </w:r>
            <w:r w:rsidRPr="00BC1750">
              <w:rPr>
                <w:lang w:val="sr-Latn-ME"/>
              </w:rPr>
              <w:tab/>
            </w:r>
          </w:p>
        </w:tc>
      </w:tr>
      <w:tr w:rsidR="00D52C82" w:rsidRPr="00BC1750" w14:paraId="36975816" w14:textId="77777777" w:rsidTr="00D52C82">
        <w:tc>
          <w:tcPr>
            <w:tcW w:w="2448" w:type="dxa"/>
          </w:tcPr>
          <w:p w14:paraId="12CF3BEE" w14:textId="546E5FB0" w:rsidR="00D52C82" w:rsidRPr="00BC1750" w:rsidRDefault="00D52C82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2.2. </w:t>
            </w:r>
            <w:r w:rsidR="00D31D81" w:rsidRPr="00BC1750">
              <w:rPr>
                <w:lang w:val="sr-Latn-ME"/>
              </w:rPr>
              <w:t xml:space="preserve">Razvoj i primjena </w:t>
            </w:r>
            <w:r w:rsidR="008A28A4" w:rsidRPr="00BC1750">
              <w:rPr>
                <w:lang w:val="sr-Latn-ME"/>
              </w:rPr>
              <w:t>osavremenjenog Plana i programa PVO</w:t>
            </w:r>
          </w:p>
        </w:tc>
        <w:tc>
          <w:tcPr>
            <w:tcW w:w="2448" w:type="dxa"/>
          </w:tcPr>
          <w:p w14:paraId="4F32862C" w14:textId="46C9040C" w:rsidR="00D52C82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2.2.1 </w:t>
            </w:r>
            <w:r w:rsidR="008A28A4" w:rsidRPr="00BC1750">
              <w:rPr>
                <w:lang w:val="sr-Latn-ME"/>
              </w:rPr>
              <w:t xml:space="preserve">Osavremenjeni Plan i program PVO </w:t>
            </w:r>
            <w:r w:rsidR="00D52C82" w:rsidRPr="00BC1750">
              <w:rPr>
                <w:lang w:val="sr-Latn-ME"/>
              </w:rPr>
              <w:t>razvijen</w:t>
            </w:r>
            <w:r w:rsidR="008A28A4" w:rsidRPr="00BC1750">
              <w:rPr>
                <w:lang w:val="sr-Latn-ME"/>
              </w:rPr>
              <w:t>, usvojen i primjenjuje se</w:t>
            </w:r>
            <w:r w:rsidR="00D52C82" w:rsidRPr="00BC1750">
              <w:rPr>
                <w:lang w:val="sr-Latn-ME"/>
              </w:rPr>
              <w:t xml:space="preserve"> </w:t>
            </w:r>
            <w:r w:rsidR="00E22744" w:rsidRPr="00BC1750">
              <w:rPr>
                <w:lang w:val="sr-Latn-ME"/>
              </w:rPr>
              <w:t>(MP)</w:t>
            </w:r>
          </w:p>
        </w:tc>
        <w:tc>
          <w:tcPr>
            <w:tcW w:w="1584" w:type="dxa"/>
          </w:tcPr>
          <w:p w14:paraId="60522930" w14:textId="0267F4A7" w:rsidR="00D52C82" w:rsidRPr="00BC1750" w:rsidRDefault="00D52C82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4B030328" w14:textId="08DB4EF0" w:rsidR="00D52C82" w:rsidRPr="00BC1750" w:rsidRDefault="00D52C82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  <w:p w14:paraId="4D9D04E0" w14:textId="77777777" w:rsidR="00D52C82" w:rsidRPr="00BC1750" w:rsidRDefault="00D52C82" w:rsidP="00D52C82">
            <w:pPr>
              <w:ind w:firstLine="0"/>
              <w:rPr>
                <w:lang w:val="sr-Latn-ME"/>
              </w:rPr>
            </w:pPr>
          </w:p>
        </w:tc>
        <w:tc>
          <w:tcPr>
            <w:tcW w:w="1584" w:type="dxa"/>
          </w:tcPr>
          <w:p w14:paraId="1BD0DC12" w14:textId="4357A4B2" w:rsidR="00D52C82" w:rsidRPr="00BC1750" w:rsidRDefault="00D52C82" w:rsidP="00D52C82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Da</w:t>
            </w:r>
          </w:p>
        </w:tc>
      </w:tr>
      <w:tr w:rsidR="0043669F" w:rsidRPr="00BC1750" w14:paraId="7D88EB70" w14:textId="77777777" w:rsidTr="0043669F">
        <w:tc>
          <w:tcPr>
            <w:tcW w:w="2448" w:type="dxa"/>
          </w:tcPr>
          <w:p w14:paraId="72A016AB" w14:textId="5CE738F4" w:rsidR="0043669F" w:rsidRPr="00BC1750" w:rsidRDefault="0043669F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>2.3. Uskladiti postojeći sistem profesionalnog razvoja sa EU okvirom</w:t>
            </w:r>
          </w:p>
        </w:tc>
        <w:tc>
          <w:tcPr>
            <w:tcW w:w="2448" w:type="dxa"/>
          </w:tcPr>
          <w:p w14:paraId="1ECBCF28" w14:textId="0D75147F" w:rsidR="0043669F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2.3.1 </w:t>
            </w:r>
            <w:r w:rsidR="0043669F" w:rsidRPr="00BC1750">
              <w:rPr>
                <w:lang w:val="sr-Latn-ME"/>
              </w:rPr>
              <w:t>Sistem profesionalnog razvoja je usklađen sa EU okvirom, pilotiran i usvojen</w:t>
            </w:r>
            <w:r w:rsidR="00E22744" w:rsidRPr="00BC1750">
              <w:rPr>
                <w:lang w:val="sr-Latn-ME"/>
              </w:rPr>
              <w:t xml:space="preserve"> (MP)</w:t>
            </w:r>
            <w:r w:rsidR="0043669F" w:rsidRPr="00BC1750">
              <w:rPr>
                <w:lang w:val="sr-Latn-ME"/>
              </w:rPr>
              <w:t xml:space="preserve"> </w:t>
            </w:r>
          </w:p>
        </w:tc>
        <w:tc>
          <w:tcPr>
            <w:tcW w:w="1584" w:type="dxa"/>
          </w:tcPr>
          <w:p w14:paraId="0BD6F33F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503E76D3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  <w:p w14:paraId="07616CAD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</w:p>
        </w:tc>
        <w:tc>
          <w:tcPr>
            <w:tcW w:w="1584" w:type="dxa"/>
          </w:tcPr>
          <w:p w14:paraId="3F92CB2A" w14:textId="77777777" w:rsidR="0043669F" w:rsidRPr="00BC1750" w:rsidRDefault="0043669F" w:rsidP="00D52C82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Da</w:t>
            </w:r>
          </w:p>
        </w:tc>
      </w:tr>
      <w:tr w:rsidR="004A342C" w:rsidRPr="00BC1750" w14:paraId="16E2FF98" w14:textId="77777777" w:rsidTr="0043669F">
        <w:tc>
          <w:tcPr>
            <w:tcW w:w="2448" w:type="dxa"/>
          </w:tcPr>
          <w:p w14:paraId="6C7A590E" w14:textId="03940523" w:rsidR="004A342C" w:rsidRPr="00BC1750" w:rsidRDefault="004A342C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2.4. Unaprijediti sadržaj i praksu inicijalnog obrazovanja</w:t>
            </w:r>
          </w:p>
        </w:tc>
        <w:tc>
          <w:tcPr>
            <w:tcW w:w="2448" w:type="dxa"/>
          </w:tcPr>
          <w:p w14:paraId="2CB75C3B" w14:textId="00C437A7" w:rsidR="004A342C" w:rsidRPr="00BC1750" w:rsidRDefault="004A342C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2.4.1 Novi program inicijalnog obrazovanja je akreditovan</w:t>
            </w:r>
          </w:p>
        </w:tc>
        <w:tc>
          <w:tcPr>
            <w:tcW w:w="1584" w:type="dxa"/>
          </w:tcPr>
          <w:p w14:paraId="115A1DE0" w14:textId="6BA1E9A7" w:rsidR="004A342C" w:rsidRPr="00BC1750" w:rsidRDefault="004A342C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4938D711" w14:textId="7CD1154F" w:rsidR="004A342C" w:rsidRPr="00BC1750" w:rsidRDefault="004A342C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249F85F6" w14:textId="27D7EAF2" w:rsidR="004A342C" w:rsidRPr="00BC1750" w:rsidRDefault="004A342C" w:rsidP="00D52C82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</w:tr>
      <w:tr w:rsidR="0043669F" w:rsidRPr="00BC1750" w14:paraId="683047A3" w14:textId="77777777" w:rsidTr="0043669F">
        <w:tc>
          <w:tcPr>
            <w:tcW w:w="2448" w:type="dxa"/>
          </w:tcPr>
          <w:p w14:paraId="3249221D" w14:textId="479BCFFA" w:rsidR="0043669F" w:rsidRPr="00BC1750" w:rsidRDefault="0043669F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</w:t>
            </w:r>
            <w:r w:rsidR="004A342C" w:rsidRPr="00BC1750">
              <w:rPr>
                <w:lang w:val="sr-Latn-ME"/>
              </w:rPr>
              <w:t>5</w:t>
            </w:r>
            <w:r w:rsidRPr="00BC1750">
              <w:rPr>
                <w:lang w:val="sr-Latn-ME"/>
              </w:rPr>
              <w:t xml:space="preserve">. Unaprijediti postojeći sistem </w:t>
            </w:r>
            <w:r w:rsidR="00DE64AC" w:rsidRPr="00BC1750">
              <w:rPr>
                <w:lang w:val="sr-Latn-ME"/>
              </w:rPr>
              <w:t>obezb</w:t>
            </w:r>
            <w:r w:rsidR="00566A90">
              <w:rPr>
                <w:lang w:val="sr-Latn-ME"/>
              </w:rPr>
              <w:t>j</w:t>
            </w:r>
            <w:r w:rsidR="00DE64AC" w:rsidRPr="00BC1750">
              <w:rPr>
                <w:lang w:val="sr-Latn-ME"/>
              </w:rPr>
              <w:t>eđivanj</w:t>
            </w:r>
            <w:r w:rsidRPr="00BC1750">
              <w:rPr>
                <w:lang w:val="sr-Latn-ME"/>
              </w:rPr>
              <w:t>a kvaliteta</w:t>
            </w:r>
          </w:p>
        </w:tc>
        <w:tc>
          <w:tcPr>
            <w:tcW w:w="2448" w:type="dxa"/>
          </w:tcPr>
          <w:p w14:paraId="102CFD29" w14:textId="32E49B90" w:rsidR="0043669F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</w:t>
            </w:r>
            <w:r w:rsidR="004A342C" w:rsidRPr="00BC1750">
              <w:rPr>
                <w:lang w:val="sr-Latn-ME"/>
              </w:rPr>
              <w:t>5</w:t>
            </w:r>
            <w:r w:rsidRPr="00BC1750">
              <w:rPr>
                <w:lang w:val="sr-Latn-ME"/>
              </w:rPr>
              <w:t xml:space="preserve">.1 </w:t>
            </w:r>
            <w:r w:rsidR="0043669F" w:rsidRPr="00BC1750">
              <w:rPr>
                <w:lang w:val="sr-Latn-ME"/>
              </w:rPr>
              <w:t xml:space="preserve">Cjeloviti, koherentan, djelotvoran i efikasan sistem </w:t>
            </w:r>
            <w:r w:rsidR="00F23D87">
              <w:rPr>
                <w:lang w:val="sr-Latn-ME"/>
              </w:rPr>
              <w:t>obezbjeđivanja</w:t>
            </w:r>
            <w:r w:rsidR="0043669F" w:rsidRPr="00BC1750">
              <w:rPr>
                <w:lang w:val="sr-Latn-ME"/>
              </w:rPr>
              <w:t xml:space="preserve"> kvaliteta je uspostavljen </w:t>
            </w:r>
            <w:r w:rsidR="00E22744" w:rsidRPr="00BC1750">
              <w:rPr>
                <w:lang w:val="sr-Latn-ME"/>
              </w:rPr>
              <w:t>(MP)</w:t>
            </w:r>
          </w:p>
        </w:tc>
        <w:tc>
          <w:tcPr>
            <w:tcW w:w="1584" w:type="dxa"/>
          </w:tcPr>
          <w:p w14:paraId="28F8D707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6D5DE5CE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  <w:p w14:paraId="46460DDE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</w:p>
        </w:tc>
        <w:tc>
          <w:tcPr>
            <w:tcW w:w="1584" w:type="dxa"/>
          </w:tcPr>
          <w:p w14:paraId="088EC535" w14:textId="77777777" w:rsidR="0043669F" w:rsidRPr="00BC1750" w:rsidRDefault="0043669F" w:rsidP="00D52C82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Da</w:t>
            </w:r>
          </w:p>
        </w:tc>
      </w:tr>
      <w:tr w:rsidR="0043669F" w:rsidRPr="00BC1750" w14:paraId="257B8C0C" w14:textId="77777777" w:rsidTr="0043669F">
        <w:tc>
          <w:tcPr>
            <w:tcW w:w="2448" w:type="dxa"/>
          </w:tcPr>
          <w:p w14:paraId="727C96E8" w14:textId="624E68AB" w:rsidR="0043669F" w:rsidRPr="00BC1750" w:rsidRDefault="0043669F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</w:t>
            </w:r>
            <w:r w:rsidR="004A342C" w:rsidRPr="00BC1750">
              <w:rPr>
                <w:lang w:val="sr-Latn-ME"/>
              </w:rPr>
              <w:t>6</w:t>
            </w:r>
            <w:r w:rsidRPr="00BC1750">
              <w:rPr>
                <w:lang w:val="sr-Latn-ME"/>
              </w:rPr>
              <w:t>. Jačanje podrške roditeljima i porodicama</w:t>
            </w:r>
          </w:p>
        </w:tc>
        <w:tc>
          <w:tcPr>
            <w:tcW w:w="2448" w:type="dxa"/>
          </w:tcPr>
          <w:p w14:paraId="39313497" w14:textId="5BDED4E1" w:rsidR="0043669F" w:rsidRPr="00BC1750" w:rsidRDefault="00183C64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</w:t>
            </w:r>
            <w:r w:rsidR="004A342C" w:rsidRPr="00BC1750">
              <w:rPr>
                <w:lang w:val="sr-Latn-ME"/>
              </w:rPr>
              <w:t>6</w:t>
            </w:r>
            <w:r w:rsidRPr="00BC1750">
              <w:rPr>
                <w:lang w:val="sr-Latn-ME"/>
              </w:rPr>
              <w:t xml:space="preserve">.1 </w:t>
            </w:r>
            <w:r w:rsidR="0043669F" w:rsidRPr="00BC1750">
              <w:rPr>
                <w:lang w:val="sr-Latn-ME"/>
              </w:rPr>
              <w:t>Razviti, pilotirati i usvojiti program pružanja podrške roditeljima djece predškolskog uzrasta</w:t>
            </w:r>
            <w:r w:rsidR="00E22744" w:rsidRPr="00BC1750">
              <w:rPr>
                <w:lang w:val="sr-Latn-ME"/>
              </w:rPr>
              <w:t xml:space="preserve"> (MP)</w:t>
            </w:r>
          </w:p>
        </w:tc>
        <w:tc>
          <w:tcPr>
            <w:tcW w:w="1584" w:type="dxa"/>
          </w:tcPr>
          <w:p w14:paraId="2FBB46F2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3E9D6D55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  <w:p w14:paraId="3878314B" w14:textId="77777777" w:rsidR="0043669F" w:rsidRPr="00BC1750" w:rsidRDefault="0043669F" w:rsidP="00D52C82">
            <w:pPr>
              <w:ind w:firstLine="0"/>
              <w:rPr>
                <w:lang w:val="sr-Latn-ME"/>
              </w:rPr>
            </w:pPr>
          </w:p>
        </w:tc>
        <w:tc>
          <w:tcPr>
            <w:tcW w:w="1584" w:type="dxa"/>
          </w:tcPr>
          <w:p w14:paraId="7607D4CC" w14:textId="77777777" w:rsidR="0043669F" w:rsidRPr="00BC1750" w:rsidRDefault="0043669F" w:rsidP="00D52C82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Da</w:t>
            </w:r>
          </w:p>
        </w:tc>
      </w:tr>
      <w:tr w:rsidR="00C8150A" w:rsidRPr="00BC1750" w14:paraId="3C944B71" w14:textId="77777777" w:rsidTr="008D7304">
        <w:tc>
          <w:tcPr>
            <w:tcW w:w="2448" w:type="dxa"/>
          </w:tcPr>
          <w:p w14:paraId="5BFB4CE3" w14:textId="3762058A" w:rsidR="00C8150A" w:rsidRPr="00BC1750" w:rsidRDefault="00C8150A" w:rsidP="00566A90">
            <w:pPr>
              <w:ind w:firstLine="0"/>
              <w:rPr>
                <w:lang w:val="sr-Latn-ME"/>
              </w:rPr>
            </w:pPr>
            <w:bookmarkStart w:id="4" w:name="_Hlk42428401"/>
            <w:r w:rsidRPr="00BC1750">
              <w:rPr>
                <w:lang w:val="sr-Latn-ME"/>
              </w:rPr>
              <w:t>2.</w:t>
            </w:r>
            <w:r w:rsidR="004A342C" w:rsidRPr="00BC1750">
              <w:rPr>
                <w:lang w:val="sr-Latn-ME"/>
              </w:rPr>
              <w:t>7</w:t>
            </w:r>
            <w:r w:rsidRPr="00BC1750">
              <w:rPr>
                <w:lang w:val="sr-Latn-ME"/>
              </w:rPr>
              <w:t xml:space="preserve">. </w:t>
            </w:r>
            <w:r w:rsidR="0071472D" w:rsidRPr="00BC1750">
              <w:rPr>
                <w:lang w:val="sr-Latn-ME"/>
              </w:rPr>
              <w:t>Revizija režima rada i unapređenje kvaliteta ishrane u predškolskim ustanovama</w:t>
            </w:r>
            <w:bookmarkEnd w:id="4"/>
          </w:p>
        </w:tc>
        <w:tc>
          <w:tcPr>
            <w:tcW w:w="2448" w:type="dxa"/>
          </w:tcPr>
          <w:p w14:paraId="52C1846C" w14:textId="0305F1AC" w:rsidR="00C8150A" w:rsidRPr="00BC1750" w:rsidRDefault="00C8150A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</w:t>
            </w:r>
            <w:r w:rsidR="004A342C" w:rsidRPr="00BC1750">
              <w:rPr>
                <w:lang w:val="sr-Latn-ME"/>
              </w:rPr>
              <w:t>7</w:t>
            </w:r>
            <w:r w:rsidRPr="00BC1750">
              <w:rPr>
                <w:lang w:val="sr-Latn-ME"/>
              </w:rPr>
              <w:t xml:space="preserve">.1. </w:t>
            </w:r>
            <w:r w:rsidR="00E02C28" w:rsidRPr="00BC1750">
              <w:rPr>
                <w:lang w:val="sr-Latn-ME"/>
              </w:rPr>
              <w:t>Broj ustanova koje uvele novi režim rada i zadovoljavaju standarde ishrane u predškolskim ustanovama po nacionalnim Smjernicama Instituta za javno zdravlje (MP)</w:t>
            </w:r>
          </w:p>
        </w:tc>
        <w:tc>
          <w:tcPr>
            <w:tcW w:w="1584" w:type="dxa"/>
          </w:tcPr>
          <w:p w14:paraId="6501F98D" w14:textId="18E94716" w:rsidR="00C8150A" w:rsidRPr="00BC1750" w:rsidRDefault="00C8150A" w:rsidP="008D730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0</w:t>
            </w:r>
          </w:p>
        </w:tc>
        <w:tc>
          <w:tcPr>
            <w:tcW w:w="1584" w:type="dxa"/>
          </w:tcPr>
          <w:p w14:paraId="17CF79A8" w14:textId="6745867C" w:rsidR="00C8150A" w:rsidRPr="00BC1750" w:rsidRDefault="00C8150A" w:rsidP="008D730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10</w:t>
            </w:r>
          </w:p>
        </w:tc>
        <w:tc>
          <w:tcPr>
            <w:tcW w:w="1584" w:type="dxa"/>
          </w:tcPr>
          <w:p w14:paraId="0D7AD6EF" w14:textId="0FAD73E3" w:rsidR="00C8150A" w:rsidRPr="00BC1750" w:rsidRDefault="00C8150A" w:rsidP="008D7304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18</w:t>
            </w:r>
          </w:p>
        </w:tc>
      </w:tr>
      <w:tr w:rsidR="008A7296" w:rsidRPr="00BC1750" w14:paraId="2685C6DA" w14:textId="77777777" w:rsidTr="008D7304">
        <w:tc>
          <w:tcPr>
            <w:tcW w:w="2448" w:type="dxa"/>
          </w:tcPr>
          <w:p w14:paraId="0D3A9494" w14:textId="7CF0FF56" w:rsidR="008A7296" w:rsidRPr="00BC1750" w:rsidRDefault="008A7296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2.8. Uvezati i učiniti održivim aktivnosti prelaza u osnovnu školu</w:t>
            </w:r>
          </w:p>
        </w:tc>
        <w:tc>
          <w:tcPr>
            <w:tcW w:w="2448" w:type="dxa"/>
          </w:tcPr>
          <w:p w14:paraId="1B62A65E" w14:textId="53A1A3C3" w:rsidR="008A7296" w:rsidRPr="00BC1750" w:rsidRDefault="008C4C6C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2.8.1. </w:t>
            </w:r>
            <w:r w:rsidR="000441DC" w:rsidRPr="00BC1750">
              <w:rPr>
                <w:lang w:val="sr-Latn-ME"/>
              </w:rPr>
              <w:t>Program podrške prelasku djece iz vrtića u osnovnu školu je razvijen i usvojen</w:t>
            </w:r>
          </w:p>
        </w:tc>
        <w:tc>
          <w:tcPr>
            <w:tcW w:w="1584" w:type="dxa"/>
          </w:tcPr>
          <w:p w14:paraId="32952B42" w14:textId="539AD28C" w:rsidR="008A7296" w:rsidRPr="00BC1750" w:rsidRDefault="000441DC" w:rsidP="008D730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Ne</w:t>
            </w:r>
          </w:p>
        </w:tc>
        <w:tc>
          <w:tcPr>
            <w:tcW w:w="1584" w:type="dxa"/>
          </w:tcPr>
          <w:p w14:paraId="1FA944EA" w14:textId="1C967E49" w:rsidR="008A7296" w:rsidRPr="00BC1750" w:rsidRDefault="000441DC" w:rsidP="008D730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  <w:tc>
          <w:tcPr>
            <w:tcW w:w="1584" w:type="dxa"/>
          </w:tcPr>
          <w:p w14:paraId="3BC598DA" w14:textId="0812804F" w:rsidR="008A7296" w:rsidRPr="00BC1750" w:rsidRDefault="000441DC" w:rsidP="008D7304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Da</w:t>
            </w:r>
          </w:p>
        </w:tc>
      </w:tr>
    </w:tbl>
    <w:p w14:paraId="7ADA8AF7" w14:textId="6DBF47C2" w:rsidR="00D11BB1" w:rsidRPr="00BC1750" w:rsidRDefault="00D11BB1" w:rsidP="00D11BB1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 xml:space="preserve">Strateški cilj 3: </w:t>
      </w:r>
      <w:bookmarkStart w:id="5" w:name="_Hlk41114264"/>
      <w:r w:rsidR="00DF2443" w:rsidRPr="00BC1750">
        <w:rPr>
          <w:rFonts w:cs="Times New Roman"/>
          <w:lang w:val="sr-Latn-ME"/>
        </w:rPr>
        <w:t>Unapređenje</w:t>
      </w:r>
      <w:r w:rsidRPr="00BC1750">
        <w:rPr>
          <w:rFonts w:cs="Times New Roman"/>
          <w:lang w:val="sr-Latn-ME"/>
        </w:rPr>
        <w:t xml:space="preserve"> </w:t>
      </w:r>
      <w:r w:rsidR="00134D9D" w:rsidRPr="00BC1750">
        <w:rPr>
          <w:rFonts w:cs="Times New Roman"/>
          <w:lang w:val="sr-Latn-ME"/>
        </w:rPr>
        <w:t>šansi za rani razvoj djece iz osjetljivih grupa</w:t>
      </w:r>
      <w:bookmarkEnd w:id="5"/>
    </w:p>
    <w:p w14:paraId="7102A1FE" w14:textId="42B104CC" w:rsidR="005E433D" w:rsidRPr="00BC1750" w:rsidRDefault="00D11BB1" w:rsidP="00D11BB1">
      <w:pPr>
        <w:ind w:firstLine="0"/>
        <w:rPr>
          <w:lang w:val="sr-Latn-ME"/>
        </w:rPr>
      </w:pPr>
      <w:r w:rsidRPr="00BC1750">
        <w:rPr>
          <w:lang w:val="sr-Latn-ME"/>
        </w:rPr>
        <w:tab/>
      </w:r>
      <w:r w:rsidR="008B4E83" w:rsidRPr="00BC1750">
        <w:rPr>
          <w:lang w:val="sr-Latn-ME"/>
        </w:rPr>
        <w:t xml:space="preserve">Treći strateški cilj se odnosi na unaprjeđenje pravednosti PVO u pogledu dostupnosti i kvaliteta podrške ranom razvoju koji se obezbjeđuje za djecu iz osjetljivih grupa čime bi sistem PVO postao inkluzivniji. </w:t>
      </w:r>
      <w:r w:rsidR="005E433D" w:rsidRPr="00BC1750">
        <w:rPr>
          <w:lang w:val="sr-Latn-ME"/>
        </w:rPr>
        <w:t xml:space="preserve">Trećim strateškim ciljem se planira da se do </w:t>
      </w:r>
      <w:r w:rsidR="00A8355C" w:rsidRPr="00BC1750">
        <w:rPr>
          <w:lang w:val="sr-Latn-ME"/>
        </w:rPr>
        <w:t>2024. godine unaprijediti postojeći sistem za pružanje podrške za rani razvoj djece iz osjetljivih grupa kroz pružanje podrške roditeljima i kroz veću uključenost u kvalitetne programe PVO kako bi se povećao indeks ranog razvoja (ECDI) djece iz najsiromašnijih porodica sa 76 na 85, a djece iz romskih naselja sa 77 na 85.</w:t>
      </w:r>
    </w:p>
    <w:p w14:paraId="09F22738" w14:textId="77777777" w:rsidR="00C041A1" w:rsidRPr="00BC1750" w:rsidRDefault="00C041A1" w:rsidP="00C041A1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</w:p>
    <w:p w14:paraId="474B8706" w14:textId="6743A59E" w:rsidR="00C041A1" w:rsidRPr="00BC1750" w:rsidRDefault="00C041A1" w:rsidP="00C041A1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  <w:r w:rsidRPr="00BC1750">
        <w:rPr>
          <w:i w:val="0"/>
          <w:iCs w:val="0"/>
          <w:color w:val="auto"/>
          <w:sz w:val="24"/>
          <w:szCs w:val="24"/>
          <w:lang w:val="sr-Latn-ME"/>
        </w:rPr>
        <w:t xml:space="preserve">Tabela 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begin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instrText xml:space="preserve"> SEQ Tabela \* ARABIC </w:instrTex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separate"/>
      </w:r>
      <w:r w:rsidR="0054592B" w:rsidRPr="00BC1750">
        <w:rPr>
          <w:i w:val="0"/>
          <w:iCs w:val="0"/>
          <w:noProof/>
          <w:color w:val="auto"/>
          <w:sz w:val="24"/>
          <w:szCs w:val="24"/>
          <w:lang w:val="sr-Latn-ME"/>
        </w:rPr>
        <w:t>6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end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t>. Indikatori za praćenje strateškog cilja 3</w:t>
      </w:r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2448"/>
        <w:gridCol w:w="2448"/>
        <w:gridCol w:w="1584"/>
        <w:gridCol w:w="1584"/>
        <w:gridCol w:w="1584"/>
      </w:tblGrid>
      <w:tr w:rsidR="00C041A1" w:rsidRPr="00BC1750" w14:paraId="5D051680" w14:textId="77777777" w:rsidTr="004B1FD4">
        <w:tc>
          <w:tcPr>
            <w:tcW w:w="2448" w:type="dxa"/>
          </w:tcPr>
          <w:p w14:paraId="5787F986" w14:textId="77777777" w:rsidR="00C041A1" w:rsidRPr="00BC1750" w:rsidRDefault="00C041A1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Strateški cilj</w:t>
            </w:r>
          </w:p>
        </w:tc>
        <w:tc>
          <w:tcPr>
            <w:tcW w:w="2448" w:type="dxa"/>
          </w:tcPr>
          <w:p w14:paraId="167C79B3" w14:textId="77777777" w:rsidR="00C041A1" w:rsidRPr="00BC1750" w:rsidRDefault="00C041A1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Indikator</w:t>
            </w:r>
          </w:p>
        </w:tc>
        <w:tc>
          <w:tcPr>
            <w:tcW w:w="1584" w:type="dxa"/>
          </w:tcPr>
          <w:p w14:paraId="405590B5" w14:textId="77777777" w:rsidR="00C041A1" w:rsidRPr="00BC1750" w:rsidRDefault="00C041A1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Sadašnja vrijednost 2020</w:t>
            </w:r>
          </w:p>
        </w:tc>
        <w:tc>
          <w:tcPr>
            <w:tcW w:w="1584" w:type="dxa"/>
          </w:tcPr>
          <w:p w14:paraId="2D9D50F0" w14:textId="77777777" w:rsidR="00C041A1" w:rsidRPr="00BC1750" w:rsidRDefault="00C041A1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2022</w:t>
            </w:r>
          </w:p>
        </w:tc>
        <w:tc>
          <w:tcPr>
            <w:tcW w:w="1584" w:type="dxa"/>
          </w:tcPr>
          <w:p w14:paraId="0736D138" w14:textId="77777777" w:rsidR="00C041A1" w:rsidRPr="00BC1750" w:rsidRDefault="00C041A1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2024</w:t>
            </w:r>
          </w:p>
        </w:tc>
      </w:tr>
      <w:tr w:rsidR="00C041A1" w:rsidRPr="00BC1750" w14:paraId="25792514" w14:textId="77777777" w:rsidTr="004B1FD4">
        <w:tc>
          <w:tcPr>
            <w:tcW w:w="2448" w:type="dxa"/>
          </w:tcPr>
          <w:p w14:paraId="273D1F71" w14:textId="00E9B443" w:rsidR="00C041A1" w:rsidRPr="00BC1750" w:rsidRDefault="00881CA3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</w:t>
            </w:r>
            <w:r w:rsidR="00C041A1" w:rsidRPr="00BC1750">
              <w:rPr>
                <w:lang w:val="sr-Latn-ME"/>
              </w:rPr>
              <w:t xml:space="preserve">. </w:t>
            </w:r>
            <w:r w:rsidR="00A8355C" w:rsidRPr="00BC1750">
              <w:rPr>
                <w:lang w:val="sr-Latn-ME"/>
              </w:rPr>
              <w:t>Unapređenje šansi za rani razvoj djece iz osjetljivih grupa</w:t>
            </w:r>
          </w:p>
        </w:tc>
        <w:tc>
          <w:tcPr>
            <w:tcW w:w="2448" w:type="dxa"/>
          </w:tcPr>
          <w:p w14:paraId="6EEBFDF3" w14:textId="56ACC989" w:rsidR="00C041A1" w:rsidRPr="00BC1750" w:rsidRDefault="00881CA3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</w:t>
            </w:r>
            <w:r w:rsidR="00C041A1" w:rsidRPr="00BC1750">
              <w:rPr>
                <w:lang w:val="sr-Latn-ME"/>
              </w:rPr>
              <w:t xml:space="preserve">.1 </w:t>
            </w:r>
            <w:r w:rsidR="00A8355C" w:rsidRPr="00BC1750">
              <w:rPr>
                <w:lang w:val="sr-Latn-ME"/>
              </w:rPr>
              <w:t xml:space="preserve">ECDI </w:t>
            </w:r>
            <w:r w:rsidR="002972DA" w:rsidRPr="00BC1750">
              <w:rPr>
                <w:lang w:val="sr-Latn-ME"/>
              </w:rPr>
              <w:t>indeks djece iz donjeg kvintila prema materijalnom status</w:t>
            </w:r>
            <w:r w:rsidR="00A8355C" w:rsidRPr="00BC1750">
              <w:rPr>
                <w:lang w:val="sr-Latn-ME"/>
              </w:rPr>
              <w:t>u</w:t>
            </w:r>
            <w:r w:rsidR="00E22744" w:rsidRPr="00BC1750">
              <w:rPr>
                <w:lang w:val="sr-Latn-ME"/>
              </w:rPr>
              <w:t xml:space="preserve"> (MICS)</w:t>
            </w:r>
          </w:p>
        </w:tc>
        <w:tc>
          <w:tcPr>
            <w:tcW w:w="1584" w:type="dxa"/>
          </w:tcPr>
          <w:p w14:paraId="6E7A538D" w14:textId="1EFE12D3" w:rsidR="00C041A1" w:rsidRPr="00BC1750" w:rsidRDefault="00A8355C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76</w:t>
            </w:r>
          </w:p>
        </w:tc>
        <w:tc>
          <w:tcPr>
            <w:tcW w:w="1584" w:type="dxa"/>
          </w:tcPr>
          <w:p w14:paraId="65E44739" w14:textId="665C5A51" w:rsidR="00C041A1" w:rsidRPr="00BC1750" w:rsidRDefault="00A8355C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-</w:t>
            </w:r>
          </w:p>
        </w:tc>
        <w:tc>
          <w:tcPr>
            <w:tcW w:w="1584" w:type="dxa"/>
          </w:tcPr>
          <w:p w14:paraId="018D516B" w14:textId="7CEED505" w:rsidR="00C041A1" w:rsidRPr="00BC1750" w:rsidRDefault="00A8355C" w:rsidP="004B1FD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85</w:t>
            </w:r>
          </w:p>
        </w:tc>
      </w:tr>
    </w:tbl>
    <w:p w14:paraId="329CCE55" w14:textId="77777777" w:rsidR="00C041A1" w:rsidRPr="00BC1750" w:rsidRDefault="00C041A1" w:rsidP="00C041A1">
      <w:pPr>
        <w:ind w:firstLine="0"/>
        <w:rPr>
          <w:lang w:val="sr-Latn-ME"/>
        </w:rPr>
      </w:pPr>
    </w:p>
    <w:p w14:paraId="294F35B7" w14:textId="45350B02" w:rsidR="00D11BB1" w:rsidRPr="00BC1750" w:rsidRDefault="008B4E83" w:rsidP="00906187">
      <w:pPr>
        <w:rPr>
          <w:highlight w:val="yellow"/>
          <w:lang w:val="sr-Latn-ME"/>
        </w:rPr>
      </w:pPr>
      <w:r w:rsidRPr="00BC1750">
        <w:rPr>
          <w:lang w:val="sr-Latn-ME"/>
        </w:rPr>
        <w:t xml:space="preserve">Analiza postojećeg stanja je pokazala da djeca iz osjetljivih grupa </w:t>
      </w:r>
      <w:r w:rsidR="00C73C06" w:rsidRPr="00BC1750">
        <w:rPr>
          <w:lang w:val="sr-Latn-ME"/>
        </w:rPr>
        <w:t>(djeca koja žive u udaljenim ruralnim naseljima, djeca koja žive u uslovima siromaštva</w:t>
      </w:r>
      <w:r w:rsidR="003C05A3" w:rsidRPr="00BC1750">
        <w:rPr>
          <w:rStyle w:val="FootnoteReference"/>
          <w:lang w:val="sr-Latn-ME"/>
        </w:rPr>
        <w:footnoteReference w:id="17"/>
      </w:r>
      <w:r w:rsidR="00C73C06" w:rsidRPr="00BC1750">
        <w:rPr>
          <w:lang w:val="sr-Latn-ME"/>
        </w:rPr>
        <w:t xml:space="preserve">, djeca iz RE zajednica i djeca sa posebnim potrebama) </w:t>
      </w:r>
      <w:r w:rsidRPr="00BC1750">
        <w:rPr>
          <w:lang w:val="sr-Latn-ME"/>
        </w:rPr>
        <w:t>su u manjoj mjeri uključena u PVO i da postoji jaz u pogledu indeksa ranog razvoja u odnosu na drugu djecu u Crnoj Gori</w:t>
      </w:r>
      <w:r w:rsidR="00914417" w:rsidRPr="00BC1750">
        <w:rPr>
          <w:lang w:val="sr-Latn-ME"/>
        </w:rPr>
        <w:t xml:space="preserve">. </w:t>
      </w:r>
      <w:r w:rsidR="00A3111B" w:rsidRPr="00BC1750">
        <w:rPr>
          <w:lang w:val="sr-Latn-ME"/>
        </w:rPr>
        <w:t xml:space="preserve">Dva ključna </w:t>
      </w:r>
      <w:r w:rsidR="00914417" w:rsidRPr="00BC1750">
        <w:rPr>
          <w:lang w:val="sr-Latn-ME"/>
        </w:rPr>
        <w:t>razlo</w:t>
      </w:r>
      <w:r w:rsidR="00A3111B" w:rsidRPr="00BC1750">
        <w:rPr>
          <w:lang w:val="sr-Latn-ME"/>
        </w:rPr>
        <w:t>ga</w:t>
      </w:r>
      <w:r w:rsidR="00914417" w:rsidRPr="00BC1750">
        <w:rPr>
          <w:lang w:val="sr-Latn-ME"/>
        </w:rPr>
        <w:t xml:space="preserve"> za niži stepen ukl</w:t>
      </w:r>
      <w:r w:rsidR="00906187" w:rsidRPr="00BC1750">
        <w:rPr>
          <w:lang w:val="sr-Latn-ME"/>
        </w:rPr>
        <w:t xml:space="preserve">jučenosti u PVO i za slabije šanse za rani razvoj potencijala </w:t>
      </w:r>
      <w:r w:rsidR="00A3111B" w:rsidRPr="00BC1750">
        <w:rPr>
          <w:lang w:val="sr-Latn-ME"/>
        </w:rPr>
        <w:t xml:space="preserve">djece </w:t>
      </w:r>
      <w:r w:rsidR="00906187" w:rsidRPr="00BC1750">
        <w:rPr>
          <w:lang w:val="sr-Latn-ME"/>
        </w:rPr>
        <w:t>su</w:t>
      </w:r>
      <w:r w:rsidR="00A3111B" w:rsidRPr="00BC1750">
        <w:rPr>
          <w:lang w:val="sr-Latn-ME"/>
        </w:rPr>
        <w:t xml:space="preserve"> povezani sa</w:t>
      </w:r>
      <w:r w:rsidR="00906187" w:rsidRPr="00BC1750">
        <w:rPr>
          <w:lang w:val="sr-Latn-ME"/>
        </w:rPr>
        <w:t>: (a)</w:t>
      </w:r>
      <w:r w:rsidR="00D11BB1" w:rsidRPr="00BC1750">
        <w:rPr>
          <w:lang w:val="sr-Latn-ME"/>
        </w:rPr>
        <w:t xml:space="preserve"> </w:t>
      </w:r>
      <w:r w:rsidR="00C73C06" w:rsidRPr="00BC1750">
        <w:rPr>
          <w:lang w:val="sr-Latn-ME"/>
        </w:rPr>
        <w:t xml:space="preserve">niža </w:t>
      </w:r>
      <w:r w:rsidR="005862A7" w:rsidRPr="00BC1750">
        <w:rPr>
          <w:lang w:val="sr-Latn-ME"/>
        </w:rPr>
        <w:t xml:space="preserve">dostupnost </w:t>
      </w:r>
      <w:r w:rsidR="00C73C06" w:rsidRPr="00BC1750">
        <w:rPr>
          <w:lang w:val="sr-Latn-ME"/>
        </w:rPr>
        <w:t>kvalitetn</w:t>
      </w:r>
      <w:r w:rsidR="005862A7" w:rsidRPr="00BC1750">
        <w:rPr>
          <w:lang w:val="sr-Latn-ME"/>
        </w:rPr>
        <w:t>ih</w:t>
      </w:r>
      <w:r w:rsidR="00C73C06" w:rsidRPr="00BC1750">
        <w:rPr>
          <w:lang w:val="sr-Latn-ME"/>
        </w:rPr>
        <w:t xml:space="preserve"> program</w:t>
      </w:r>
      <w:r w:rsidR="005862A7" w:rsidRPr="00BC1750">
        <w:rPr>
          <w:lang w:val="sr-Latn-ME"/>
        </w:rPr>
        <w:t>a</w:t>
      </w:r>
      <w:r w:rsidR="00C73C06" w:rsidRPr="00BC1750">
        <w:rPr>
          <w:lang w:val="sr-Latn-ME"/>
        </w:rPr>
        <w:t xml:space="preserve"> PVO</w:t>
      </w:r>
      <w:r w:rsidR="005862A7" w:rsidRPr="00BC1750">
        <w:rPr>
          <w:lang w:val="sr-Latn-ME"/>
        </w:rPr>
        <w:t xml:space="preserve"> za djecu iz osjetljivih grupa</w:t>
      </w:r>
      <w:r w:rsidR="00C73C06" w:rsidRPr="00BC1750">
        <w:rPr>
          <w:lang w:val="sr-Latn-ME"/>
        </w:rPr>
        <w:t xml:space="preserve">, </w:t>
      </w:r>
      <w:r w:rsidR="00A3111B" w:rsidRPr="00BC1750">
        <w:rPr>
          <w:lang w:val="sr-Latn-ME"/>
        </w:rPr>
        <w:t>(b) nedovoljn</w:t>
      </w:r>
      <w:r w:rsidR="00934C04" w:rsidRPr="00BC1750">
        <w:rPr>
          <w:lang w:val="sr-Latn-ME"/>
        </w:rPr>
        <w:t>a dostupnost podsticajnih materijala i sadržaja koji podstiču rani razvoj djece (npr. igračke, knjige itd.) i (c)</w:t>
      </w:r>
      <w:r w:rsidR="00A3111B" w:rsidRPr="00BC1750">
        <w:rPr>
          <w:lang w:val="sr-Latn-ME"/>
        </w:rPr>
        <w:t xml:space="preserve"> </w:t>
      </w:r>
      <w:r w:rsidR="00934C04" w:rsidRPr="00BC1750">
        <w:rPr>
          <w:lang w:val="sr-Latn-ME"/>
        </w:rPr>
        <w:t>nedovoljno podsticajne roditeljske prakse</w:t>
      </w:r>
      <w:r w:rsidR="003B134D" w:rsidRPr="00BC1750">
        <w:rPr>
          <w:lang w:val="sr-Latn-ME"/>
        </w:rPr>
        <w:t>.</w:t>
      </w:r>
      <w:r w:rsidR="00D11BB1" w:rsidRPr="00BC1750">
        <w:rPr>
          <w:lang w:val="sr-Latn-ME"/>
        </w:rPr>
        <w:t xml:space="preserve"> </w:t>
      </w:r>
    </w:p>
    <w:p w14:paraId="5ECC7543" w14:textId="274FB483" w:rsidR="00D11BB1" w:rsidRPr="00BC1750" w:rsidRDefault="00D11BB1" w:rsidP="00D11BB1">
      <w:pPr>
        <w:rPr>
          <w:lang w:val="sr-Latn-ME"/>
        </w:rPr>
      </w:pPr>
      <w:r w:rsidRPr="00BC1750">
        <w:rPr>
          <w:lang w:val="sr-Latn-ME"/>
        </w:rPr>
        <w:t>Da bi se u narednom periodu unaprijedi</w:t>
      </w:r>
      <w:r w:rsidR="00934C04" w:rsidRPr="00BC1750">
        <w:rPr>
          <w:lang w:val="sr-Latn-ME"/>
        </w:rPr>
        <w:t xml:space="preserve">le prilike za rani razvoj potencijala za djecu iz osjetljivih grupa </w:t>
      </w:r>
      <w:r w:rsidRPr="00BC1750">
        <w:rPr>
          <w:lang w:val="sr-Latn-ME"/>
        </w:rPr>
        <w:t>potrebno je da se realizuju sledeći operativni ciljevi:</w:t>
      </w:r>
    </w:p>
    <w:p w14:paraId="64BB65A0" w14:textId="77777777" w:rsidR="00D11BB1" w:rsidRPr="00BC1750" w:rsidRDefault="00D11BB1" w:rsidP="00D11BB1">
      <w:pPr>
        <w:rPr>
          <w:highlight w:val="yellow"/>
          <w:lang w:val="sr-Latn-ME"/>
        </w:rPr>
      </w:pPr>
    </w:p>
    <w:p w14:paraId="16EDE2EA" w14:textId="5CAC1316" w:rsidR="00E2057A" w:rsidRPr="00BC1750" w:rsidRDefault="00E2057A" w:rsidP="00566A90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>Operativni cilj 3.1: Povećanje uključenosti djece iz osjetljivih grupa u PVO</w:t>
      </w:r>
      <w:r w:rsidR="00566A90" w:rsidRPr="00566A90">
        <w:rPr>
          <w:lang w:val="sr-Latn-ME"/>
        </w:rPr>
        <w:t xml:space="preserve"> </w:t>
      </w:r>
      <w:r w:rsidR="00566A90">
        <w:rPr>
          <w:lang w:val="sr-Latn-ME"/>
        </w:rPr>
        <w:t>uz j</w:t>
      </w:r>
      <w:r w:rsidR="00566A90" w:rsidRPr="00BC1750">
        <w:rPr>
          <w:lang w:val="sr-Latn-ME"/>
        </w:rPr>
        <w:t>ačanje dostupnosti i kvaliteta usluge ran</w:t>
      </w:r>
      <w:r w:rsidR="00566A90">
        <w:rPr>
          <w:lang w:val="sr-Latn-ME"/>
        </w:rPr>
        <w:t>e podrške</w:t>
      </w:r>
    </w:p>
    <w:p w14:paraId="43EAF98A" w14:textId="3A17B856" w:rsidR="00E2057A" w:rsidRPr="00BC1750" w:rsidRDefault="00D11BB1" w:rsidP="00566A90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</w:t>
      </w:r>
      <w:r w:rsidR="00914417" w:rsidRPr="00BC1750">
        <w:rPr>
          <w:lang w:val="sr-Latn-ME"/>
        </w:rPr>
        <w:t>3</w:t>
      </w:r>
      <w:r w:rsidRPr="00BC1750">
        <w:rPr>
          <w:lang w:val="sr-Latn-ME"/>
        </w:rPr>
        <w:t>.</w:t>
      </w:r>
      <w:r w:rsidR="00E2057A" w:rsidRPr="00BC1750">
        <w:rPr>
          <w:lang w:val="sr-Latn-ME"/>
        </w:rPr>
        <w:t>2</w:t>
      </w:r>
      <w:r w:rsidRPr="00BC1750">
        <w:rPr>
          <w:lang w:val="sr-Latn-ME"/>
        </w:rPr>
        <w:t xml:space="preserve">: </w:t>
      </w:r>
      <w:r w:rsidR="00934C04" w:rsidRPr="00BC1750">
        <w:rPr>
          <w:lang w:val="sr-Latn-ME"/>
        </w:rPr>
        <w:t>Širenje i jačanje interaktivnih službi</w:t>
      </w:r>
    </w:p>
    <w:p w14:paraId="3FA26F56" w14:textId="27EAFB86" w:rsidR="00D11BB1" w:rsidRPr="00BC1750" w:rsidRDefault="00D11BB1" w:rsidP="00566A90">
      <w:pPr>
        <w:pStyle w:val="ListParagraph"/>
        <w:numPr>
          <w:ilvl w:val="0"/>
          <w:numId w:val="2"/>
        </w:numPr>
        <w:ind w:left="1170"/>
        <w:rPr>
          <w:lang w:val="sr-Latn-ME"/>
        </w:rPr>
      </w:pPr>
      <w:r w:rsidRPr="00BC1750">
        <w:rPr>
          <w:lang w:val="sr-Latn-ME"/>
        </w:rPr>
        <w:t xml:space="preserve">Operativni cilj </w:t>
      </w:r>
      <w:r w:rsidR="00914417" w:rsidRPr="00BC1750">
        <w:rPr>
          <w:lang w:val="sr-Latn-ME"/>
        </w:rPr>
        <w:t>3</w:t>
      </w:r>
      <w:r w:rsidRPr="00BC1750">
        <w:rPr>
          <w:lang w:val="sr-Latn-ME"/>
        </w:rPr>
        <w:t>.</w:t>
      </w:r>
      <w:r w:rsidR="00E2057A" w:rsidRPr="00BC1750">
        <w:rPr>
          <w:lang w:val="sr-Latn-ME"/>
        </w:rPr>
        <w:t>3</w:t>
      </w:r>
      <w:r w:rsidRPr="00BC1750">
        <w:rPr>
          <w:lang w:val="sr-Latn-ME"/>
        </w:rPr>
        <w:t xml:space="preserve">: </w:t>
      </w:r>
      <w:r w:rsidR="007A0A70" w:rsidRPr="00BC1750">
        <w:rPr>
          <w:lang w:val="sr-Latn-ME"/>
        </w:rPr>
        <w:t xml:space="preserve">Unaprijediti podršku roditeljima iz osjetljivih grupa u </w:t>
      </w:r>
      <w:r w:rsidR="00F23D87">
        <w:rPr>
          <w:lang w:val="sr-Latn-ME"/>
        </w:rPr>
        <w:t>obezbjeđivanju</w:t>
      </w:r>
      <w:r w:rsidR="007A0A70" w:rsidRPr="00BC1750">
        <w:rPr>
          <w:lang w:val="sr-Latn-ME"/>
        </w:rPr>
        <w:t xml:space="preserve"> podsticajnijih uslova za rani razvoj u porodičnom okruženju</w:t>
      </w:r>
      <w:r w:rsidR="00F23D87">
        <w:rPr>
          <w:i/>
          <w:lang w:val="sr-Latn-ME"/>
        </w:rPr>
        <w:t>,</w:t>
      </w:r>
      <w:r w:rsidR="00F23D87" w:rsidRPr="00F23D87">
        <w:rPr>
          <w:i/>
          <w:lang w:val="sr-Latn-ME"/>
        </w:rPr>
        <w:t xml:space="preserve"> </w:t>
      </w:r>
      <w:r w:rsidR="00F23D87" w:rsidRPr="00F23D87">
        <w:rPr>
          <w:lang w:val="sr-Latn-ME"/>
        </w:rPr>
        <w:t>dostupnosti i kvaliteta usluge rane podrške</w:t>
      </w:r>
    </w:p>
    <w:p w14:paraId="7F674C03" w14:textId="34261270" w:rsidR="00441EE3" w:rsidRPr="00BC1750" w:rsidRDefault="00441EE3" w:rsidP="00D52D94">
      <w:pPr>
        <w:rPr>
          <w:lang w:val="sr-Latn-ME"/>
        </w:rPr>
      </w:pPr>
    </w:p>
    <w:p w14:paraId="53D782F8" w14:textId="77777777" w:rsidR="00DD4B10" w:rsidRPr="00BC1750" w:rsidRDefault="00DD4B10" w:rsidP="00DD4B10">
      <w:pPr>
        <w:rPr>
          <w:lang w:val="sr-Latn-ME"/>
        </w:rPr>
      </w:pPr>
      <w:r w:rsidRPr="00BC1750">
        <w:rPr>
          <w:lang w:val="sr-Latn-ME"/>
        </w:rPr>
        <w:t>U tabeli 7 su pregledno prikazani indikatori pomoću kojih se prati ostvarenje operativnih ciljeva 3.1 do 3.4.</w:t>
      </w:r>
    </w:p>
    <w:p w14:paraId="690A0A2B" w14:textId="1C5D5D82" w:rsidR="00E2057A" w:rsidRPr="00BC1750" w:rsidRDefault="00E2057A" w:rsidP="00E2057A">
      <w:pPr>
        <w:ind w:firstLine="0"/>
        <w:rPr>
          <w:lang w:val="sr-Latn-ME"/>
        </w:rPr>
      </w:pPr>
    </w:p>
    <w:p w14:paraId="0770EF14" w14:textId="563045B0" w:rsidR="0054592B" w:rsidRPr="00BC1750" w:rsidRDefault="0054592B" w:rsidP="0054592B">
      <w:pPr>
        <w:pStyle w:val="Caption"/>
        <w:keepNext/>
        <w:ind w:firstLine="0"/>
        <w:rPr>
          <w:i w:val="0"/>
          <w:iCs w:val="0"/>
          <w:color w:val="auto"/>
          <w:sz w:val="24"/>
          <w:szCs w:val="24"/>
          <w:lang w:val="sr-Latn-ME"/>
        </w:rPr>
      </w:pPr>
      <w:r w:rsidRPr="00BC1750">
        <w:rPr>
          <w:i w:val="0"/>
          <w:iCs w:val="0"/>
          <w:color w:val="auto"/>
          <w:sz w:val="24"/>
          <w:szCs w:val="24"/>
          <w:lang w:val="sr-Latn-ME"/>
        </w:rPr>
        <w:t xml:space="preserve">Tabela 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begin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instrText xml:space="preserve"> SEQ Tabela \* ARABIC </w:instrTex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separate"/>
      </w:r>
      <w:r w:rsidRPr="00BC1750">
        <w:rPr>
          <w:i w:val="0"/>
          <w:iCs w:val="0"/>
          <w:noProof/>
          <w:color w:val="auto"/>
          <w:sz w:val="24"/>
          <w:szCs w:val="24"/>
          <w:lang w:val="sr-Latn-ME"/>
        </w:rPr>
        <w:t>7</w:t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fldChar w:fldCharType="end"/>
      </w:r>
      <w:r w:rsidRPr="00BC1750">
        <w:rPr>
          <w:i w:val="0"/>
          <w:iCs w:val="0"/>
          <w:color w:val="auto"/>
          <w:sz w:val="24"/>
          <w:szCs w:val="24"/>
          <w:lang w:val="sr-Latn-ME"/>
        </w:rPr>
        <w:t>. Indikatori za praćenje operativnih ciljeva 3.1-3.4</w:t>
      </w:r>
    </w:p>
    <w:tbl>
      <w:tblPr>
        <w:tblStyle w:val="TableGrid0"/>
        <w:tblW w:w="9648" w:type="dxa"/>
        <w:tblLook w:val="04A0" w:firstRow="1" w:lastRow="0" w:firstColumn="1" w:lastColumn="0" w:noHBand="0" w:noVBand="1"/>
      </w:tblPr>
      <w:tblGrid>
        <w:gridCol w:w="2448"/>
        <w:gridCol w:w="2448"/>
        <w:gridCol w:w="1584"/>
        <w:gridCol w:w="1584"/>
        <w:gridCol w:w="1584"/>
      </w:tblGrid>
      <w:tr w:rsidR="00E2057A" w:rsidRPr="00BC1750" w14:paraId="6DBDC3B1" w14:textId="77777777" w:rsidTr="009E2114">
        <w:tc>
          <w:tcPr>
            <w:tcW w:w="2448" w:type="dxa"/>
          </w:tcPr>
          <w:p w14:paraId="413509EF" w14:textId="77777777" w:rsidR="00E2057A" w:rsidRPr="00BC1750" w:rsidRDefault="00E2057A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Operativni cilj</w:t>
            </w:r>
          </w:p>
        </w:tc>
        <w:tc>
          <w:tcPr>
            <w:tcW w:w="2448" w:type="dxa"/>
          </w:tcPr>
          <w:p w14:paraId="2ACAE866" w14:textId="77777777" w:rsidR="00E2057A" w:rsidRPr="00BC1750" w:rsidRDefault="00E2057A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Indikator</w:t>
            </w:r>
          </w:p>
        </w:tc>
        <w:tc>
          <w:tcPr>
            <w:tcW w:w="1584" w:type="dxa"/>
          </w:tcPr>
          <w:p w14:paraId="45424AF9" w14:textId="77777777" w:rsidR="00E2057A" w:rsidRPr="00BC1750" w:rsidRDefault="00E2057A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Sadašnja vrijednost 2020</w:t>
            </w:r>
          </w:p>
        </w:tc>
        <w:tc>
          <w:tcPr>
            <w:tcW w:w="1584" w:type="dxa"/>
          </w:tcPr>
          <w:p w14:paraId="1B431BF5" w14:textId="77777777" w:rsidR="00E2057A" w:rsidRPr="00BC1750" w:rsidRDefault="00E2057A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2022</w:t>
            </w:r>
          </w:p>
        </w:tc>
        <w:tc>
          <w:tcPr>
            <w:tcW w:w="1584" w:type="dxa"/>
          </w:tcPr>
          <w:p w14:paraId="78945640" w14:textId="77777777" w:rsidR="00E2057A" w:rsidRPr="00BC1750" w:rsidRDefault="00E2057A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Ciljna vrijednost 2024</w:t>
            </w:r>
          </w:p>
        </w:tc>
      </w:tr>
      <w:tr w:rsidR="001507F2" w:rsidRPr="00BC1750" w14:paraId="54DD5724" w14:textId="77777777" w:rsidTr="009E2114">
        <w:tc>
          <w:tcPr>
            <w:tcW w:w="2448" w:type="dxa"/>
          </w:tcPr>
          <w:p w14:paraId="12BE2BFE" w14:textId="24E563BF" w:rsidR="001507F2" w:rsidRPr="00BC1750" w:rsidRDefault="001507F2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3.1. </w:t>
            </w:r>
            <w:r w:rsidR="00D665E4" w:rsidRPr="00BC1750">
              <w:rPr>
                <w:lang w:val="sr-Latn-ME"/>
              </w:rPr>
              <w:t xml:space="preserve">Povećanje uključenosti djece iz </w:t>
            </w:r>
            <w:r w:rsidR="00D665E4" w:rsidRPr="00BC1750">
              <w:rPr>
                <w:lang w:val="sr-Latn-ME"/>
              </w:rPr>
              <w:lastRenderedPageBreak/>
              <w:t>osjetljivih grupa u PVO</w:t>
            </w:r>
          </w:p>
        </w:tc>
        <w:tc>
          <w:tcPr>
            <w:tcW w:w="2448" w:type="dxa"/>
          </w:tcPr>
          <w:p w14:paraId="24AA758F" w14:textId="3AFE3864" w:rsidR="001507F2" w:rsidRPr="00BC1750" w:rsidRDefault="001507F2" w:rsidP="009E2114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 xml:space="preserve">3.1.1 Uključenost djece </w:t>
            </w:r>
            <w:r w:rsidR="00D26D0C" w:rsidRPr="00BC1750">
              <w:rPr>
                <w:lang w:val="sr-Latn-ME"/>
              </w:rPr>
              <w:t xml:space="preserve">3-6 godina </w:t>
            </w:r>
            <w:r w:rsidRPr="00BC1750">
              <w:rPr>
                <w:lang w:val="sr-Latn-ME"/>
              </w:rPr>
              <w:t xml:space="preserve">iz </w:t>
            </w:r>
            <w:r w:rsidRPr="00BC1750">
              <w:rPr>
                <w:lang w:val="sr-Latn-ME"/>
              </w:rPr>
              <w:lastRenderedPageBreak/>
              <w:t>20% najsiromašnijih porodica u PVO</w:t>
            </w:r>
            <w:r w:rsidR="00E22744" w:rsidRPr="00BC1750">
              <w:rPr>
                <w:lang w:val="sr-Latn-ME"/>
              </w:rPr>
              <w:t xml:space="preserve"> (MICS)</w:t>
            </w:r>
          </w:p>
        </w:tc>
        <w:tc>
          <w:tcPr>
            <w:tcW w:w="1584" w:type="dxa"/>
          </w:tcPr>
          <w:p w14:paraId="3A6CB0F6" w14:textId="77777777" w:rsidR="001507F2" w:rsidRPr="00BC1750" w:rsidRDefault="001507F2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lastRenderedPageBreak/>
              <w:t>18%</w:t>
            </w:r>
          </w:p>
        </w:tc>
        <w:tc>
          <w:tcPr>
            <w:tcW w:w="1584" w:type="dxa"/>
          </w:tcPr>
          <w:p w14:paraId="76CDA82D" w14:textId="14EE65FA" w:rsidR="001507F2" w:rsidRPr="00BC1750" w:rsidRDefault="0054592B" w:rsidP="009E2114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-</w:t>
            </w:r>
          </w:p>
        </w:tc>
        <w:tc>
          <w:tcPr>
            <w:tcW w:w="1584" w:type="dxa"/>
          </w:tcPr>
          <w:p w14:paraId="4AB9CC3F" w14:textId="77777777" w:rsidR="001507F2" w:rsidRPr="00BC1750" w:rsidRDefault="001507F2" w:rsidP="009E2114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40%</w:t>
            </w:r>
            <w:r w:rsidRPr="00BC1750">
              <w:rPr>
                <w:lang w:val="sr-Latn-ME"/>
              </w:rPr>
              <w:tab/>
            </w:r>
          </w:p>
        </w:tc>
      </w:tr>
      <w:tr w:rsidR="00D26D0C" w:rsidRPr="00BC1750" w14:paraId="29267C80" w14:textId="77777777" w:rsidTr="009E2114">
        <w:tc>
          <w:tcPr>
            <w:tcW w:w="2448" w:type="dxa"/>
          </w:tcPr>
          <w:p w14:paraId="51A5B22D" w14:textId="790FFC7F" w:rsidR="00D26D0C" w:rsidRPr="00BC1750" w:rsidRDefault="00D26D0C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3.1. Povećanje uključenosti djece iz osjetljivih grupa u PVO</w:t>
            </w:r>
          </w:p>
        </w:tc>
        <w:tc>
          <w:tcPr>
            <w:tcW w:w="2448" w:type="dxa"/>
          </w:tcPr>
          <w:p w14:paraId="5CB15B49" w14:textId="4F57B5EE" w:rsidR="00D26D0C" w:rsidRPr="00BC1750" w:rsidRDefault="00D26D0C" w:rsidP="00D26D0C">
            <w:pPr>
              <w:ind w:firstLine="0"/>
              <w:jc w:val="left"/>
              <w:rPr>
                <w:lang w:val="sr-Latn-ME"/>
              </w:rPr>
            </w:pPr>
            <w:bookmarkStart w:id="6" w:name="_Hlk43394072"/>
            <w:r w:rsidRPr="00BC1750">
              <w:rPr>
                <w:lang w:val="sr-Latn-ME"/>
              </w:rPr>
              <w:t>3.1.2 Uključenost djece 3-6 godina iz ruralnih sredina u PVO (MICS)</w:t>
            </w:r>
            <w:bookmarkEnd w:id="6"/>
          </w:p>
        </w:tc>
        <w:tc>
          <w:tcPr>
            <w:tcW w:w="1584" w:type="dxa"/>
          </w:tcPr>
          <w:p w14:paraId="1B07F1CA" w14:textId="5226728B" w:rsidR="00D26D0C" w:rsidRPr="00BC1750" w:rsidRDefault="00D26D0C" w:rsidP="00D26D0C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35%</w:t>
            </w:r>
          </w:p>
        </w:tc>
        <w:tc>
          <w:tcPr>
            <w:tcW w:w="1584" w:type="dxa"/>
          </w:tcPr>
          <w:p w14:paraId="1AD385F0" w14:textId="6DE16C86" w:rsidR="00D26D0C" w:rsidRPr="00BC1750" w:rsidRDefault="00D26D0C" w:rsidP="00D26D0C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-</w:t>
            </w:r>
          </w:p>
        </w:tc>
        <w:tc>
          <w:tcPr>
            <w:tcW w:w="1584" w:type="dxa"/>
          </w:tcPr>
          <w:p w14:paraId="3FC5FA77" w14:textId="6A6E9FC7" w:rsidR="00D26D0C" w:rsidRPr="00BC1750" w:rsidRDefault="00D26D0C" w:rsidP="00D26D0C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45%</w:t>
            </w:r>
            <w:r w:rsidRPr="00BC1750">
              <w:rPr>
                <w:lang w:val="sr-Latn-ME"/>
              </w:rPr>
              <w:tab/>
            </w:r>
          </w:p>
        </w:tc>
      </w:tr>
      <w:tr w:rsidR="00D26D0C" w:rsidRPr="00BC1750" w14:paraId="655726BC" w14:textId="77777777" w:rsidTr="009E2114">
        <w:tc>
          <w:tcPr>
            <w:tcW w:w="2448" w:type="dxa"/>
          </w:tcPr>
          <w:p w14:paraId="22EE41AA" w14:textId="3BBF7B21" w:rsidR="00D26D0C" w:rsidRPr="00BC1750" w:rsidRDefault="00D26D0C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3.2. Širenje i jačanje interaktivnih službi</w:t>
            </w:r>
          </w:p>
        </w:tc>
        <w:tc>
          <w:tcPr>
            <w:tcW w:w="2448" w:type="dxa"/>
          </w:tcPr>
          <w:p w14:paraId="2959C91D" w14:textId="330F0EDC" w:rsidR="00D26D0C" w:rsidRPr="00BC1750" w:rsidRDefault="00D26D0C" w:rsidP="00D26D0C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3.2.1 Broj djece koja su uključena u rad interaktivnih službi (MEIS) </w:t>
            </w:r>
          </w:p>
        </w:tc>
        <w:tc>
          <w:tcPr>
            <w:tcW w:w="1584" w:type="dxa"/>
          </w:tcPr>
          <w:p w14:paraId="74851368" w14:textId="1ECF7A7B" w:rsidR="00D26D0C" w:rsidRPr="00BC1750" w:rsidRDefault="00007FCF" w:rsidP="00D26D0C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210</w:t>
            </w:r>
          </w:p>
        </w:tc>
        <w:tc>
          <w:tcPr>
            <w:tcW w:w="1584" w:type="dxa"/>
          </w:tcPr>
          <w:p w14:paraId="30466DA0" w14:textId="7D572585" w:rsidR="00D26D0C" w:rsidRPr="00BC1750" w:rsidRDefault="00007FCF" w:rsidP="00D26D0C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250</w:t>
            </w:r>
          </w:p>
          <w:p w14:paraId="18E85BE2" w14:textId="77777777" w:rsidR="00D26D0C" w:rsidRPr="00BC1750" w:rsidRDefault="00D26D0C" w:rsidP="00D26D0C">
            <w:pPr>
              <w:ind w:firstLine="0"/>
              <w:rPr>
                <w:lang w:val="sr-Latn-ME"/>
              </w:rPr>
            </w:pPr>
          </w:p>
        </w:tc>
        <w:tc>
          <w:tcPr>
            <w:tcW w:w="1584" w:type="dxa"/>
          </w:tcPr>
          <w:p w14:paraId="2519AEE4" w14:textId="4A2A89D4" w:rsidR="00D26D0C" w:rsidRPr="00BC1750" w:rsidRDefault="00D26D0C" w:rsidP="00D26D0C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</w:t>
            </w:r>
            <w:r w:rsidR="00007FCF" w:rsidRPr="00BC1750">
              <w:rPr>
                <w:lang w:val="sr-Latn-ME"/>
              </w:rPr>
              <w:t>3</w:t>
            </w:r>
            <w:r w:rsidR="00B66772" w:rsidRPr="00BC1750">
              <w:rPr>
                <w:lang w:val="sr-Latn-ME"/>
              </w:rPr>
              <w:t>2</w:t>
            </w:r>
            <w:r w:rsidR="00DF1417" w:rsidRPr="00BC1750">
              <w:rPr>
                <w:lang w:val="sr-Latn-ME"/>
              </w:rPr>
              <w:t>0</w:t>
            </w:r>
            <w:r w:rsidRPr="00BC1750">
              <w:rPr>
                <w:lang w:val="sr-Latn-ME"/>
              </w:rPr>
              <w:tab/>
            </w:r>
          </w:p>
        </w:tc>
      </w:tr>
      <w:tr w:rsidR="00D26D0C" w:rsidRPr="00BC1750" w14:paraId="38E85AD0" w14:textId="77777777" w:rsidTr="009E2114">
        <w:tc>
          <w:tcPr>
            <w:tcW w:w="2448" w:type="dxa"/>
          </w:tcPr>
          <w:p w14:paraId="6EC8971D" w14:textId="6BCA0794" w:rsidR="00D26D0C" w:rsidRPr="00BC1750" w:rsidRDefault="00D26D0C" w:rsidP="00566A90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3.3. Unaprijediti podršku roditeljima u </w:t>
            </w:r>
            <w:r w:rsidR="00F23D87">
              <w:rPr>
                <w:lang w:val="sr-Latn-ME"/>
              </w:rPr>
              <w:t>obezbjeđivanju</w:t>
            </w:r>
            <w:r w:rsidRPr="00BC1750">
              <w:rPr>
                <w:lang w:val="sr-Latn-ME"/>
              </w:rPr>
              <w:t xml:space="preserve"> podsticajnijih uslova za rani razvoj u porodičnom okruženju</w:t>
            </w:r>
          </w:p>
        </w:tc>
        <w:tc>
          <w:tcPr>
            <w:tcW w:w="2448" w:type="dxa"/>
          </w:tcPr>
          <w:p w14:paraId="205A1D7C" w14:textId="4D17F280" w:rsidR="00D26D0C" w:rsidRPr="00BC1750" w:rsidRDefault="00D26D0C" w:rsidP="00D26D0C">
            <w:pPr>
              <w:ind w:firstLine="0"/>
              <w:jc w:val="left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3.3.1  Procenat djece </w:t>
            </w:r>
            <w:r w:rsidR="00816539" w:rsidRPr="00BC1750">
              <w:rPr>
                <w:lang w:val="sr-Latn-ME"/>
              </w:rPr>
              <w:t xml:space="preserve">3-6 godina </w:t>
            </w:r>
            <w:r w:rsidRPr="00BC1750">
              <w:rPr>
                <w:lang w:val="sr-Latn-ME"/>
              </w:rPr>
              <w:t>u grupi 20% sa najnižim materijalnim statusom sa kojom odrasli članovi porodice učestvuju u četiri ili više razvojno podsticajnih aktivnosti (MICS)</w:t>
            </w:r>
          </w:p>
        </w:tc>
        <w:tc>
          <w:tcPr>
            <w:tcW w:w="1584" w:type="dxa"/>
          </w:tcPr>
          <w:p w14:paraId="3C29F1E4" w14:textId="77777777" w:rsidR="00D26D0C" w:rsidRPr="00BC1750" w:rsidRDefault="00D26D0C" w:rsidP="00D26D0C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69%</w:t>
            </w:r>
          </w:p>
        </w:tc>
        <w:tc>
          <w:tcPr>
            <w:tcW w:w="1584" w:type="dxa"/>
          </w:tcPr>
          <w:p w14:paraId="30319B7C" w14:textId="77777777" w:rsidR="00D26D0C" w:rsidRPr="00BC1750" w:rsidRDefault="00D26D0C" w:rsidP="00D26D0C">
            <w:pPr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>-</w:t>
            </w:r>
          </w:p>
        </w:tc>
        <w:tc>
          <w:tcPr>
            <w:tcW w:w="1584" w:type="dxa"/>
          </w:tcPr>
          <w:p w14:paraId="7A26ADD9" w14:textId="77777777" w:rsidR="00D26D0C" w:rsidRPr="00BC1750" w:rsidRDefault="00D26D0C" w:rsidP="00D26D0C">
            <w:pPr>
              <w:tabs>
                <w:tab w:val="center" w:pos="1029"/>
              </w:tabs>
              <w:ind w:firstLine="0"/>
              <w:rPr>
                <w:lang w:val="sr-Latn-ME"/>
              </w:rPr>
            </w:pPr>
            <w:r w:rsidRPr="00BC1750">
              <w:rPr>
                <w:lang w:val="sr-Latn-ME"/>
              </w:rPr>
              <w:t xml:space="preserve"> 80%</w:t>
            </w:r>
            <w:r w:rsidRPr="00BC1750">
              <w:rPr>
                <w:lang w:val="sr-Latn-ME"/>
              </w:rPr>
              <w:tab/>
            </w:r>
          </w:p>
        </w:tc>
      </w:tr>
    </w:tbl>
    <w:p w14:paraId="7663CD9D" w14:textId="77777777" w:rsidR="00B25F68" w:rsidRPr="00BC1750" w:rsidRDefault="00B25F68" w:rsidP="00B25F68">
      <w:pPr>
        <w:ind w:firstLine="0"/>
        <w:rPr>
          <w:lang w:val="sr-Latn-ME"/>
        </w:rPr>
      </w:pPr>
    </w:p>
    <w:p w14:paraId="7BECDE01" w14:textId="77777777" w:rsidR="00B25F68" w:rsidRPr="00BC1750" w:rsidRDefault="00B25F68" w:rsidP="00C77D7E">
      <w:pPr>
        <w:ind w:firstLine="0"/>
        <w:rPr>
          <w:lang w:val="sr-Latn-ME"/>
        </w:rPr>
      </w:pPr>
    </w:p>
    <w:p w14:paraId="64CD7282" w14:textId="43630289" w:rsidR="0050420C" w:rsidRPr="00BC1750" w:rsidRDefault="0050420C" w:rsidP="00C77D7E">
      <w:pPr>
        <w:ind w:firstLine="0"/>
        <w:rPr>
          <w:lang w:val="sr-Latn-ME"/>
        </w:rPr>
      </w:pPr>
    </w:p>
    <w:p w14:paraId="304A231F" w14:textId="207EC2ED" w:rsidR="006B7669" w:rsidRPr="00BC1750" w:rsidRDefault="00C60C9D" w:rsidP="00C77D7E">
      <w:pPr>
        <w:ind w:firstLine="0"/>
        <w:rPr>
          <w:lang w:val="sr-Latn-ME"/>
        </w:rPr>
      </w:pPr>
      <w:r w:rsidRPr="00BC1750">
        <w:rPr>
          <w:lang w:val="sr-Latn-ME"/>
        </w:rPr>
        <w:t xml:space="preserve">   </w:t>
      </w:r>
      <w:r w:rsidR="006B7669" w:rsidRPr="00BC1750">
        <w:rPr>
          <w:lang w:val="sr-Latn-ME"/>
        </w:rPr>
        <w:br w:type="page"/>
      </w:r>
    </w:p>
    <w:p w14:paraId="0CE5CE56" w14:textId="2210CB6C" w:rsidR="006B7669" w:rsidRPr="00BC1750" w:rsidRDefault="006B7669" w:rsidP="006B7669">
      <w:pPr>
        <w:pStyle w:val="Heading1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lastRenderedPageBreak/>
        <w:t>4. Ključne aktivnosti za sprovođenje operativnih ciljeva</w:t>
      </w:r>
    </w:p>
    <w:p w14:paraId="59CA6312" w14:textId="4E747DC7" w:rsidR="006B7669" w:rsidRPr="00BC1750" w:rsidRDefault="007F56F3" w:rsidP="006B7669">
      <w:pPr>
        <w:spacing w:after="160"/>
        <w:ind w:firstLine="0"/>
        <w:rPr>
          <w:lang w:val="sr-Latn-ME"/>
        </w:rPr>
      </w:pPr>
      <w:r w:rsidRPr="00BC1750">
        <w:rPr>
          <w:lang w:val="sr-Latn-ME"/>
        </w:rPr>
        <w:tab/>
        <w:t>U ovom poglavlju biće riječi o glavnim pravcima djelovanja i ključnim aktivnostima koje je potrebno realizovati u narednom periodu kako bi se ostvarili operativni ciljevi koji su definisani u prethodnom poglavlju.</w:t>
      </w:r>
    </w:p>
    <w:p w14:paraId="7F70363A" w14:textId="77777777" w:rsidR="009E2114" w:rsidRPr="00BC1750" w:rsidRDefault="009E2114" w:rsidP="009E2114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Strateški cilj 1: Povećanje obuhvata PVO</w:t>
      </w:r>
    </w:p>
    <w:p w14:paraId="2C80A9DA" w14:textId="77777777" w:rsidR="009E2114" w:rsidRPr="00BC1750" w:rsidRDefault="009E2114" w:rsidP="009E2114">
      <w:pPr>
        <w:pStyle w:val="Heading3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Operativni cilj 1.1: Povećanje kapacitet u javnim predškolskim ustanovama</w:t>
      </w:r>
    </w:p>
    <w:p w14:paraId="5F00DA4C" w14:textId="77777777" w:rsidR="009E2114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>Povećanje kapaciteta u javnim predškolskim ustanovama će biti ostvaren na sledeće načine:</w:t>
      </w:r>
    </w:p>
    <w:p w14:paraId="3EC3881A" w14:textId="078AAAE0" w:rsidR="009E2114" w:rsidRPr="00BC1750" w:rsidRDefault="009E2114" w:rsidP="009E2114">
      <w:pPr>
        <w:pStyle w:val="ListParagraph"/>
        <w:numPr>
          <w:ilvl w:val="0"/>
          <w:numId w:val="3"/>
        </w:numPr>
        <w:rPr>
          <w:lang w:val="sr-Latn-ME"/>
        </w:rPr>
      </w:pPr>
      <w:r w:rsidRPr="00BC1750">
        <w:rPr>
          <w:lang w:val="sr-Latn-ME"/>
        </w:rPr>
        <w:t>Izgradnja novih objekata – u opštinama (npr. Podgorica</w:t>
      </w:r>
      <w:r w:rsidR="00142083" w:rsidRPr="00BC1750">
        <w:rPr>
          <w:lang w:val="sr-Latn-ME"/>
        </w:rPr>
        <w:t>, Bar itd.</w:t>
      </w:r>
      <w:r w:rsidRPr="00BC1750">
        <w:rPr>
          <w:lang w:val="sr-Latn-ME"/>
        </w:rPr>
        <w:t xml:space="preserve">) u kojima postoji veliki broj djece koja nisu uključena u PVO i u kojima postoji stabilan trend u pogledu broja djece (zbog većeg broja živorođene djece i/ili zbog velike stope doseljavanja) </w:t>
      </w:r>
      <w:r w:rsidR="00A32928" w:rsidRPr="00BC1750">
        <w:rPr>
          <w:lang w:val="sr-Latn-ME"/>
        </w:rPr>
        <w:t>problem kapaciteta će biti rješavan kroz izgradnju novih objekata u naseljima tamo gdje oni ne postoje</w:t>
      </w:r>
      <w:r w:rsidRPr="00BC1750">
        <w:rPr>
          <w:lang w:val="sr-Latn-ME"/>
        </w:rPr>
        <w:t>.</w:t>
      </w:r>
    </w:p>
    <w:p w14:paraId="0063A6F2" w14:textId="4A9C669A" w:rsidR="00D31116" w:rsidRPr="00BC1750" w:rsidRDefault="009E2114" w:rsidP="005E38E2">
      <w:pPr>
        <w:pStyle w:val="ListParagraph"/>
        <w:numPr>
          <w:ilvl w:val="0"/>
          <w:numId w:val="3"/>
        </w:numPr>
        <w:rPr>
          <w:lang w:val="sr-Latn-ME"/>
        </w:rPr>
      </w:pPr>
      <w:r w:rsidRPr="00BC1750">
        <w:rPr>
          <w:lang w:val="sr-Latn-ME"/>
        </w:rPr>
        <w:t>Proširenje kapaciteta postojećih objekata – u naseljima gdje već postoji objekti PU i gdje postoje mogućnosti kapaciteti će biti prošireni kroz dogradnju, nadogradnju ili rekonstrukciju (</w:t>
      </w:r>
      <w:r w:rsidR="007E3A64" w:rsidRPr="00BC1750">
        <w:rPr>
          <w:lang w:val="sr-Latn-ME"/>
        </w:rPr>
        <w:t xml:space="preserve">djelimičnu </w:t>
      </w:r>
      <w:r w:rsidRPr="00BC1750">
        <w:rPr>
          <w:lang w:val="sr-Latn-ME"/>
        </w:rPr>
        <w:t>ili potpunu) postojećih objekata PU.</w:t>
      </w:r>
    </w:p>
    <w:p w14:paraId="7308098E" w14:textId="480306E4" w:rsidR="00D31116" w:rsidRPr="00BC1750" w:rsidRDefault="00D31116" w:rsidP="00E53275">
      <w:pPr>
        <w:pStyle w:val="ListParagraph"/>
        <w:ind w:left="1440" w:firstLine="0"/>
        <w:rPr>
          <w:lang w:val="sr-Latn-ME"/>
        </w:rPr>
      </w:pPr>
    </w:p>
    <w:p w14:paraId="6DADBFB4" w14:textId="77777777" w:rsidR="009E2114" w:rsidRPr="00BC1750" w:rsidRDefault="009E2114" w:rsidP="009E2114">
      <w:pPr>
        <w:pStyle w:val="Heading3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Operativni cilj 1.2: Povećanje kapaciteta kroz adaptaciju javnih lokalnih prostora</w:t>
      </w:r>
    </w:p>
    <w:p w14:paraId="3DA05566" w14:textId="53DCAF44" w:rsidR="009E2114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 xml:space="preserve">Doprinos širenju kapaciteta PVO će biti ostvaren na osnovu širenja postojećih kapaciteta PVO kroz adaptaciju prostora u javnim ustanovama (npr. resursni centri, osnovne škole itd.) u naseljima u kojima postoji potražnja za uslugama PU, a ne postoje dovoljni kapaciteti u postojećim PU. </w:t>
      </w:r>
      <w:r w:rsidR="00C43173" w:rsidRPr="00BC1750">
        <w:rPr>
          <w:lang w:val="sr-Latn-ME"/>
        </w:rPr>
        <w:t>Prilikom adaptacije takvih prostora za potrebe PVO treba voditi računa da ti prostori budu usklađeni sa standardima i normama koje važe u sektoru PVO.</w:t>
      </w:r>
    </w:p>
    <w:p w14:paraId="0D38B3AC" w14:textId="77777777" w:rsidR="009E2114" w:rsidRPr="00BC1750" w:rsidRDefault="009E2114" w:rsidP="009E2114">
      <w:pPr>
        <w:pStyle w:val="Heading3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Operativni cilj 1.3: Povećanje kapaciteta mreže interaktivnih službi</w:t>
      </w:r>
    </w:p>
    <w:p w14:paraId="1FBAA574" w14:textId="66F7B751" w:rsidR="001318E4" w:rsidRPr="00BC1750" w:rsidRDefault="009E2114" w:rsidP="001318E4">
      <w:pPr>
        <w:rPr>
          <w:lang w:val="sr-Latn-ME"/>
        </w:rPr>
      </w:pPr>
      <w:r w:rsidRPr="00BC1750">
        <w:rPr>
          <w:lang w:val="sr-Latn-ME"/>
        </w:rPr>
        <w:t xml:space="preserve">Povećanje kapaciteta PVO će biti ostvareno i na osnovu povećanja kapaciteta mreže interaktivnih službi koje postoje u </w:t>
      </w:r>
      <w:r w:rsidR="007E3A64" w:rsidRPr="00BC1750">
        <w:rPr>
          <w:lang w:val="sr-Latn-ME"/>
        </w:rPr>
        <w:t xml:space="preserve">17 </w:t>
      </w:r>
      <w:r w:rsidRPr="00BC1750">
        <w:rPr>
          <w:lang w:val="sr-Latn-ME"/>
        </w:rPr>
        <w:t xml:space="preserve">opština kroz osnivanje novih interaktivnih službi (punktova) u udaljenim, ruralnim naseljima gdje postoji potražnja za uslugama PVO i gdje postoje uslovi. </w:t>
      </w:r>
    </w:p>
    <w:p w14:paraId="506524A8" w14:textId="77777777" w:rsidR="00566A90" w:rsidRDefault="00566A90" w:rsidP="00426318">
      <w:pPr>
        <w:rPr>
          <w:lang w:val="sr-Latn-ME"/>
        </w:rPr>
      </w:pPr>
    </w:p>
    <w:p w14:paraId="48408A8C" w14:textId="1FFB44A4" w:rsidR="00426318" w:rsidRPr="00BC1750" w:rsidRDefault="00426318" w:rsidP="00426318">
      <w:pPr>
        <w:rPr>
          <w:lang w:val="sr-Latn-ME"/>
        </w:rPr>
      </w:pPr>
      <w:r w:rsidRPr="00BC1750">
        <w:rPr>
          <w:lang w:val="sr-Latn-ME"/>
        </w:rPr>
        <w:t>Pored toga, ostvarenje ovog operativnog cilja može da bude ostvaren i kroz jačanje drugih formu pružanja usluga kao što je, na primjer, putujući vrtić i sl.</w:t>
      </w:r>
    </w:p>
    <w:p w14:paraId="7C044BDC" w14:textId="6D02D498" w:rsidR="00D31116" w:rsidRPr="00BC1750" w:rsidRDefault="00D31116" w:rsidP="001318E4">
      <w:pPr>
        <w:rPr>
          <w:lang w:val="sr-Latn-ME"/>
        </w:rPr>
      </w:pPr>
    </w:p>
    <w:p w14:paraId="7B49F726" w14:textId="74B3EB40" w:rsidR="00C86867" w:rsidRPr="00BC1750" w:rsidRDefault="00C86867" w:rsidP="00C86867">
      <w:pPr>
        <w:pStyle w:val="Heading3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lastRenderedPageBreak/>
        <w:t xml:space="preserve">Operativni cilj 1.4: </w:t>
      </w:r>
      <w:r w:rsidR="000839CC" w:rsidRPr="00BC1750">
        <w:rPr>
          <w:lang w:val="sr-Latn-ME"/>
        </w:rPr>
        <w:t>Izraditi dugoročni plan širenja kapaciteta, koji će uključiti i inovativne, društveno odgovorne opcije</w:t>
      </w:r>
    </w:p>
    <w:p w14:paraId="1F18242B" w14:textId="51C5E51C" w:rsidR="00FA4D12" w:rsidRPr="00BC1750" w:rsidRDefault="00C86867" w:rsidP="001318E4">
      <w:pPr>
        <w:rPr>
          <w:lang w:val="sr-Latn-ME"/>
        </w:rPr>
      </w:pPr>
      <w:r w:rsidRPr="00BC1750">
        <w:rPr>
          <w:lang w:val="sr-Latn-ME"/>
        </w:rPr>
        <w:t>Širenje kapaciteta koje će biti realizovan u periodu do 2024. godine neće biti dovoljan da obezb</w:t>
      </w:r>
      <w:r w:rsidR="00F23D87">
        <w:rPr>
          <w:lang w:val="sr-Latn-ME"/>
        </w:rPr>
        <w:t>ij</w:t>
      </w:r>
      <w:r w:rsidRPr="00BC1750">
        <w:rPr>
          <w:lang w:val="sr-Latn-ME"/>
        </w:rPr>
        <w:t xml:space="preserve">edi </w:t>
      </w:r>
      <w:r w:rsidR="007175CD" w:rsidRPr="00BC1750">
        <w:rPr>
          <w:lang w:val="sr-Latn-ME"/>
        </w:rPr>
        <w:t xml:space="preserve">ostvarenje obuhvata PVO koji bi bio na nivou EU zemalja uz poštovanje zakonskih normi o veličini grupa. </w:t>
      </w:r>
      <w:r w:rsidR="00FA4D12" w:rsidRPr="00BC1750">
        <w:rPr>
          <w:lang w:val="sr-Latn-ME"/>
        </w:rPr>
        <w:t>Iz tog razloga</w:t>
      </w:r>
      <w:r w:rsidR="007175CD" w:rsidRPr="00BC1750">
        <w:rPr>
          <w:lang w:val="sr-Latn-ME"/>
        </w:rPr>
        <w:t xml:space="preserve"> postoji potreba da se izradi sistematična i dugoročna analiza potrebnih kapaciteta za period nakon 2024. godine kako bi se u sledeći period strateškog planiranja zasnovao na takvoj analizi. </w:t>
      </w:r>
      <w:r w:rsidR="00B501A8" w:rsidRPr="00BC1750">
        <w:rPr>
          <w:lang w:val="sr-Latn-ME"/>
        </w:rPr>
        <w:t>Ono treba da se oslanja na ranije razvijeni mehanizam za izradu lokalnih planova implementacije shodno regionalnim i lokalnim specifičnostima.</w:t>
      </w:r>
    </w:p>
    <w:p w14:paraId="533C2FED" w14:textId="77777777" w:rsidR="00566A90" w:rsidRDefault="00566A90" w:rsidP="001318E4">
      <w:pPr>
        <w:rPr>
          <w:lang w:val="sr-Latn-ME"/>
        </w:rPr>
      </w:pPr>
    </w:p>
    <w:p w14:paraId="72B48A02" w14:textId="7191AAD1" w:rsidR="00B14A2C" w:rsidRPr="00BC1750" w:rsidRDefault="007175CD" w:rsidP="001318E4">
      <w:pPr>
        <w:rPr>
          <w:lang w:val="sr-Latn-ME"/>
        </w:rPr>
      </w:pPr>
      <w:r w:rsidRPr="00BC1750">
        <w:rPr>
          <w:lang w:val="sr-Latn-ME"/>
        </w:rPr>
        <w:t xml:space="preserve">Tokom izrade analize treba </w:t>
      </w:r>
      <w:r w:rsidR="00E53275" w:rsidRPr="00BC1750">
        <w:rPr>
          <w:lang w:val="sr-Latn-ME"/>
        </w:rPr>
        <w:t xml:space="preserve">posebnu pažnju posvetiti potencijalnoj saradnji sa privatnim sektorom u pogledu proširenja kapaciteta </w:t>
      </w:r>
      <w:r w:rsidR="005E50D2" w:rsidRPr="00BC1750">
        <w:rPr>
          <w:lang w:val="sr-Latn-ME"/>
        </w:rPr>
        <w:t>za pružanje usluga PVO</w:t>
      </w:r>
      <w:r w:rsidR="00A6781C" w:rsidRPr="00BC1750">
        <w:rPr>
          <w:lang w:val="sr-Latn-ME"/>
        </w:rPr>
        <w:t xml:space="preserve"> i da </w:t>
      </w:r>
      <w:r w:rsidR="005E50D2" w:rsidRPr="00BC1750">
        <w:rPr>
          <w:lang w:val="sr-Latn-ME"/>
        </w:rPr>
        <w:t xml:space="preserve">se </w:t>
      </w:r>
      <w:r w:rsidR="00A6781C" w:rsidRPr="00BC1750">
        <w:rPr>
          <w:lang w:val="sr-Latn-ME"/>
        </w:rPr>
        <w:t xml:space="preserve">na osnovu toga </w:t>
      </w:r>
      <w:r w:rsidR="005E50D2" w:rsidRPr="00BC1750">
        <w:rPr>
          <w:lang w:val="sr-Latn-ME"/>
        </w:rPr>
        <w:t xml:space="preserve">procjeni izvodljivost i konkretni modaliteti </w:t>
      </w:r>
      <w:r w:rsidR="00A6781C" w:rsidRPr="00BC1750">
        <w:rPr>
          <w:lang w:val="sr-Latn-ME"/>
        </w:rPr>
        <w:t>saradnje sa privatnim sektorom koji bi bili optimalni</w:t>
      </w:r>
      <w:r w:rsidR="00E53275" w:rsidRPr="00BC1750">
        <w:rPr>
          <w:lang w:val="sr-Latn-ME"/>
        </w:rPr>
        <w:t xml:space="preserve">. </w:t>
      </w:r>
    </w:p>
    <w:p w14:paraId="47076A58" w14:textId="77777777" w:rsidR="00566A90" w:rsidRDefault="00566A90" w:rsidP="001318E4">
      <w:pPr>
        <w:rPr>
          <w:lang w:val="sr-Latn-ME"/>
        </w:rPr>
      </w:pPr>
    </w:p>
    <w:p w14:paraId="31A3FDBD" w14:textId="520FBE7D" w:rsidR="00C86867" w:rsidRPr="00BC1750" w:rsidRDefault="00FA4D12" w:rsidP="001318E4">
      <w:pPr>
        <w:rPr>
          <w:lang w:val="sr-Latn-ME"/>
        </w:rPr>
      </w:pPr>
      <w:r w:rsidRPr="00BC1750">
        <w:rPr>
          <w:lang w:val="sr-Latn-ME"/>
        </w:rPr>
        <w:t xml:space="preserve">Na osnovu analize treba da se izradi </w:t>
      </w:r>
      <w:r w:rsidR="00E53275" w:rsidRPr="00BC1750">
        <w:rPr>
          <w:lang w:val="sr-Latn-ME"/>
        </w:rPr>
        <w:t xml:space="preserve">srednjoročni </w:t>
      </w:r>
      <w:r w:rsidRPr="00BC1750">
        <w:rPr>
          <w:lang w:val="sr-Latn-ME"/>
        </w:rPr>
        <w:t xml:space="preserve">plan za širenje kapaciteta </w:t>
      </w:r>
      <w:r w:rsidR="00832B84" w:rsidRPr="00BC1750">
        <w:rPr>
          <w:lang w:val="sr-Latn-ME"/>
        </w:rPr>
        <w:t>PVO koji će definisati opcije za širenje kapaciteta (izgradnja novih objekata, adaptacija postojećih objekata, adaptacija lokalnih prostora</w:t>
      </w:r>
      <w:r w:rsidR="003901DA" w:rsidRPr="00BC1750">
        <w:rPr>
          <w:lang w:val="sr-Latn-ME"/>
        </w:rPr>
        <w:t xml:space="preserve"> i druge opcije koje se u analizi pokažu realističnim</w:t>
      </w:r>
      <w:r w:rsidR="00832B84" w:rsidRPr="00BC1750">
        <w:rPr>
          <w:lang w:val="sr-Latn-ME"/>
        </w:rPr>
        <w:t xml:space="preserve">) </w:t>
      </w:r>
      <w:r w:rsidR="00E53275" w:rsidRPr="00BC1750">
        <w:rPr>
          <w:lang w:val="sr-Latn-ME"/>
        </w:rPr>
        <w:t xml:space="preserve">i </w:t>
      </w:r>
      <w:r w:rsidR="00832B84" w:rsidRPr="00BC1750">
        <w:rPr>
          <w:lang w:val="sr-Latn-ME"/>
        </w:rPr>
        <w:t xml:space="preserve">koji bi se sprovodio u </w:t>
      </w:r>
      <w:r w:rsidRPr="00BC1750">
        <w:rPr>
          <w:lang w:val="sr-Latn-ME"/>
        </w:rPr>
        <w:t>period</w:t>
      </w:r>
      <w:r w:rsidR="00832B84" w:rsidRPr="00BC1750">
        <w:rPr>
          <w:lang w:val="sr-Latn-ME"/>
        </w:rPr>
        <w:t>u</w:t>
      </w:r>
      <w:r w:rsidRPr="00BC1750">
        <w:rPr>
          <w:lang w:val="sr-Latn-ME"/>
        </w:rPr>
        <w:t xml:space="preserve"> 2025-2028</w:t>
      </w:r>
      <w:r w:rsidR="00CB11C2" w:rsidRPr="00BC1750">
        <w:rPr>
          <w:lang w:val="sr-Latn-ME"/>
        </w:rPr>
        <w:t>.</w:t>
      </w:r>
      <w:r w:rsidR="00832B84" w:rsidRPr="00BC1750">
        <w:rPr>
          <w:lang w:val="sr-Latn-ME"/>
        </w:rPr>
        <w:t xml:space="preserve"> </w:t>
      </w:r>
      <w:r w:rsidR="007175CD" w:rsidRPr="00BC1750">
        <w:rPr>
          <w:lang w:val="sr-Latn-ME"/>
        </w:rPr>
        <w:t xml:space="preserve">  </w:t>
      </w:r>
      <w:r w:rsidR="00C86867" w:rsidRPr="00BC1750">
        <w:rPr>
          <w:lang w:val="sr-Latn-ME"/>
        </w:rPr>
        <w:t xml:space="preserve">  </w:t>
      </w:r>
    </w:p>
    <w:p w14:paraId="2AB94DBF" w14:textId="39C32807" w:rsidR="000942DA" w:rsidRPr="00BC1750" w:rsidRDefault="000942DA" w:rsidP="000942DA">
      <w:pPr>
        <w:pStyle w:val="Heading3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 xml:space="preserve">Operativni cilj 1.5: </w:t>
      </w:r>
      <w:r w:rsidRPr="00BC1750">
        <w:rPr>
          <w:lang w:val="sr-Latn-ME"/>
        </w:rPr>
        <w:t xml:space="preserve">Jačati svijest javnosti o značaju uključivanja </w:t>
      </w:r>
      <w:r w:rsidR="00354802" w:rsidRPr="00BC1750">
        <w:rPr>
          <w:lang w:val="sr-Latn-ME"/>
        </w:rPr>
        <w:t>dje</w:t>
      </w:r>
      <w:r w:rsidRPr="00BC1750">
        <w:rPr>
          <w:lang w:val="sr-Latn-ME"/>
        </w:rPr>
        <w:t>ce u programe ranog i predškolskog učenja</w:t>
      </w:r>
    </w:p>
    <w:p w14:paraId="7E555560" w14:textId="10379EA5" w:rsidR="000942DA" w:rsidRPr="00BC1750" w:rsidRDefault="000942DA" w:rsidP="001318E4">
      <w:pPr>
        <w:rPr>
          <w:lang w:val="sr-Latn-ME"/>
        </w:rPr>
      </w:pPr>
      <w:r w:rsidRPr="00BC1750">
        <w:rPr>
          <w:lang w:val="sr-Latn-ME"/>
        </w:rPr>
        <w:t xml:space="preserve">Cijeneći da je potrebno omogućiti svakom </w:t>
      </w:r>
      <w:r w:rsidR="00354802" w:rsidRPr="00BC1750">
        <w:rPr>
          <w:lang w:val="sr-Latn-ME"/>
        </w:rPr>
        <w:t>dje</w:t>
      </w:r>
      <w:r w:rsidRPr="00BC1750">
        <w:rPr>
          <w:lang w:val="sr-Latn-ME"/>
        </w:rPr>
        <w:t xml:space="preserve">tetu jednake šanse, te da su </w:t>
      </w:r>
      <w:r w:rsidR="005E50D2" w:rsidRPr="00BC1750">
        <w:rPr>
          <w:lang w:val="sr-Latn-ME"/>
        </w:rPr>
        <w:t>brojne kampanje i rad u zajednici već dali dobre rezultate te aktivnosti treba održati i pojačati u narednom periodu</w:t>
      </w:r>
      <w:r w:rsidRPr="00BC1750">
        <w:rPr>
          <w:lang w:val="sr-Latn-ME"/>
        </w:rPr>
        <w:t>.</w:t>
      </w:r>
    </w:p>
    <w:p w14:paraId="0287843E" w14:textId="77777777" w:rsidR="00566A90" w:rsidRDefault="00566A90" w:rsidP="001318E4">
      <w:pPr>
        <w:rPr>
          <w:lang w:val="sr-Latn-ME"/>
        </w:rPr>
      </w:pPr>
    </w:p>
    <w:p w14:paraId="36FF0CE8" w14:textId="1F8C6759" w:rsidR="000942DA" w:rsidRPr="00BC1750" w:rsidRDefault="000942DA" w:rsidP="001318E4">
      <w:pPr>
        <w:rPr>
          <w:lang w:val="sr-Latn-ME"/>
        </w:rPr>
      </w:pPr>
      <w:r w:rsidRPr="00BC1750">
        <w:rPr>
          <w:lang w:val="sr-Latn-ME"/>
        </w:rPr>
        <w:t>Kampanje treba da se su situacione, ciljne, za</w:t>
      </w:r>
      <w:r w:rsidR="004E143D" w:rsidRPr="00BC1750">
        <w:rPr>
          <w:lang w:val="sr-Latn-ME"/>
        </w:rPr>
        <w:t>s</w:t>
      </w:r>
      <w:r w:rsidRPr="00BC1750">
        <w:rPr>
          <w:lang w:val="sr-Latn-ME"/>
        </w:rPr>
        <w:t>novane na procjena kon</w:t>
      </w:r>
      <w:r w:rsidR="004E143D" w:rsidRPr="00BC1750">
        <w:rPr>
          <w:lang w:val="sr-Latn-ME"/>
        </w:rPr>
        <w:t>t</w:t>
      </w:r>
      <w:r w:rsidRPr="00BC1750">
        <w:rPr>
          <w:lang w:val="sr-Latn-ME"/>
        </w:rPr>
        <w:t>eksta i potreba u lokalnoj zajednici.</w:t>
      </w:r>
    </w:p>
    <w:p w14:paraId="23E902EF" w14:textId="77777777" w:rsidR="00566A90" w:rsidRDefault="00566A90" w:rsidP="001318E4">
      <w:pPr>
        <w:rPr>
          <w:lang w:val="sr-Latn-ME"/>
        </w:rPr>
      </w:pPr>
    </w:p>
    <w:p w14:paraId="7BD15EB7" w14:textId="25AAB610" w:rsidR="000942DA" w:rsidRPr="00BC1750" w:rsidRDefault="000942DA" w:rsidP="001318E4">
      <w:pPr>
        <w:rPr>
          <w:lang w:val="sr-Latn-ME"/>
        </w:rPr>
      </w:pPr>
      <w:r w:rsidRPr="00BC1750">
        <w:rPr>
          <w:lang w:val="sr-Latn-ME"/>
        </w:rPr>
        <w:t>Promotivnost ove razvojne dobi treba da bude prisutna i kroz dalje sajmove u lokalnim zajednicima, ciljane aktivnosti samih vrtića, stalno pris</w:t>
      </w:r>
      <w:r w:rsidR="004E143D" w:rsidRPr="00BC1750">
        <w:rPr>
          <w:lang w:val="sr-Latn-ME"/>
        </w:rPr>
        <w:t>u</w:t>
      </w:r>
      <w:r w:rsidRPr="00BC1750">
        <w:rPr>
          <w:lang w:val="sr-Latn-ME"/>
        </w:rPr>
        <w:t>tne tematske, afirmativne medijske sadržaje.</w:t>
      </w:r>
    </w:p>
    <w:p w14:paraId="5B77BD99" w14:textId="2F7EC42E" w:rsidR="009E2114" w:rsidRPr="00BC1750" w:rsidRDefault="009E2114" w:rsidP="009E2114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 xml:space="preserve">Strateški cilj 2: Unapređenje i </w:t>
      </w:r>
      <w:r w:rsidR="00F23D87">
        <w:rPr>
          <w:lang w:val="sr-Latn-ME"/>
        </w:rPr>
        <w:t>obezbjeđivanje</w:t>
      </w:r>
      <w:r w:rsidRPr="00BC1750">
        <w:rPr>
          <w:rFonts w:cs="Times New Roman"/>
          <w:lang w:val="sr-Latn-ME"/>
        </w:rPr>
        <w:t xml:space="preserve"> kvaliteta PVO</w:t>
      </w:r>
    </w:p>
    <w:p w14:paraId="10931A1E" w14:textId="77777777" w:rsidR="009E2114" w:rsidRPr="00BC1750" w:rsidRDefault="009E2114" w:rsidP="009E2114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>Operativni cilj 2.1: Smanjivanje veličine vaspitinih grupa</w:t>
      </w:r>
    </w:p>
    <w:p w14:paraId="19D12777" w14:textId="2FF33FEF" w:rsidR="00181946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>Analiza postojećeg stanja je ukazala da je u mnogim javnim PU (uglavnom u urbanim sredinama) prosječna veličina vaspitnih grupa veća nego što je propisano. Da bi se obezb</w:t>
      </w:r>
      <w:r w:rsidR="00F23D87">
        <w:rPr>
          <w:lang w:val="sr-Latn-ME"/>
        </w:rPr>
        <w:t>ij</w:t>
      </w:r>
      <w:r w:rsidRPr="00BC1750">
        <w:rPr>
          <w:lang w:val="sr-Latn-ME"/>
        </w:rPr>
        <w:t xml:space="preserve">edili adekvatni uslovi za visokokvalitetno PVO neophodno je da se veličina vaspitnih grupa smanji. Širenje kapaciteta PVO koje je planirano u okviru strateškog cilja 1 će biti glavni način da se ostvari ovaj operativni cilj. Pored toga, treba podržati javne PU u traganju za dodatnim načinima za smanjivanje veličine vaspitnih grupa (npr. kroz drugačiju organizaciju rada). </w:t>
      </w:r>
    </w:p>
    <w:p w14:paraId="3D225E72" w14:textId="77777777" w:rsidR="00566A90" w:rsidRDefault="00566A90" w:rsidP="009E2114">
      <w:pPr>
        <w:rPr>
          <w:lang w:val="sr-Latn-ME"/>
        </w:rPr>
      </w:pPr>
    </w:p>
    <w:p w14:paraId="765DB754" w14:textId="34DBB2C4" w:rsidR="009E2114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>Potreba da se u narednom periodu umanji prosječna veličina vaspitnih grupa u mnogim PU je povezana i sa povećanjem broja vaspitača. Pri tome, zapošljavanje novih vaspitača je ograničeno postojanjem odgovarajućeg kadra koji je kvalitetno obrazovan za posao vaspitača i finansijskih mogućnosti u budžetu</w:t>
      </w:r>
      <w:r w:rsidR="00B14A2C" w:rsidRPr="00BC1750">
        <w:rPr>
          <w:lang w:val="sr-Latn-ME"/>
        </w:rPr>
        <w:t xml:space="preserve">. </w:t>
      </w:r>
      <w:r w:rsidRPr="00BC1750">
        <w:rPr>
          <w:lang w:val="sr-Latn-ME"/>
        </w:rPr>
        <w:t xml:space="preserve">Iz tog razloga ostvarenje ovog operativnog cilja zahtjeva dobru analizu postojećeg stanja, ograničenja i mogućnosti i formulisanje realističnog plana za povećanje broja zaposlenih u PVO. </w:t>
      </w:r>
      <w:r w:rsidR="00181946" w:rsidRPr="00BC1750">
        <w:rPr>
          <w:lang w:val="sr-Latn-ME"/>
        </w:rPr>
        <w:t xml:space="preserve">U okviru plana za povećanje vaspitača i stručnih saradnika treba da bude razmotreni uslovi za rad u PU kako bi se </w:t>
      </w:r>
      <w:r w:rsidR="000D58E5" w:rsidRPr="00BC1750">
        <w:rPr>
          <w:lang w:val="sr-Latn-ME"/>
        </w:rPr>
        <w:t xml:space="preserve">eventualno </w:t>
      </w:r>
      <w:r w:rsidR="00181946" w:rsidRPr="00BC1750">
        <w:rPr>
          <w:lang w:val="sr-Latn-ME"/>
        </w:rPr>
        <w:t xml:space="preserve">omogućilo da </w:t>
      </w:r>
      <w:r w:rsidR="00CB11C2" w:rsidRPr="00BC1750">
        <w:rPr>
          <w:lang w:val="sr-Latn-ME"/>
        </w:rPr>
        <w:t xml:space="preserve">diplomirani stručnjaci </w:t>
      </w:r>
      <w:r w:rsidR="00181946" w:rsidRPr="00BC1750">
        <w:rPr>
          <w:lang w:val="sr-Latn-ME"/>
        </w:rPr>
        <w:t>koji su stekli srodne kvalifikacije mogu pod određenim uslovima da se zaposle u PU.</w:t>
      </w:r>
    </w:p>
    <w:p w14:paraId="5281D469" w14:textId="7DB86F70" w:rsidR="009E2114" w:rsidRPr="00BC1750" w:rsidRDefault="009E2114" w:rsidP="009E2114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 xml:space="preserve">Operativni cilj 2.2: </w:t>
      </w:r>
      <w:r w:rsidR="006B02F9" w:rsidRPr="00BC1750">
        <w:rPr>
          <w:lang w:val="sr-Latn-ME"/>
        </w:rPr>
        <w:t>Razvoj i primjena osavremenjenog Plana i programa PVO</w:t>
      </w:r>
    </w:p>
    <w:p w14:paraId="59BE981C" w14:textId="21E888B8" w:rsidR="009E2114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 xml:space="preserve">Analiza postojećeg stanja je ukazala na potrebu da se unaprijedi kvalitet PVO kako bi djeca u Crnoj Gori imala podsticajnije uslove za rani razvoj i za razvoj svojih potencijala. Pored toga, postojeći kvalitet PVO treba uskladiti sa EU okvirom za visokokvalitetno PVO kako bi djeca u Crnoj Gori imala iste šanse za rani razvoj i razvoj svojih potencijala kao njihovi vršnjaci u drugim EU zemljama. Konačno, u prethodnom periodu </w:t>
      </w:r>
      <w:r w:rsidR="006B02F9" w:rsidRPr="00BC1750">
        <w:rPr>
          <w:lang w:val="sr-Latn-ME"/>
        </w:rPr>
        <w:t>je</w:t>
      </w:r>
      <w:r w:rsidRPr="00BC1750">
        <w:rPr>
          <w:lang w:val="sr-Latn-ME"/>
        </w:rPr>
        <w:t xml:space="preserve"> razvijen</w:t>
      </w:r>
      <w:r w:rsidR="003F3F30" w:rsidRPr="00BC1750">
        <w:rPr>
          <w:lang w:val="sr-Latn-ME"/>
        </w:rPr>
        <w:t xml:space="preserve"> niz inovativnih</w:t>
      </w:r>
      <w:r w:rsidRPr="00BC1750">
        <w:rPr>
          <w:lang w:val="sr-Latn-ME"/>
        </w:rPr>
        <w:t xml:space="preserve"> specifični</w:t>
      </w:r>
      <w:r w:rsidR="003F3F30" w:rsidRPr="00BC1750">
        <w:rPr>
          <w:lang w:val="sr-Latn-ME"/>
        </w:rPr>
        <w:t>h</w:t>
      </w:r>
      <w:r w:rsidRPr="00BC1750">
        <w:rPr>
          <w:lang w:val="sr-Latn-ME"/>
        </w:rPr>
        <w:t xml:space="preserve"> program</w:t>
      </w:r>
      <w:r w:rsidR="003F3F30" w:rsidRPr="00BC1750">
        <w:rPr>
          <w:lang w:val="sr-Latn-ME"/>
        </w:rPr>
        <w:t>a PVO</w:t>
      </w:r>
      <w:r w:rsidRPr="00BC1750">
        <w:rPr>
          <w:lang w:val="sr-Latn-ME"/>
        </w:rPr>
        <w:t xml:space="preserve"> (interaktivne službe, </w:t>
      </w:r>
      <w:r w:rsidR="003F3F30" w:rsidRPr="00BC1750">
        <w:rPr>
          <w:lang w:val="sr-Latn-ME"/>
        </w:rPr>
        <w:t xml:space="preserve">putujući vrtići, </w:t>
      </w:r>
      <w:r w:rsidRPr="00BC1750">
        <w:rPr>
          <w:lang w:val="sr-Latn-ME"/>
        </w:rPr>
        <w:t>trosatni programi) i PU se podstiču da razvijaju posebne programe koji odgovaraju na potrebe djece i roditelja. Diversifikacija programa je važan element za unapređenje kvalitet PVO, ali je on</w:t>
      </w:r>
      <w:r w:rsidR="003F3F30" w:rsidRPr="00BC1750">
        <w:rPr>
          <w:lang w:val="sr-Latn-ME"/>
        </w:rPr>
        <w:t>a</w:t>
      </w:r>
      <w:r w:rsidRPr="00BC1750">
        <w:rPr>
          <w:lang w:val="sr-Latn-ME"/>
        </w:rPr>
        <w:t>, takođe, povezan sa potrebom da se obezb</w:t>
      </w:r>
      <w:r w:rsidR="00F23D87">
        <w:rPr>
          <w:lang w:val="sr-Latn-ME"/>
        </w:rPr>
        <w:t>ij</w:t>
      </w:r>
      <w:r w:rsidRPr="00BC1750">
        <w:rPr>
          <w:lang w:val="sr-Latn-ME"/>
        </w:rPr>
        <w:t xml:space="preserve">edi </w:t>
      </w:r>
      <w:r w:rsidR="003F3F30" w:rsidRPr="00BC1750">
        <w:rPr>
          <w:lang w:val="sr-Latn-ME"/>
        </w:rPr>
        <w:t xml:space="preserve">koherentnost i </w:t>
      </w:r>
      <w:r w:rsidRPr="00BC1750">
        <w:rPr>
          <w:lang w:val="sr-Latn-ME"/>
        </w:rPr>
        <w:t xml:space="preserve">kvalitet različitih programa koji sada postoje i koji će se razvijati u narednom periodu. </w:t>
      </w:r>
      <w:r w:rsidR="003F3F30" w:rsidRPr="00BC1750">
        <w:rPr>
          <w:lang w:val="sr-Latn-ME"/>
        </w:rPr>
        <w:t xml:space="preserve">Iz navedenih razloga </w:t>
      </w:r>
      <w:r w:rsidRPr="00BC1750">
        <w:rPr>
          <w:lang w:val="sr-Latn-ME"/>
        </w:rPr>
        <w:t xml:space="preserve">potrebno </w:t>
      </w:r>
      <w:r w:rsidR="003F3F30" w:rsidRPr="00BC1750">
        <w:rPr>
          <w:lang w:val="sr-Latn-ME"/>
        </w:rPr>
        <w:t xml:space="preserve">je </w:t>
      </w:r>
      <w:r w:rsidRPr="00BC1750">
        <w:rPr>
          <w:lang w:val="sr-Latn-ME"/>
        </w:rPr>
        <w:t xml:space="preserve">da se </w:t>
      </w:r>
      <w:r w:rsidR="006B02F9" w:rsidRPr="00BC1750">
        <w:rPr>
          <w:lang w:val="sr-Latn-ME"/>
        </w:rPr>
        <w:t xml:space="preserve">razvije novi plan i program PVO koji bi osavremenio postojeći </w:t>
      </w:r>
      <w:r w:rsidR="00D31D81" w:rsidRPr="00BC1750">
        <w:rPr>
          <w:lang w:val="sr-Latn-ME"/>
        </w:rPr>
        <w:t xml:space="preserve">plan i </w:t>
      </w:r>
      <w:r w:rsidRPr="00BC1750">
        <w:rPr>
          <w:lang w:val="sr-Latn-ME"/>
        </w:rPr>
        <w:t>program.</w:t>
      </w:r>
    </w:p>
    <w:p w14:paraId="6A8E212A" w14:textId="77777777" w:rsidR="00566A90" w:rsidRDefault="00566A90" w:rsidP="006B02F9">
      <w:pPr>
        <w:rPr>
          <w:lang w:val="sr-Latn-ME"/>
        </w:rPr>
      </w:pPr>
    </w:p>
    <w:p w14:paraId="5CBDBE3E" w14:textId="70D1CCF6" w:rsidR="00F35A14" w:rsidRPr="00BC1750" w:rsidRDefault="006B02F9" w:rsidP="006B02F9">
      <w:pPr>
        <w:rPr>
          <w:lang w:val="sr-Latn-ME"/>
        </w:rPr>
      </w:pPr>
      <w:r w:rsidRPr="00BC1750">
        <w:rPr>
          <w:lang w:val="sr-Latn-ME"/>
        </w:rPr>
        <w:t>Novi</w:t>
      </w:r>
      <w:r w:rsidR="009E2114" w:rsidRPr="00BC1750">
        <w:rPr>
          <w:lang w:val="sr-Latn-ME"/>
        </w:rPr>
        <w:t xml:space="preserve"> </w:t>
      </w:r>
      <w:r w:rsidR="00D31D81" w:rsidRPr="00BC1750">
        <w:rPr>
          <w:lang w:val="sr-Latn-ME"/>
        </w:rPr>
        <w:t xml:space="preserve">plan i </w:t>
      </w:r>
      <w:r w:rsidR="009E2114" w:rsidRPr="00BC1750">
        <w:rPr>
          <w:lang w:val="sr-Latn-ME"/>
        </w:rPr>
        <w:t>program</w:t>
      </w:r>
      <w:r w:rsidR="005B3CEA" w:rsidRPr="00BC1750">
        <w:rPr>
          <w:lang w:val="sr-Latn-ME"/>
        </w:rPr>
        <w:t xml:space="preserve"> </w:t>
      </w:r>
      <w:r w:rsidR="009E2114" w:rsidRPr="00BC1750">
        <w:rPr>
          <w:lang w:val="sr-Latn-ME"/>
        </w:rPr>
        <w:t>treba</w:t>
      </w:r>
      <w:r w:rsidR="005B3CEA" w:rsidRPr="00BC1750">
        <w:rPr>
          <w:lang w:val="sr-Latn-ME"/>
        </w:rPr>
        <w:t xml:space="preserve"> da bude</w:t>
      </w:r>
      <w:r w:rsidRPr="00BC1750">
        <w:rPr>
          <w:lang w:val="sr-Latn-ME"/>
        </w:rPr>
        <w:t xml:space="preserve"> usklađen sa novim naučnim saznanjima, kao i sa najboljim međunarodnim praksama</w:t>
      </w:r>
      <w:r w:rsidR="00033644" w:rsidRPr="00BC1750">
        <w:rPr>
          <w:lang w:val="sr-Latn-ME"/>
        </w:rPr>
        <w:t xml:space="preserve">. Novi plan i program treba da bude orijentisan na najbolji interes djeteta i </w:t>
      </w:r>
      <w:r w:rsidR="00C71DC7" w:rsidRPr="00BC1750">
        <w:rPr>
          <w:lang w:val="sr-Latn-ME"/>
        </w:rPr>
        <w:t xml:space="preserve">holistički u smislu </w:t>
      </w:r>
      <w:r w:rsidR="00033644" w:rsidRPr="00BC1750">
        <w:rPr>
          <w:lang w:val="sr-Latn-ME"/>
        </w:rPr>
        <w:t xml:space="preserve">da </w:t>
      </w:r>
      <w:r w:rsidRPr="00BC1750">
        <w:rPr>
          <w:lang w:val="sr-Latn-ME"/>
        </w:rPr>
        <w:t>podržava sveukupni razvoj potencijala svakog djeteta</w:t>
      </w:r>
      <w:r w:rsidR="00033644" w:rsidRPr="00BC1750">
        <w:rPr>
          <w:lang w:val="sr-Latn-ME"/>
        </w:rPr>
        <w:t xml:space="preserve">. Novi program treba da bude razvijen tako da </w:t>
      </w:r>
      <w:r w:rsidRPr="00BC1750">
        <w:rPr>
          <w:lang w:val="sr-Latn-ME"/>
        </w:rPr>
        <w:t>daje okvir i smjernice da bi u implementaciji bio inovativan, stimulativan, sveobuhvatan, razvojno adekvatan, participativan</w:t>
      </w:r>
      <w:r w:rsidR="00033644" w:rsidRPr="00BC1750">
        <w:rPr>
          <w:lang w:val="sr-Latn-ME"/>
        </w:rPr>
        <w:t xml:space="preserve"> i </w:t>
      </w:r>
      <w:r w:rsidRPr="00BC1750">
        <w:rPr>
          <w:lang w:val="sr-Latn-ME"/>
        </w:rPr>
        <w:t xml:space="preserve">inkluzivan. </w:t>
      </w:r>
      <w:r w:rsidR="00C71DC7" w:rsidRPr="00BC1750">
        <w:rPr>
          <w:lang w:val="sr-Latn-ME"/>
        </w:rPr>
        <w:t xml:space="preserve">Novi plan i program treba da podrži </w:t>
      </w:r>
      <w:r w:rsidRPr="00BC1750">
        <w:rPr>
          <w:lang w:val="sr-Latn-ME"/>
        </w:rPr>
        <w:t xml:space="preserve">praktičare </w:t>
      </w:r>
      <w:r w:rsidR="00C71DC7" w:rsidRPr="00BC1750">
        <w:rPr>
          <w:lang w:val="sr-Latn-ME"/>
        </w:rPr>
        <w:t xml:space="preserve">da razvijaju i primjenjuju </w:t>
      </w:r>
      <w:r w:rsidRPr="00BC1750">
        <w:rPr>
          <w:lang w:val="sr-Latn-ME"/>
        </w:rPr>
        <w:t xml:space="preserve">aktivnosti koje su istraživačke, igrovne, fleksibilne, kulturološki prilagodljive, </w:t>
      </w:r>
      <w:r w:rsidR="00C71DC7" w:rsidRPr="00BC1750">
        <w:rPr>
          <w:lang w:val="sr-Latn-ME"/>
        </w:rPr>
        <w:t xml:space="preserve">a </w:t>
      </w:r>
      <w:r w:rsidRPr="00BC1750">
        <w:rPr>
          <w:lang w:val="sr-Latn-ME"/>
        </w:rPr>
        <w:t xml:space="preserve">za </w:t>
      </w:r>
      <w:r w:rsidR="00C71DC7" w:rsidRPr="00BC1750">
        <w:rPr>
          <w:lang w:val="sr-Latn-ME"/>
        </w:rPr>
        <w:t>dj</w:t>
      </w:r>
      <w:r w:rsidRPr="00BC1750">
        <w:rPr>
          <w:lang w:val="sr-Latn-ME"/>
        </w:rPr>
        <w:t xml:space="preserve">ecu iskustvene, uključujuće, razvojne. </w:t>
      </w:r>
      <w:r w:rsidR="00694063" w:rsidRPr="00BC1750">
        <w:rPr>
          <w:lang w:val="sr-Latn-ME"/>
        </w:rPr>
        <w:t xml:space="preserve">Novi plan i program treba, takođe, </w:t>
      </w:r>
      <w:r w:rsidRPr="00BC1750">
        <w:rPr>
          <w:lang w:val="sr-Latn-ME"/>
        </w:rPr>
        <w:t>da obezbjeđuje ravnopravnost, univerzalnost, kvalitet</w:t>
      </w:r>
      <w:r w:rsidR="00694063" w:rsidRPr="00BC1750">
        <w:rPr>
          <w:lang w:val="sr-Latn-ME"/>
        </w:rPr>
        <w:t>,</w:t>
      </w:r>
      <w:r w:rsidR="00C71DC7" w:rsidRPr="00BC1750">
        <w:rPr>
          <w:lang w:val="sr-Latn-ME"/>
        </w:rPr>
        <w:t xml:space="preserve"> da bude</w:t>
      </w:r>
      <w:r w:rsidRPr="00BC1750">
        <w:rPr>
          <w:lang w:val="sr-Latn-ME"/>
        </w:rPr>
        <w:t xml:space="preserve"> pristupačan, kontekstualan, aktivan</w:t>
      </w:r>
      <w:r w:rsidR="00694063" w:rsidRPr="00BC1750">
        <w:rPr>
          <w:lang w:val="sr-Latn-ME"/>
        </w:rPr>
        <w:t xml:space="preserve"> i </w:t>
      </w:r>
      <w:r w:rsidRPr="00BC1750">
        <w:rPr>
          <w:lang w:val="sr-Latn-ME"/>
        </w:rPr>
        <w:t xml:space="preserve">konstruktivan i </w:t>
      </w:r>
      <w:r w:rsidR="00C71DC7" w:rsidRPr="00BC1750">
        <w:rPr>
          <w:lang w:val="sr-Latn-ME"/>
        </w:rPr>
        <w:t xml:space="preserve">da </w:t>
      </w:r>
      <w:r w:rsidR="00694063" w:rsidRPr="00BC1750">
        <w:rPr>
          <w:lang w:val="sr-Latn-ME"/>
        </w:rPr>
        <w:t>nudi</w:t>
      </w:r>
      <w:r w:rsidRPr="00BC1750">
        <w:rPr>
          <w:lang w:val="sr-Latn-ME"/>
        </w:rPr>
        <w:t xml:space="preserve"> sadržaje za programsku orijentaciju ka pozitvnom roditeljstvu. </w:t>
      </w:r>
      <w:r w:rsidR="00694063" w:rsidRPr="00BC1750">
        <w:rPr>
          <w:lang w:val="sr-Latn-ME"/>
        </w:rPr>
        <w:t xml:space="preserve">Konačno, novi plan i program </w:t>
      </w:r>
      <w:r w:rsidR="005B3CEA" w:rsidRPr="00BC1750">
        <w:rPr>
          <w:lang w:val="sr-Latn-ME"/>
        </w:rPr>
        <w:t>treba da obezb</w:t>
      </w:r>
      <w:r w:rsidR="00F23D87">
        <w:rPr>
          <w:lang w:val="sr-Latn-ME"/>
        </w:rPr>
        <w:t>ij</w:t>
      </w:r>
      <w:r w:rsidR="005B3CEA" w:rsidRPr="00BC1750">
        <w:rPr>
          <w:lang w:val="sr-Latn-ME"/>
        </w:rPr>
        <w:t xml:space="preserve">edi okvir za </w:t>
      </w:r>
      <w:r w:rsidR="00694063" w:rsidRPr="00BC1750">
        <w:rPr>
          <w:lang w:val="sr-Latn-ME"/>
        </w:rPr>
        <w:t xml:space="preserve">integrisanje specifičnih programa i </w:t>
      </w:r>
      <w:r w:rsidR="005B3CEA" w:rsidRPr="00BC1750">
        <w:rPr>
          <w:lang w:val="sr-Latn-ME"/>
        </w:rPr>
        <w:t>praks</w:t>
      </w:r>
      <w:r w:rsidR="00694063" w:rsidRPr="00BC1750">
        <w:rPr>
          <w:lang w:val="sr-Latn-ME"/>
        </w:rPr>
        <w:t xml:space="preserve">i </w:t>
      </w:r>
      <w:r w:rsidR="005B3CEA" w:rsidRPr="00BC1750">
        <w:rPr>
          <w:lang w:val="sr-Latn-ME"/>
        </w:rPr>
        <w:t xml:space="preserve"> koje su razvijene u prethodnom periodu (npr. portfolio, promocije i kampanje, promjena režima rada, promjena ishrane, podrška djeci prilikom prelaska u osnovnu školu).</w:t>
      </w:r>
      <w:r w:rsidR="007F3EDD" w:rsidRPr="00BC1750">
        <w:rPr>
          <w:lang w:val="sr-Latn-ME"/>
        </w:rPr>
        <w:t xml:space="preserve"> </w:t>
      </w:r>
    </w:p>
    <w:p w14:paraId="699B3BB8" w14:textId="77777777" w:rsidR="00566A90" w:rsidRDefault="00566A90" w:rsidP="00F35A14">
      <w:pPr>
        <w:rPr>
          <w:lang w:val="sr-Latn-ME"/>
        </w:rPr>
      </w:pPr>
    </w:p>
    <w:p w14:paraId="59FA448E" w14:textId="64FA4BF1" w:rsidR="00F35A14" w:rsidRPr="00BC1750" w:rsidRDefault="00F35A14" w:rsidP="00F35A14">
      <w:pPr>
        <w:rPr>
          <w:lang w:val="sr-Latn-ME"/>
        </w:rPr>
      </w:pPr>
      <w:r w:rsidRPr="00BC1750">
        <w:rPr>
          <w:lang w:val="sr-Latn-ME"/>
        </w:rPr>
        <w:t xml:space="preserve">Razvoj novog </w:t>
      </w:r>
      <w:r w:rsidR="00D31D81" w:rsidRPr="00BC1750">
        <w:rPr>
          <w:lang w:val="sr-Latn-ME"/>
        </w:rPr>
        <w:t xml:space="preserve">plana i programa </w:t>
      </w:r>
      <w:r w:rsidRPr="00BC1750">
        <w:rPr>
          <w:lang w:val="sr-Latn-ME"/>
        </w:rPr>
        <w:t xml:space="preserve">bi trebalo da bude završen do kraja 2021. godine da bi se pripreme za njegovo pilotiranje </w:t>
      </w:r>
      <w:r w:rsidR="003865E6" w:rsidRPr="00BC1750">
        <w:rPr>
          <w:lang w:val="sr-Latn-ME"/>
        </w:rPr>
        <w:t xml:space="preserve">realizovale u 2022. godini. Pripreme obuhvataju (a) identifikaciju </w:t>
      </w:r>
      <w:r w:rsidR="00C9011D" w:rsidRPr="00BC1750">
        <w:rPr>
          <w:lang w:val="sr-Latn-ME"/>
        </w:rPr>
        <w:t xml:space="preserve">i obezbjeđivanje </w:t>
      </w:r>
      <w:r w:rsidR="003865E6" w:rsidRPr="00BC1750">
        <w:rPr>
          <w:lang w:val="sr-Latn-ME"/>
        </w:rPr>
        <w:t xml:space="preserve">preduslova koje je neophodno ostvariti na nivou PU kako bi one imale kapacitet </w:t>
      </w:r>
      <w:r w:rsidR="003865E6" w:rsidRPr="00BC1750">
        <w:rPr>
          <w:lang w:val="sr-Latn-ME"/>
        </w:rPr>
        <w:lastRenderedPageBreak/>
        <w:t>za implementaciju novog plana i programa i (b) pripremu raznovrsnih oblika podrške koju bi Zavod za školstvo pružao PU tokom implementacije. Na osnovu pripreme za implementaciju novog plana i programa ona bi započela u školskoj 2022/23</w:t>
      </w:r>
      <w:r w:rsidRPr="00BC1750">
        <w:rPr>
          <w:lang w:val="sr-Latn-ME"/>
        </w:rPr>
        <w:t xml:space="preserve">. </w:t>
      </w:r>
      <w:r w:rsidR="003865E6" w:rsidRPr="00BC1750">
        <w:rPr>
          <w:lang w:val="sr-Latn-ME"/>
        </w:rPr>
        <w:t xml:space="preserve">Tokom školske godine 2022/23 i 2023/24 treba </w:t>
      </w:r>
      <w:r w:rsidR="00F23D87">
        <w:rPr>
          <w:lang w:val="sr-Latn-ME"/>
        </w:rPr>
        <w:t>obezbijediti</w:t>
      </w:r>
      <w:r w:rsidR="003865E6" w:rsidRPr="00BC1750">
        <w:rPr>
          <w:lang w:val="sr-Latn-ME"/>
        </w:rPr>
        <w:t xml:space="preserve"> svim PU adekvatnu podršku od strane Zavoda za školstvo, kao i sistematsko praćenje prim</w:t>
      </w:r>
      <w:r w:rsidR="00C4650C" w:rsidRPr="00BC1750">
        <w:rPr>
          <w:lang w:val="sr-Latn-ME"/>
        </w:rPr>
        <w:t>j</w:t>
      </w:r>
      <w:r w:rsidR="003865E6" w:rsidRPr="00BC1750">
        <w:rPr>
          <w:lang w:val="sr-Latn-ME"/>
        </w:rPr>
        <w:t xml:space="preserve">ene </w:t>
      </w:r>
      <w:r w:rsidR="00694063" w:rsidRPr="00BC1750">
        <w:rPr>
          <w:lang w:val="sr-Latn-ME"/>
        </w:rPr>
        <w:t xml:space="preserve">novog plana i programa </w:t>
      </w:r>
      <w:r w:rsidR="003865E6" w:rsidRPr="00BC1750">
        <w:rPr>
          <w:lang w:val="sr-Latn-ME"/>
        </w:rPr>
        <w:t xml:space="preserve">od strane PU. Na osnovu glavnih nalaza praćenja </w:t>
      </w:r>
      <w:r w:rsidR="004B68B5" w:rsidRPr="00BC1750">
        <w:rPr>
          <w:lang w:val="sr-Latn-ME"/>
        </w:rPr>
        <w:t>Z</w:t>
      </w:r>
      <w:r w:rsidR="003865E6" w:rsidRPr="00BC1750">
        <w:rPr>
          <w:lang w:val="sr-Latn-ME"/>
        </w:rPr>
        <w:t>avod za škols</w:t>
      </w:r>
      <w:r w:rsidR="004B68B5" w:rsidRPr="00BC1750">
        <w:rPr>
          <w:lang w:val="sr-Latn-ME"/>
        </w:rPr>
        <w:t>tvo treba da pripreme plan za unapr</w:t>
      </w:r>
      <w:r w:rsidR="00CF66D6">
        <w:rPr>
          <w:lang w:val="sr-Latn-ME"/>
        </w:rPr>
        <w:t>ij</w:t>
      </w:r>
      <w:r w:rsidR="004B68B5" w:rsidRPr="00BC1750">
        <w:rPr>
          <w:lang w:val="sr-Latn-ME"/>
        </w:rPr>
        <w:t>eđenu implementacij</w:t>
      </w:r>
      <w:r w:rsidR="00694063" w:rsidRPr="00BC1750">
        <w:rPr>
          <w:lang w:val="sr-Latn-ME"/>
        </w:rPr>
        <w:t xml:space="preserve">u novog plana i programa </w:t>
      </w:r>
      <w:r w:rsidR="004B68B5" w:rsidRPr="00BC1750">
        <w:rPr>
          <w:lang w:val="sr-Latn-ME"/>
        </w:rPr>
        <w:t>do kraja 2024. godine</w:t>
      </w:r>
      <w:r w:rsidR="004B68B5" w:rsidRPr="00BC1750">
        <w:rPr>
          <w:rStyle w:val="CommentReference"/>
          <w:lang w:val="sr-Latn-ME"/>
        </w:rPr>
        <w:t xml:space="preserve"> </w:t>
      </w:r>
      <w:r w:rsidR="008554EE" w:rsidRPr="00BC1750">
        <w:rPr>
          <w:lang w:val="sr-Latn-ME"/>
        </w:rPr>
        <w:t>.</w:t>
      </w:r>
    </w:p>
    <w:p w14:paraId="034EFE87" w14:textId="77777777" w:rsidR="00566A90" w:rsidRDefault="00566A90" w:rsidP="00F35A14">
      <w:pPr>
        <w:rPr>
          <w:lang w:val="sr-Latn-ME"/>
        </w:rPr>
      </w:pPr>
    </w:p>
    <w:p w14:paraId="6FA581BB" w14:textId="6CF7204D" w:rsidR="00B501A8" w:rsidRPr="00BC1750" w:rsidRDefault="004B68B5" w:rsidP="00F35A14">
      <w:pPr>
        <w:rPr>
          <w:lang w:val="sr-Latn-ME"/>
        </w:rPr>
      </w:pPr>
      <w:r w:rsidRPr="00BC1750">
        <w:rPr>
          <w:lang w:val="sr-Latn-ME"/>
        </w:rPr>
        <w:t xml:space="preserve">Konačno, novi </w:t>
      </w:r>
      <w:r w:rsidR="00694063" w:rsidRPr="00BC1750">
        <w:rPr>
          <w:lang w:val="sr-Latn-ME"/>
        </w:rPr>
        <w:t xml:space="preserve">plan i program </w:t>
      </w:r>
      <w:r w:rsidRPr="00BC1750">
        <w:rPr>
          <w:lang w:val="sr-Latn-ME"/>
        </w:rPr>
        <w:t>i iskustva njegove primjene treba da budu jedan od osnova za dalje unapređivanje programa inicijalnog obrazovanja vaspitača.</w:t>
      </w:r>
    </w:p>
    <w:p w14:paraId="2F1C65A9" w14:textId="77777777" w:rsidR="009E2114" w:rsidRPr="00BC1750" w:rsidRDefault="009E2114" w:rsidP="009E2114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>Operativni cilj 2.3: Uskladiti postojeći sistem profesionalnog razvoja sa EU okvirom</w:t>
      </w:r>
    </w:p>
    <w:p w14:paraId="16058085" w14:textId="6B72510F" w:rsidR="0066029E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>Analiza postojećeg sistema za profesionalno usavršavanje vaspitača</w:t>
      </w:r>
      <w:r w:rsidRPr="00BC1750">
        <w:rPr>
          <w:rStyle w:val="FootnoteReference"/>
          <w:lang w:val="sr-Latn-ME"/>
        </w:rPr>
        <w:footnoteReference w:id="18"/>
      </w:r>
      <w:r w:rsidRPr="00BC1750">
        <w:rPr>
          <w:lang w:val="sr-Latn-ME"/>
        </w:rPr>
        <w:t xml:space="preserve"> ukazala je na glavne izazove koji postoje u trenutnoj praksi i koji ograničavaju u značajnoj mjeri unaprjeđivanje kvaliteta u PVO. Pored toga, ova analiza daje i dobre smjernice za unaprjeđivanje sistema profesionalnog razvoja vaspitača u PVO</w:t>
      </w:r>
      <w:r w:rsidR="0059437D" w:rsidRPr="00BC1750">
        <w:rPr>
          <w:lang w:val="sr-Latn-ME"/>
        </w:rPr>
        <w:t>.</w:t>
      </w:r>
    </w:p>
    <w:p w14:paraId="08873E1D" w14:textId="77777777" w:rsidR="00566A90" w:rsidRDefault="00566A90" w:rsidP="009E2114">
      <w:pPr>
        <w:rPr>
          <w:lang w:val="sr-Latn-ME"/>
        </w:rPr>
      </w:pPr>
    </w:p>
    <w:p w14:paraId="0999E3EC" w14:textId="51732CDA" w:rsidR="0059437D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 xml:space="preserve">U skladu sa tim u narednom periodu treba izvršiti reformu sistema profesionalnog razvoja </w:t>
      </w:r>
      <w:r w:rsidR="008E7026" w:rsidRPr="00BC1750">
        <w:rPr>
          <w:lang w:val="sr-Latn-ME"/>
        </w:rPr>
        <w:t xml:space="preserve">koji bi integrisao dobre prakse koje su razvije u prethodnom periodu (npr. </w:t>
      </w:r>
      <w:r w:rsidR="005B3CEA" w:rsidRPr="00BC1750">
        <w:rPr>
          <w:lang w:val="sr-Latn-ME"/>
        </w:rPr>
        <w:t xml:space="preserve">inovativne programe </w:t>
      </w:r>
      <w:r w:rsidR="0059437D" w:rsidRPr="00BC1750">
        <w:rPr>
          <w:lang w:val="sr-Latn-ME"/>
        </w:rPr>
        <w:t>stručnog usavršavanja</w:t>
      </w:r>
      <w:r w:rsidR="005B3CEA" w:rsidRPr="00BC1750">
        <w:rPr>
          <w:lang w:val="sr-Latn-ME"/>
        </w:rPr>
        <w:t xml:space="preserve"> koje su razvijene</w:t>
      </w:r>
      <w:r w:rsidR="0059437D" w:rsidRPr="00BC1750">
        <w:rPr>
          <w:lang w:val="sr-Latn-ME"/>
        </w:rPr>
        <w:t xml:space="preserve"> u prethodnom periodu</w:t>
      </w:r>
      <w:r w:rsidR="005B3CEA" w:rsidRPr="00BC1750">
        <w:rPr>
          <w:lang w:val="sr-Latn-ME"/>
        </w:rPr>
        <w:t xml:space="preserve">, </w:t>
      </w:r>
      <w:r w:rsidR="008E7026" w:rsidRPr="00BC1750">
        <w:rPr>
          <w:lang w:val="sr-Latn-ME"/>
        </w:rPr>
        <w:t>sajmovi dobrih praksi) i nove prakse koje mogu da unaprijede kvalitet i efikasnost postojećeg sistema profesionalnog usavršavanja (npr. centri izvrsnosti</w:t>
      </w:r>
      <w:r w:rsidR="00C9011D" w:rsidRPr="00BC1750">
        <w:rPr>
          <w:rStyle w:val="FootnoteReference"/>
          <w:lang w:val="sr-Latn-ME"/>
        </w:rPr>
        <w:footnoteReference w:id="19"/>
      </w:r>
      <w:r w:rsidR="008E7026" w:rsidRPr="00BC1750">
        <w:rPr>
          <w:lang w:val="sr-Latn-ME"/>
        </w:rPr>
        <w:t xml:space="preserve">, </w:t>
      </w:r>
      <w:r w:rsidR="0059437D" w:rsidRPr="00BC1750">
        <w:rPr>
          <w:lang w:val="sr-Latn-ME"/>
        </w:rPr>
        <w:t>vježbaonice, aktivno praktično vođenje</w:t>
      </w:r>
      <w:r w:rsidR="008E7026" w:rsidRPr="00BC1750">
        <w:rPr>
          <w:lang w:val="sr-Latn-ME"/>
        </w:rPr>
        <w:t xml:space="preserve">, pružanje savjetodavnih usluga od strane Zavoda za školstvo i sl.). </w:t>
      </w:r>
      <w:r w:rsidR="008E432F" w:rsidRPr="00BC1750">
        <w:rPr>
          <w:lang w:val="sr-Latn-ME"/>
        </w:rPr>
        <w:t>Konačno, na osnovu nalaza analize „Kontinuirani profesionalni razvoj vaspitača u Crnoj Gori” treba pilotirati regionalne centre izvrsnosti za obuku nastavnog kadra koji bi bili živa i stalna jezgra inovativnih i savremenih znanja iz različitih oblasti vaspitno-obrazovnog rada koji su do sada razvijani, ili za kojima postoji potreba.</w:t>
      </w:r>
    </w:p>
    <w:p w14:paraId="47669370" w14:textId="77777777" w:rsidR="00566A90" w:rsidRDefault="00566A90" w:rsidP="008E432F">
      <w:pPr>
        <w:rPr>
          <w:lang w:val="sr-Latn-ME"/>
        </w:rPr>
      </w:pPr>
    </w:p>
    <w:p w14:paraId="3D81D73A" w14:textId="2F4BEED3" w:rsidR="00CF18B3" w:rsidRPr="00BC1750" w:rsidRDefault="0059437D" w:rsidP="008E432F">
      <w:pPr>
        <w:rPr>
          <w:lang w:val="sr-Latn-ME"/>
        </w:rPr>
      </w:pPr>
      <w:r w:rsidRPr="00BC1750">
        <w:rPr>
          <w:lang w:val="sr-Latn-ME"/>
        </w:rPr>
        <w:t>R</w:t>
      </w:r>
      <w:r w:rsidR="008E7026" w:rsidRPr="00BC1750">
        <w:rPr>
          <w:lang w:val="sr-Latn-ME"/>
        </w:rPr>
        <w:t xml:space="preserve">eformisani sistem profesionalnog usavršavanja treba da bude </w:t>
      </w:r>
      <w:r w:rsidR="009E2114" w:rsidRPr="00BC1750">
        <w:rPr>
          <w:lang w:val="sr-Latn-ME"/>
        </w:rPr>
        <w:t>usklađen sa EU okvirom kako doprin</w:t>
      </w:r>
      <w:r w:rsidRPr="00BC1750">
        <w:rPr>
          <w:lang w:val="sr-Latn-ME"/>
        </w:rPr>
        <w:t>osio</w:t>
      </w:r>
      <w:r w:rsidR="009E2114" w:rsidRPr="00BC1750">
        <w:rPr>
          <w:lang w:val="sr-Latn-ME"/>
        </w:rPr>
        <w:t xml:space="preserve"> daljem unaprjeđivanju kvaliteta PVO u Crnoj Gori. </w:t>
      </w:r>
      <w:r w:rsidRPr="00BC1750">
        <w:rPr>
          <w:lang w:val="sr-Latn-ME"/>
        </w:rPr>
        <w:t>Pored toga, n</w:t>
      </w:r>
      <w:r w:rsidR="00595736" w:rsidRPr="00BC1750">
        <w:rPr>
          <w:lang w:val="sr-Latn-ME"/>
        </w:rPr>
        <w:t xml:space="preserve">ovi </w:t>
      </w:r>
      <w:r w:rsidR="009E2114" w:rsidRPr="00BC1750">
        <w:rPr>
          <w:lang w:val="sr-Latn-ME"/>
        </w:rPr>
        <w:t xml:space="preserve">sistem profesionalnog usavršavanja u PVO treba da bude usklađen </w:t>
      </w:r>
      <w:r w:rsidR="008E7026" w:rsidRPr="00BC1750">
        <w:rPr>
          <w:lang w:val="sr-Latn-ME"/>
        </w:rPr>
        <w:t xml:space="preserve">i </w:t>
      </w:r>
      <w:r w:rsidR="00BE321D" w:rsidRPr="00BC1750">
        <w:rPr>
          <w:lang w:val="sr-Latn-ME"/>
        </w:rPr>
        <w:t xml:space="preserve">sa </w:t>
      </w:r>
      <w:r w:rsidR="008E7026" w:rsidRPr="00BC1750">
        <w:rPr>
          <w:lang w:val="sr-Latn-ME"/>
        </w:rPr>
        <w:t>novim</w:t>
      </w:r>
      <w:r w:rsidR="009E2114" w:rsidRPr="00BC1750">
        <w:rPr>
          <w:lang w:val="sr-Latn-ME"/>
        </w:rPr>
        <w:t xml:space="preserve"> </w:t>
      </w:r>
      <w:r w:rsidR="00D31D81" w:rsidRPr="00BC1750">
        <w:rPr>
          <w:lang w:val="sr-Latn-ME"/>
        </w:rPr>
        <w:t>plan</w:t>
      </w:r>
      <w:r w:rsidR="008E7026" w:rsidRPr="00BC1750">
        <w:rPr>
          <w:lang w:val="sr-Latn-ME"/>
        </w:rPr>
        <w:t>om</w:t>
      </w:r>
      <w:r w:rsidR="00D31D81" w:rsidRPr="00BC1750">
        <w:rPr>
          <w:lang w:val="sr-Latn-ME"/>
        </w:rPr>
        <w:t xml:space="preserve"> i </w:t>
      </w:r>
      <w:r w:rsidR="009E2114" w:rsidRPr="00BC1750">
        <w:rPr>
          <w:lang w:val="sr-Latn-ME"/>
        </w:rPr>
        <w:t>program</w:t>
      </w:r>
      <w:r w:rsidR="008E7026" w:rsidRPr="00BC1750">
        <w:rPr>
          <w:lang w:val="sr-Latn-ME"/>
        </w:rPr>
        <w:t>om</w:t>
      </w:r>
      <w:r w:rsidR="009E2114" w:rsidRPr="00BC1750">
        <w:rPr>
          <w:lang w:val="sr-Latn-ME"/>
        </w:rPr>
        <w:t xml:space="preserve"> što se </w:t>
      </w:r>
      <w:r w:rsidR="008E7026" w:rsidRPr="00BC1750">
        <w:rPr>
          <w:lang w:val="sr-Latn-ME"/>
        </w:rPr>
        <w:t xml:space="preserve">može postići </w:t>
      </w:r>
      <w:r w:rsidR="009E2114" w:rsidRPr="00BC1750">
        <w:rPr>
          <w:lang w:val="sr-Latn-ME"/>
        </w:rPr>
        <w:t>usklađivanjem oba dokumenta sa EU okvirom za visokokvalitetno PVO.</w:t>
      </w:r>
      <w:r w:rsidR="00BE321D" w:rsidRPr="00BC1750">
        <w:rPr>
          <w:lang w:val="sr-Latn-ME"/>
        </w:rPr>
        <w:t xml:space="preserve"> </w:t>
      </w:r>
      <w:r w:rsidR="00CF18B3" w:rsidRPr="00BC1750">
        <w:rPr>
          <w:lang w:val="sr-Latn-ME"/>
        </w:rPr>
        <w:t xml:space="preserve">Takođe, treba da je zasnovan na dokazima, </w:t>
      </w:r>
      <w:r w:rsidR="0023027A" w:rsidRPr="00BC1750">
        <w:rPr>
          <w:lang w:val="sr-Latn-ME"/>
        </w:rPr>
        <w:t>naj</w:t>
      </w:r>
      <w:r w:rsidR="00CF18B3" w:rsidRPr="00BC1750">
        <w:rPr>
          <w:lang w:val="sr-Latn-ME"/>
        </w:rPr>
        <w:t>b</w:t>
      </w:r>
      <w:r w:rsidR="0023027A" w:rsidRPr="00BC1750">
        <w:rPr>
          <w:lang w:val="sr-Latn-ME"/>
        </w:rPr>
        <w:t>o</w:t>
      </w:r>
      <w:r w:rsidR="00CF18B3" w:rsidRPr="00BC1750">
        <w:rPr>
          <w:lang w:val="sr-Latn-ME"/>
        </w:rPr>
        <w:t>ljim praksama, provjerenim programima sa rezultatima u primjeni.</w:t>
      </w:r>
    </w:p>
    <w:p w14:paraId="0668A4A9" w14:textId="4433B474" w:rsidR="00B501A8" w:rsidRPr="00BC1750" w:rsidRDefault="00BE321D" w:rsidP="009E2114">
      <w:pPr>
        <w:rPr>
          <w:lang w:val="sr-Latn-ME"/>
        </w:rPr>
      </w:pPr>
      <w:r w:rsidRPr="00BC1750">
        <w:rPr>
          <w:lang w:val="sr-Latn-ME"/>
        </w:rPr>
        <w:t xml:space="preserve">Nakon izrade novog koncepta profesionalnog usavršavanja treba </w:t>
      </w:r>
      <w:r w:rsidR="00F23D87">
        <w:rPr>
          <w:lang w:val="sr-Latn-ME"/>
        </w:rPr>
        <w:t>obezbijediti</w:t>
      </w:r>
      <w:r w:rsidRPr="00BC1750">
        <w:rPr>
          <w:lang w:val="sr-Latn-ME"/>
        </w:rPr>
        <w:t xml:space="preserve"> uslove za njegovu punu primjenu u PVO (kroz reviziju normativnog okvira, </w:t>
      </w:r>
      <w:r w:rsidR="00F23D87">
        <w:rPr>
          <w:lang w:val="sr-Latn-ME"/>
        </w:rPr>
        <w:t>obezbjeđivanje</w:t>
      </w:r>
      <w:r w:rsidRPr="00BC1750">
        <w:rPr>
          <w:lang w:val="sr-Latn-ME"/>
        </w:rPr>
        <w:t xml:space="preserve"> potrebnih </w:t>
      </w:r>
      <w:r w:rsidRPr="00BC1750">
        <w:rPr>
          <w:lang w:val="sr-Latn-ME"/>
        </w:rPr>
        <w:lastRenderedPageBreak/>
        <w:t>finansijskih sredstava, obuku kadra itd.).</w:t>
      </w:r>
      <w:r w:rsidR="008E432F" w:rsidRPr="00BC1750">
        <w:rPr>
          <w:lang w:val="sr-Latn-ME"/>
        </w:rPr>
        <w:t xml:space="preserve"> Pored toga, p</w:t>
      </w:r>
      <w:r w:rsidR="00B501A8" w:rsidRPr="00BC1750">
        <w:rPr>
          <w:lang w:val="sr-Latn-ME"/>
        </w:rPr>
        <w:t xml:space="preserve">otrebno je da </w:t>
      </w:r>
      <w:r w:rsidR="00C9011D" w:rsidRPr="00BC1750">
        <w:rPr>
          <w:lang w:val="sr-Latn-ME"/>
        </w:rPr>
        <w:t xml:space="preserve">se vaspitači </w:t>
      </w:r>
      <w:r w:rsidR="00CF18B3" w:rsidRPr="00BC1750">
        <w:rPr>
          <w:lang w:val="sr-Latn-ME"/>
        </w:rPr>
        <w:t>koji rad</w:t>
      </w:r>
      <w:r w:rsidR="002A3069" w:rsidRPr="00BC1750">
        <w:rPr>
          <w:lang w:val="sr-Latn-ME"/>
        </w:rPr>
        <w:t>i</w:t>
      </w:r>
      <w:r w:rsidR="00CF18B3" w:rsidRPr="00BC1750">
        <w:rPr>
          <w:lang w:val="sr-Latn-ME"/>
        </w:rPr>
        <w:t xml:space="preserve"> u prvom razredu osnovne škole</w:t>
      </w:r>
      <w:r w:rsidR="00C9011D" w:rsidRPr="00BC1750">
        <w:rPr>
          <w:lang w:val="sr-Latn-ME"/>
        </w:rPr>
        <w:t xml:space="preserve"> budu kontinuirano obučavani za sve ključne novine koje se uvode u PVO</w:t>
      </w:r>
      <w:r w:rsidR="00CF18B3" w:rsidRPr="00BC1750">
        <w:rPr>
          <w:lang w:val="sr-Latn-ME"/>
        </w:rPr>
        <w:t>.</w:t>
      </w:r>
    </w:p>
    <w:p w14:paraId="6CB18B1F" w14:textId="3E75D8FC" w:rsidR="00B501A8" w:rsidRPr="00BC1750" w:rsidRDefault="00B501A8" w:rsidP="00B501A8">
      <w:pPr>
        <w:pStyle w:val="Heading3"/>
        <w:rPr>
          <w:rFonts w:cs="Times New Roman"/>
          <w:highlight w:val="yellow"/>
          <w:lang w:val="sr-Latn-ME"/>
        </w:rPr>
      </w:pPr>
      <w:bookmarkStart w:id="7" w:name="_Hlk44156243"/>
      <w:r w:rsidRPr="00BC1750">
        <w:rPr>
          <w:rFonts w:cs="Times New Roman"/>
          <w:lang w:val="sr-Latn-ME"/>
        </w:rPr>
        <w:t>Operativni cilj 2.</w:t>
      </w:r>
      <w:r w:rsidR="003B6CCE" w:rsidRPr="00BC1750">
        <w:rPr>
          <w:rFonts w:cs="Times New Roman"/>
          <w:lang w:val="sr-Latn-ME"/>
        </w:rPr>
        <w:t>4</w:t>
      </w:r>
      <w:r w:rsidRPr="00BC1750">
        <w:rPr>
          <w:rFonts w:cs="Times New Roman"/>
          <w:lang w:val="sr-Latn-ME"/>
        </w:rPr>
        <w:t xml:space="preserve">: Unaprijediti </w:t>
      </w:r>
      <w:r w:rsidR="0023027A" w:rsidRPr="00BC1750">
        <w:rPr>
          <w:rFonts w:cs="Times New Roman"/>
          <w:lang w:val="sr-Latn-ME"/>
        </w:rPr>
        <w:t>sadržaj i praksu inicij</w:t>
      </w:r>
      <w:r w:rsidR="003B6CCE" w:rsidRPr="00BC1750">
        <w:rPr>
          <w:rFonts w:cs="Times New Roman"/>
          <w:lang w:val="sr-Latn-ME"/>
        </w:rPr>
        <w:t>a</w:t>
      </w:r>
      <w:r w:rsidR="0023027A" w:rsidRPr="00BC1750">
        <w:rPr>
          <w:rFonts w:cs="Times New Roman"/>
          <w:lang w:val="sr-Latn-ME"/>
        </w:rPr>
        <w:t>lnog obrazovanja</w:t>
      </w:r>
    </w:p>
    <w:bookmarkEnd w:id="7"/>
    <w:p w14:paraId="42D4ECED" w14:textId="47385061" w:rsidR="00B501A8" w:rsidRPr="00BC1750" w:rsidRDefault="00595736" w:rsidP="009E2114">
      <w:pPr>
        <w:rPr>
          <w:lang w:val="sr-Latn-ME"/>
        </w:rPr>
      </w:pPr>
      <w:r w:rsidRPr="00BC1750">
        <w:rPr>
          <w:lang w:val="sr-Latn-ME"/>
        </w:rPr>
        <w:t xml:space="preserve">Pored toga, </w:t>
      </w:r>
      <w:r w:rsidR="00902C05" w:rsidRPr="00BC1750">
        <w:rPr>
          <w:lang w:val="sr-Latn-ME"/>
        </w:rPr>
        <w:t xml:space="preserve">inicijalno obrazovanje vaspitača je jedna od </w:t>
      </w:r>
      <w:r w:rsidR="0059437D" w:rsidRPr="00BC1750">
        <w:rPr>
          <w:lang w:val="sr-Latn-ME"/>
        </w:rPr>
        <w:t>važnih</w:t>
      </w:r>
      <w:r w:rsidR="00902C05" w:rsidRPr="00BC1750">
        <w:rPr>
          <w:lang w:val="sr-Latn-ME"/>
        </w:rPr>
        <w:t xml:space="preserve"> komponenti </w:t>
      </w:r>
      <w:r w:rsidR="003B6CCE" w:rsidRPr="00BC1750">
        <w:rPr>
          <w:lang w:val="sr-Latn-ME"/>
        </w:rPr>
        <w:t xml:space="preserve">kvaliteta PVO i </w:t>
      </w:r>
      <w:r w:rsidR="00902C05" w:rsidRPr="00BC1750">
        <w:rPr>
          <w:lang w:val="sr-Latn-ME"/>
        </w:rPr>
        <w:t>profesionalizacije</w:t>
      </w:r>
      <w:r w:rsidR="003B6CCE" w:rsidRPr="00BC1750">
        <w:rPr>
          <w:lang w:val="sr-Latn-ME"/>
        </w:rPr>
        <w:t xml:space="preserve"> vaspitačkog poziva</w:t>
      </w:r>
      <w:r w:rsidR="00902C05" w:rsidRPr="00BC1750">
        <w:rPr>
          <w:lang w:val="sr-Latn-ME"/>
        </w:rPr>
        <w:t xml:space="preserve">. Iz tog razloga, </w:t>
      </w:r>
      <w:r w:rsidRPr="00BC1750">
        <w:rPr>
          <w:lang w:val="sr-Latn-ME"/>
        </w:rPr>
        <w:t xml:space="preserve">nakon finalizacije </w:t>
      </w:r>
      <w:r w:rsidR="00BC1750" w:rsidRPr="00BC1750">
        <w:rPr>
          <w:lang w:val="sr-Latn-ME"/>
        </w:rPr>
        <w:t xml:space="preserve">novog javno </w:t>
      </w:r>
      <w:r w:rsidR="00BC1750">
        <w:rPr>
          <w:lang w:val="sr-Latn-ME"/>
        </w:rPr>
        <w:t xml:space="preserve">važećeg plana i programa </w:t>
      </w:r>
      <w:r w:rsidRPr="00BC1750">
        <w:rPr>
          <w:lang w:val="sr-Latn-ME"/>
        </w:rPr>
        <w:t xml:space="preserve">potrebno je da se izvrši </w:t>
      </w:r>
      <w:r w:rsidR="00FA6129" w:rsidRPr="00BC1750">
        <w:rPr>
          <w:lang w:val="sr-Latn-ME"/>
        </w:rPr>
        <w:t xml:space="preserve">usklađivanje </w:t>
      </w:r>
      <w:r w:rsidR="00786C97" w:rsidRPr="00BC1750">
        <w:rPr>
          <w:lang w:val="sr-Latn-ME"/>
        </w:rPr>
        <w:t xml:space="preserve">programa </w:t>
      </w:r>
      <w:r w:rsidRPr="00BC1750">
        <w:rPr>
          <w:lang w:val="sr-Latn-ME"/>
        </w:rPr>
        <w:t>inicijalnog obrazovanja vaspitača</w:t>
      </w:r>
      <w:r w:rsidR="00786C97" w:rsidRPr="00BC1750">
        <w:rPr>
          <w:lang w:val="sr-Latn-ME"/>
        </w:rPr>
        <w:t xml:space="preserve">, kao i </w:t>
      </w:r>
      <w:r w:rsidR="008E7026" w:rsidRPr="00BC1750">
        <w:rPr>
          <w:lang w:val="sr-Latn-ME"/>
        </w:rPr>
        <w:t>sistem</w:t>
      </w:r>
      <w:r w:rsidR="00FA6129" w:rsidRPr="00BC1750">
        <w:rPr>
          <w:lang w:val="sr-Latn-ME"/>
        </w:rPr>
        <w:t>a</w:t>
      </w:r>
      <w:r w:rsidR="008E7026" w:rsidRPr="00BC1750">
        <w:rPr>
          <w:lang w:val="sr-Latn-ME"/>
        </w:rPr>
        <w:t xml:space="preserve"> za profesionalno usavršavanje</w:t>
      </w:r>
      <w:r w:rsidR="00FA6129" w:rsidRPr="00BC1750">
        <w:rPr>
          <w:lang w:val="sr-Latn-ME"/>
        </w:rPr>
        <w:t xml:space="preserve"> vaspitača sa novi</w:t>
      </w:r>
      <w:r w:rsidR="00786C97" w:rsidRPr="00BC1750">
        <w:rPr>
          <w:lang w:val="sr-Latn-ME"/>
        </w:rPr>
        <w:t xml:space="preserve">nama koje bude </w:t>
      </w:r>
      <w:r w:rsidR="00BC1750" w:rsidRPr="00BC1750">
        <w:rPr>
          <w:lang w:val="sr-Latn-ME"/>
        </w:rPr>
        <w:t>donio</w:t>
      </w:r>
      <w:r w:rsidR="00786C97" w:rsidRPr="00BC1750">
        <w:rPr>
          <w:lang w:val="sr-Latn-ME"/>
        </w:rPr>
        <w:t xml:space="preserve"> </w:t>
      </w:r>
      <w:r w:rsidR="00BC1750">
        <w:rPr>
          <w:lang w:val="sr-Latn-ME"/>
        </w:rPr>
        <w:t>osavremenjeni plan i program</w:t>
      </w:r>
      <w:r w:rsidR="008E7026" w:rsidRPr="00BC1750">
        <w:rPr>
          <w:lang w:val="sr-Latn-ME"/>
        </w:rPr>
        <w:t xml:space="preserve">. </w:t>
      </w:r>
    </w:p>
    <w:p w14:paraId="4533034C" w14:textId="77777777" w:rsidR="00566A90" w:rsidRDefault="00566A90" w:rsidP="009E2114">
      <w:pPr>
        <w:rPr>
          <w:lang w:val="sr-Latn-ME"/>
        </w:rPr>
      </w:pPr>
    </w:p>
    <w:p w14:paraId="690DFCF4" w14:textId="72B9B7DA" w:rsidR="00B501A8" w:rsidRPr="00BC1750" w:rsidRDefault="008E7026" w:rsidP="009E2114">
      <w:pPr>
        <w:rPr>
          <w:lang w:val="sr-Latn-ME"/>
        </w:rPr>
      </w:pPr>
      <w:r w:rsidRPr="00BC1750">
        <w:rPr>
          <w:lang w:val="sr-Latn-ME"/>
        </w:rPr>
        <w:t>Novi program inicijalnog obrazovanja vaspitača treba da uključi i stručnu praksu koja bi se realizovala u PU</w:t>
      </w:r>
      <w:r w:rsidR="007F5317" w:rsidRPr="00BC1750">
        <w:rPr>
          <w:lang w:val="sr-Latn-ME"/>
        </w:rPr>
        <w:t xml:space="preserve"> koje imaju status vježbaonice</w:t>
      </w:r>
      <w:r w:rsidRPr="00BC1750">
        <w:rPr>
          <w:lang w:val="sr-Latn-ME"/>
        </w:rPr>
        <w:t xml:space="preserve"> i </w:t>
      </w:r>
      <w:r w:rsidR="009954DB" w:rsidRPr="00BC1750">
        <w:rPr>
          <w:lang w:val="sr-Latn-ME"/>
        </w:rPr>
        <w:t xml:space="preserve">uz aktivnu </w:t>
      </w:r>
      <w:r w:rsidRPr="00BC1750">
        <w:rPr>
          <w:lang w:val="sr-Latn-ME"/>
        </w:rPr>
        <w:t>men</w:t>
      </w:r>
      <w:r w:rsidR="00B25643" w:rsidRPr="00BC1750">
        <w:rPr>
          <w:lang w:val="sr-Latn-ME"/>
        </w:rPr>
        <w:t>torsk</w:t>
      </w:r>
      <w:r w:rsidR="009954DB" w:rsidRPr="00BC1750">
        <w:rPr>
          <w:lang w:val="sr-Latn-ME"/>
        </w:rPr>
        <w:t>u</w:t>
      </w:r>
      <w:r w:rsidR="00B25643" w:rsidRPr="00BC1750">
        <w:rPr>
          <w:lang w:val="sr-Latn-ME"/>
        </w:rPr>
        <w:t xml:space="preserve"> podršk</w:t>
      </w:r>
      <w:r w:rsidR="009954DB" w:rsidRPr="00BC1750">
        <w:rPr>
          <w:lang w:val="sr-Latn-ME"/>
        </w:rPr>
        <w:t>u</w:t>
      </w:r>
      <w:r w:rsidR="00595736" w:rsidRPr="00BC1750">
        <w:rPr>
          <w:lang w:val="sr-Latn-ME"/>
        </w:rPr>
        <w:t xml:space="preserve">. </w:t>
      </w:r>
      <w:r w:rsidR="005F6170" w:rsidRPr="00BC1750">
        <w:rPr>
          <w:lang w:val="sr-Latn-ME"/>
        </w:rPr>
        <w:t>Pored toga, realizacija stručne prakse treba da bude snažno povezana sa novim konceptom centara izvrsnosti</w:t>
      </w:r>
      <w:r w:rsidR="006D0040">
        <w:rPr>
          <w:lang w:val="sr-Latn-ME"/>
        </w:rPr>
        <w:t>,</w:t>
      </w:r>
      <w:r w:rsidR="005F6170" w:rsidRPr="00BC1750">
        <w:rPr>
          <w:lang w:val="sr-Latn-ME"/>
        </w:rPr>
        <w:t xml:space="preserve"> i </w:t>
      </w:r>
      <w:r w:rsidR="006D0040">
        <w:rPr>
          <w:lang w:val="sr-Latn-ME"/>
        </w:rPr>
        <w:t xml:space="preserve">novim </w:t>
      </w:r>
      <w:r w:rsidR="00B501A8" w:rsidRPr="00BC1750">
        <w:rPr>
          <w:lang w:val="sr-Latn-ME"/>
        </w:rPr>
        <w:t xml:space="preserve">programom profesionalnog razvoja i </w:t>
      </w:r>
      <w:r w:rsidR="006D0040">
        <w:rPr>
          <w:lang w:val="sr-Latn-ME"/>
        </w:rPr>
        <w:t>osavremenjenim planom i programom</w:t>
      </w:r>
      <w:r w:rsidR="00B501A8" w:rsidRPr="00BC1750">
        <w:rPr>
          <w:lang w:val="sr-Latn-ME"/>
        </w:rPr>
        <w:t>.</w:t>
      </w:r>
    </w:p>
    <w:p w14:paraId="255DDAB1" w14:textId="702F1CDE" w:rsidR="009E2114" w:rsidRPr="00BC1750" w:rsidRDefault="009E2114" w:rsidP="009E2114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>Operativni cilj 2.</w:t>
      </w:r>
      <w:r w:rsidR="00B501A8" w:rsidRPr="00BC1750">
        <w:rPr>
          <w:rFonts w:cs="Times New Roman"/>
          <w:lang w:val="sr-Latn-ME"/>
        </w:rPr>
        <w:t>5</w:t>
      </w:r>
      <w:r w:rsidRPr="00BC1750">
        <w:rPr>
          <w:rFonts w:cs="Times New Roman"/>
          <w:lang w:val="sr-Latn-ME"/>
        </w:rPr>
        <w:t xml:space="preserve">: Unaprijediti postojeći sistem </w:t>
      </w:r>
      <w:r w:rsidR="00F23D87">
        <w:rPr>
          <w:lang w:val="sr-Latn-ME"/>
        </w:rPr>
        <w:t>obezbjeđivanja</w:t>
      </w:r>
      <w:r w:rsidRPr="00BC1750">
        <w:rPr>
          <w:rFonts w:cs="Times New Roman"/>
          <w:lang w:val="sr-Latn-ME"/>
        </w:rPr>
        <w:t xml:space="preserve"> kvaliteta</w:t>
      </w:r>
    </w:p>
    <w:p w14:paraId="18B56A89" w14:textId="70EF5C55" w:rsidR="006B5DC8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>Analiza postojećeg stanja je ukazala da je kvalitet usluga u oblasti PVO neujednačenog kvaliteta</w:t>
      </w:r>
      <w:r w:rsidR="0059437D" w:rsidRPr="00BC1750">
        <w:rPr>
          <w:lang w:val="sr-Latn-ME"/>
        </w:rPr>
        <w:t xml:space="preserve"> što je </w:t>
      </w:r>
      <w:r w:rsidRPr="00BC1750">
        <w:rPr>
          <w:lang w:val="sr-Latn-ME"/>
        </w:rPr>
        <w:t xml:space="preserve">dobrim djelom rezultat činjenice da različite PU funkcionišu u veoma različitim uslovima. </w:t>
      </w:r>
      <w:r w:rsidR="0059437D" w:rsidRPr="00BC1750">
        <w:rPr>
          <w:lang w:val="sr-Latn-ME"/>
        </w:rPr>
        <w:t>Ipak, o</w:t>
      </w:r>
      <w:r w:rsidRPr="00BC1750">
        <w:rPr>
          <w:lang w:val="sr-Latn-ME"/>
        </w:rPr>
        <w:t xml:space="preserve">vaj nalaz ukazuje na potrebu da se u narednom periodu radi na razvoju djelotvornog sistema za praćenje i </w:t>
      </w:r>
      <w:r w:rsidR="00F23D87">
        <w:rPr>
          <w:lang w:val="sr-Latn-ME"/>
        </w:rPr>
        <w:t>obezbjeđivanje</w:t>
      </w:r>
      <w:r w:rsidRPr="00BC1750">
        <w:rPr>
          <w:lang w:val="sr-Latn-ME"/>
        </w:rPr>
        <w:t xml:space="preserve"> kvaliteta u PVO</w:t>
      </w:r>
      <w:r w:rsidR="0059437D" w:rsidRPr="00BC1750">
        <w:rPr>
          <w:lang w:val="sr-Latn-ME"/>
        </w:rPr>
        <w:t xml:space="preserve"> koji će biti usklađen sa novim planom i programom </w:t>
      </w:r>
      <w:r w:rsidR="006D0040">
        <w:rPr>
          <w:lang w:val="sr-Latn-ME"/>
        </w:rPr>
        <w:t xml:space="preserve">PVO </w:t>
      </w:r>
      <w:r w:rsidRPr="00BC1750">
        <w:rPr>
          <w:lang w:val="sr-Latn-ME"/>
        </w:rPr>
        <w:t xml:space="preserve">i </w:t>
      </w:r>
      <w:r w:rsidR="0059437D" w:rsidRPr="00BC1750">
        <w:rPr>
          <w:lang w:val="sr-Latn-ME"/>
        </w:rPr>
        <w:t xml:space="preserve">inoviranim </w:t>
      </w:r>
      <w:r w:rsidRPr="00BC1750">
        <w:rPr>
          <w:lang w:val="sr-Latn-ME"/>
        </w:rPr>
        <w:t>sistem</w:t>
      </w:r>
      <w:r w:rsidR="0059437D" w:rsidRPr="00BC1750">
        <w:rPr>
          <w:lang w:val="sr-Latn-ME"/>
        </w:rPr>
        <w:t>om</w:t>
      </w:r>
      <w:r w:rsidRPr="00BC1750">
        <w:rPr>
          <w:lang w:val="sr-Latn-ME"/>
        </w:rPr>
        <w:t xml:space="preserve"> profesionalnog </w:t>
      </w:r>
      <w:r w:rsidR="0059437D" w:rsidRPr="00BC1750">
        <w:rPr>
          <w:lang w:val="sr-Latn-ME"/>
        </w:rPr>
        <w:t>razvoja</w:t>
      </w:r>
      <w:r w:rsidRPr="00BC1750">
        <w:rPr>
          <w:lang w:val="sr-Latn-ME"/>
        </w:rPr>
        <w:t xml:space="preserve">. </w:t>
      </w:r>
    </w:p>
    <w:p w14:paraId="51126070" w14:textId="77777777" w:rsidR="00566A90" w:rsidRDefault="00566A90" w:rsidP="009E2114">
      <w:pPr>
        <w:rPr>
          <w:lang w:val="sr-Latn-ME"/>
        </w:rPr>
      </w:pPr>
    </w:p>
    <w:p w14:paraId="1C9B6EB4" w14:textId="3BB0FC91" w:rsidR="009E2114" w:rsidRPr="00BC1750" w:rsidRDefault="00204739" w:rsidP="009E2114">
      <w:pPr>
        <w:rPr>
          <w:lang w:val="sr-Latn-ME"/>
        </w:rPr>
      </w:pPr>
      <w:r w:rsidRPr="00BC1750">
        <w:rPr>
          <w:lang w:val="sr-Latn-ME"/>
        </w:rPr>
        <w:t>N</w:t>
      </w:r>
      <w:r w:rsidR="009E2114" w:rsidRPr="00BC1750">
        <w:rPr>
          <w:lang w:val="sr-Latn-ME"/>
        </w:rPr>
        <w:t xml:space="preserve">ovi sistem </w:t>
      </w:r>
      <w:r w:rsidR="00DE64AC" w:rsidRPr="00BC1750">
        <w:rPr>
          <w:lang w:val="sr-Latn-ME"/>
        </w:rPr>
        <w:t>obezb</w:t>
      </w:r>
      <w:r w:rsidR="00566A90">
        <w:rPr>
          <w:lang w:val="sr-Latn-ME"/>
        </w:rPr>
        <w:t>j</w:t>
      </w:r>
      <w:r w:rsidR="00DE64AC" w:rsidRPr="00BC1750">
        <w:rPr>
          <w:lang w:val="sr-Latn-ME"/>
        </w:rPr>
        <w:t>eđivanj</w:t>
      </w:r>
      <w:r w:rsidR="009E2114" w:rsidRPr="00BC1750">
        <w:rPr>
          <w:lang w:val="sr-Latn-ME"/>
        </w:rPr>
        <w:t xml:space="preserve">a kvaliteta treba da (a) integriše postojeće mehanizme koji su uspostavljeni u prethodnom periodu (npr. MEIS, školski portal, pedagoški nadzor, sajmovi inovativnih praksi, </w:t>
      </w:r>
      <w:r w:rsidR="000E36CF" w:rsidRPr="00BC1750">
        <w:rPr>
          <w:lang w:val="sr-Latn-ME"/>
        </w:rPr>
        <w:t xml:space="preserve">aktivno </w:t>
      </w:r>
      <w:r w:rsidRPr="00BC1750">
        <w:rPr>
          <w:lang w:val="sr-Latn-ME"/>
        </w:rPr>
        <w:t xml:space="preserve">praktično vođenje, </w:t>
      </w:r>
      <w:r w:rsidR="009E2114" w:rsidRPr="00BC1750">
        <w:rPr>
          <w:lang w:val="sr-Latn-ME"/>
        </w:rPr>
        <w:t>istraživanja itd.) i razvije dodatne mehanizme (npr. centri izvrsnosti</w:t>
      </w:r>
      <w:r w:rsidR="00181946" w:rsidRPr="00BC1750">
        <w:rPr>
          <w:lang w:val="sr-Latn-ME"/>
        </w:rPr>
        <w:t xml:space="preserve">, </w:t>
      </w:r>
      <w:r w:rsidR="00B207CC" w:rsidRPr="00BC1750">
        <w:rPr>
          <w:lang w:val="sr-Latn-ME"/>
        </w:rPr>
        <w:t xml:space="preserve">vježbaonice, </w:t>
      </w:r>
      <w:r w:rsidR="00181946" w:rsidRPr="00BC1750">
        <w:rPr>
          <w:lang w:val="sr-Latn-ME"/>
        </w:rPr>
        <w:t>vaspitači mentori</w:t>
      </w:r>
      <w:r w:rsidR="00B207CC" w:rsidRPr="00BC1750">
        <w:rPr>
          <w:lang w:val="sr-Latn-ME"/>
        </w:rPr>
        <w:t>, aktivno praktično vođenje</w:t>
      </w:r>
      <w:r w:rsidR="009E2114" w:rsidRPr="00BC1750">
        <w:rPr>
          <w:lang w:val="sr-Latn-ME"/>
        </w:rPr>
        <w:t xml:space="preserve"> itd.) u jedinstven, koherentan, djelotvoran i efikasan sistem, </w:t>
      </w:r>
      <w:r w:rsidR="00F75757" w:rsidRPr="00BC1750">
        <w:rPr>
          <w:lang w:val="sr-Latn-ME"/>
        </w:rPr>
        <w:t xml:space="preserve">i </w:t>
      </w:r>
      <w:r w:rsidR="009E2114" w:rsidRPr="00BC1750">
        <w:rPr>
          <w:lang w:val="sr-Latn-ME"/>
        </w:rPr>
        <w:t>(b) obezb</w:t>
      </w:r>
      <w:r w:rsidR="00F23D87">
        <w:rPr>
          <w:lang w:val="sr-Latn-ME"/>
        </w:rPr>
        <w:t>ij</w:t>
      </w:r>
      <w:r w:rsidR="009E2114" w:rsidRPr="00BC1750">
        <w:rPr>
          <w:lang w:val="sr-Latn-ME"/>
        </w:rPr>
        <w:t>edi redovno praćenje kvaliteta na nivou c</w:t>
      </w:r>
      <w:r w:rsidR="00AE623F" w:rsidRPr="00BC1750">
        <w:rPr>
          <w:lang w:val="sr-Latn-ME"/>
        </w:rPr>
        <w:t>i</w:t>
      </w:r>
      <w:r w:rsidR="009E2114" w:rsidRPr="00BC1750">
        <w:rPr>
          <w:lang w:val="sr-Latn-ME"/>
        </w:rPr>
        <w:t xml:space="preserve">jelog sistema PVO i na nivou pojedinačnih PU i da prije svega bude usmjeren ka </w:t>
      </w:r>
      <w:r w:rsidR="00B207CC" w:rsidRPr="00BC1750">
        <w:rPr>
          <w:lang w:val="sr-Latn-ME"/>
        </w:rPr>
        <w:t xml:space="preserve">savjetodavnom radu i </w:t>
      </w:r>
      <w:r w:rsidR="009E2114" w:rsidRPr="00BC1750">
        <w:rPr>
          <w:lang w:val="sr-Latn-ME"/>
        </w:rPr>
        <w:t>unaprjeđivanju kvaliteta, a ne</w:t>
      </w:r>
      <w:r w:rsidR="00B207CC" w:rsidRPr="00BC1750">
        <w:rPr>
          <w:lang w:val="sr-Latn-ME"/>
        </w:rPr>
        <w:t xml:space="preserve"> ka</w:t>
      </w:r>
      <w:r w:rsidR="009E2114" w:rsidRPr="00BC1750">
        <w:rPr>
          <w:lang w:val="sr-Latn-ME"/>
        </w:rPr>
        <w:t xml:space="preserve"> administrativnoj kontroli </w:t>
      </w:r>
      <w:r w:rsidR="00B207CC" w:rsidRPr="00BC1750">
        <w:rPr>
          <w:lang w:val="sr-Latn-ME"/>
        </w:rPr>
        <w:t>i u tom smislu je posebno važno osavremeniti postojeći sistem pedagoškog nadzora</w:t>
      </w:r>
      <w:r w:rsidR="00F75757" w:rsidRPr="00BC1750">
        <w:rPr>
          <w:lang w:val="sr-Latn-ME"/>
        </w:rPr>
        <w:t>.</w:t>
      </w:r>
    </w:p>
    <w:p w14:paraId="0223CD9D" w14:textId="4C757D7A" w:rsidR="009E2114" w:rsidRPr="00BC1750" w:rsidRDefault="009E2114" w:rsidP="009E2114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>Operativni cilj 2.</w:t>
      </w:r>
      <w:r w:rsidR="00B501A8" w:rsidRPr="00BC1750">
        <w:rPr>
          <w:rFonts w:cs="Times New Roman"/>
          <w:lang w:val="sr-Latn-ME"/>
        </w:rPr>
        <w:t>6</w:t>
      </w:r>
      <w:r w:rsidRPr="00BC1750">
        <w:rPr>
          <w:rFonts w:cs="Times New Roman"/>
          <w:lang w:val="sr-Latn-ME"/>
        </w:rPr>
        <w:t>: Jačanje podrške roditeljima i porodicama</w:t>
      </w:r>
    </w:p>
    <w:p w14:paraId="69546380" w14:textId="31551523" w:rsidR="009E2114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 xml:space="preserve">Analiza postojećeg stanja je ukazala da postoji potreba da se ojača važna funkcija PVO koja se odnosi na pružanje podrške roditeljima u </w:t>
      </w:r>
      <w:r w:rsidR="00F23D87">
        <w:rPr>
          <w:lang w:val="sr-Latn-ME"/>
        </w:rPr>
        <w:t>obezbjeđivanju</w:t>
      </w:r>
      <w:r w:rsidRPr="00BC1750">
        <w:rPr>
          <w:lang w:val="sr-Latn-ME"/>
        </w:rPr>
        <w:t xml:space="preserve"> razvojno podsticajnog okruženja u porodici. </w:t>
      </w:r>
    </w:p>
    <w:p w14:paraId="657A197D" w14:textId="533AE04E" w:rsidR="009E2114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>Iz tog razloga postoji potreba da se u sadašnjoj praksi rada PU ojača saradnja sa roditeljima</w:t>
      </w:r>
      <w:r w:rsidR="00050BB5" w:rsidRPr="00BC1750">
        <w:rPr>
          <w:lang w:val="sr-Latn-ME"/>
        </w:rPr>
        <w:t xml:space="preserve"> sa posebnim naglaskom na </w:t>
      </w:r>
      <w:r w:rsidRPr="00BC1750">
        <w:rPr>
          <w:lang w:val="sr-Latn-ME"/>
        </w:rPr>
        <w:t xml:space="preserve">pružanje podrške roditeljima u </w:t>
      </w:r>
      <w:r w:rsidR="00F23D87">
        <w:rPr>
          <w:lang w:val="sr-Latn-ME"/>
        </w:rPr>
        <w:t>obezbjeđivanju</w:t>
      </w:r>
      <w:r w:rsidRPr="00BC1750">
        <w:rPr>
          <w:lang w:val="sr-Latn-ME"/>
        </w:rPr>
        <w:t xml:space="preserve"> razvojno adekvatnog </w:t>
      </w:r>
      <w:r w:rsidRPr="00BC1750">
        <w:rPr>
          <w:lang w:val="sr-Latn-ME"/>
        </w:rPr>
        <w:lastRenderedPageBreak/>
        <w:t>okruženja za rani razvoj u okviru porodice</w:t>
      </w:r>
      <w:r w:rsidR="00AE623F" w:rsidRPr="00BC1750">
        <w:rPr>
          <w:rStyle w:val="FootnoteReference"/>
          <w:lang w:val="sr-Latn-ME"/>
        </w:rPr>
        <w:footnoteReference w:id="20"/>
      </w:r>
      <w:r w:rsidRPr="00BC1750">
        <w:rPr>
          <w:lang w:val="sr-Latn-ME"/>
        </w:rPr>
        <w:t xml:space="preserve">. Ovaj cilj je važan kako u slučaju roditelja čija su djeca uključena u rad PU, ali isto tako i u slučaju roditelja čija djeca nisu uključena u PVO. </w:t>
      </w:r>
      <w:r w:rsidR="002A3069" w:rsidRPr="00BC1750">
        <w:rPr>
          <w:lang w:val="sr-Latn-ME"/>
        </w:rPr>
        <w:t>Zbog toga je potrebno uraditi kompilacijski program koji bi imao najširu moguću upotrebu, bio fleksibilan i jednostavan za prilagođavanje u konkretnom ambijentu ili pojedinim ciljnim grupama.</w:t>
      </w:r>
    </w:p>
    <w:p w14:paraId="3260F0AD" w14:textId="77777777" w:rsidR="00566A90" w:rsidRDefault="00566A90" w:rsidP="00F2406C">
      <w:pPr>
        <w:rPr>
          <w:lang w:val="sr-Latn-ME"/>
        </w:rPr>
      </w:pPr>
    </w:p>
    <w:p w14:paraId="334AFF3C" w14:textId="671EF08D" w:rsidR="003F19F8" w:rsidRPr="00BC1750" w:rsidRDefault="009E2114" w:rsidP="00F2406C">
      <w:pPr>
        <w:rPr>
          <w:lang w:val="sr-Latn-ME"/>
        </w:rPr>
      </w:pPr>
      <w:r w:rsidRPr="00BC1750">
        <w:rPr>
          <w:lang w:val="sr-Latn-ME"/>
        </w:rPr>
        <w:t xml:space="preserve">Imajući u vidu da </w:t>
      </w:r>
      <w:r w:rsidR="00F2406C" w:rsidRPr="00BC1750">
        <w:rPr>
          <w:lang w:val="sr-Latn-ME"/>
        </w:rPr>
        <w:t xml:space="preserve">jedan broj djece nije uključen u PVO (što je posebno slučaj sa djecom </w:t>
      </w:r>
      <w:r w:rsidRPr="00BC1750">
        <w:rPr>
          <w:lang w:val="sr-Latn-ME"/>
        </w:rPr>
        <w:t>jaslenog uzrasta</w:t>
      </w:r>
      <w:r w:rsidR="00F2406C" w:rsidRPr="00BC1750">
        <w:rPr>
          <w:lang w:val="sr-Latn-ME"/>
        </w:rPr>
        <w:t>)</w:t>
      </w:r>
      <w:r w:rsidRPr="00BC1750">
        <w:rPr>
          <w:lang w:val="sr-Latn-ME"/>
        </w:rPr>
        <w:t xml:space="preserve"> bilo bi od posebne važnosti da se razvije program za pružanja podrške roditeljima djece </w:t>
      </w:r>
      <w:r w:rsidR="00F2406C" w:rsidRPr="00BC1750">
        <w:rPr>
          <w:lang w:val="sr-Latn-ME"/>
        </w:rPr>
        <w:t>koja nisu uključeni u PVO</w:t>
      </w:r>
      <w:r w:rsidRPr="00BC1750">
        <w:rPr>
          <w:lang w:val="sr-Latn-ME"/>
        </w:rPr>
        <w:t>.</w:t>
      </w:r>
      <w:r w:rsidR="00F2406C" w:rsidRPr="00BC1750">
        <w:rPr>
          <w:lang w:val="sr-Latn-ME"/>
        </w:rPr>
        <w:t xml:space="preserve"> Jedan od način da se pruži podrška roditeljima čija djeca nisu uključena u PVO</w:t>
      </w:r>
      <w:r w:rsidRPr="00BC1750">
        <w:rPr>
          <w:lang w:val="sr-Latn-ME"/>
        </w:rPr>
        <w:t xml:space="preserve"> </w:t>
      </w:r>
      <w:r w:rsidR="00F2406C" w:rsidRPr="00BC1750">
        <w:rPr>
          <w:lang w:val="sr-Latn-ME"/>
        </w:rPr>
        <w:t xml:space="preserve">mogu biti kratki programi koje bi realizovale PU, kao i </w:t>
      </w:r>
      <w:r w:rsidRPr="00BC1750">
        <w:rPr>
          <w:lang w:val="sr-Latn-ME"/>
        </w:rPr>
        <w:t>kreiranje i produkcij</w:t>
      </w:r>
      <w:r w:rsidR="00F2406C" w:rsidRPr="00BC1750">
        <w:rPr>
          <w:lang w:val="sr-Latn-ME"/>
        </w:rPr>
        <w:t>a</w:t>
      </w:r>
      <w:r w:rsidRPr="00BC1750">
        <w:rPr>
          <w:lang w:val="sr-Latn-ME"/>
        </w:rPr>
        <w:t xml:space="preserve"> medijskih sadržaja za roditelje i djecu</w:t>
      </w:r>
      <w:r w:rsidR="00F2406C" w:rsidRPr="00BC1750">
        <w:rPr>
          <w:lang w:val="sr-Latn-ME"/>
        </w:rPr>
        <w:t xml:space="preserve">. Osnovni cilj kratkih programa za roditelje i medijskih sadržaja je da </w:t>
      </w:r>
      <w:r w:rsidRPr="00BC1750">
        <w:rPr>
          <w:lang w:val="sr-Latn-ME"/>
        </w:rPr>
        <w:t>po</w:t>
      </w:r>
      <w:r w:rsidR="00F2406C" w:rsidRPr="00BC1750">
        <w:rPr>
          <w:lang w:val="sr-Latn-ME"/>
        </w:rPr>
        <w:t>dignu kapacitete roditelja da obezb</w:t>
      </w:r>
      <w:r w:rsidR="00F23D87">
        <w:rPr>
          <w:lang w:val="sr-Latn-ME"/>
        </w:rPr>
        <w:t>ij</w:t>
      </w:r>
      <w:r w:rsidR="00F2406C" w:rsidRPr="00BC1750">
        <w:rPr>
          <w:lang w:val="sr-Latn-ME"/>
        </w:rPr>
        <w:t>ede podsticajnije uslove za rani razvoj svoje djece u okviru porodičnog okruženja</w:t>
      </w:r>
      <w:r w:rsidRPr="00BC1750">
        <w:rPr>
          <w:lang w:val="sr-Latn-ME"/>
        </w:rPr>
        <w:t xml:space="preserve">. </w:t>
      </w:r>
    </w:p>
    <w:p w14:paraId="4BFDDA4A" w14:textId="77777777" w:rsidR="00566A90" w:rsidRDefault="00566A90" w:rsidP="00F2406C">
      <w:pPr>
        <w:rPr>
          <w:lang w:val="sr-Latn-ME"/>
        </w:rPr>
      </w:pPr>
    </w:p>
    <w:p w14:paraId="35D1072A" w14:textId="3F6C6C47" w:rsidR="00D85DDD" w:rsidRPr="00BC1750" w:rsidRDefault="00721817" w:rsidP="00F2406C">
      <w:pPr>
        <w:rPr>
          <w:lang w:val="sr-Latn-ME"/>
        </w:rPr>
      </w:pPr>
      <w:r w:rsidRPr="00BC1750">
        <w:rPr>
          <w:lang w:val="sr-Latn-ME"/>
        </w:rPr>
        <w:t>U planiranju te aktivnosti treba koristiti iskustvo koj</w:t>
      </w:r>
      <w:r w:rsidR="00B46C5E" w:rsidRPr="00BC1750">
        <w:rPr>
          <w:lang w:val="sr-Latn-ME"/>
        </w:rPr>
        <w:t>e</w:t>
      </w:r>
      <w:r w:rsidRPr="00BC1750">
        <w:rPr>
          <w:lang w:val="sr-Latn-ME"/>
        </w:rPr>
        <w:t xml:space="preserve"> je stečeno tokom COVID-19 epidemije</w:t>
      </w:r>
      <w:r w:rsidR="003F19F8" w:rsidRPr="00BC1750">
        <w:rPr>
          <w:lang w:val="sr-Latn-ME"/>
        </w:rPr>
        <w:t>, produkciju, mehanizme</w:t>
      </w:r>
      <w:r w:rsidR="00B46C5E" w:rsidRPr="00BC1750">
        <w:rPr>
          <w:lang w:val="sr-Latn-ME"/>
        </w:rPr>
        <w:t xml:space="preserve"> i sadržaje koji su razvijeni u tom periodu</w:t>
      </w:r>
      <w:r w:rsidRPr="00BC1750">
        <w:rPr>
          <w:lang w:val="sr-Latn-ME"/>
        </w:rPr>
        <w:t xml:space="preserve">. </w:t>
      </w:r>
      <w:r w:rsidR="003F19F8" w:rsidRPr="00BC1750">
        <w:rPr>
          <w:lang w:val="sr-Latn-ME"/>
        </w:rPr>
        <w:t xml:space="preserve">Oni su korisni i veoma upotrebljivi za svakodnevan rad, kao podrška u radu interaktivnih službi, za promociju, rad u zajednici, u bolničkim uslovima: nastali materijal, procedure, tehnike rada. </w:t>
      </w:r>
      <w:r w:rsidR="009E2114" w:rsidRPr="00BC1750">
        <w:rPr>
          <w:lang w:val="sr-Latn-ME"/>
        </w:rPr>
        <w:t xml:space="preserve">Pored toga, ovi sadržaji treba da budu okosnica kontinuirane saradnje sa javnim medijskim servisom u Crnoj Gori kako bi se oni učinili dostupnim svima, posebno porodicama čija djeca nisu uključena u PVO. </w:t>
      </w:r>
    </w:p>
    <w:p w14:paraId="64AC209F" w14:textId="77777777" w:rsidR="00566A90" w:rsidRDefault="00566A90" w:rsidP="009E2114">
      <w:pPr>
        <w:rPr>
          <w:lang w:val="sr-Latn-ME"/>
        </w:rPr>
      </w:pPr>
    </w:p>
    <w:p w14:paraId="1F089F07" w14:textId="5A673C85" w:rsidR="009E2114" w:rsidRPr="00BC1750" w:rsidRDefault="00D85DDD" w:rsidP="009E2114">
      <w:pPr>
        <w:rPr>
          <w:lang w:val="sr-Latn-ME"/>
        </w:rPr>
      </w:pPr>
      <w:r w:rsidRPr="00BC1750">
        <w:rPr>
          <w:lang w:val="sr-Latn-ME"/>
        </w:rPr>
        <w:t>Program rada sa roditeljima treba da bud</w:t>
      </w:r>
      <w:r w:rsidR="00F2406C" w:rsidRPr="00BC1750">
        <w:rPr>
          <w:lang w:val="sr-Latn-ME"/>
        </w:rPr>
        <w:t>u</w:t>
      </w:r>
      <w:r w:rsidRPr="00BC1750">
        <w:rPr>
          <w:lang w:val="sr-Latn-ME"/>
        </w:rPr>
        <w:t xml:space="preserve"> razvijen</w:t>
      </w:r>
      <w:r w:rsidR="00F2406C" w:rsidRPr="00BC1750">
        <w:rPr>
          <w:lang w:val="sr-Latn-ME"/>
        </w:rPr>
        <w:t>i</w:t>
      </w:r>
      <w:r w:rsidRPr="00BC1750">
        <w:rPr>
          <w:lang w:val="sr-Latn-ME"/>
        </w:rPr>
        <w:t xml:space="preserve"> u saradnji sa praktičarima i </w:t>
      </w:r>
      <w:r w:rsidR="003F19F8" w:rsidRPr="00BC1750">
        <w:rPr>
          <w:lang w:val="sr-Latn-ME"/>
        </w:rPr>
        <w:t>civilnim sektorom</w:t>
      </w:r>
      <w:r w:rsidRPr="00BC1750">
        <w:rPr>
          <w:lang w:val="sr-Latn-ME"/>
        </w:rPr>
        <w:t xml:space="preserve"> kako bi bi</w:t>
      </w:r>
      <w:r w:rsidR="00645EF7" w:rsidRPr="00BC1750">
        <w:rPr>
          <w:lang w:val="sr-Latn-ME"/>
        </w:rPr>
        <w:t>o</w:t>
      </w:r>
      <w:r w:rsidRPr="00BC1750">
        <w:rPr>
          <w:lang w:val="sr-Latn-ME"/>
        </w:rPr>
        <w:t xml:space="preserve"> realistič</w:t>
      </w:r>
      <w:r w:rsidR="00645EF7" w:rsidRPr="00BC1750">
        <w:rPr>
          <w:lang w:val="sr-Latn-ME"/>
        </w:rPr>
        <w:t>a</w:t>
      </w:r>
      <w:r w:rsidRPr="00BC1750">
        <w:rPr>
          <w:lang w:val="sr-Latn-ME"/>
        </w:rPr>
        <w:t>n i kako bi odgovori</w:t>
      </w:r>
      <w:r w:rsidR="00645EF7" w:rsidRPr="00BC1750">
        <w:rPr>
          <w:lang w:val="sr-Latn-ME"/>
        </w:rPr>
        <w:t>o</w:t>
      </w:r>
      <w:r w:rsidRPr="00BC1750">
        <w:rPr>
          <w:lang w:val="sr-Latn-ME"/>
        </w:rPr>
        <w:t xml:space="preserve"> na potrebe roditelja. Nakon razvoja programa treba ga pilotirati kako bi bio finalizovan na osnovu nalaza iz pilot studije. Ovaj program treba da se razvija i pilotira zajedno sa novim </w:t>
      </w:r>
      <w:r w:rsidR="00D31D81" w:rsidRPr="00BC1750">
        <w:rPr>
          <w:lang w:val="sr-Latn-ME"/>
        </w:rPr>
        <w:t>planom i programom</w:t>
      </w:r>
      <w:r w:rsidR="00F2406C" w:rsidRPr="00BC1750">
        <w:rPr>
          <w:lang w:val="sr-Latn-ME"/>
        </w:rPr>
        <w:t xml:space="preserve"> </w:t>
      </w:r>
      <w:r w:rsidR="006D0040">
        <w:rPr>
          <w:lang w:val="sr-Latn-ME"/>
        </w:rPr>
        <w:t xml:space="preserve">PVO </w:t>
      </w:r>
      <w:r w:rsidR="00F2406C" w:rsidRPr="00BC1750">
        <w:rPr>
          <w:lang w:val="sr-Latn-ME"/>
        </w:rPr>
        <w:t>pošto bi trebalo da bude usklađen sa njim</w:t>
      </w:r>
      <w:r w:rsidRPr="00BC1750">
        <w:rPr>
          <w:lang w:val="sr-Latn-ME"/>
        </w:rPr>
        <w:t>.</w:t>
      </w:r>
    </w:p>
    <w:p w14:paraId="3A6C6880" w14:textId="77777777" w:rsidR="00566A90" w:rsidRDefault="00566A90" w:rsidP="00645EF7">
      <w:pPr>
        <w:rPr>
          <w:lang w:val="sr-Latn-ME"/>
        </w:rPr>
      </w:pPr>
    </w:p>
    <w:p w14:paraId="6273623B" w14:textId="02353F8B" w:rsidR="007E3A64" w:rsidRPr="00BC1750" w:rsidRDefault="00645EF7" w:rsidP="00645EF7">
      <w:pPr>
        <w:rPr>
          <w:lang w:val="sr-Latn-ME"/>
        </w:rPr>
      </w:pPr>
      <w:r w:rsidRPr="00BC1750">
        <w:rPr>
          <w:lang w:val="sr-Latn-ME"/>
        </w:rPr>
        <w:t>U saradnji sa MRSS programi rada sa roditeljima treba da budu prilagođeni i prim</w:t>
      </w:r>
      <w:r w:rsidR="003F19F8" w:rsidRPr="00BC1750">
        <w:rPr>
          <w:lang w:val="sr-Latn-ME"/>
        </w:rPr>
        <w:t>ij</w:t>
      </w:r>
      <w:r w:rsidRPr="00BC1750">
        <w:rPr>
          <w:lang w:val="sr-Latn-ME"/>
        </w:rPr>
        <w:t>enjeni za hranitelje i djecu koja žive u hraniteljskim porodicama</w:t>
      </w:r>
      <w:r w:rsidR="002A3069" w:rsidRPr="00BC1750">
        <w:rPr>
          <w:lang w:val="sr-Latn-ME"/>
        </w:rPr>
        <w:t>, kao i porodicama koje su obuhvaćene uslugom „Porodični saradnik“</w:t>
      </w:r>
      <w:r w:rsidRPr="00BC1750">
        <w:rPr>
          <w:lang w:val="sr-Latn-ME"/>
        </w:rPr>
        <w:t xml:space="preserve">. </w:t>
      </w:r>
    </w:p>
    <w:p w14:paraId="040D55B9" w14:textId="285C33BD" w:rsidR="00A35036" w:rsidRPr="00BC1750" w:rsidRDefault="00A35036" w:rsidP="00A35036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>Operativni cilj 2.</w:t>
      </w:r>
      <w:r w:rsidR="008A7296" w:rsidRPr="00BC1750">
        <w:rPr>
          <w:rFonts w:cs="Times New Roman"/>
          <w:lang w:val="sr-Latn-ME"/>
        </w:rPr>
        <w:t>7</w:t>
      </w:r>
      <w:r w:rsidRPr="00BC1750">
        <w:rPr>
          <w:rFonts w:cs="Times New Roman"/>
          <w:lang w:val="sr-Latn-ME"/>
        </w:rPr>
        <w:t xml:space="preserve">: </w:t>
      </w:r>
      <w:r w:rsidR="00ED76DB" w:rsidRPr="00BC1750">
        <w:rPr>
          <w:rFonts w:cs="Times New Roman"/>
          <w:lang w:val="sr-Latn-ME"/>
        </w:rPr>
        <w:t>Revizija r</w:t>
      </w:r>
      <w:r w:rsidR="0071472D" w:rsidRPr="00BC1750">
        <w:rPr>
          <w:rFonts w:cs="Times New Roman"/>
          <w:lang w:val="sr-Latn-ME"/>
        </w:rPr>
        <w:t>ežima</w:t>
      </w:r>
      <w:r w:rsidR="00ED76DB" w:rsidRPr="00BC1750">
        <w:rPr>
          <w:rFonts w:cs="Times New Roman"/>
          <w:lang w:val="sr-Latn-ME"/>
        </w:rPr>
        <w:t xml:space="preserve"> rada i </w:t>
      </w:r>
      <w:r w:rsidR="0071472D" w:rsidRPr="00BC1750">
        <w:rPr>
          <w:rFonts w:cs="Times New Roman"/>
          <w:lang w:val="sr-Latn-ME"/>
        </w:rPr>
        <w:t>u</w:t>
      </w:r>
      <w:r w:rsidRPr="00BC1750">
        <w:rPr>
          <w:rFonts w:cs="Times New Roman"/>
          <w:lang w:val="sr-Latn-ME"/>
        </w:rPr>
        <w:t>napređenje kvaliteta ishrane u predškolskim ustanovama</w:t>
      </w:r>
    </w:p>
    <w:p w14:paraId="1BB81801" w14:textId="0FD6229E" w:rsidR="0071472D" w:rsidRPr="00BC1750" w:rsidRDefault="0071472D" w:rsidP="009E2114">
      <w:pPr>
        <w:rPr>
          <w:lang w:val="sr-Latn-ME"/>
        </w:rPr>
      </w:pPr>
      <w:r w:rsidRPr="00BC1750">
        <w:rPr>
          <w:lang w:val="sr-Latn-ME"/>
        </w:rPr>
        <w:t xml:space="preserve">U </w:t>
      </w:r>
      <w:r w:rsidR="00503F35" w:rsidRPr="00BC1750">
        <w:rPr>
          <w:lang w:val="sr-Latn-ME"/>
        </w:rPr>
        <w:t>p</w:t>
      </w:r>
      <w:r w:rsidRPr="00BC1750">
        <w:rPr>
          <w:lang w:val="sr-Latn-ME"/>
        </w:rPr>
        <w:t>rethodnom periodu pokrenuta je inicijativa koja treba da obezb</w:t>
      </w:r>
      <w:r w:rsidR="00F23D87">
        <w:rPr>
          <w:lang w:val="sr-Latn-ME"/>
        </w:rPr>
        <w:t>ij</w:t>
      </w:r>
      <w:r w:rsidRPr="00BC1750">
        <w:rPr>
          <w:lang w:val="sr-Latn-ME"/>
        </w:rPr>
        <w:t>edi prilagođavanje r</w:t>
      </w:r>
      <w:r w:rsidR="00503F35" w:rsidRPr="00BC1750">
        <w:rPr>
          <w:lang w:val="sr-Latn-ME"/>
        </w:rPr>
        <w:t xml:space="preserve">ežima rada u PU posebno kada su u pitanju djeca </w:t>
      </w:r>
      <w:r w:rsidR="00470F0A" w:rsidRPr="00BC1750">
        <w:rPr>
          <w:lang w:val="sr-Latn-ME"/>
        </w:rPr>
        <w:t>koja će naredne godine prijeći u osnovno obrazovanje. To podrazumijeva fleksibilniji ritam rada za najstariju grupu djece posebno kada je u pitanju obavezno spavanje</w:t>
      </w:r>
      <w:r w:rsidRPr="00BC1750">
        <w:rPr>
          <w:lang w:val="sr-Latn-ME"/>
        </w:rPr>
        <w:t xml:space="preserve"> </w:t>
      </w:r>
      <w:r w:rsidR="00470F0A" w:rsidRPr="00BC1750">
        <w:rPr>
          <w:lang w:val="sr-Latn-ME"/>
        </w:rPr>
        <w:t xml:space="preserve">kako bi se </w:t>
      </w:r>
      <w:r w:rsidR="00C43173" w:rsidRPr="00BC1750">
        <w:rPr>
          <w:lang w:val="sr-Latn-ME"/>
        </w:rPr>
        <w:t xml:space="preserve">blagovremeno </w:t>
      </w:r>
      <w:r w:rsidR="00470F0A" w:rsidRPr="00BC1750">
        <w:rPr>
          <w:lang w:val="sr-Latn-ME"/>
        </w:rPr>
        <w:t xml:space="preserve">pripremili za drugačiji dnevni ritam koji će imati u okviru osnovnog obrazovanja. Uvođenje novog režima rada treba da budu realizovan </w:t>
      </w:r>
      <w:r w:rsidR="00EE047D" w:rsidRPr="00BC1750">
        <w:rPr>
          <w:lang w:val="sr-Latn-ME"/>
        </w:rPr>
        <w:t xml:space="preserve">tako </w:t>
      </w:r>
      <w:r w:rsidR="00EE047D" w:rsidRPr="00BC1750">
        <w:rPr>
          <w:lang w:val="sr-Latn-ME"/>
        </w:rPr>
        <w:lastRenderedPageBreak/>
        <w:t xml:space="preserve">da se prate potrebe djece i </w:t>
      </w:r>
      <w:r w:rsidR="00470F0A" w:rsidRPr="00BC1750">
        <w:rPr>
          <w:lang w:val="sr-Latn-ME"/>
        </w:rPr>
        <w:t>u saradnji sa roditeljima</w:t>
      </w:r>
      <w:r w:rsidR="00EE047D" w:rsidRPr="00BC1750">
        <w:rPr>
          <w:lang w:val="sr-Latn-ME"/>
        </w:rPr>
        <w:t>. Pored toga, uvođenje novog režima rada</w:t>
      </w:r>
      <w:r w:rsidR="00470F0A" w:rsidRPr="00BC1750">
        <w:rPr>
          <w:lang w:val="sr-Latn-ME"/>
        </w:rPr>
        <w:t xml:space="preserve"> treba da bude usklađen </w:t>
      </w:r>
      <w:r w:rsidR="00EE047D" w:rsidRPr="00BC1750">
        <w:rPr>
          <w:lang w:val="sr-Latn-ME"/>
        </w:rPr>
        <w:t xml:space="preserve">i </w:t>
      </w:r>
      <w:r w:rsidR="00470F0A" w:rsidRPr="00BC1750">
        <w:rPr>
          <w:lang w:val="sr-Latn-ME"/>
        </w:rPr>
        <w:t xml:space="preserve">sa uslovima u kojima vrtići rade (npr. prostorne mogućnosti). </w:t>
      </w:r>
    </w:p>
    <w:p w14:paraId="6BF1D030" w14:textId="77777777" w:rsidR="00566A90" w:rsidRDefault="00566A90" w:rsidP="009E2114">
      <w:pPr>
        <w:rPr>
          <w:lang w:val="sr-Latn-ME"/>
        </w:rPr>
      </w:pPr>
    </w:p>
    <w:p w14:paraId="69A61445" w14:textId="7A15E636" w:rsidR="00DF20A6" w:rsidRPr="00BC1750" w:rsidRDefault="00470F0A" w:rsidP="009E2114">
      <w:pPr>
        <w:rPr>
          <w:lang w:val="sr-Latn-ME"/>
        </w:rPr>
      </w:pPr>
      <w:r w:rsidRPr="00BC1750">
        <w:rPr>
          <w:lang w:val="sr-Latn-ME"/>
        </w:rPr>
        <w:t xml:space="preserve">Pored izmjene režima rada za najstariju djecu važno je da se unaprijedi i kvalitet ishrane u PU. </w:t>
      </w:r>
      <w:r w:rsidR="00DF20A6" w:rsidRPr="00BC1750">
        <w:rPr>
          <w:lang w:val="sr-Latn-ME"/>
        </w:rPr>
        <w:t>Analiza jelovnika u predškolskim ustanovama koju je sproveo Institut za javno zdravlje Crne Gore ukazuje na neophodnost unapređenja kvaliteta ishrane u vrtićima kako bi se smanjile stope gojaznosti i prekomjerne tjelesne težine kod dječaka i djevojčica. Ovo je od posebne važnosti za djecu iz osjetljivih grupa, kojima ishrana u vrtićima može biti ključni izvor kvalitetne ishrane za pravilan rast i razvoj kako bi se smanjile stope zaostajanja u razvoju i rastu koje su izražene kod romske i egipćanske populacije (</w:t>
      </w:r>
      <w:r w:rsidR="00DF20A6" w:rsidRPr="00BC1750">
        <w:rPr>
          <w:rFonts w:cstheme="minorHAnsi"/>
          <w:lang w:val="sr-Latn-ME"/>
        </w:rPr>
        <w:t>21% romske djece ispod 5 godina starosti zaostaje u rastu, prema MICS 2018</w:t>
      </w:r>
      <w:r w:rsidR="00DF20A6" w:rsidRPr="00BC1750">
        <w:rPr>
          <w:lang w:val="sr-Latn-ME"/>
        </w:rPr>
        <w:t xml:space="preserve">). Pored toga, pomenuta analiza je bila osnova i za izradu </w:t>
      </w:r>
      <w:r w:rsidR="001E531B" w:rsidRPr="00BC1750">
        <w:rPr>
          <w:lang w:val="sr-Latn-ME"/>
        </w:rPr>
        <w:t>smjernica za unapređenje kvaliteta ishrane u predškolskim ustanovama</w:t>
      </w:r>
      <w:r w:rsidR="00DF20A6" w:rsidRPr="00BC1750">
        <w:rPr>
          <w:lang w:val="sr-Latn-ME"/>
        </w:rPr>
        <w:t xml:space="preserve">. </w:t>
      </w:r>
    </w:p>
    <w:p w14:paraId="36CCAB89" w14:textId="77777777" w:rsidR="00566A90" w:rsidRDefault="00566A90" w:rsidP="00E02C28">
      <w:pPr>
        <w:rPr>
          <w:lang w:val="sr-Latn-ME"/>
        </w:rPr>
      </w:pPr>
    </w:p>
    <w:p w14:paraId="3EE4F465" w14:textId="723F7FDC" w:rsidR="00ED76DB" w:rsidRPr="00BC1750" w:rsidRDefault="00DF20A6" w:rsidP="00E02C28">
      <w:pPr>
        <w:rPr>
          <w:lang w:val="sr-Latn-ME"/>
        </w:rPr>
      </w:pPr>
      <w:r w:rsidRPr="00BC1750">
        <w:rPr>
          <w:lang w:val="sr-Latn-ME"/>
        </w:rPr>
        <w:t xml:space="preserve">Iz tih razloga </w:t>
      </w:r>
      <w:r w:rsidR="001E531B" w:rsidRPr="00BC1750">
        <w:rPr>
          <w:lang w:val="sr-Latn-ME"/>
        </w:rPr>
        <w:t xml:space="preserve">u narednom periodu </w:t>
      </w:r>
      <w:r w:rsidRPr="00BC1750">
        <w:rPr>
          <w:lang w:val="sr-Latn-ME"/>
        </w:rPr>
        <w:t xml:space="preserve">ove smjernice </w:t>
      </w:r>
      <w:r w:rsidR="001E531B" w:rsidRPr="00BC1750">
        <w:rPr>
          <w:lang w:val="sr-Latn-ME"/>
        </w:rPr>
        <w:t xml:space="preserve">treba </w:t>
      </w:r>
      <w:r w:rsidRPr="00BC1750">
        <w:rPr>
          <w:lang w:val="sr-Latn-ME"/>
        </w:rPr>
        <w:t xml:space="preserve">postupno </w:t>
      </w:r>
      <w:r w:rsidR="001E531B" w:rsidRPr="00BC1750">
        <w:rPr>
          <w:lang w:val="sr-Latn-ME"/>
        </w:rPr>
        <w:t>primijeniti u svim predškolskim ustanovama</w:t>
      </w:r>
      <w:r w:rsidR="009347D2" w:rsidRPr="00BC1750">
        <w:rPr>
          <w:lang w:val="sr-Latn-ME"/>
        </w:rPr>
        <w:t xml:space="preserve">. U tom cilju PU bi trebalo da analiziraju postojeće prakse i jelovnik i njegovu usklađenost sa smjernicama i da definišu mjere za njihovo usklađivanje sa smjernicama. U cilju pružanja podrške PU u usklađivanju praksi i jelovnika sa smjernicama treba razviti </w:t>
      </w:r>
      <w:r w:rsidR="009347D2" w:rsidRPr="00BC1750">
        <w:rPr>
          <w:szCs w:val="24"/>
          <w:lang w:val="sr-Latn-ME"/>
        </w:rPr>
        <w:t>Program za planiranje obroka i izradu jelovnika u čiju izradu i sprovođenje bi bio uključen i Institut za javno zdravlje Crne Gore.</w:t>
      </w:r>
      <w:r w:rsidR="00470F0A" w:rsidRPr="00BC1750">
        <w:rPr>
          <w:szCs w:val="24"/>
          <w:lang w:val="sr-Latn-ME"/>
        </w:rPr>
        <w:t xml:space="preserve"> </w:t>
      </w:r>
      <w:r w:rsidRPr="00BC1750">
        <w:rPr>
          <w:lang w:val="sr-Latn-ME"/>
        </w:rPr>
        <w:t xml:space="preserve">Pored toga, </w:t>
      </w:r>
      <w:r w:rsidR="00D02C25" w:rsidRPr="00BC1750">
        <w:rPr>
          <w:lang w:val="sr-Latn-ME"/>
        </w:rPr>
        <w:t>u sklopu primjene smjernica u PU v</w:t>
      </w:r>
      <w:r w:rsidRPr="00BC1750">
        <w:rPr>
          <w:lang w:val="sr-Latn-ME"/>
        </w:rPr>
        <w:t xml:space="preserve">ažno je da se uključe aktivnosti za djecu </w:t>
      </w:r>
      <w:r w:rsidR="00470F0A" w:rsidRPr="00BC1750">
        <w:rPr>
          <w:lang w:val="sr-Latn-ME"/>
        </w:rPr>
        <w:t xml:space="preserve">i roditelje </w:t>
      </w:r>
      <w:r w:rsidRPr="00BC1750">
        <w:rPr>
          <w:lang w:val="sr-Latn-ME"/>
        </w:rPr>
        <w:t>koje bi promovisale zdrave stilove ishrane.</w:t>
      </w:r>
      <w:r w:rsidR="00D02C25" w:rsidRPr="00BC1750">
        <w:rPr>
          <w:lang w:val="sr-Latn-ME"/>
        </w:rPr>
        <w:t xml:space="preserve"> </w:t>
      </w:r>
    </w:p>
    <w:p w14:paraId="7E578B01" w14:textId="352B4657" w:rsidR="008A7296" w:rsidRPr="00BC1750" w:rsidRDefault="008A7296" w:rsidP="008A7296">
      <w:pPr>
        <w:pStyle w:val="Heading3"/>
        <w:rPr>
          <w:lang w:val="sr-Latn-ME"/>
        </w:rPr>
      </w:pPr>
      <w:r w:rsidRPr="00BC1750">
        <w:rPr>
          <w:lang w:val="sr-Latn-ME"/>
        </w:rPr>
        <w:t>Operativni cilj 2.8: Uvezati i učiniti održivim aktivnosti prelaza u osnovnu školu</w:t>
      </w:r>
    </w:p>
    <w:p w14:paraId="6CD29A7B" w14:textId="6300D581" w:rsidR="008A7296" w:rsidRPr="00BC1750" w:rsidRDefault="008A7296" w:rsidP="00667D39">
      <w:pPr>
        <w:rPr>
          <w:lang w:val="sr-Latn-ME"/>
        </w:rPr>
      </w:pPr>
      <w:r w:rsidRPr="00BC1750">
        <w:rPr>
          <w:lang w:val="sr-Latn-ME"/>
        </w:rPr>
        <w:t xml:space="preserve">Portfolio </w:t>
      </w:r>
      <w:r w:rsidR="00C27A7D" w:rsidRPr="00BC1750">
        <w:rPr>
          <w:lang w:val="sr-Latn-ME"/>
        </w:rPr>
        <w:t xml:space="preserve">sadrži informacije o napretku svakog dijeteta koje su rezultata višegodišnjeg praćenja i rada vaspitača sa dijetetom. Kada je napravljen na kvalitetan način, portfolio omogućava sistematično praćenje razvoja dijeteta tokom pohađanja vrtića i osigurava kontinuitet prilikom </w:t>
      </w:r>
      <w:r w:rsidRPr="00BC1750">
        <w:rPr>
          <w:lang w:val="sr-Latn-ME"/>
        </w:rPr>
        <w:t xml:space="preserve">prelaska iz jedne u drugu vaspitnu grupu i prilikom upisa u školu. </w:t>
      </w:r>
      <w:r w:rsidR="00C27A7D" w:rsidRPr="00BC1750">
        <w:rPr>
          <w:lang w:val="sr-Latn-ME"/>
        </w:rPr>
        <w:t xml:space="preserve">Kvalitetno urađeni portfolio, koji roditelj dostavlja prilikom upisa, predstavlja validniju osnovu za </w:t>
      </w:r>
      <w:r w:rsidRPr="00BC1750">
        <w:rPr>
          <w:lang w:val="sr-Latn-ME"/>
        </w:rPr>
        <w:t xml:space="preserve">kadru u školi u </w:t>
      </w:r>
      <w:r w:rsidR="00C27A7D" w:rsidRPr="00BC1750">
        <w:rPr>
          <w:lang w:val="sr-Latn-ME"/>
        </w:rPr>
        <w:t xml:space="preserve">prilagođavanju škole dijetetu nego što </w:t>
      </w:r>
      <w:r w:rsidRPr="00BC1750">
        <w:rPr>
          <w:lang w:val="sr-Latn-ME"/>
        </w:rPr>
        <w:t>testiranja gotovosti za polazak u školu.</w:t>
      </w:r>
      <w:r w:rsidR="00C27A7D" w:rsidRPr="00BC1750">
        <w:rPr>
          <w:lang w:val="sr-Latn-ME"/>
        </w:rPr>
        <w:t xml:space="preserve"> Kako bi se </w:t>
      </w:r>
      <w:r w:rsidR="00F23D87">
        <w:rPr>
          <w:lang w:val="sr-Latn-ME"/>
        </w:rPr>
        <w:t>obezbijedi</w:t>
      </w:r>
      <w:r w:rsidR="00C27A7D" w:rsidRPr="00BC1750">
        <w:rPr>
          <w:lang w:val="sr-Latn-ME"/>
        </w:rPr>
        <w:t xml:space="preserve">o kvalitet ovog instrumenta, posebno u tranziciji </w:t>
      </w:r>
      <w:r w:rsidR="00667D39" w:rsidRPr="00BC1750">
        <w:rPr>
          <w:lang w:val="sr-Latn-ME"/>
        </w:rPr>
        <w:t>iz vrtića u školu,</w:t>
      </w:r>
      <w:r w:rsidR="00C27A7D" w:rsidRPr="00BC1750">
        <w:rPr>
          <w:lang w:val="sr-Latn-ME"/>
        </w:rPr>
        <w:t xml:space="preserve"> neophodno je da se</w:t>
      </w:r>
      <w:r w:rsidR="00667D39" w:rsidRPr="00BC1750">
        <w:rPr>
          <w:lang w:val="sr-Latn-ME"/>
        </w:rPr>
        <w:t xml:space="preserve"> (a) unaprijede vještine vaspitača za praćenje ranog razvoja djece i zapisivanje relevantnih informacija u portfolio, (b) unaprijedi saradnja PU, osnovnih škola i roditelja u pripremi i realizaciji programa prelaska iz vrtića u školu, i (c) </w:t>
      </w:r>
      <w:r w:rsidR="00F23D87">
        <w:rPr>
          <w:lang w:val="sr-Latn-ME"/>
        </w:rPr>
        <w:t>obezbijediti</w:t>
      </w:r>
      <w:r w:rsidR="00667D39" w:rsidRPr="00BC1750">
        <w:rPr>
          <w:lang w:val="sr-Latn-ME"/>
        </w:rPr>
        <w:t xml:space="preserve"> bolju saradnju PU sa centrom za socijalni rad i zdravstvenim ustanovama u slučaju djece iz osjetljivih grupa. </w:t>
      </w:r>
    </w:p>
    <w:p w14:paraId="24D71559" w14:textId="5FF0F6F1" w:rsidR="009E2114" w:rsidRPr="00BC1750" w:rsidRDefault="009E2114" w:rsidP="009E2114">
      <w:pPr>
        <w:pStyle w:val="Heading2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 xml:space="preserve">Strateški cilj 3: </w:t>
      </w:r>
      <w:r w:rsidR="007F56F3" w:rsidRPr="00BC1750">
        <w:rPr>
          <w:rFonts w:cs="Times New Roman"/>
          <w:lang w:val="sr-Latn-ME"/>
        </w:rPr>
        <w:t>Unapređenje šansi za rani razvoj djece iz osjetljivih grupa</w:t>
      </w:r>
    </w:p>
    <w:p w14:paraId="6FF3E201" w14:textId="77777777" w:rsidR="00D74C02" w:rsidRPr="00BC1750" w:rsidRDefault="00D74C02" w:rsidP="00D74C02">
      <w:pPr>
        <w:rPr>
          <w:lang w:val="sr-Latn-ME"/>
        </w:rPr>
      </w:pPr>
      <w:r w:rsidRPr="00BC1750">
        <w:rPr>
          <w:lang w:val="sr-Latn-ME"/>
        </w:rPr>
        <w:t xml:space="preserve">Analiza postojećeg stanja u pogledu obuhvata djece PVO ukazala je da su djeca iz različitih osjetljivih grupa u značajno nižoj mjeri uključena u PVO. Proširenje postojećih kapaciteta PVO će svakako doprinijeti da se poveća obuhvat djece iz osjetljivih grupa, ali su potrebne i dodatne mjere i aktivnosti koje će biti fokusirane na povećanje interesovanja roditelja djece iz osjetljivih </w:t>
      </w:r>
      <w:r w:rsidRPr="00BC1750">
        <w:rPr>
          <w:lang w:val="sr-Latn-ME"/>
        </w:rPr>
        <w:lastRenderedPageBreak/>
        <w:t xml:space="preserve">grupa i prevazilaženje barijera sa kojima se roditelji suočavaju kada je u pitanju uključivanje njihove djece u PVO i redovno pohađanje programa i aktivnosti. </w:t>
      </w:r>
    </w:p>
    <w:p w14:paraId="35AE204B" w14:textId="7B75CBFA" w:rsidR="009E2114" w:rsidRPr="00BC1750" w:rsidRDefault="009E2114" w:rsidP="009E2114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 xml:space="preserve">Operativni cilj 3.1: </w:t>
      </w:r>
      <w:r w:rsidR="00566A90" w:rsidRPr="00BC1750">
        <w:rPr>
          <w:lang w:val="sr-Latn-ME"/>
        </w:rPr>
        <w:t>Povećanje uključenosti djece iz osjetljivih grupa u PVO</w:t>
      </w:r>
      <w:r w:rsidR="00566A90" w:rsidRPr="00566A90">
        <w:rPr>
          <w:lang w:val="sr-Latn-ME"/>
        </w:rPr>
        <w:t xml:space="preserve"> </w:t>
      </w:r>
    </w:p>
    <w:p w14:paraId="2B616AD9" w14:textId="0401769F" w:rsidR="00302664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 xml:space="preserve">Kada je u pitanju povećanje interesovanja roditelja djece iz osjetljivih grupa za uključivanje djece u programe PVO važno je da podigne svjesnost roditelja o važnosti što ranijeg uključivanja njihove djece u PVO. Pored podizanja svijesti roditelja djece iz osjetljivih grupa potrebno je da se </w:t>
      </w:r>
      <w:r w:rsidR="00F23D87">
        <w:rPr>
          <w:lang w:val="sr-Latn-ME"/>
        </w:rPr>
        <w:t>obezbijedi</w:t>
      </w:r>
      <w:r w:rsidRPr="00BC1750">
        <w:rPr>
          <w:lang w:val="sr-Latn-ME"/>
        </w:rPr>
        <w:t xml:space="preserve"> podrška roditeljima kako bi uspeli da prevaziđu barijere koje mogu da ih obeshrabre kada je u pitanju uključivanje djece u programe PVO (npr. udaljenost i</w:t>
      </w:r>
      <w:r w:rsidR="009C4904" w:rsidRPr="00BC1750">
        <w:rPr>
          <w:lang w:val="sr-Latn-ME"/>
        </w:rPr>
        <w:t xml:space="preserve"> slično</w:t>
      </w:r>
      <w:r w:rsidRPr="00BC1750">
        <w:rPr>
          <w:lang w:val="sr-Latn-ME"/>
        </w:rPr>
        <w:t xml:space="preserve">). </w:t>
      </w:r>
    </w:p>
    <w:p w14:paraId="1A13F616" w14:textId="77777777" w:rsidR="00566A90" w:rsidRDefault="00566A90" w:rsidP="00302664">
      <w:pPr>
        <w:rPr>
          <w:lang w:val="sr-Latn-ME"/>
        </w:rPr>
      </w:pPr>
    </w:p>
    <w:p w14:paraId="170AD5C4" w14:textId="29C7C7E7" w:rsidR="009E2114" w:rsidRPr="00BC1750" w:rsidRDefault="00302664" w:rsidP="00302664">
      <w:pPr>
        <w:rPr>
          <w:lang w:val="sr-Latn-ME"/>
        </w:rPr>
      </w:pPr>
      <w:r w:rsidRPr="00BC1750">
        <w:rPr>
          <w:lang w:val="sr-Latn-ME"/>
        </w:rPr>
        <w:t>Ostvarenje ovog operativnog cilja zahtjeva da se unapr</w:t>
      </w:r>
      <w:r w:rsidR="00483E4D" w:rsidRPr="00BC1750">
        <w:rPr>
          <w:lang w:val="sr-Latn-ME"/>
        </w:rPr>
        <w:t>ij</w:t>
      </w:r>
      <w:r w:rsidRPr="00BC1750">
        <w:rPr>
          <w:lang w:val="sr-Latn-ME"/>
        </w:rPr>
        <w:t>edi postojeći nivo intersektorske saradnje posebno kada je u pitanju saradnja između predškolskih ustanova i centara za socijalni rad pošto su oni važna karika u obezb</w:t>
      </w:r>
      <w:r w:rsidR="0013447C">
        <w:rPr>
          <w:lang w:val="sr-Latn-ME"/>
        </w:rPr>
        <w:t>j</w:t>
      </w:r>
      <w:r w:rsidRPr="00BC1750">
        <w:rPr>
          <w:lang w:val="sr-Latn-ME"/>
        </w:rPr>
        <w:t xml:space="preserve">eđivanju većeg obuhvata djece </w:t>
      </w:r>
      <w:r w:rsidR="006D615B" w:rsidRPr="00BC1750">
        <w:rPr>
          <w:lang w:val="sr-Latn-ME"/>
        </w:rPr>
        <w:t xml:space="preserve">iz osjetljivih grupa (npr. djeca </w:t>
      </w:r>
      <w:r w:rsidR="00132995" w:rsidRPr="00BC1750">
        <w:rPr>
          <w:lang w:val="sr-Latn-ME"/>
        </w:rPr>
        <w:t>iz porodica koje su korisnici MOP</w:t>
      </w:r>
      <w:r w:rsidR="006D615B" w:rsidRPr="00BC1750">
        <w:rPr>
          <w:lang w:val="sr-Latn-ME"/>
        </w:rPr>
        <w:t>, djeca iz romskih naselja, djeca iz hraniteljskih porodica itd.)</w:t>
      </w:r>
      <w:r w:rsidRPr="00BC1750">
        <w:rPr>
          <w:lang w:val="sr-Latn-ME"/>
        </w:rPr>
        <w:t>.</w:t>
      </w:r>
      <w:r w:rsidR="004D48F1" w:rsidRPr="00BC1750">
        <w:rPr>
          <w:lang w:val="sr-Latn-ME"/>
        </w:rPr>
        <w:t xml:space="preserve"> </w:t>
      </w:r>
      <w:r w:rsidR="00E04F12" w:rsidRPr="00BC1750">
        <w:rPr>
          <w:lang w:val="sr-Latn-ME"/>
        </w:rPr>
        <w:t xml:space="preserve">U tom smislu važno je da se </w:t>
      </w:r>
      <w:r w:rsidR="00132995" w:rsidRPr="00BC1750">
        <w:rPr>
          <w:lang w:val="sr-Latn-ME"/>
        </w:rPr>
        <w:t>unapr</w:t>
      </w:r>
      <w:r w:rsidR="00BD2533" w:rsidRPr="00BC1750">
        <w:rPr>
          <w:lang w:val="sr-Latn-ME"/>
        </w:rPr>
        <w:t>ij</w:t>
      </w:r>
      <w:r w:rsidR="00132995" w:rsidRPr="00BC1750">
        <w:rPr>
          <w:lang w:val="sr-Latn-ME"/>
        </w:rPr>
        <w:t xml:space="preserve">edi </w:t>
      </w:r>
      <w:r w:rsidR="00E04F12" w:rsidRPr="00BC1750">
        <w:rPr>
          <w:lang w:val="sr-Latn-ME"/>
        </w:rPr>
        <w:t>koordinacij</w:t>
      </w:r>
      <w:r w:rsidR="00132995" w:rsidRPr="00BC1750">
        <w:rPr>
          <w:lang w:val="sr-Latn-ME"/>
        </w:rPr>
        <w:t>a</w:t>
      </w:r>
      <w:r w:rsidR="00E04F12" w:rsidRPr="00BC1750">
        <w:rPr>
          <w:lang w:val="sr-Latn-ME"/>
        </w:rPr>
        <w:t xml:space="preserve"> između PU i centara za socijalni rad koji pokrivaju istu opštinu </w:t>
      </w:r>
      <w:r w:rsidR="00BD2533" w:rsidRPr="00BC1750">
        <w:rPr>
          <w:lang w:val="sr-Latn-ME"/>
        </w:rPr>
        <w:t>(</w:t>
      </w:r>
      <w:r w:rsidR="00E04F12" w:rsidRPr="00BC1750">
        <w:rPr>
          <w:lang w:val="sr-Latn-ME"/>
        </w:rPr>
        <w:t>zajedničko planiranje i kooperacija u identifikovanju d</w:t>
      </w:r>
      <w:r w:rsidR="00A428F6">
        <w:rPr>
          <w:lang w:val="sr-Latn-ME"/>
        </w:rPr>
        <w:t>j</w:t>
      </w:r>
      <w:r w:rsidR="00E04F12" w:rsidRPr="00BC1750">
        <w:rPr>
          <w:lang w:val="sr-Latn-ME"/>
        </w:rPr>
        <w:t>ece iz os</w:t>
      </w:r>
      <w:r w:rsidR="006C10A2" w:rsidRPr="00BC1750">
        <w:rPr>
          <w:lang w:val="sr-Latn-ME"/>
        </w:rPr>
        <w:t>j</w:t>
      </w:r>
      <w:r w:rsidR="00E04F12" w:rsidRPr="00BC1750">
        <w:rPr>
          <w:lang w:val="sr-Latn-ME"/>
        </w:rPr>
        <w:t>etljivih grupa, rad u zajednici, upis d</w:t>
      </w:r>
      <w:r w:rsidR="00A428F6">
        <w:rPr>
          <w:lang w:val="sr-Latn-ME"/>
        </w:rPr>
        <w:t>j</w:t>
      </w:r>
      <w:r w:rsidR="00E04F12" w:rsidRPr="00BC1750">
        <w:rPr>
          <w:lang w:val="sr-Latn-ME"/>
        </w:rPr>
        <w:t>ece iz os</w:t>
      </w:r>
      <w:r w:rsidR="006C10A2" w:rsidRPr="00BC1750">
        <w:rPr>
          <w:lang w:val="sr-Latn-ME"/>
        </w:rPr>
        <w:t>j</w:t>
      </w:r>
      <w:r w:rsidR="00E04F12" w:rsidRPr="00BC1750">
        <w:rPr>
          <w:lang w:val="sr-Latn-ME"/>
        </w:rPr>
        <w:t>etljivih grupa u PVO programe</w:t>
      </w:r>
      <w:r w:rsidR="00BD2533" w:rsidRPr="00BC1750">
        <w:rPr>
          <w:lang w:val="sr-Latn-ME"/>
        </w:rPr>
        <w:t xml:space="preserve"> itd.)</w:t>
      </w:r>
      <w:r w:rsidR="00E04F12" w:rsidRPr="00BC1750">
        <w:rPr>
          <w:lang w:val="sr-Latn-ME"/>
        </w:rPr>
        <w:t xml:space="preserve">. </w:t>
      </w:r>
      <w:r w:rsidR="006D615B" w:rsidRPr="00BC1750">
        <w:rPr>
          <w:lang w:val="sr-Latn-ME"/>
        </w:rPr>
        <w:t>U</w:t>
      </w:r>
      <w:r w:rsidR="00BD2533" w:rsidRPr="00BC1750">
        <w:rPr>
          <w:lang w:val="sr-Latn-ME"/>
        </w:rPr>
        <w:t xml:space="preserve"> tom smislu posebno je važno da se radi na jačanju </w:t>
      </w:r>
      <w:r w:rsidRPr="00BC1750">
        <w:rPr>
          <w:lang w:val="sr-Latn-ME"/>
        </w:rPr>
        <w:t xml:space="preserve">uloge </w:t>
      </w:r>
      <w:r w:rsidR="00834395" w:rsidRPr="00BC1750">
        <w:rPr>
          <w:lang w:val="sr-Latn-ME"/>
        </w:rPr>
        <w:t xml:space="preserve">porodičnog </w:t>
      </w:r>
      <w:r w:rsidRPr="00BC1750">
        <w:rPr>
          <w:lang w:val="sr-Latn-ME"/>
        </w:rPr>
        <w:t xml:space="preserve">saradnika u inkluziji </w:t>
      </w:r>
      <w:r w:rsidR="00834395" w:rsidRPr="00BC1750">
        <w:rPr>
          <w:lang w:val="sr-Latn-ME"/>
        </w:rPr>
        <w:t>djece iz osjetljivih grupa u rad PU</w:t>
      </w:r>
      <w:r w:rsidR="00BD2533" w:rsidRPr="00BC1750">
        <w:rPr>
          <w:lang w:val="sr-Latn-ME"/>
        </w:rPr>
        <w:t xml:space="preserve">. Pored toga, porodični saradnik treba da pruži podršku </w:t>
      </w:r>
      <w:r w:rsidR="00644A54" w:rsidRPr="00BC1750">
        <w:rPr>
          <w:lang w:val="sr-Latn-ME"/>
        </w:rPr>
        <w:t>PU i vaspitačima u prilagođavanju načina rada kako bi bolje odgovorili na razvojne i obrazovne potrebe djece iz osjetljivih grupa.</w:t>
      </w:r>
      <w:r w:rsidR="00D74C02" w:rsidRPr="00BC1750">
        <w:rPr>
          <w:lang w:val="sr-Latn-ME"/>
        </w:rPr>
        <w:t xml:space="preserve"> </w:t>
      </w:r>
    </w:p>
    <w:p w14:paraId="0AD46E55" w14:textId="77777777" w:rsidR="00566A90" w:rsidRDefault="00566A90" w:rsidP="00282813">
      <w:pPr>
        <w:rPr>
          <w:lang w:val="sr-Latn-ME"/>
        </w:rPr>
      </w:pPr>
    </w:p>
    <w:p w14:paraId="2106AEA4" w14:textId="2598EBD8" w:rsidR="00282813" w:rsidRPr="00BC1750" w:rsidRDefault="00D74C02" w:rsidP="00282813">
      <w:pPr>
        <w:rPr>
          <w:szCs w:val="24"/>
          <w:lang w:val="sr-Latn-ME"/>
        </w:rPr>
      </w:pPr>
      <w:r w:rsidRPr="00BC1750">
        <w:rPr>
          <w:lang w:val="sr-Latn-ME"/>
        </w:rPr>
        <w:t xml:space="preserve">Ne manje značajno je </w:t>
      </w:r>
      <w:r w:rsidR="00282813" w:rsidRPr="00BC1750">
        <w:rPr>
          <w:szCs w:val="24"/>
          <w:lang w:val="sr-Latn-ME"/>
        </w:rPr>
        <w:t>ojačati saradnj</w:t>
      </w:r>
      <w:r w:rsidR="00C33DCE" w:rsidRPr="00BC1750">
        <w:rPr>
          <w:szCs w:val="24"/>
          <w:lang w:val="sr-Latn-ME"/>
        </w:rPr>
        <w:t>u</w:t>
      </w:r>
      <w:r w:rsidR="00282813" w:rsidRPr="00BC1750">
        <w:rPr>
          <w:szCs w:val="24"/>
          <w:lang w:val="sr-Latn-ME"/>
        </w:rPr>
        <w:t xml:space="preserve"> između </w:t>
      </w:r>
      <w:r w:rsidR="00C33DCE" w:rsidRPr="00BC1750">
        <w:rPr>
          <w:szCs w:val="24"/>
          <w:lang w:val="sr-Latn-ME"/>
        </w:rPr>
        <w:t>PU</w:t>
      </w:r>
      <w:r w:rsidR="00282813" w:rsidRPr="00BC1750">
        <w:rPr>
          <w:szCs w:val="24"/>
          <w:lang w:val="sr-Latn-ME"/>
        </w:rPr>
        <w:t xml:space="preserve"> i s</w:t>
      </w:r>
      <w:r w:rsidR="00C33DCE" w:rsidRPr="00BC1750">
        <w:rPr>
          <w:szCs w:val="24"/>
          <w:lang w:val="sr-Latn-ME"/>
        </w:rPr>
        <w:t>i</w:t>
      </w:r>
      <w:r w:rsidR="00282813" w:rsidRPr="00BC1750">
        <w:rPr>
          <w:szCs w:val="24"/>
          <w:lang w:val="sr-Latn-ME"/>
        </w:rPr>
        <w:t>stema zdravstvene zaštite, da bi se prije svega, podsticala in</w:t>
      </w:r>
      <w:r w:rsidR="00ED4A3E" w:rsidRPr="00BC1750">
        <w:rPr>
          <w:szCs w:val="24"/>
          <w:lang w:val="sr-Latn-ME"/>
        </w:rPr>
        <w:t>kluziju</w:t>
      </w:r>
      <w:r w:rsidR="00282813" w:rsidRPr="00BC1750">
        <w:rPr>
          <w:szCs w:val="24"/>
          <w:lang w:val="sr-Latn-ME"/>
        </w:rPr>
        <w:t xml:space="preserve"> i sveukupan razvoj </w:t>
      </w:r>
      <w:r w:rsidR="00B61E26" w:rsidRPr="00BC1750">
        <w:rPr>
          <w:szCs w:val="24"/>
          <w:lang w:val="sr-Latn-ME"/>
        </w:rPr>
        <w:t>dj</w:t>
      </w:r>
      <w:r w:rsidR="00282813" w:rsidRPr="00BC1750">
        <w:rPr>
          <w:szCs w:val="24"/>
          <w:lang w:val="sr-Latn-ME"/>
        </w:rPr>
        <w:t>ece iz o</w:t>
      </w:r>
      <w:r w:rsidR="00B61E26" w:rsidRPr="00BC1750">
        <w:rPr>
          <w:szCs w:val="24"/>
          <w:lang w:val="sr-Latn-ME"/>
        </w:rPr>
        <w:t>sj</w:t>
      </w:r>
      <w:r w:rsidR="00282813" w:rsidRPr="00BC1750">
        <w:rPr>
          <w:szCs w:val="24"/>
          <w:lang w:val="sr-Latn-ME"/>
        </w:rPr>
        <w:t>etljivih grupa, sve sa ciljem kvaliteta podrške</w:t>
      </w:r>
      <w:r w:rsidR="00282813" w:rsidRPr="00BC1750">
        <w:rPr>
          <w:bCs/>
          <w:szCs w:val="24"/>
          <w:lang w:val="sr-Latn-ME"/>
        </w:rPr>
        <w:t xml:space="preserve"> njihovom </w:t>
      </w:r>
      <w:r w:rsidR="00B61E26" w:rsidRPr="00BC1750">
        <w:rPr>
          <w:bCs/>
          <w:szCs w:val="24"/>
          <w:lang w:val="sr-Latn-ME"/>
        </w:rPr>
        <w:t xml:space="preserve">ranom </w:t>
      </w:r>
      <w:r w:rsidR="00282813" w:rsidRPr="00BC1750">
        <w:rPr>
          <w:bCs/>
          <w:szCs w:val="24"/>
          <w:lang w:val="sr-Latn-ME"/>
        </w:rPr>
        <w:t xml:space="preserve">razvoju. </w:t>
      </w:r>
    </w:p>
    <w:p w14:paraId="1299702C" w14:textId="77777777" w:rsidR="00566A90" w:rsidRDefault="00566A90" w:rsidP="00282813">
      <w:pPr>
        <w:rPr>
          <w:szCs w:val="24"/>
          <w:lang w:val="sr-Latn-ME"/>
        </w:rPr>
      </w:pPr>
    </w:p>
    <w:p w14:paraId="7BB7A718" w14:textId="45796886" w:rsidR="00282813" w:rsidRPr="00BC1750" w:rsidRDefault="00C33DCE" w:rsidP="00282813">
      <w:pPr>
        <w:rPr>
          <w:szCs w:val="24"/>
          <w:lang w:val="sr-Latn-ME"/>
        </w:rPr>
      </w:pPr>
      <w:r w:rsidRPr="00BC1750">
        <w:rPr>
          <w:szCs w:val="24"/>
          <w:lang w:val="sr-Latn-ME"/>
        </w:rPr>
        <w:t>Unapređenje saradnje između tri sektora (obrazovanja, sektora za socijalnu zaštitu i zdravstvenog sektora) podrazum</w:t>
      </w:r>
      <w:r w:rsidR="00AE623F" w:rsidRPr="00BC1750">
        <w:rPr>
          <w:szCs w:val="24"/>
          <w:lang w:val="sr-Latn-ME"/>
        </w:rPr>
        <w:t>ij</w:t>
      </w:r>
      <w:r w:rsidRPr="00BC1750">
        <w:rPr>
          <w:szCs w:val="24"/>
          <w:lang w:val="sr-Latn-ME"/>
        </w:rPr>
        <w:t xml:space="preserve">eva i unapređenje prikupljanja i </w:t>
      </w:r>
      <w:r w:rsidR="00282813" w:rsidRPr="00BC1750">
        <w:rPr>
          <w:szCs w:val="24"/>
          <w:lang w:val="sr-Latn-ME"/>
        </w:rPr>
        <w:t xml:space="preserve">razmjene informacija </w:t>
      </w:r>
      <w:r w:rsidRPr="00BC1750">
        <w:rPr>
          <w:szCs w:val="24"/>
          <w:lang w:val="sr-Latn-ME"/>
        </w:rPr>
        <w:t>između tri</w:t>
      </w:r>
      <w:r w:rsidR="00282813" w:rsidRPr="00BC1750">
        <w:rPr>
          <w:szCs w:val="24"/>
          <w:lang w:val="sr-Latn-ME"/>
        </w:rPr>
        <w:t xml:space="preserve"> </w:t>
      </w:r>
      <w:r w:rsidRPr="00BC1750">
        <w:rPr>
          <w:szCs w:val="24"/>
          <w:lang w:val="sr-Latn-ME"/>
        </w:rPr>
        <w:t xml:space="preserve">sektora i njihovo </w:t>
      </w:r>
      <w:r w:rsidR="00282813" w:rsidRPr="00BC1750">
        <w:rPr>
          <w:szCs w:val="24"/>
          <w:lang w:val="sr-Latn-ME"/>
        </w:rPr>
        <w:t>korišćenj</w:t>
      </w:r>
      <w:r w:rsidRPr="00BC1750">
        <w:rPr>
          <w:szCs w:val="24"/>
          <w:lang w:val="sr-Latn-ME"/>
        </w:rPr>
        <w:t>e u naj</w:t>
      </w:r>
      <w:r w:rsidR="00AE623F" w:rsidRPr="00BC1750">
        <w:rPr>
          <w:szCs w:val="24"/>
          <w:lang w:val="sr-Latn-ME"/>
        </w:rPr>
        <w:t>b</w:t>
      </w:r>
      <w:r w:rsidRPr="00BC1750">
        <w:rPr>
          <w:szCs w:val="24"/>
          <w:lang w:val="sr-Latn-ME"/>
        </w:rPr>
        <w:t xml:space="preserve">oljem interesu </w:t>
      </w:r>
      <w:r w:rsidR="00354802" w:rsidRPr="00BC1750">
        <w:rPr>
          <w:szCs w:val="24"/>
          <w:lang w:val="sr-Latn-ME"/>
        </w:rPr>
        <w:t>dje</w:t>
      </w:r>
      <w:r w:rsidR="00282813" w:rsidRPr="00BC1750">
        <w:rPr>
          <w:szCs w:val="24"/>
          <w:lang w:val="sr-Latn-ME"/>
        </w:rPr>
        <w:t>c</w:t>
      </w:r>
      <w:r w:rsidRPr="00BC1750">
        <w:rPr>
          <w:szCs w:val="24"/>
          <w:lang w:val="sr-Latn-ME"/>
        </w:rPr>
        <w:t>e</w:t>
      </w:r>
      <w:r w:rsidR="00282813" w:rsidRPr="00BC1750">
        <w:rPr>
          <w:szCs w:val="24"/>
          <w:lang w:val="sr-Latn-ME"/>
        </w:rPr>
        <w:t>.</w:t>
      </w:r>
    </w:p>
    <w:p w14:paraId="0445DBFB" w14:textId="6546EA88" w:rsidR="00A128D0" w:rsidRPr="00BC1750" w:rsidRDefault="00A128D0" w:rsidP="00282813">
      <w:pPr>
        <w:rPr>
          <w:szCs w:val="24"/>
          <w:lang w:val="sr-Latn-ME"/>
        </w:rPr>
      </w:pPr>
      <w:r w:rsidRPr="00BC1750">
        <w:rPr>
          <w:szCs w:val="24"/>
          <w:lang w:val="sr-Latn-ME"/>
        </w:rPr>
        <w:t xml:space="preserve">Ključno je da se nastavi i dublje primjeni terenski, neposredan rad u zajednici. Kako od strane licenciranih pružaoca usluga socijalne zaštite, a posebno za </w:t>
      </w:r>
      <w:r w:rsidR="00354802" w:rsidRPr="00BC1750">
        <w:rPr>
          <w:szCs w:val="24"/>
          <w:lang w:val="sr-Latn-ME"/>
        </w:rPr>
        <w:t>dje</w:t>
      </w:r>
      <w:r w:rsidRPr="00BC1750">
        <w:rPr>
          <w:szCs w:val="24"/>
          <w:lang w:val="sr-Latn-ME"/>
        </w:rPr>
        <w:t xml:space="preserve">cu RE populacije kroz intenzivnu primjenu prethodno razvijenog mehanizma uključivanja i praćenja pohađanja programa predškolskog vaspitanja i obrazovanja. Važno je da se iskoristi </w:t>
      </w:r>
      <w:r w:rsidR="00221978" w:rsidRPr="00BC1750">
        <w:rPr>
          <w:szCs w:val="24"/>
          <w:lang w:val="sr-Latn-ME"/>
        </w:rPr>
        <w:t xml:space="preserve">postojeće iskustvo koje imaju </w:t>
      </w:r>
      <w:r w:rsidRPr="00BC1750">
        <w:rPr>
          <w:szCs w:val="24"/>
          <w:lang w:val="sr-Latn-ME"/>
        </w:rPr>
        <w:t>medijator</w:t>
      </w:r>
      <w:r w:rsidR="00221978" w:rsidRPr="00BC1750">
        <w:rPr>
          <w:szCs w:val="24"/>
          <w:lang w:val="sr-Latn-ME"/>
        </w:rPr>
        <w:t>i</w:t>
      </w:r>
      <w:r w:rsidRPr="00BC1750">
        <w:rPr>
          <w:szCs w:val="24"/>
          <w:lang w:val="sr-Latn-ME"/>
        </w:rPr>
        <w:t xml:space="preserve"> koji imaju pozitivan uticaj na rodit</w:t>
      </w:r>
      <w:r w:rsidR="00221978" w:rsidRPr="00BC1750">
        <w:rPr>
          <w:szCs w:val="24"/>
          <w:lang w:val="sr-Latn-ME"/>
        </w:rPr>
        <w:t>e</w:t>
      </w:r>
      <w:r w:rsidRPr="00BC1750">
        <w:rPr>
          <w:szCs w:val="24"/>
          <w:lang w:val="sr-Latn-ME"/>
        </w:rPr>
        <w:t>lje</w:t>
      </w:r>
      <w:r w:rsidR="00967845" w:rsidRPr="00BC1750">
        <w:rPr>
          <w:szCs w:val="24"/>
          <w:lang w:val="sr-Latn-ME"/>
        </w:rPr>
        <w:t xml:space="preserve"> i </w:t>
      </w:r>
      <w:r w:rsidR="00354802" w:rsidRPr="00BC1750">
        <w:rPr>
          <w:szCs w:val="24"/>
          <w:lang w:val="sr-Latn-ME"/>
        </w:rPr>
        <w:t>dje</w:t>
      </w:r>
      <w:r w:rsidRPr="00BC1750">
        <w:rPr>
          <w:szCs w:val="24"/>
          <w:lang w:val="sr-Latn-ME"/>
        </w:rPr>
        <w:t xml:space="preserve">cu i </w:t>
      </w:r>
      <w:r w:rsidR="00967845" w:rsidRPr="00BC1750">
        <w:rPr>
          <w:szCs w:val="24"/>
          <w:lang w:val="sr-Latn-ME"/>
        </w:rPr>
        <w:t xml:space="preserve">koji su se pokazali kao ključna karika u </w:t>
      </w:r>
      <w:r w:rsidRPr="00BC1750">
        <w:rPr>
          <w:szCs w:val="24"/>
          <w:lang w:val="sr-Latn-ME"/>
        </w:rPr>
        <w:t>održava</w:t>
      </w:r>
      <w:r w:rsidR="00967845" w:rsidRPr="00BC1750">
        <w:rPr>
          <w:szCs w:val="24"/>
          <w:lang w:val="sr-Latn-ME"/>
        </w:rPr>
        <w:t>n</w:t>
      </w:r>
      <w:r w:rsidRPr="00BC1750">
        <w:rPr>
          <w:szCs w:val="24"/>
          <w:lang w:val="sr-Latn-ME"/>
        </w:rPr>
        <w:t>ju saradnj</w:t>
      </w:r>
      <w:r w:rsidR="00967845" w:rsidRPr="00BC1750">
        <w:rPr>
          <w:szCs w:val="24"/>
          <w:lang w:val="sr-Latn-ME"/>
        </w:rPr>
        <w:t>e</w:t>
      </w:r>
      <w:r w:rsidRPr="00BC1750">
        <w:rPr>
          <w:szCs w:val="24"/>
          <w:lang w:val="sr-Latn-ME"/>
        </w:rPr>
        <w:t xml:space="preserve"> </w:t>
      </w:r>
      <w:r w:rsidR="00967845" w:rsidRPr="00BC1750">
        <w:rPr>
          <w:szCs w:val="24"/>
          <w:lang w:val="sr-Latn-ME"/>
        </w:rPr>
        <w:t xml:space="preserve">između </w:t>
      </w:r>
      <w:r w:rsidRPr="00BC1750">
        <w:rPr>
          <w:szCs w:val="24"/>
          <w:lang w:val="sr-Latn-ME"/>
        </w:rPr>
        <w:t>vrtića i zajednice.</w:t>
      </w:r>
    </w:p>
    <w:p w14:paraId="0685332C" w14:textId="77777777" w:rsidR="009E2114" w:rsidRPr="00BC1750" w:rsidRDefault="009E2114" w:rsidP="009E2114">
      <w:pPr>
        <w:pStyle w:val="Heading3"/>
        <w:rPr>
          <w:rFonts w:cs="Times New Roman"/>
          <w:highlight w:val="yellow"/>
          <w:lang w:val="sr-Latn-ME"/>
        </w:rPr>
      </w:pPr>
      <w:r w:rsidRPr="00BC1750">
        <w:rPr>
          <w:rFonts w:cs="Times New Roman"/>
          <w:lang w:val="sr-Latn-ME"/>
        </w:rPr>
        <w:t>Operativni cilj 3.2: Širenje i jačanje interaktivnih službi</w:t>
      </w:r>
    </w:p>
    <w:p w14:paraId="3A685B56" w14:textId="0CFBB8C3" w:rsidR="00D74C02" w:rsidRPr="00BC1750" w:rsidRDefault="00D74C02" w:rsidP="009E2114">
      <w:pPr>
        <w:rPr>
          <w:lang w:val="sr-Latn-ME"/>
        </w:rPr>
      </w:pPr>
      <w:r w:rsidRPr="00BC1750">
        <w:rPr>
          <w:lang w:val="sr-Latn-ME"/>
        </w:rPr>
        <w:t>Interaktivne službe</w:t>
      </w:r>
      <w:r w:rsidR="00F77791" w:rsidRPr="00BC1750">
        <w:rPr>
          <w:lang w:val="sr-Latn-ME"/>
        </w:rPr>
        <w:t xml:space="preserve">, koje su osnovane u 17 opština, </w:t>
      </w:r>
      <w:r w:rsidRPr="00BC1750">
        <w:rPr>
          <w:lang w:val="sr-Latn-ME"/>
        </w:rPr>
        <w:t xml:space="preserve">su se pokazale kao dobar </w:t>
      </w:r>
      <w:r w:rsidR="00F77791" w:rsidRPr="00BC1750">
        <w:rPr>
          <w:lang w:val="sr-Latn-ME"/>
        </w:rPr>
        <w:t xml:space="preserve">instrument koji omogućava da se programi PVO učine dostupnim djeci iz udaljenih naselja koja su u manjoj mjeri </w:t>
      </w:r>
      <w:r w:rsidRPr="00BC1750">
        <w:rPr>
          <w:lang w:val="sr-Latn-ME"/>
        </w:rPr>
        <w:t>uključ</w:t>
      </w:r>
      <w:r w:rsidR="00F77791" w:rsidRPr="00BC1750">
        <w:rPr>
          <w:lang w:val="sr-Latn-ME"/>
        </w:rPr>
        <w:t>ena u PVO</w:t>
      </w:r>
      <w:r w:rsidRPr="00BC1750">
        <w:rPr>
          <w:lang w:val="sr-Latn-ME"/>
        </w:rPr>
        <w:t xml:space="preserve">. </w:t>
      </w:r>
      <w:r w:rsidR="00F77791" w:rsidRPr="00BC1750">
        <w:rPr>
          <w:lang w:val="sr-Latn-ME"/>
        </w:rPr>
        <w:t xml:space="preserve">Važna prijednost interaktivnih službi je u njihovoj fleksibilnosti, tj. </w:t>
      </w:r>
      <w:r w:rsidR="00F77791" w:rsidRPr="00BC1750">
        <w:rPr>
          <w:lang w:val="sr-Latn-ME"/>
        </w:rPr>
        <w:lastRenderedPageBreak/>
        <w:t>kapacitetu da se prilagode specifičnostima djece, porodica i uslovima u kojima oni žive.</w:t>
      </w:r>
      <w:r w:rsidR="00F77B42" w:rsidRPr="00BC1750">
        <w:rPr>
          <w:lang w:val="sr-Latn-ME"/>
        </w:rPr>
        <w:t xml:space="preserve"> Pored toga, u nekim slučajevima interaktivne službe su transformisane u nove vaspitne jedinice čime su doprinijele proširenju mreže vaspitnih jedinica.</w:t>
      </w:r>
      <w:r w:rsidR="00F77791" w:rsidRPr="00BC1750">
        <w:rPr>
          <w:lang w:val="sr-Latn-ME"/>
        </w:rPr>
        <w:t xml:space="preserve"> </w:t>
      </w:r>
    </w:p>
    <w:p w14:paraId="237111CA" w14:textId="77777777" w:rsidR="00566A90" w:rsidRDefault="00566A90" w:rsidP="009E2114">
      <w:pPr>
        <w:rPr>
          <w:lang w:val="sr-Latn-ME"/>
        </w:rPr>
      </w:pPr>
    </w:p>
    <w:p w14:paraId="69422BE1" w14:textId="77777777" w:rsidR="00F77B42" w:rsidRPr="00BC1750" w:rsidRDefault="009E2114" w:rsidP="009E2114">
      <w:pPr>
        <w:rPr>
          <w:lang w:val="sr-Latn-ME"/>
        </w:rPr>
      </w:pPr>
      <w:r w:rsidRPr="00BC1750">
        <w:rPr>
          <w:lang w:val="sr-Latn-ME"/>
        </w:rPr>
        <w:t xml:space="preserve">U narednom periodu fokus treba da bude </w:t>
      </w:r>
      <w:r w:rsidR="00F77B42" w:rsidRPr="00BC1750">
        <w:rPr>
          <w:lang w:val="sr-Latn-ME"/>
        </w:rPr>
        <w:t xml:space="preserve">usmjeren u dva pravca. </w:t>
      </w:r>
    </w:p>
    <w:p w14:paraId="43C44900" w14:textId="77777777" w:rsidR="00566A90" w:rsidRDefault="00566A90" w:rsidP="009E2114">
      <w:pPr>
        <w:rPr>
          <w:lang w:val="sr-Latn-ME"/>
        </w:rPr>
      </w:pPr>
    </w:p>
    <w:p w14:paraId="790FA662" w14:textId="13054249" w:rsidR="00F77B42" w:rsidRPr="00BC1750" w:rsidRDefault="00F77B42" w:rsidP="009E2114">
      <w:pPr>
        <w:rPr>
          <w:lang w:val="sr-Latn-ME"/>
        </w:rPr>
      </w:pPr>
      <w:r w:rsidRPr="00BC1750">
        <w:rPr>
          <w:lang w:val="sr-Latn-ME"/>
        </w:rPr>
        <w:t>Prvi je jačanje kapaciteta postojećih interaktivnih službi u pružanju kvalitetnije usluge djeci koja su već uključena. Pored toga, potrebno da se poveća stepen u kojem su djeca uključena u aktivnosti interaktivnih službi kako bi dobili veću podršku za rani razvoj</w:t>
      </w:r>
      <w:r w:rsidR="00287DF3" w:rsidRPr="00BC1750">
        <w:rPr>
          <w:lang w:val="sr-Latn-ME"/>
        </w:rPr>
        <w:t xml:space="preserve"> (npr. da svako dijete u prosjeku bude uključeno u rad interaktivne službe u prosjeku dva puta nedjeljno).</w:t>
      </w:r>
    </w:p>
    <w:p w14:paraId="5C315DF0" w14:textId="77777777" w:rsidR="00566A90" w:rsidRDefault="00566A90" w:rsidP="009E2114">
      <w:pPr>
        <w:rPr>
          <w:lang w:val="sr-Latn-ME"/>
        </w:rPr>
      </w:pPr>
    </w:p>
    <w:p w14:paraId="48AD2F56" w14:textId="4B8AC1A4" w:rsidR="009E2114" w:rsidRPr="00BC1750" w:rsidRDefault="00F77B42" w:rsidP="009E2114">
      <w:pPr>
        <w:rPr>
          <w:lang w:val="sr-Latn-ME"/>
        </w:rPr>
      </w:pPr>
      <w:r w:rsidRPr="00BC1750">
        <w:rPr>
          <w:lang w:val="sr-Latn-ME"/>
        </w:rPr>
        <w:t xml:space="preserve">S druge strane, pošto su se interaktivne službe pokazale kao djelotvoran instrument za uključivanje u PVO djece kojima su ove usluge bile manje dostupne, u narednom periodu bi interaktivne službe trebalo koristiti i za veće uključivanje drugih kategorija djece kod koje je obuhvat PVO programima niži (npr. djeca iz romskih naselja, djeca koja </w:t>
      </w:r>
      <w:r w:rsidR="00287DF3" w:rsidRPr="00BC1750">
        <w:rPr>
          <w:lang w:val="sr-Latn-ME"/>
        </w:rPr>
        <w:t>žive u siromašnim naseljima itd</w:t>
      </w:r>
      <w:r w:rsidR="0013447C">
        <w:rPr>
          <w:lang w:val="sr-Latn-ME"/>
        </w:rPr>
        <w:t>,</w:t>
      </w:r>
      <w:r w:rsidR="00AE623F" w:rsidRPr="00BC1750">
        <w:rPr>
          <w:lang w:val="sr-Latn-ME"/>
        </w:rPr>
        <w:t xml:space="preserve"> a koja nisu do sada bila do sistema</w:t>
      </w:r>
      <w:r w:rsidR="00287DF3" w:rsidRPr="00BC1750">
        <w:rPr>
          <w:lang w:val="sr-Latn-ME"/>
        </w:rPr>
        <w:t>).</w:t>
      </w:r>
      <w:r w:rsidR="000E3C22" w:rsidRPr="00BC1750">
        <w:rPr>
          <w:lang w:val="sr-Latn-ME"/>
        </w:rPr>
        <w:t xml:space="preserve"> </w:t>
      </w:r>
      <w:r w:rsidR="009E2114" w:rsidRPr="00BC1750">
        <w:rPr>
          <w:lang w:val="sr-Latn-ME"/>
        </w:rPr>
        <w:t xml:space="preserve">     </w:t>
      </w:r>
    </w:p>
    <w:p w14:paraId="33E20D06" w14:textId="77777777" w:rsidR="00F23D87" w:rsidRDefault="00F23D87" w:rsidP="00F23D87">
      <w:pPr>
        <w:rPr>
          <w:lang w:val="sr-Latn-ME"/>
        </w:rPr>
      </w:pPr>
    </w:p>
    <w:p w14:paraId="5D274764" w14:textId="0B4C8CE8" w:rsidR="00F23D87" w:rsidRPr="00F23D87" w:rsidRDefault="009E2114" w:rsidP="00F23D87">
      <w:pPr>
        <w:rPr>
          <w:highlight w:val="yellow"/>
          <w:lang w:val="sr-Latn-ME"/>
        </w:rPr>
      </w:pPr>
      <w:r w:rsidRPr="00BC1750">
        <w:rPr>
          <w:lang w:val="sr-Latn-ME"/>
        </w:rPr>
        <w:t xml:space="preserve">Operativni cilj 3.3: </w:t>
      </w:r>
      <w:r w:rsidRPr="00F23D87">
        <w:rPr>
          <w:i/>
          <w:lang w:val="sr-Latn-ME"/>
        </w:rPr>
        <w:t xml:space="preserve">Unaprijediti podršku roditeljima iz osjetljivih grupa u </w:t>
      </w:r>
      <w:r w:rsidR="00F23D87">
        <w:rPr>
          <w:i/>
          <w:lang w:val="sr-Latn-ME"/>
        </w:rPr>
        <w:t>obezbjeđivanju</w:t>
      </w:r>
      <w:r w:rsidRPr="00F23D87">
        <w:rPr>
          <w:i/>
          <w:lang w:val="sr-Latn-ME"/>
        </w:rPr>
        <w:t xml:space="preserve"> podsticajnijih uslova za rani razvoj u porodičnom okruženju</w:t>
      </w:r>
      <w:r w:rsidR="00F23D87">
        <w:rPr>
          <w:i/>
          <w:lang w:val="sr-Latn-ME"/>
        </w:rPr>
        <w:t>,</w:t>
      </w:r>
      <w:r w:rsidR="00F23D87" w:rsidRPr="00F23D87">
        <w:rPr>
          <w:i/>
          <w:lang w:val="sr-Latn-ME"/>
        </w:rPr>
        <w:t xml:space="preserve"> dostupnosti i kvaliteta usluge rane podrške</w:t>
      </w:r>
    </w:p>
    <w:p w14:paraId="711F22FD" w14:textId="77777777" w:rsidR="00F23D87" w:rsidRDefault="00F23D87" w:rsidP="00F23D87">
      <w:pPr>
        <w:rPr>
          <w:highlight w:val="yellow"/>
          <w:lang w:val="sr-Latn-ME"/>
        </w:rPr>
      </w:pPr>
    </w:p>
    <w:p w14:paraId="5ACECFDF" w14:textId="5E70E0AC" w:rsidR="00282813" w:rsidRPr="00BC1750" w:rsidRDefault="00282813" w:rsidP="009E2114">
      <w:pPr>
        <w:rPr>
          <w:lang w:val="sr-Latn-ME"/>
        </w:rPr>
      </w:pPr>
      <w:r w:rsidRPr="00BC1750">
        <w:rPr>
          <w:lang w:val="sr-Latn-ME"/>
        </w:rPr>
        <w:t>Do sada su pokrenuto niz inicijativa za jačanje roditelja</w:t>
      </w:r>
      <w:r w:rsidR="000E3C22" w:rsidRPr="00BC1750">
        <w:rPr>
          <w:lang w:val="sr-Latn-ME"/>
        </w:rPr>
        <w:t xml:space="preserve"> u </w:t>
      </w:r>
      <w:r w:rsidR="00F23D87">
        <w:rPr>
          <w:lang w:val="sr-Latn-ME"/>
        </w:rPr>
        <w:t>obezbjeđivanju</w:t>
      </w:r>
      <w:r w:rsidR="000E3C22" w:rsidRPr="00BC1750">
        <w:rPr>
          <w:lang w:val="sr-Latn-ME"/>
        </w:rPr>
        <w:t xml:space="preserve"> podsticajnih uslova za rani razvoj djece u porodičnom okruženju. Ove inicijative su od posebne važnosti u slučaju djece iz osjetljivih grupa iz više razloga: djeca iz osjetljivih grupa su manje uključeni u programe PVO (posebno u najranijem uzrastu), roditelji</w:t>
      </w:r>
      <w:r w:rsidR="00B53A21" w:rsidRPr="00BC1750">
        <w:rPr>
          <w:lang w:val="sr-Latn-ME"/>
        </w:rPr>
        <w:t xml:space="preserve"> ove djece se često suočavaju sa većim teškoćama u životu čime se njihovi kapaciteti za pružanje podrške ranom razvoju djece niži itd. Iz tih razloga, potrebno je da se u narednom periodu pojača podrška roditeljima djece iz osjetljivih grupa kako bi se povećali njihovi kapaciteti u pružanju podrške ranom razvoju djece u uslovima porodičnog okruženja.</w:t>
      </w:r>
      <w:r w:rsidR="0029764C" w:rsidRPr="00BC1750">
        <w:rPr>
          <w:lang w:val="sr-Latn-ME"/>
        </w:rPr>
        <w:t xml:space="preserve"> </w:t>
      </w:r>
      <w:r w:rsidR="00470A7F" w:rsidRPr="00BC1750">
        <w:rPr>
          <w:lang w:val="sr-Latn-ME"/>
        </w:rPr>
        <w:t xml:space="preserve">Prilikom jačanja podrške roditeljima djece iz osjetljivih grupa treba imati u vidu da su potrebe roditelja iz različitih </w:t>
      </w:r>
      <w:r w:rsidR="004F04F0" w:rsidRPr="00BC1750">
        <w:rPr>
          <w:lang w:val="sr-Latn-ME"/>
        </w:rPr>
        <w:t xml:space="preserve">osjetljivih </w:t>
      </w:r>
      <w:r w:rsidR="00470A7F" w:rsidRPr="00BC1750">
        <w:rPr>
          <w:lang w:val="sr-Latn-ME"/>
        </w:rPr>
        <w:t xml:space="preserve">grupa (npr. roditelji koji žive u uslovima siromaštva, roditelji iz romske i egipćanske zajednice, roditelji djece sa </w:t>
      </w:r>
      <w:r w:rsidR="004F04F0" w:rsidRPr="00BC1750">
        <w:rPr>
          <w:lang w:val="sr-Latn-ME"/>
        </w:rPr>
        <w:t>posebnim potrebama, hranitelji itd.) različite pošto se suočavaju sa različitim izazovima i žive u različitim uslovima. Stoga o</w:t>
      </w:r>
      <w:r w:rsidR="00470A7F" w:rsidRPr="00BC1750">
        <w:rPr>
          <w:lang w:val="sr-Latn-ME"/>
        </w:rPr>
        <w:t xml:space="preserve">blici podrške </w:t>
      </w:r>
      <w:r w:rsidR="004F04F0" w:rsidRPr="00BC1750">
        <w:rPr>
          <w:lang w:val="sr-Latn-ME"/>
        </w:rPr>
        <w:t xml:space="preserve">koji će im biti na raspolaganju treba da budu fleksibilni i prilagođeni njihovim potrebama. Konačno, </w:t>
      </w:r>
      <w:r w:rsidR="004122DC" w:rsidRPr="00BC1750">
        <w:rPr>
          <w:lang w:val="sr-Latn-ME"/>
        </w:rPr>
        <w:t xml:space="preserve">funkcija ovih oblika podrške treba da bude, pored podizanja kapaciteta roditelja da podržavaju rani razvoj svoje djece, i da se poveća obuhvat djece iz ovih grupa u redovne programe PVO kako bi se jačala inkluzivnost PVO sistema i kako bi djece i roditelji iz osjetljivih dobili kontinuiranu podršku u predškolskom periodu i prilikom prelaska iz vrtića u osnovnu školu. </w:t>
      </w:r>
    </w:p>
    <w:p w14:paraId="6CEDB154" w14:textId="77777777" w:rsidR="00566A90" w:rsidRDefault="00566A90" w:rsidP="007B4DEB">
      <w:pPr>
        <w:rPr>
          <w:lang w:val="sr-Latn-ME"/>
        </w:rPr>
      </w:pPr>
    </w:p>
    <w:p w14:paraId="295E487F" w14:textId="27F337F6" w:rsidR="00366B2F" w:rsidRPr="00BC1750" w:rsidRDefault="00B53A21" w:rsidP="007B4DEB">
      <w:pPr>
        <w:rPr>
          <w:lang w:val="sr-Latn-ME"/>
        </w:rPr>
      </w:pPr>
      <w:r w:rsidRPr="00BC1750">
        <w:rPr>
          <w:lang w:val="sr-Latn-ME"/>
        </w:rPr>
        <w:lastRenderedPageBreak/>
        <w:t xml:space="preserve">Jedan pravac djelovanja može da bude da </w:t>
      </w:r>
      <w:r w:rsidR="004122DC" w:rsidRPr="00BC1750">
        <w:rPr>
          <w:lang w:val="sr-Latn-ME"/>
        </w:rPr>
        <w:t>M</w:t>
      </w:r>
      <w:r w:rsidR="007B4DEB" w:rsidRPr="00BC1750">
        <w:rPr>
          <w:lang w:val="sr-Latn-ME"/>
        </w:rPr>
        <w:t xml:space="preserve">inistarstvo prosvjete, Ministarstvo rada i socijalnog staranja i Ministarstvo zdravlja </w:t>
      </w:r>
      <w:r w:rsidRPr="00BC1750">
        <w:rPr>
          <w:lang w:val="sr-Latn-ME"/>
        </w:rPr>
        <w:t xml:space="preserve">u saradnji sa civilnim sektorom i </w:t>
      </w:r>
      <w:r w:rsidR="004122DC" w:rsidRPr="00BC1750">
        <w:rPr>
          <w:lang w:val="sr-Latn-ME"/>
        </w:rPr>
        <w:t xml:space="preserve">međunarodnim organizacijama </w:t>
      </w:r>
      <w:r w:rsidR="007B4DEB" w:rsidRPr="00BC1750">
        <w:rPr>
          <w:lang w:val="sr-Latn-ME"/>
        </w:rPr>
        <w:t xml:space="preserve">podrže primjenu programa </w:t>
      </w:r>
      <w:r w:rsidR="00FA689E" w:rsidRPr="00BC1750">
        <w:rPr>
          <w:lang w:val="sr-Latn-ME"/>
        </w:rPr>
        <w:t xml:space="preserve">„Roditeljstvo za cjeloživotno zdravlje” za </w:t>
      </w:r>
      <w:r w:rsidR="007B4DEB" w:rsidRPr="00BC1750">
        <w:rPr>
          <w:lang w:val="sr-Latn-ME"/>
        </w:rPr>
        <w:t>roditelje iz osjetljivih grupa.</w:t>
      </w:r>
      <w:r w:rsidR="00366B2F" w:rsidRPr="00BC1750">
        <w:rPr>
          <w:lang w:val="sr-Latn-ME"/>
        </w:rPr>
        <w:t xml:space="preserve"> Na ovaj način može da se </w:t>
      </w:r>
      <w:r w:rsidR="00F23D87">
        <w:rPr>
          <w:lang w:val="sr-Latn-ME"/>
        </w:rPr>
        <w:t>obezbijedi</w:t>
      </w:r>
      <w:r w:rsidR="00366B2F" w:rsidRPr="00BC1750">
        <w:rPr>
          <w:lang w:val="sr-Latn-ME"/>
        </w:rPr>
        <w:t xml:space="preserve"> brzo pružanje podrške roditeljima iz ovih grupa dok se ne ti oblici podrške ne institucionalizuju u redovne usluge ova tri sektora.</w:t>
      </w:r>
      <w:r w:rsidR="007B4DEB" w:rsidRPr="00BC1750">
        <w:rPr>
          <w:lang w:val="sr-Latn-ME"/>
        </w:rPr>
        <w:t xml:space="preserve"> </w:t>
      </w:r>
    </w:p>
    <w:p w14:paraId="75B8C7FE" w14:textId="77777777" w:rsidR="00566A90" w:rsidRDefault="00566A90" w:rsidP="007B4DEB">
      <w:pPr>
        <w:rPr>
          <w:lang w:val="sr-Latn-ME"/>
        </w:rPr>
      </w:pPr>
    </w:p>
    <w:p w14:paraId="063E3835" w14:textId="7B73E80A" w:rsidR="00FA689E" w:rsidRPr="00BC1750" w:rsidRDefault="00366B2F" w:rsidP="007B4DEB">
      <w:pPr>
        <w:rPr>
          <w:lang w:val="sr-Latn-ME"/>
        </w:rPr>
      </w:pPr>
      <w:r w:rsidRPr="00BC1750">
        <w:rPr>
          <w:lang w:val="sr-Latn-ME"/>
        </w:rPr>
        <w:t xml:space="preserve">Drugi pravac djelovanja bi imao za cilj da se institucionalizuju posebni oblici podrške za roditelje iz različitih osjetljivih grupa. Pošto su roditelji iz osjetljivih grupa u velikoj mjeri već korisnici različitih usluga iz sektora socijalnog staranja i zdravlja najefikasniji način institucionalizacije bi bio da se profesionalci iz ovih sektora </w:t>
      </w:r>
      <w:r w:rsidR="002A08AC" w:rsidRPr="00BC1750">
        <w:rPr>
          <w:lang w:val="sr-Latn-ME"/>
        </w:rPr>
        <w:t xml:space="preserve">(socijalni radnici, porodični saradnik i pedijatri) </w:t>
      </w:r>
      <w:r w:rsidRPr="00BC1750">
        <w:rPr>
          <w:lang w:val="sr-Latn-ME"/>
        </w:rPr>
        <w:t xml:space="preserve">obuče za dodatni rad sa roditeljima. </w:t>
      </w:r>
      <w:r w:rsidR="00FC49D9" w:rsidRPr="00BC1750">
        <w:rPr>
          <w:lang w:val="sr-Latn-ME"/>
        </w:rPr>
        <w:t>Profesionalni kadar koji pruža usluge iz sektora socijalne zaštite i zdravlja bi trebalo da bude obučen da, u sklopu svojih osnovnih djelatnosti, rade na (a) podizanju svijesti roditelja o značaju ranog razvoja, (b) upoznavanju roditelja sa roditeljskim praksama koje su podsticajne za rani razvoj djece</w:t>
      </w:r>
      <w:r w:rsidR="007F1707" w:rsidRPr="00BC1750">
        <w:rPr>
          <w:lang w:val="sr-Latn-ME"/>
        </w:rPr>
        <w:t xml:space="preserve"> i korišćenje medij</w:t>
      </w:r>
      <w:r w:rsidR="00AE623F" w:rsidRPr="00BC1750">
        <w:rPr>
          <w:lang w:val="sr-Latn-ME"/>
        </w:rPr>
        <w:t>s</w:t>
      </w:r>
      <w:r w:rsidR="007F1707" w:rsidRPr="00BC1750">
        <w:rPr>
          <w:lang w:val="sr-Latn-ME"/>
        </w:rPr>
        <w:t>kih sadržaja koji su kreirani za roditelje (vidi operativni cilj 2.5)</w:t>
      </w:r>
      <w:r w:rsidR="00FC49D9" w:rsidRPr="00BC1750">
        <w:rPr>
          <w:lang w:val="sr-Latn-ME"/>
        </w:rPr>
        <w:t>, (c) podizanju zainteresovanosti roditelja za uključivanje djece u programe PVO od najranijeg uzrasta</w:t>
      </w:r>
      <w:r w:rsidR="007F1707" w:rsidRPr="00BC1750">
        <w:rPr>
          <w:lang w:val="sr-Latn-ME"/>
        </w:rPr>
        <w:t xml:space="preserve">, </w:t>
      </w:r>
      <w:r w:rsidR="00FC49D9" w:rsidRPr="00BC1750">
        <w:rPr>
          <w:lang w:val="sr-Latn-ME"/>
        </w:rPr>
        <w:t xml:space="preserve">(d) podsticanju roditelja da koriste </w:t>
      </w:r>
      <w:r w:rsidR="002A08AC" w:rsidRPr="00BC1750">
        <w:rPr>
          <w:lang w:val="sr-Latn-ME"/>
        </w:rPr>
        <w:t>usluge interaktivnih službi i biblioteka igračaka i knjiga (tamo gdje su one dostupne)</w:t>
      </w:r>
      <w:r w:rsidR="00FC49D9" w:rsidRPr="00BC1750">
        <w:rPr>
          <w:lang w:val="sr-Latn-ME"/>
        </w:rPr>
        <w:t xml:space="preserve">. U razvoju takvog treninga treba da se koriste dosadašnja dobra iskustva koja imaju vaspitači iz PU, kao i iskustva iz primjene programa „Roditeljstvo za cjeloživotno zdravlje”. </w:t>
      </w:r>
    </w:p>
    <w:p w14:paraId="4CDD4B71" w14:textId="77777777" w:rsidR="00566A90" w:rsidRDefault="00566A90" w:rsidP="0023027A">
      <w:pPr>
        <w:rPr>
          <w:szCs w:val="24"/>
          <w:lang w:val="sr-Latn-ME"/>
        </w:rPr>
      </w:pPr>
    </w:p>
    <w:p w14:paraId="0FC6D784" w14:textId="1000B37C" w:rsidR="0023027A" w:rsidRPr="00BC1750" w:rsidRDefault="0023027A" w:rsidP="0023027A">
      <w:pPr>
        <w:rPr>
          <w:szCs w:val="24"/>
          <w:lang w:val="sr-Latn-ME"/>
        </w:rPr>
      </w:pPr>
      <w:r w:rsidRPr="00BC1750">
        <w:rPr>
          <w:szCs w:val="24"/>
          <w:lang w:val="sr-Latn-ME"/>
        </w:rPr>
        <w:t>Posebno je važno da se pruži adekvatn</w:t>
      </w:r>
      <w:r w:rsidR="00566A90">
        <w:rPr>
          <w:szCs w:val="24"/>
          <w:lang w:val="sr-Latn-ME"/>
        </w:rPr>
        <w:t>a i pravovr</w:t>
      </w:r>
      <w:r w:rsidR="00F93CEC" w:rsidRPr="00BC1750">
        <w:rPr>
          <w:szCs w:val="24"/>
          <w:lang w:val="sr-Latn-ME"/>
        </w:rPr>
        <w:t>emena podrška roditeljima</w:t>
      </w:r>
      <w:r w:rsidRPr="00BC1750">
        <w:rPr>
          <w:szCs w:val="24"/>
          <w:lang w:val="sr-Latn-ME"/>
        </w:rPr>
        <w:t xml:space="preserve"> </w:t>
      </w:r>
      <w:r w:rsidR="00354802" w:rsidRPr="00BC1750">
        <w:rPr>
          <w:szCs w:val="24"/>
          <w:lang w:val="sr-Latn-ME"/>
        </w:rPr>
        <w:t>dje</w:t>
      </w:r>
      <w:r w:rsidRPr="00BC1750">
        <w:rPr>
          <w:szCs w:val="24"/>
          <w:lang w:val="sr-Latn-ME"/>
        </w:rPr>
        <w:t xml:space="preserve">ce sa </w:t>
      </w:r>
      <w:r w:rsidR="00F93CEC" w:rsidRPr="00BC1750">
        <w:rPr>
          <w:szCs w:val="24"/>
          <w:lang w:val="sr-Latn-ME"/>
        </w:rPr>
        <w:t>posebnim potrebama</w:t>
      </w:r>
      <w:r w:rsidRPr="00BC1750">
        <w:rPr>
          <w:szCs w:val="24"/>
          <w:lang w:val="sr-Latn-ME"/>
        </w:rPr>
        <w:t xml:space="preserve">. Važno je da se iskoriste postojeći resursi, reorganizuju i/ili uspostave integrisane usluge u lokalnoj zajednici kako bi se obezbijedila adekvatna  dostupnost za rano otkrivanje i rad na smetnji i teškoći u razvoja </w:t>
      </w:r>
      <w:r w:rsidR="00354802" w:rsidRPr="00BC1750">
        <w:rPr>
          <w:szCs w:val="24"/>
          <w:lang w:val="sr-Latn-ME"/>
        </w:rPr>
        <w:t>d</w:t>
      </w:r>
      <w:r w:rsidR="00AE623F" w:rsidRPr="00BC1750">
        <w:rPr>
          <w:szCs w:val="24"/>
          <w:lang w:val="sr-Latn-ME"/>
        </w:rPr>
        <w:t>i</w:t>
      </w:r>
      <w:r w:rsidR="00354802" w:rsidRPr="00BC1750">
        <w:rPr>
          <w:szCs w:val="24"/>
          <w:lang w:val="sr-Latn-ME"/>
        </w:rPr>
        <w:t>je</w:t>
      </w:r>
      <w:r w:rsidRPr="00BC1750">
        <w:rPr>
          <w:szCs w:val="24"/>
          <w:lang w:val="sr-Latn-ME"/>
        </w:rPr>
        <w:t xml:space="preserve">teta. Neophodno je da zdravstvene ustanove ostvare saradnju sa predškolskim ustanovama, resursnim i centrima za dnevni boravak, sa ciljem razvoja plana podrške koji će se koristiti kao osnov za IROP uz učešće i osnaživanje roditelja. </w:t>
      </w:r>
      <w:r w:rsidR="00BF33CD" w:rsidRPr="00BC1750">
        <w:rPr>
          <w:szCs w:val="24"/>
          <w:lang w:val="sr-Latn-ME"/>
        </w:rPr>
        <w:t>Pored toga, potrebno je o</w:t>
      </w:r>
      <w:r w:rsidRPr="00BC1750">
        <w:rPr>
          <w:szCs w:val="24"/>
          <w:lang w:val="sr-Latn-ME"/>
        </w:rPr>
        <w:t>smisliti model i mehanizam saradnje između dnevnih boravaka, domova zdravlja, vrtića</w:t>
      </w:r>
      <w:r w:rsidR="00C97DCB" w:rsidRPr="00BC1750">
        <w:rPr>
          <w:szCs w:val="24"/>
          <w:lang w:val="sr-Latn-ME"/>
        </w:rPr>
        <w:t xml:space="preserve"> </w:t>
      </w:r>
      <w:r w:rsidRPr="00BC1750">
        <w:rPr>
          <w:szCs w:val="24"/>
          <w:lang w:val="sr-Latn-ME"/>
        </w:rPr>
        <w:t xml:space="preserve">i resursnih centara. Dnevni boravci kao servisi dječije i socijalne zaštite treba da budu bolje iskorišćeni, podrška inkluzivnom obrazovanju, kao i dopuna zdravstvenim uslugama (rana intervencija, rehabilitacija, tretmani). Promovisati proces usmjeravanja </w:t>
      </w:r>
      <w:r w:rsidR="00C06A62" w:rsidRPr="00BC1750">
        <w:rPr>
          <w:szCs w:val="24"/>
          <w:lang w:val="sr-Latn-ME"/>
        </w:rPr>
        <w:t xml:space="preserve">djece sa posebnim obrazovnim potrebama </w:t>
      </w:r>
      <w:r w:rsidRPr="00BC1750">
        <w:rPr>
          <w:szCs w:val="24"/>
          <w:lang w:val="sr-Latn-ME"/>
        </w:rPr>
        <w:t>i pravo na besplatan vrtić</w:t>
      </w:r>
      <w:r w:rsidR="00C06A62" w:rsidRPr="00BC1750">
        <w:rPr>
          <w:szCs w:val="24"/>
          <w:lang w:val="sr-Latn-ME"/>
        </w:rPr>
        <w:t xml:space="preserve"> i</w:t>
      </w:r>
      <w:r w:rsidRPr="00BC1750">
        <w:rPr>
          <w:szCs w:val="24"/>
          <w:lang w:val="sr-Latn-ME"/>
        </w:rPr>
        <w:t xml:space="preserve"> usluge resursnih centara. Nastaviti rad stručnjaka iz resursnih centara u smjeru stalne obuke, neposrednog vođenja i podrške vaspitačima iz PU u razvoju kapaciteta za rad sa djecom sa posebnim potrebama (prepoznavanje potreba, prilagođavanje i izradu didaktičkih sredstava i slično). </w:t>
      </w:r>
      <w:r w:rsidR="00F93CEC" w:rsidRPr="00BC1750">
        <w:rPr>
          <w:szCs w:val="24"/>
          <w:lang w:val="sr-Latn-ME"/>
        </w:rPr>
        <w:t>Konačno, k</w:t>
      </w:r>
      <w:r w:rsidRPr="00BC1750">
        <w:rPr>
          <w:szCs w:val="24"/>
          <w:lang w:val="sr-Latn-ME"/>
        </w:rPr>
        <w:t xml:space="preserve">roz pomenute centre </w:t>
      </w:r>
      <w:r w:rsidR="00F93CEC" w:rsidRPr="00BC1750">
        <w:rPr>
          <w:szCs w:val="24"/>
          <w:lang w:val="sr-Latn-ME"/>
        </w:rPr>
        <w:t>i</w:t>
      </w:r>
      <w:r w:rsidRPr="00BC1750">
        <w:rPr>
          <w:szCs w:val="24"/>
          <w:lang w:val="sr-Latn-ME"/>
        </w:rPr>
        <w:t xml:space="preserve">zvrsnosti </w:t>
      </w:r>
      <w:r w:rsidR="00F93CEC" w:rsidRPr="00BC1750">
        <w:rPr>
          <w:szCs w:val="24"/>
          <w:lang w:val="sr-Latn-ME"/>
        </w:rPr>
        <w:t xml:space="preserve">treba </w:t>
      </w:r>
      <w:r w:rsidRPr="00BC1750">
        <w:rPr>
          <w:szCs w:val="24"/>
          <w:lang w:val="sr-Latn-ME"/>
        </w:rPr>
        <w:t xml:space="preserve">uključiti i </w:t>
      </w:r>
      <w:r w:rsidR="00F93CEC" w:rsidRPr="00BC1750">
        <w:rPr>
          <w:szCs w:val="24"/>
          <w:lang w:val="sr-Latn-ME"/>
        </w:rPr>
        <w:t xml:space="preserve">dobre prakse iz ovog </w:t>
      </w:r>
      <w:r w:rsidRPr="00BC1750">
        <w:rPr>
          <w:szCs w:val="24"/>
          <w:lang w:val="sr-Latn-ME"/>
        </w:rPr>
        <w:t>segment</w:t>
      </w:r>
      <w:r w:rsidR="00F93CEC" w:rsidRPr="00BC1750">
        <w:rPr>
          <w:szCs w:val="24"/>
          <w:lang w:val="sr-Latn-ME"/>
        </w:rPr>
        <w:t>a</w:t>
      </w:r>
      <w:r w:rsidRPr="00BC1750">
        <w:rPr>
          <w:szCs w:val="24"/>
          <w:lang w:val="sr-Latn-ME"/>
        </w:rPr>
        <w:t>.</w:t>
      </w:r>
    </w:p>
    <w:p w14:paraId="60A404BE" w14:textId="77777777" w:rsidR="00566A90" w:rsidRDefault="00566A90" w:rsidP="0023027A">
      <w:pPr>
        <w:rPr>
          <w:lang w:val="sr-Latn-ME"/>
        </w:rPr>
      </w:pPr>
    </w:p>
    <w:p w14:paraId="471CCB88" w14:textId="3806EBA4" w:rsidR="0023027A" w:rsidRPr="00BC1750" w:rsidRDefault="0086219F" w:rsidP="0023027A">
      <w:pPr>
        <w:rPr>
          <w:lang w:val="sr-Latn-ME"/>
        </w:rPr>
      </w:pPr>
      <w:r w:rsidRPr="00BC1750">
        <w:rPr>
          <w:lang w:val="sr-Latn-ME"/>
        </w:rPr>
        <w:t>Pored djece sa posebnim potrebama posebna pažnja treba da bude posvećena i d</w:t>
      </w:r>
      <w:r w:rsidR="00A428F6">
        <w:rPr>
          <w:lang w:val="sr-Latn-ME"/>
        </w:rPr>
        <w:t>j</w:t>
      </w:r>
      <w:r w:rsidRPr="00BC1750">
        <w:rPr>
          <w:lang w:val="sr-Latn-ME"/>
        </w:rPr>
        <w:t xml:space="preserve">eci koja su na dužoj hospitalizaciji. U tom smislu, </w:t>
      </w:r>
      <w:r w:rsidR="00870B16" w:rsidRPr="00BC1750">
        <w:rPr>
          <w:lang w:val="sr-Latn-ME"/>
        </w:rPr>
        <w:t xml:space="preserve">u narednom periodu treba ojačati saradnju sa sektorom zdravstva </w:t>
      </w:r>
      <w:r w:rsidR="007F1707" w:rsidRPr="00BC1750">
        <w:rPr>
          <w:lang w:val="sr-Latn-ME"/>
        </w:rPr>
        <w:t xml:space="preserve">sa ciljem da </w:t>
      </w:r>
      <w:r w:rsidR="00D441CB" w:rsidRPr="00BC1750">
        <w:rPr>
          <w:lang w:val="sr-Latn-ME"/>
        </w:rPr>
        <w:t xml:space="preserve">PU pruže podršku zdravstvenim ustanovama u razvijanju i primjeni </w:t>
      </w:r>
      <w:r w:rsidR="007F1707" w:rsidRPr="00BC1750">
        <w:rPr>
          <w:lang w:val="sr-Latn-ME"/>
        </w:rPr>
        <w:t xml:space="preserve">dodatnih aktivnosti sa djecom koje bi bile usmjerene na pružanje podrške ranom razvoju djece dok </w:t>
      </w:r>
      <w:r w:rsidR="007F1707" w:rsidRPr="00BC1750">
        <w:rPr>
          <w:lang w:val="sr-Latn-ME"/>
        </w:rPr>
        <w:lastRenderedPageBreak/>
        <w:t xml:space="preserve">su na bolničkom liječenju. Pored toga, pružanje podrške od strane PU treba da uključi i trening za korišćenje snimljenih materijala za podsticanje ranog razvoja djece. </w:t>
      </w:r>
    </w:p>
    <w:p w14:paraId="09452C98" w14:textId="77777777" w:rsidR="00F43E15" w:rsidRDefault="00F43E15" w:rsidP="006B7669">
      <w:pPr>
        <w:pStyle w:val="Heading1"/>
        <w:rPr>
          <w:rFonts w:cs="Times New Roman"/>
          <w:lang w:val="sr-Latn-ME"/>
        </w:rPr>
      </w:pPr>
    </w:p>
    <w:p w14:paraId="67297149" w14:textId="39732226" w:rsidR="006B7669" w:rsidRPr="00F43E15" w:rsidRDefault="006B7669" w:rsidP="006B7669">
      <w:pPr>
        <w:pStyle w:val="Heading1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 xml:space="preserve">5. Opis aktivnosti nadležnih organa i tijela za </w:t>
      </w:r>
      <w:r w:rsidRPr="00F43E15">
        <w:rPr>
          <w:rFonts w:cs="Times New Roman"/>
          <w:lang w:val="sr-Latn-ME"/>
        </w:rPr>
        <w:t>praćenje sprovođenja strategije</w:t>
      </w:r>
    </w:p>
    <w:p w14:paraId="5B15E352" w14:textId="24636D12" w:rsidR="00142083" w:rsidRPr="00BC1750" w:rsidRDefault="00F43E15" w:rsidP="006B7669">
      <w:pPr>
        <w:spacing w:after="160"/>
        <w:ind w:firstLine="0"/>
        <w:rPr>
          <w:lang w:val="sr-Latn-ME"/>
        </w:rPr>
      </w:pPr>
      <w:r w:rsidRPr="00F43E15">
        <w:rPr>
          <w:lang w:val="sr-Latn-ME"/>
        </w:rPr>
        <w:t xml:space="preserve">Za praćenje implementacije Strategije ranog i predškolskog vaspitanja i obrazovanja 2021-2024 biće formirana Radna grupa čiji predstavnici će biti iz institucija koje su u prepoznate kroz aktivnosti u okviru </w:t>
      </w:r>
      <w:r w:rsidR="0013447C" w:rsidRPr="00F43E15">
        <w:rPr>
          <w:lang w:val="sr-Latn-ME"/>
        </w:rPr>
        <w:t>Akcion</w:t>
      </w:r>
      <w:r w:rsidRPr="00F43E15">
        <w:rPr>
          <w:lang w:val="sr-Latn-ME"/>
        </w:rPr>
        <w:t>og</w:t>
      </w:r>
      <w:r w:rsidR="0013447C" w:rsidRPr="00F43E15">
        <w:rPr>
          <w:lang w:val="sr-Latn-ME"/>
        </w:rPr>
        <w:t xml:space="preserve"> plan</w:t>
      </w:r>
      <w:r w:rsidRPr="00F43E15">
        <w:rPr>
          <w:lang w:val="sr-Latn-ME"/>
        </w:rPr>
        <w:t>a (Ministarstva zdravlja, Ministarstva rada i socij</w:t>
      </w:r>
      <w:r w:rsidR="00566A90">
        <w:rPr>
          <w:lang w:val="sr-Latn-ME"/>
        </w:rPr>
        <w:t>al</w:t>
      </w:r>
      <w:r w:rsidRPr="00F43E15">
        <w:rPr>
          <w:lang w:val="sr-Latn-ME"/>
        </w:rPr>
        <w:t>nog staranja) i NVO sektor.</w:t>
      </w:r>
      <w:r w:rsidR="0013447C" w:rsidRPr="00F43E15">
        <w:rPr>
          <w:lang w:val="sr-Latn-ME"/>
        </w:rPr>
        <w:t xml:space="preserve"> </w:t>
      </w:r>
      <w:r w:rsidRPr="00F43E15">
        <w:rPr>
          <w:lang w:val="sr-Latn-ME"/>
        </w:rPr>
        <w:t>Cilj Radne grupe je da prati realizaciju postavljenih aktivnosti, kao i godišnje</w:t>
      </w:r>
      <w:r>
        <w:rPr>
          <w:lang w:val="sr-Latn-ME"/>
        </w:rPr>
        <w:t xml:space="preserve"> informisanje Vlade Crne Gore o postignutom.</w:t>
      </w:r>
    </w:p>
    <w:p w14:paraId="247201AE" w14:textId="77777777" w:rsidR="00142083" w:rsidRPr="00BC1750" w:rsidRDefault="00142083" w:rsidP="006B7669">
      <w:pPr>
        <w:spacing w:after="160"/>
        <w:ind w:firstLine="0"/>
        <w:rPr>
          <w:lang w:val="sr-Latn-ME"/>
        </w:rPr>
      </w:pPr>
    </w:p>
    <w:p w14:paraId="0DC4F19B" w14:textId="77777777" w:rsidR="006B7669" w:rsidRPr="00BC1750" w:rsidRDefault="006B7669" w:rsidP="006B7669">
      <w:pPr>
        <w:spacing w:after="160"/>
        <w:ind w:firstLine="0"/>
        <w:rPr>
          <w:lang w:val="sr-Latn-ME"/>
        </w:rPr>
      </w:pPr>
    </w:p>
    <w:p w14:paraId="3BEBF8A1" w14:textId="60C26C83" w:rsidR="006B7669" w:rsidRPr="00BC1750" w:rsidRDefault="006B7669" w:rsidP="006B7669">
      <w:pPr>
        <w:pStyle w:val="Heading1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t>6. Način izvještavanja i evaluacije</w:t>
      </w:r>
    </w:p>
    <w:p w14:paraId="443FFF25" w14:textId="60459A23" w:rsidR="006B7669" w:rsidRPr="00BC1750" w:rsidRDefault="00F43E15" w:rsidP="006B7669">
      <w:pPr>
        <w:spacing w:after="160"/>
        <w:ind w:firstLine="0"/>
        <w:rPr>
          <w:lang w:val="sr-Latn-ME"/>
        </w:rPr>
      </w:pPr>
      <w:r>
        <w:rPr>
          <w:lang w:val="sr-Latn-ME"/>
        </w:rPr>
        <w:t>Ministarstvo prosvjete je u obavezi da izvijesti Vladu Crne Gore o realizovanim aktivnostima za svaku pojedinačnu godinu trajanja Strategije, kao i da na kraju perioda sačini konačan izvještaj.</w:t>
      </w:r>
    </w:p>
    <w:p w14:paraId="1143702A" w14:textId="16352E13" w:rsidR="00F43E15" w:rsidRDefault="00F43E15">
      <w:pPr>
        <w:spacing w:after="160"/>
        <w:ind w:firstLine="0"/>
        <w:rPr>
          <w:rFonts w:eastAsiaTheme="majorEastAsia"/>
          <w:b/>
          <w:caps/>
          <w:color w:val="000000" w:themeColor="text1"/>
          <w:sz w:val="28"/>
          <w:szCs w:val="32"/>
          <w:lang w:val="sr-Latn-ME"/>
        </w:rPr>
      </w:pPr>
    </w:p>
    <w:p w14:paraId="5DD91BE1" w14:textId="77777777" w:rsidR="00F43E15" w:rsidRDefault="00F43E15" w:rsidP="00F43E15">
      <w:pPr>
        <w:pStyle w:val="Heading1"/>
        <w:ind w:firstLine="0"/>
        <w:jc w:val="both"/>
        <w:rPr>
          <w:rFonts w:cs="Times New Roman"/>
          <w:lang w:val="sr-Latn-ME"/>
        </w:rPr>
        <w:sectPr w:rsidR="00F43E15" w:rsidSect="00F43E15"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F2E7668" w14:textId="7A2F347A" w:rsidR="00F43E15" w:rsidRPr="00B5024A" w:rsidRDefault="006B7669" w:rsidP="00B5024A">
      <w:pPr>
        <w:pStyle w:val="Heading1"/>
        <w:ind w:firstLine="0"/>
        <w:jc w:val="both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lastRenderedPageBreak/>
        <w:t>7. Prateći akcioni plan s procjenom troškova</w:t>
      </w:r>
    </w:p>
    <w:p w14:paraId="09EC21CD" w14:textId="5E02BEBF" w:rsidR="00B5024A" w:rsidRDefault="00B5024A" w:rsidP="00F43E15">
      <w:pPr>
        <w:rPr>
          <w:sz w:val="22"/>
        </w:rPr>
      </w:pPr>
      <w:r>
        <w:rPr>
          <w:lang w:val="sr-Latn-ME"/>
        </w:rPr>
        <w:fldChar w:fldCharType="begin"/>
      </w:r>
      <w:r>
        <w:rPr>
          <w:lang w:val="sr-Latn-ME"/>
        </w:rPr>
        <w:instrText xml:space="preserve"> LINK Excel.Sheet.12 "C:\\Users\\user\\Desktop\\Strategija 2021 2024 akcioni plan ver7 1.8.2020 (3).xlsx" "Akcioni plan!R2C1:R62C9" \a \f 4 \h </w:instrText>
      </w:r>
      <w:r w:rsidR="001E4AB6">
        <w:rPr>
          <w:lang w:val="sr-Latn-ME"/>
        </w:rPr>
        <w:instrText xml:space="preserve"> \* MERGEFORMAT </w:instrText>
      </w:r>
      <w:r>
        <w:rPr>
          <w:lang w:val="sr-Latn-ME"/>
        </w:rPr>
        <w:fldChar w:fldCharType="separate"/>
      </w:r>
    </w:p>
    <w:tbl>
      <w:tblPr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67"/>
        <w:gridCol w:w="572"/>
        <w:gridCol w:w="1554"/>
        <w:gridCol w:w="572"/>
        <w:gridCol w:w="1824"/>
        <w:gridCol w:w="618"/>
        <w:gridCol w:w="388"/>
        <w:gridCol w:w="431"/>
        <w:gridCol w:w="136"/>
        <w:gridCol w:w="567"/>
        <w:gridCol w:w="289"/>
        <w:gridCol w:w="137"/>
        <w:gridCol w:w="566"/>
        <w:gridCol w:w="147"/>
        <w:gridCol w:w="845"/>
        <w:gridCol w:w="148"/>
        <w:gridCol w:w="425"/>
        <w:gridCol w:w="419"/>
        <w:gridCol w:w="148"/>
        <w:gridCol w:w="142"/>
        <w:gridCol w:w="855"/>
      </w:tblGrid>
      <w:tr w:rsidR="00B5024A" w:rsidRPr="00B5024A" w14:paraId="7F681783" w14:textId="77777777" w:rsidTr="00823DF7">
        <w:trPr>
          <w:trHeight w:val="315"/>
        </w:trPr>
        <w:tc>
          <w:tcPr>
            <w:tcW w:w="137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7E821DE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Strateški cilj 1. Povećanje obuhvata PVO</w:t>
            </w:r>
          </w:p>
        </w:tc>
      </w:tr>
      <w:tr w:rsidR="00B5024A" w:rsidRPr="00B5024A" w14:paraId="598C7EE3" w14:textId="77777777" w:rsidTr="00823DF7">
        <w:trPr>
          <w:trHeight w:val="743"/>
        </w:trPr>
        <w:tc>
          <w:tcPr>
            <w:tcW w:w="137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hideMark/>
          </w:tcPr>
          <w:p w14:paraId="575B02EF" w14:textId="666BCE7F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Ishod: Do 2024. godine povećati uključenost djece predškolskog uzrasta u programe predškolskog vaspitanja i obrazovanja i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obezbijediti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ukupan obuhvat djece od 60% sa obuhvatom od 30% djece mlađe od 3 godine i 90% djece starije od 3 godine. </w:t>
            </w:r>
          </w:p>
        </w:tc>
      </w:tr>
      <w:tr w:rsidR="00B5024A" w:rsidRPr="00B5024A" w14:paraId="7C7BDE14" w14:textId="77777777" w:rsidTr="00823DF7">
        <w:trPr>
          <w:trHeight w:val="1080"/>
        </w:trPr>
        <w:tc>
          <w:tcPr>
            <w:tcW w:w="137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DECB22A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1.1 Ukupan obuhvat djece uzrasta od 0 do 6 godina (MONSTAT) - 52% (2020) 56% (2022) 60%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>Indikator 1.2 Ukupan obuhvat djece uzrasta od 3 do 6 godina (MONSTAT) - 76% (2020) 83% (2022) 90%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>Indikator 1.3 Ukupan obuhvat djece uzrasta od 0 do 3 godina (MONSTAT) - 27% (2020) 28% (2022) 30% (2024)</w:t>
            </w:r>
          </w:p>
        </w:tc>
      </w:tr>
      <w:tr w:rsidR="00B5024A" w:rsidRPr="00B5024A" w14:paraId="232E3298" w14:textId="77777777" w:rsidTr="00823DF7">
        <w:trPr>
          <w:trHeight w:val="12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703A9F7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29C3695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Aktivnosti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DE6C167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Indikator/i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966CF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Očekivani rezultat 2022.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DE07802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Očekivani rezultat 2024.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768CADA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Period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A3AFD24" w14:textId="77777777" w:rsidR="00B5024A" w:rsidRPr="00B5024A" w:rsidRDefault="00B5024A" w:rsidP="001E4AB6">
            <w:pPr>
              <w:spacing w:line="240" w:lineRule="auto"/>
              <w:ind w:hanging="108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Potrebni resursi u €/izvor finansiranja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0E0FCB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Nosioci aktivnost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A809DB0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Partneri </w:t>
            </w:r>
          </w:p>
        </w:tc>
      </w:tr>
      <w:tr w:rsidR="00B5024A" w:rsidRPr="00B5024A" w14:paraId="07D75A01" w14:textId="77777777" w:rsidTr="00823DF7">
        <w:trPr>
          <w:trHeight w:val="1200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3E57B9E6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1.1: Povećanje kapaciteta u javnim predškolskim ustanovama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1.1.1 Ukupna nova površina u javnim PU (m2) (MEIS) - 0m2 (2020)       6000m2 (2022)        13000m2 (2024)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8DB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1.1.1 Izgradnja novih namenskih objekata za potrebe javnih PU 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155B1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Ukupna nova površina u novim objektima javnih PU (m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) (MEIS)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2C7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6000m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777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13000m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1C52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95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C73F" w14:textId="1AAF16C9" w:rsidR="00B5024A" w:rsidRPr="00B5024A" w:rsidRDefault="001E4AB6" w:rsidP="001E4AB6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3913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5C631C15" w14:textId="77777777" w:rsidTr="00823DF7">
        <w:trPr>
          <w:trHeight w:val="2723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49C79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AC1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1.1.2 Proširenje prostornih kapaciteta postojećih objekata koje koriste javne PU kroz dogradnju, nadogradnju ili rekonstrukciju (djelomičnu ili potpunu)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E76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Ukupna nova površina u adaptiranim objektima javnih PU (m2) (MEIS)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7BD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500m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BE4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1000m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1405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D64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9460" w14:textId="4E70015F" w:rsidR="00B5024A" w:rsidRPr="00B5024A" w:rsidRDefault="00B5024A" w:rsidP="001E4AB6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147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32B68A79" w14:textId="77777777" w:rsidTr="00823DF7">
        <w:trPr>
          <w:trHeight w:val="1550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61394A90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lastRenderedPageBreak/>
              <w:t>Operativni cilj 1.2: Povećanje kapaciteta kroz adaptaciju javnih lokalnih prostora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1.2.1 Ukupna površina u novim adaptiranim prostorima (m2) (MEIS) - 0m2 (2020)       500m2 (2022)        1500m2 (2024)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569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1.2.1 Identifikovati odgovarajuće javne lokalne prostore u opštinama gde postoji potreba za širenjem kapaciteta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EEB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spiskom odgovarajućih javnih lokalnih prostora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D91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35E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A924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B0F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698B" w14:textId="7D3F683F" w:rsidR="00B5024A" w:rsidRPr="00B5024A" w:rsidRDefault="001E4AB6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MP, </w:t>
            </w:r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LS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85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40FA0968" w14:textId="77777777" w:rsidTr="00823DF7">
        <w:trPr>
          <w:trHeight w:val="1259"/>
        </w:trPr>
        <w:tc>
          <w:tcPr>
            <w:tcW w:w="296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B10E9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830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1.2.2 Izabrati odgovarajuće lokalne prostore za adaptaciju i izraditi plan njihove adaptacije i opremanja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68DB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analizom adekvatnosti lokalnih prostora i planom adaptacije i opremanja odgovarajućih lokalnih prostora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4DB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02C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66F4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69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6471" w14:textId="03AB0ED5" w:rsidR="00B5024A" w:rsidRPr="00B5024A" w:rsidRDefault="001E4AB6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MP, </w:t>
            </w:r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LS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11C5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6B43B315" w14:textId="77777777" w:rsidTr="00823DF7">
        <w:trPr>
          <w:trHeight w:val="462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7AAA7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BAA1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1.2.3 Adaptirati i opremiti izabrane lokalne protore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BD4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Ukupna površina u novim adaptiranim prostorima (m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) (MEIS)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4FB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500m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D96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1500m</w:t>
            </w:r>
            <w:r w:rsidRPr="001E4AB6">
              <w:rPr>
                <w:rFonts w:ascii="Garamond" w:eastAsia="Times New Roman" w:hAnsi="Garamond" w:cs="Calibri"/>
                <w:sz w:val="22"/>
                <w:szCs w:val="22"/>
                <w:vertAlign w:val="superscript"/>
                <w:lang w:val="sr-Latn-ME" w:eastAsia="sr-Latn-ME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2DA6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073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38AE" w14:textId="31936192" w:rsidR="00B5024A" w:rsidRPr="00B5024A" w:rsidRDefault="001E4AB6" w:rsidP="001E4AB6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214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DE730E5" w14:textId="77777777" w:rsidTr="00823DF7">
        <w:trPr>
          <w:trHeight w:val="403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1F3A0F3D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1.3: Povećanje kapaciteta mreže interaktivnih službi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1.3.1 Broj punktova interaktivne službe (MEIS) - 28 (2020)       42 (2022)       56 (2024)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4C23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1.3.1 Analiza potreba za širenje usluga interaktivnih službi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9E4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analizom potreba za širenje interaktivne službe sa preporukama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C3A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4CD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A627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FC0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C541" w14:textId="2CFF517A" w:rsidR="00B5024A" w:rsidRPr="00B5024A" w:rsidRDefault="00B5024A" w:rsidP="001E4AB6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MP, </w:t>
            </w:r>
            <w:r w:rsidR="001E4AB6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PU</w:t>
            </w:r>
          </w:p>
        </w:tc>
        <w:tc>
          <w:tcPr>
            <w:tcW w:w="11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B1C3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32B60E08" w14:textId="77777777" w:rsidTr="00823DF7">
        <w:trPr>
          <w:trHeight w:val="955"/>
        </w:trPr>
        <w:tc>
          <w:tcPr>
            <w:tcW w:w="2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B87D9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74AF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1.3.2 Novi punktovi interktivne službe su dostupni na novim lokacijama gde je potreba najveća 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4A2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Broj punktova interaktivne službe (MEIS)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4EE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42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99A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DD41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4B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481D" w14:textId="737B36A2" w:rsidR="00B5024A" w:rsidRPr="00B5024A" w:rsidRDefault="00B5024A" w:rsidP="001E4AB6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7B1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349D18F" w14:textId="77777777" w:rsidTr="00823DF7">
        <w:trPr>
          <w:trHeight w:val="1540"/>
        </w:trPr>
        <w:tc>
          <w:tcPr>
            <w:tcW w:w="29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0D452479" w14:textId="00335F38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1.4: Izraditi dugoročni plan širenja kapaciteta koji će uključiti i inovativne, društveno odgovorne opcije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1.4.1 Usvojen dugoročni plan širenja kapaciteta - Ne (2020)       Ne (2022)        Da (2024)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E81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1.4.1 Izraditi analizu o opravdanosti i održivosti različitih opcija za širenje kapaciteta PVO za period 2025-2028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5B53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analizom pripremljen</w:t>
            </w:r>
          </w:p>
        </w:tc>
        <w:tc>
          <w:tcPr>
            <w:tcW w:w="10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55F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DF1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66D5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A04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34F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5765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560A31DD" w14:textId="77777777" w:rsidTr="00823DF7">
        <w:trPr>
          <w:trHeight w:val="841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086F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479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1.4.2 Plan za širenje kapaciteta PVO za period 2025-2028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4234" w14:textId="77777777" w:rsidR="00B5024A" w:rsidRPr="00B5024A" w:rsidRDefault="00B5024A" w:rsidP="00566A90">
            <w:pPr>
              <w:spacing w:line="240" w:lineRule="auto"/>
              <w:ind w:hanging="108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planom širenja kapaciteta za period 2025-2028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9B8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A32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7366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F48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F57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FF2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4E7B57E2" w14:textId="77777777" w:rsidTr="00823DF7">
        <w:trPr>
          <w:trHeight w:val="1408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6027DC33" w14:textId="3EFF75EA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lastRenderedPageBreak/>
              <w:t>Operativni cilj 1.5: Jačati svijest javnosti o značaju uključivanja djece u programe ranog i predškolskog učenja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  <w:t>Indikator 1.5.1 Kampanja za podizanje</w:t>
            </w:r>
            <w:r w:rsidR="004C099B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 svesti o značaju uključivanja dj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ece u programe ranog i predškolskog učenja je realizovana - Da (2020)       Da (2022)        Da (2024)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8676" w14:textId="3AD9CA3E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1.5.1 Realizovati istraživanje o stavovima i mišljenjima roditelja o uključivanju d</w:t>
            </w:r>
            <w:r w:rsidR="00566A90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j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ece u PVO programe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595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Dokument sa rezultatima istraživanjima i preporukom za ciljeve kampanje je usvojen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93C1" w14:textId="5A6290F9" w:rsidR="00B5024A" w:rsidRPr="00B5024A" w:rsidRDefault="004C099B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f</w:t>
            </w:r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1B5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DCB4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C82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1CB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7A2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4794EA44" w14:textId="77777777" w:rsidTr="00823DF7">
        <w:trPr>
          <w:trHeight w:val="621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47D9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4C5C" w14:textId="50307E6B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1.5.2 Realizovati kampanju za jačanje svijest roditelja i javnosti o značaju PVO programa za rani razvoj d</w:t>
            </w:r>
            <w:r w:rsidR="00566A90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j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ece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616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opisom kampanje, materijalima i analizom efekata kampanje je usvojen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841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2D9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F635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23A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78D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6B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A958C0E" w14:textId="77777777" w:rsidTr="00823DF7">
        <w:trPr>
          <w:trHeight w:val="60"/>
        </w:trPr>
        <w:tc>
          <w:tcPr>
            <w:tcW w:w="137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hideMark/>
          </w:tcPr>
          <w:p w14:paraId="36EC195B" w14:textId="4AE55109" w:rsidR="00B5024A" w:rsidRPr="00B5024A" w:rsidRDefault="00C35352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>
              <w:br w:type="page"/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Strateški cilj 2: Unapređenje i </w:t>
            </w:r>
            <w:r w:rsidR="00F23D87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obezbjeđivanje</w:t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 kvaliteta PVO</w:t>
            </w:r>
          </w:p>
        </w:tc>
      </w:tr>
      <w:tr w:rsidR="00B5024A" w:rsidRPr="00B5024A" w14:paraId="6120A4FD" w14:textId="77777777" w:rsidTr="00823DF7">
        <w:trPr>
          <w:trHeight w:val="60"/>
        </w:trPr>
        <w:tc>
          <w:tcPr>
            <w:tcW w:w="137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hideMark/>
          </w:tcPr>
          <w:p w14:paraId="762AC050" w14:textId="29072955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Ishod: Unaprijediti kvalitet predškolskog vaspitanja i obrazovanja i razviti sistem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 u skladu sa EU okvirom za visokokvalitetno PVO do 2024. godine</w:t>
            </w:r>
          </w:p>
        </w:tc>
      </w:tr>
      <w:tr w:rsidR="00B5024A" w:rsidRPr="00B5024A" w14:paraId="3CE53690" w14:textId="77777777" w:rsidTr="00823DF7">
        <w:trPr>
          <w:trHeight w:val="60"/>
        </w:trPr>
        <w:tc>
          <w:tcPr>
            <w:tcW w:w="137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hideMark/>
          </w:tcPr>
          <w:p w14:paraId="3C66555A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2.1 Broj javnih PU u kojima je prosječna veličina vaspitnih grupa do 26 djece po vaspitnoj grupi (MONSTAT) - 10 (2020) 14 (2022) 18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>Indikator 2.2 Novi plan i program PVO i novi model profesionalnog usavršavanja su usaglašeni sa EU okvirom (MP) - Ne (2020) Ne (2022) Da (2024)</w:t>
            </w:r>
          </w:p>
        </w:tc>
      </w:tr>
      <w:tr w:rsidR="00B5024A" w:rsidRPr="00B5024A" w14:paraId="552057B0" w14:textId="77777777" w:rsidTr="00823DF7">
        <w:trPr>
          <w:trHeight w:val="1215"/>
        </w:trPr>
        <w:tc>
          <w:tcPr>
            <w:tcW w:w="35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6AF61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270EBDC" w14:textId="77777777" w:rsidR="00B5024A" w:rsidRPr="00B5024A" w:rsidRDefault="00B5024A" w:rsidP="00B5024A">
            <w:pPr>
              <w:spacing w:line="240" w:lineRule="auto"/>
              <w:ind w:firstLine="0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Aktivnosti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11546A4" w14:textId="77777777" w:rsidR="00B5024A" w:rsidRPr="00B5024A" w:rsidRDefault="00B5024A" w:rsidP="00B5024A">
            <w:pPr>
              <w:spacing w:line="240" w:lineRule="auto"/>
              <w:ind w:firstLine="0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Indikator/i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843D4C0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Očekivani rezultat 2022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D45950D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Očekivani rezultat 2024.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174029E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Period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A953AA4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Potrebni resursi u €/izvor finansiranja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9F79E3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Nosioci aktivnost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B7D688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Partneri </w:t>
            </w:r>
          </w:p>
        </w:tc>
      </w:tr>
      <w:tr w:rsidR="00B5024A" w:rsidRPr="00B5024A" w14:paraId="2E6302C1" w14:textId="77777777" w:rsidTr="00823DF7">
        <w:trPr>
          <w:trHeight w:val="1812"/>
        </w:trPr>
        <w:tc>
          <w:tcPr>
            <w:tcW w:w="35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54D0E7C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2.1: Smanjivanje veličine vaspitinih grupa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2.1.1 Prosječna veličina vaspitnih grupa (MONSTAT) - 32 (2020)       30 (2022)       26 (2024)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C71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2.1.1 Analiza stanja u PU koje imaju prevelike vaspitne grupe i izrada plana za smanjivanje veličine vaspitnih grupa </w:t>
            </w:r>
          </w:p>
        </w:tc>
        <w:tc>
          <w:tcPr>
            <w:tcW w:w="24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985A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analizom stanja, planom za smanjivanje vaspitnih grupa i potrebnim kapacitetima i resursima (za svaku PU koja ima prevelike vaspitne grupe)</w:t>
            </w:r>
          </w:p>
        </w:tc>
        <w:tc>
          <w:tcPr>
            <w:tcW w:w="9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6F1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8 dokumenata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A5C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8 dokumenata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E15D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771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97492" w14:textId="5CF41DC9" w:rsidR="00B5024A" w:rsidRPr="00B5024A" w:rsidRDefault="001E4AB6" w:rsidP="001E4AB6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PU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C12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2F5DDE22" w14:textId="77777777" w:rsidTr="00823DF7">
        <w:trPr>
          <w:trHeight w:val="547"/>
        </w:trPr>
        <w:tc>
          <w:tcPr>
            <w:tcW w:w="353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D7204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DD5E" w14:textId="5409D121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2.1.2 Izrada i sprovođenje plana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kapaciteta i resursa za PU koje imaju prevelike vaspitne grupe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37CA" w14:textId="4228A7C3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Realizovan plan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kapaciteta i resursa za PU u cilju smanjivanje veličine vaspitnih grupa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15A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4 PU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764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8 PU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FD4D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A5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454B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26A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9730D2" w14:paraId="1917017A" w14:textId="77777777" w:rsidTr="00823DF7">
        <w:trPr>
          <w:trHeight w:val="1124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3F1F8AB4" w14:textId="6B4AD15E" w:rsidR="00B5024A" w:rsidRPr="00B5024A" w:rsidRDefault="00C35352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>
              <w:lastRenderedPageBreak/>
              <w:br w:type="page"/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2.2: Razvoj i primjena osavremenjenog Plana i programa PVO</w:t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2.2.1 Osavremenjeni Plan i program PVO razvijen, usvojen i primjenjuje se  (MP) - Ne (2020)       Ne (2022)       Da (2024)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F8C1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2.2.1 Razvoj osavremenjenog javno važećeg plana i programa PVO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C40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Predlog novog javno važećeg plana i programa PVO je usvojen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181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D74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CB35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996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F21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ZzŠ, Nacionalni savjet za obrazovanje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34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28AE0845" w14:textId="77777777" w:rsidTr="00823DF7">
        <w:trPr>
          <w:trHeight w:val="763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06383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694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2.2.2 Pripreme PU za implementaciju novog plana i programa PVO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076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analizom ostvarenosti uslova na nivou PU potrebnih za uspešnu implementaciju novog plana i programa PVO je usvojen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3249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F2F0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597C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A4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22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F19D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0EB9C09A" w14:textId="77777777" w:rsidTr="00823DF7">
        <w:trPr>
          <w:trHeight w:val="1109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1263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393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2.2.3. Priprema savetodavne podrške koja je potrebna PU da bi uspešno realizovali novi plan i program PVO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668B" w14:textId="38B6A432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Izvještaj o oblicima podrške koji su obezb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ij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eđeni za PU je usvojen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BB67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4CB0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A6EE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97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0C2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ZzŠ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15E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639EAF6F" w14:textId="77777777" w:rsidTr="00823DF7">
        <w:trPr>
          <w:trHeight w:val="993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E7A76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C24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2.2.4 Primjena novog plana i programa PVO u svim PU uz sistematsko praćenje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0D9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Izveštaj o implementaciji novog plana i programa PVO sa preporukama za unapređenje je usvojen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0DA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BC70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6D2C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2023-2024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271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CD0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908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51668C88" w14:textId="77777777" w:rsidTr="00823DF7">
        <w:trPr>
          <w:trHeight w:val="1398"/>
        </w:trPr>
        <w:tc>
          <w:tcPr>
            <w:tcW w:w="35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59BD2318" w14:textId="0783F22F" w:rsidR="00B5024A" w:rsidRPr="00B5024A" w:rsidRDefault="00C35352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C35352">
              <w:rPr>
                <w:lang w:val="sr-Latn-ME"/>
              </w:rPr>
              <w:br w:type="page"/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2.3: Uskladiti postojeći sistem profesionalnog razvoja sa EU okvirom</w:t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2.3.1 Sistem profesionalnog razvoja je usklađen sa EU okvirom, pilotiran i usvojen (MP) - Ne (2020)       Ne (2022)       Da (2024)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2D8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2.3.1 Izrada predloga za unapređenje sistema profesionalnog usavršavanja vaspitača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7DC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predlogom za unapređenje sistema za profesionalno usavršavanje je usvojen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AD5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5E2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5BF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4C6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0F7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ZzŠ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63E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9730D2" w14:paraId="75B96C23" w14:textId="77777777" w:rsidTr="00823DF7">
        <w:trPr>
          <w:trHeight w:val="2123"/>
        </w:trPr>
        <w:tc>
          <w:tcPr>
            <w:tcW w:w="353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2A2CE6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582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2.3.2 Primena novog sistema za profesionalno usavršavanje 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DAB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Dokumenti koji propisuju i regulišu profesionalno usavršavanje su usvojeni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729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838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1A12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0A7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6C1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ZzŠ, Nacionalni savjet za obrazovanje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7C6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820AC0B" w14:textId="77777777" w:rsidTr="00823DF7">
        <w:trPr>
          <w:trHeight w:val="126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6576755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lastRenderedPageBreak/>
              <w:t>Operativni cilj 2.4: Unaprijediti sadržaj i praksu inicijalnog obrazovanja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2.4.1 Novi program inicijalnog obrazovanja je akreditovan  - Ne (2020)       Ne (2022)       Da (2024)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A4B1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2.4.1 Analiza usklađenosti programa inicijalnog obrazovanja sa novim Planom i programom PVO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D25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Dokument sa analizom i preporukama za reviziju programa inicijalnog obrazovanja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751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447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D4DC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B0A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8B8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Univerzitet Crne Gore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9A1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49CA59F8" w14:textId="77777777" w:rsidTr="00823DF7">
        <w:trPr>
          <w:trHeight w:val="693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4D83F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AFD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2.4.2 Revizija programa inicijalnog obrazovanja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CBD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Novi program inicijalnog obrazovanja je akreditovan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869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25F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D138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013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C42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Univerzitet Crne Gore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B850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5CAD41A" w14:textId="77777777" w:rsidTr="00823DF7">
        <w:trPr>
          <w:trHeight w:val="1403"/>
        </w:trPr>
        <w:tc>
          <w:tcPr>
            <w:tcW w:w="35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72EA5A6E" w14:textId="5E12C584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Operativni cilj 2.5: Unaprijediti postojeći sistem </w:t>
            </w:r>
            <w:r w:rsidR="00F23D87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obezbjeđivanja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 kvaliteta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Indikator 2.5.1 Cjeloviti, koherentan, djelotvoran i efikasan sistem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obezbjeđivanja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 je uspostavljen (MP) - Ne (2020)       Ne (2022)       Da (2024)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17E9" w14:textId="4454C4C6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2.5.1 Izraditi analizu postojećeg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 PVO sa preporukama za unapređivanje </w:t>
            </w:r>
          </w:p>
        </w:tc>
        <w:tc>
          <w:tcPr>
            <w:tcW w:w="24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197D" w14:textId="409F6C1C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Dokument sa analizom i preporukama za unapređivanje postojećeg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B41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B9F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A8E1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794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AC2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1F3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7409FA53" w14:textId="77777777" w:rsidTr="00823DF7">
        <w:trPr>
          <w:trHeight w:val="886"/>
        </w:trPr>
        <w:tc>
          <w:tcPr>
            <w:tcW w:w="353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37A47E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2E57" w14:textId="7B3F2BA6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2.5.2 Usvojiti predlog za unapređenje postojećeg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C521" w14:textId="153ADBCD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Dokument sa predlogom novog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 je odobren za pilotiranje 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B50D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9176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C4D1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8B5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A8A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40DF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28551E28" w14:textId="77777777" w:rsidTr="00823DF7">
        <w:trPr>
          <w:trHeight w:val="1500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4ABF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6052" w14:textId="721C92A9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2.5.3 Pilotiranje novog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08F2" w14:textId="6A0F2821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Dokument sa analizom pilotiranja i preporukama za finalizaciju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 i uslovima koje treba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obezbijediti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da bi on bio delotvoran i efikasan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91FF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A18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5425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C75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1B6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ZzŠ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DE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9730D2" w14:paraId="4C37666C" w14:textId="77777777" w:rsidTr="00823DF7">
        <w:trPr>
          <w:trHeight w:val="1369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72A052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680C" w14:textId="51F7E13A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2.5.4 Usvojiti novi sistem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4A50" w14:textId="6307471D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Dokument koji reguliše novi sistem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 usvojen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8A2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8984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2979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19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3E0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ZzŠ, Nacionalni savjet za obrazovanje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B13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6A3477BD" w14:textId="77777777" w:rsidTr="00823DF7">
        <w:trPr>
          <w:trHeight w:val="1223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216B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B3BB" w14:textId="1849ADA4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2.5.5 Priprema uslova za primjenu novog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C6B3" w14:textId="0E2AB76B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Uslovi za primjenu novog sistema za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obezbjeđivanje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kvaliteta su obezbijeđeni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C2F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E34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1680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021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30A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ZzŠ, PU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E6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9730D2" w14:paraId="5CAB9DFB" w14:textId="77777777" w:rsidTr="00823DF7">
        <w:trPr>
          <w:trHeight w:val="155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79E288B0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2.6: Jačanje podrške roditeljima i porodicama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2.6.1 Razviti, pilotirati i usvojiti program pružanja podrške roditeljima djece predškolskog uzrasta (MP) - Ne (2020)       Ne (2022)       Da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>Indikator 2.5.2 Razviti i usvojiti program z akreiranje i produkciju medijsih sadržaja za roditelje (MP) - Ne (2020)       Ne (2022)       Da (2024)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D1E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2.6.1 Razvoj programa pružanja podrške roditeljima djece koja pohađaju PVO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8E03" w14:textId="6D05238D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Program rada PU sa roditeljima čija djeca</w:t>
            </w:r>
            <w:r w:rsidR="00566A90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pohađaju PVO, a koji je usklađ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en sa novim javno važećim Planom i programom PVO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EAC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7F8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568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7BF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D90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ZzŠ, Nacionalni savjet za obrazovanje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8AC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9730D2" w14:paraId="78F293D1" w14:textId="77777777" w:rsidTr="00823DF7">
        <w:trPr>
          <w:trHeight w:val="1560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D89946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EC4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2.6.2 Razvoj programa za pružanje podrške roditeljima čija djeca ne pohađaju PVO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E4B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Program rada PU sa roditeljima čija djeca ne pohađaju PVO, a koji je uskladjen sa novim Planom i programom PVO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000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C0F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F607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5CE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72AFD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ZzŠ, Nacionalni savjet za obrazovanje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DA1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9730D2" w14:paraId="05CCAA69" w14:textId="77777777" w:rsidTr="00823DF7">
        <w:trPr>
          <w:trHeight w:val="2321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AA72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9215" w14:textId="5187CED0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2.6.3. Sistem za kreiranje i produkciju medijskih sadržaja za pružanje podrške roditeljima u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obezbjeđivanju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razvojno podsticajnog okruženja u porodičnim okolnostima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121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Program za kreiranje i produkciju medijskih sadržaja i njihovu diseminaciju je usvojen i primenjuje se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A36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258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3244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111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E75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ZzŠ, Zavod za udžbenike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C6BA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5DA884D" w14:textId="77777777" w:rsidTr="00823DF7">
        <w:trPr>
          <w:trHeight w:val="1534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233A5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0EF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2.6.4 Pilotiranje programa za pružanje podrške roditeljima (čija djeca pohađaju i čija djeca ne pohađaju PVO)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10C3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analizom i preporukama za unapređivanje programa za roditelje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E12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817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B7AD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54F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8D5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5DF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9730D2" w14:paraId="1225692A" w14:textId="77777777" w:rsidTr="00823DF7">
        <w:trPr>
          <w:trHeight w:val="1429"/>
        </w:trPr>
        <w:tc>
          <w:tcPr>
            <w:tcW w:w="35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BB4F5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03AF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2.6.5 Finalizacija programa za pružanje pordške roditeljima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FA9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Programi za pružanje podrške roditeljima su usvojeni i primenjuju se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08B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35D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FE4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D7D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52D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ZzŠ, Nacionalni savjet za obrazovanje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46A0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5DF1B55" w14:textId="77777777" w:rsidTr="00823DF7">
        <w:trPr>
          <w:trHeight w:val="940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40402E13" w14:textId="502AD6BA" w:rsidR="00B5024A" w:rsidRPr="00B5024A" w:rsidRDefault="008265F4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8265F4">
              <w:rPr>
                <w:lang w:val="sr-Latn-ME"/>
              </w:rPr>
              <w:br w:type="page"/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2.7: Unapređenje kvaliteta ishrane u predškolskim ustanovama</w:t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="00B5024A"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2.7.1 Broj ustanova koje zadovoljavaju standarde ishrane u predškolskim ustanovama po nacionalnim Smjernicama Instituta za javno zdravlje (MP) - 0 (2020)       10 (2022)       18 (2024)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631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2.7.1 Razvoj uputstva za primenu standarda ishrane u PU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7C6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Uputstvo koje definiše primjenu standarde ishrane u PU je usvojen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0A5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17F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9507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2B33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0E8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4A6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5784730F" w14:textId="77777777" w:rsidTr="00823DF7">
        <w:trPr>
          <w:trHeight w:val="1612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365D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674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2.7.2 Primena standarda ishrane u PU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D771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Broj PU u kojima su standardi ishrane u potpunosti primijenjeni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F80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B0B7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137B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2022-2024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159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661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6ACE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02FE100" w14:textId="77777777" w:rsidTr="00823DF7">
        <w:trPr>
          <w:trHeight w:val="1615"/>
        </w:trPr>
        <w:tc>
          <w:tcPr>
            <w:tcW w:w="353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0F3EEF6D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2.8: Uvezati i učiniti održivim aktivnosti prelaza u osnovnu školu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2.8.1 Program podrške prelasku djece iz vrtića u osnovnu školu je razvijen i usvojen - Ne (2020)       Da (2022)       Da (2024)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3EE6D" w14:textId="6F6EBD2A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2.8.1 Analizirati postojeću praksu u pružanju podrške d</w:t>
            </w:r>
            <w:r w:rsidR="00566A90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j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eci u prelasku iz vrtića u osnovnu školu 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D6E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ključnim nalazima i preporukama za uspostavljanje održivog i delotvornog sistema za pružanje podrške u prelazu iz vrtića u školu je usvojen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B61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0185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2680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FEE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B350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D909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355D490D" w14:textId="77777777" w:rsidTr="00823DF7">
        <w:trPr>
          <w:trHeight w:val="1427"/>
        </w:trPr>
        <w:tc>
          <w:tcPr>
            <w:tcW w:w="35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76F5B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7930" w14:textId="5CAFF302" w:rsidR="00B5024A" w:rsidRPr="00823DF7" w:rsidRDefault="00B5024A" w:rsidP="00823DF7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2.8.2 Razvoj smjernica za unaprijeđenu praksu pružanja podrške u prelazi iz vrtića u osnovnu školi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329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Smjernice za za unaprijeđenu praksu pružanja podrške u prelazi iz vrtića u osnovnu školi su usvojene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076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C80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08A3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1E1F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5AFC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5994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3083A8CF" w14:textId="77777777" w:rsidTr="00823DF7">
        <w:trPr>
          <w:trHeight w:val="60"/>
        </w:trPr>
        <w:tc>
          <w:tcPr>
            <w:tcW w:w="353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839BC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BC1C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2.8.3 Implementacija novog sistema za pružanej podrške u prelazu iz vrtića u školu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5DB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Broj PU koje primenjuju uspešno program prelaska iz vrtića u osnovnu školu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B2EE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4DE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1B11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2023-2024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4E31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80AB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PU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21C48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</w:tbl>
    <w:p w14:paraId="1F6B0FD2" w14:textId="77777777" w:rsidR="00823DF7" w:rsidRDefault="00823DF7">
      <w:r>
        <w:br w:type="page"/>
      </w:r>
    </w:p>
    <w:tbl>
      <w:tblPr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442"/>
        <w:gridCol w:w="819"/>
        <w:gridCol w:w="992"/>
        <w:gridCol w:w="850"/>
        <w:gridCol w:w="993"/>
        <w:gridCol w:w="992"/>
        <w:gridCol w:w="997"/>
      </w:tblGrid>
      <w:tr w:rsidR="00B5024A" w:rsidRPr="00B5024A" w14:paraId="1E48CA46" w14:textId="77777777" w:rsidTr="00823DF7">
        <w:trPr>
          <w:trHeight w:val="300"/>
        </w:trPr>
        <w:tc>
          <w:tcPr>
            <w:tcW w:w="1375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4C6E7"/>
            <w:hideMark/>
          </w:tcPr>
          <w:p w14:paraId="45EFDEF2" w14:textId="7FF2C48B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lastRenderedPageBreak/>
              <w:t>Strateški cilj 3: Unapređenje šansi za rani razvoj djece iz osjetljivih grupa</w:t>
            </w:r>
          </w:p>
        </w:tc>
      </w:tr>
      <w:tr w:rsidR="00B5024A" w:rsidRPr="00B5024A" w14:paraId="2168B8E6" w14:textId="77777777" w:rsidTr="00823DF7">
        <w:trPr>
          <w:trHeight w:val="720"/>
        </w:trPr>
        <w:tc>
          <w:tcPr>
            <w:tcW w:w="13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hideMark/>
          </w:tcPr>
          <w:p w14:paraId="6984A988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Ishod: Do 2024. godine unaprijediti postojeći sistem za pružanje podrške za rani razvoj djece iz osjetljivih grupa kroz pružanje podrške roditeljima i kroz veću uključenost u kvalitetne programe PVO tako da se poveća indeks ranog razvoja (ECDI) djece iz najsiromašnijih porodica sa 76 na 85, a djece iz romskih naselja sa 77 na 85. </w:t>
            </w:r>
          </w:p>
        </w:tc>
      </w:tr>
      <w:tr w:rsidR="00B5024A" w:rsidRPr="00B5024A" w14:paraId="51C7F75E" w14:textId="77777777" w:rsidTr="00213931">
        <w:trPr>
          <w:trHeight w:val="606"/>
        </w:trPr>
        <w:tc>
          <w:tcPr>
            <w:tcW w:w="13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hideMark/>
          </w:tcPr>
          <w:p w14:paraId="498A1803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3.1 ECDI indeks djece iz donjeg kvintila prema materijalnom statusu (MICS) - 76 (2020)       -- (2022)       85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 xml:space="preserve">Indikator 3.2 ECDI indeks djece iz romskih zajednica (MICS) - 77 (2020       -- (2022)       85 (2024) </w:t>
            </w:r>
          </w:p>
        </w:tc>
      </w:tr>
      <w:tr w:rsidR="00B5024A" w:rsidRPr="00B5024A" w14:paraId="1C5D4C6B" w14:textId="77777777" w:rsidTr="00823DF7">
        <w:trPr>
          <w:trHeight w:val="1215"/>
        </w:trPr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F69A78A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34D4389" w14:textId="77777777" w:rsidR="00B5024A" w:rsidRPr="00B5024A" w:rsidRDefault="00B5024A" w:rsidP="00B5024A">
            <w:pPr>
              <w:spacing w:line="240" w:lineRule="auto"/>
              <w:ind w:firstLine="0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Aktivnosti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6248F8D" w14:textId="77777777" w:rsidR="00B5024A" w:rsidRPr="00B5024A" w:rsidRDefault="00B5024A" w:rsidP="00B5024A">
            <w:pPr>
              <w:spacing w:line="240" w:lineRule="auto"/>
              <w:ind w:firstLine="0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Indikator/i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3A3D138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Očekivani rezultat 2022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E9DFF47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Očekivani rezultat 2024.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hideMark/>
          </w:tcPr>
          <w:p w14:paraId="5E570788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Period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BC8C3D9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Potrebni resursi u €/izvor finansiranja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00E34B2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Nosioci aktivnost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C087AD6" w14:textId="77777777" w:rsidR="00B5024A" w:rsidRPr="00B5024A" w:rsidRDefault="00B5024A" w:rsidP="00B5024A">
            <w:pPr>
              <w:spacing w:line="240" w:lineRule="auto"/>
              <w:ind w:firstLine="0"/>
              <w:jc w:val="righ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Partneri</w:t>
            </w:r>
          </w:p>
        </w:tc>
      </w:tr>
      <w:tr w:rsidR="00B5024A" w:rsidRPr="00B5024A" w14:paraId="1A2D30F5" w14:textId="77777777" w:rsidTr="00823DF7">
        <w:trPr>
          <w:trHeight w:val="1800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2497545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3.1: Povećanje uključenosti djece iz osjetljivih grupa u PVO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Indikator 3.1.1 Uključenost djece iz 20% najsiromašnijih porodica u PVO (MICS) - 18% (2020)       -- (2022)       40% (2024) 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 xml:space="preserve">Indikator 3.1.2 Uključenost djece iz Romske zajednice u PVO (MICS) - 16% (2020)       -- (2022)       35% (2024)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AE1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3.1.1 Uspostavljanje mehanizma stalne koordinacije i saradnje između PU, centra za socijalni rad i zdravstvenih ustanova na nivou opštine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498C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Sporazum o saradnji i koordinaciji između PU, centra za socijalni rad i zdravstvenih ustanova je potpisan u svim opštinama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6B9B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FAF1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BD0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885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406F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MRSS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B991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5593D325" w14:textId="77777777" w:rsidTr="00823DF7">
        <w:trPr>
          <w:trHeight w:val="2237"/>
        </w:trPr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BF321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27CF" w14:textId="24FAB601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3.1.2 Izrada Lokalnih intersektorskih akcionih planova za uključivanje d</w:t>
            </w:r>
            <w:r w:rsidR="00566A90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j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ece iz os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j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etljivih grupa kroz podizanje interesovanja roditelja i pružanje podrške u uklanjanju barijera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FC7B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Loklani intersektorski akcioni planovi razvijeni u saradnji tri sektora, usvojeni su u svim opštinama i primenjuju se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AAB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F28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891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411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4A33" w14:textId="0236019A" w:rsidR="00B5024A" w:rsidRPr="00B5024A" w:rsidRDefault="009730D2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MP, </w:t>
            </w:r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LS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D474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0B15B1A8" w14:textId="77777777" w:rsidTr="00823DF7">
        <w:trPr>
          <w:trHeight w:val="1256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0B4F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998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3.1.3 Praćenje efekata primene lokalnih intersektorskih akcionih planova sa preporukama za unapređivanje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F8D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Lokalni intersektorski akcioni planovi su izmenjeni na osnovu preporuka nastalih na osnovu praćenja efekata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A65F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5DB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CDE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F94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9F51" w14:textId="4A057012" w:rsidR="00B5024A" w:rsidRPr="00B5024A" w:rsidRDefault="009730D2" w:rsidP="009730D2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MP, </w:t>
            </w:r>
            <w:bookmarkStart w:id="8" w:name="_GoBack"/>
            <w:bookmarkEnd w:id="8"/>
            <w:r w:rsidR="00B5024A"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LS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925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255AA1EB" w14:textId="77777777" w:rsidTr="00823DF7">
        <w:trPr>
          <w:trHeight w:val="140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E48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2CF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3.1.4 Uspostavljen sistem saradnje za sistematsko praćenje redovnosti pohađanja programa PVO od strane djece iz osjetljivih grupa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1C3A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Mjesečni zveštaji o redovnosti pohađanja programa PVO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E8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E8C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DB1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BF7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341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MRSS/Centri za socijalni rad, PU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D5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69E998FB" w14:textId="77777777" w:rsidTr="00823DF7">
        <w:trPr>
          <w:trHeight w:val="2793"/>
        </w:trPr>
        <w:tc>
          <w:tcPr>
            <w:tcW w:w="35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2854C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6EAD" w14:textId="41251D74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3.1.5 Evaluacija efekata dvogodišnje primene lokalnih intersektorskih akcionih planova sa preporukama za unapređenje intersektorske saradnje u domenu unapređenja obuhvata djece iz os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j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etljivih grupa i </w:t>
            </w:r>
            <w:r w:rsidR="00F23D87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obezbjeđivanju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 redovnog pohađanja programa PVO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DA4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Izveštaj sa evaluacijom i preporukama za unapređenje intersektorske saradnje je usvojen od strane Ministarstva prosvjete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CEAA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C59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FEE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199F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AE9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DE22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162FEAEE" w14:textId="77777777" w:rsidTr="00823DF7">
        <w:trPr>
          <w:trHeight w:val="1145"/>
        </w:trPr>
        <w:tc>
          <w:tcPr>
            <w:tcW w:w="3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textDirection w:val="btLr"/>
            <w:vAlign w:val="center"/>
            <w:hideMark/>
          </w:tcPr>
          <w:p w14:paraId="419EB29F" w14:textId="77777777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Operativni cilj 3.2: Širenje i jačanje interaktivnih službi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3.2.1 Broj djece koja su uključena u rad interaktivnih službi (MEIS) - 210 (2020)       250 (2022)       320 (2024)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44A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3.2.1 Analiza kvaliteta pružanja PVO usluga od strane interaktivnih službi sa procenom potreba za razvoj kapaciteta kadra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415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Dokument sa ključnim nalazima i preporukama za razvoj kapaciteta kadra koji je angažovan u interaktivnim službama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607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0CB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D83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24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F62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845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0B2CFE4A" w14:textId="77777777" w:rsidTr="00823DF7">
        <w:trPr>
          <w:trHeight w:val="1115"/>
        </w:trPr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46076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6AF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3.2.2 Realizacija dodatne obuke kadra u interaktivnim službama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F58B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Broj vaspitača koji su angažovani u radu interaktivnih službi koji su obučeni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CCB6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153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DA8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7D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B68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2CB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521A75" w:rsidRPr="00B5024A" w14:paraId="5835034E" w14:textId="77777777" w:rsidTr="00823DF7">
        <w:trPr>
          <w:trHeight w:val="126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0AF6" w14:textId="77777777" w:rsidR="00521A75" w:rsidRPr="00B5024A" w:rsidRDefault="00521A75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7467" w14:textId="7931D93F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3.2.3 Povećanja vremena koje jedno d</w:t>
            </w:r>
            <w:r w:rsidR="00566A90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jete provede u programu interaktivne službe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A6E3" w14:textId="77777777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Procenat djece koja pohađaju PVO u interaktivnoj služni dva puta nedeljno</w:t>
            </w:r>
          </w:p>
          <w:p w14:paraId="270F88FB" w14:textId="11B71FCB" w:rsidR="00521A75" w:rsidRPr="00B5024A" w:rsidRDefault="00521A75" w:rsidP="00566A90">
            <w:pPr>
              <w:spacing w:line="240" w:lineRule="auto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D302" w14:textId="77777777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50%</w:t>
            </w:r>
          </w:p>
          <w:p w14:paraId="1A06DEE0" w14:textId="23E79D77" w:rsidR="00521A75" w:rsidRPr="00B5024A" w:rsidRDefault="00521A75" w:rsidP="00566A90">
            <w:pPr>
              <w:spacing w:line="240" w:lineRule="auto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9AF7" w14:textId="77777777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100%</w:t>
            </w:r>
          </w:p>
          <w:p w14:paraId="14A0FB1D" w14:textId="65EED869" w:rsidR="00521A75" w:rsidRPr="00B5024A" w:rsidRDefault="00521A75" w:rsidP="00566A90">
            <w:pPr>
              <w:spacing w:line="240" w:lineRule="auto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B26D" w14:textId="77777777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2021-2024</w:t>
            </w:r>
          </w:p>
          <w:p w14:paraId="7ECE42CD" w14:textId="43FFD9BD" w:rsidR="00521A75" w:rsidRPr="00B5024A" w:rsidRDefault="00521A75" w:rsidP="00566A90">
            <w:pPr>
              <w:spacing w:line="240" w:lineRule="auto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B0E" w14:textId="77777777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  <w:p w14:paraId="49E5A650" w14:textId="36653244" w:rsidR="00521A75" w:rsidRPr="00B5024A" w:rsidRDefault="00521A75" w:rsidP="00566A90">
            <w:pPr>
              <w:spacing w:line="240" w:lineRule="auto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96BA" w14:textId="77777777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MP, ZzŠ</w:t>
            </w:r>
          </w:p>
          <w:p w14:paraId="0A2A1E03" w14:textId="22314E0A" w:rsidR="00521A75" w:rsidRPr="00B5024A" w:rsidRDefault="00521A75" w:rsidP="00566A90">
            <w:pPr>
              <w:spacing w:line="240" w:lineRule="auto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B58" w14:textId="77777777" w:rsidR="00521A75" w:rsidRPr="00B5024A" w:rsidRDefault="00521A75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  <w:p w14:paraId="0CCE0F7E" w14:textId="4F084FB3" w:rsidR="00521A75" w:rsidRPr="00B5024A" w:rsidRDefault="00521A75" w:rsidP="00566A90">
            <w:pPr>
              <w:spacing w:line="240" w:lineRule="auto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42627302" w14:textId="77777777" w:rsidTr="00823DF7">
        <w:trPr>
          <w:trHeight w:val="155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2F3"/>
            <w:textDirection w:val="btLr"/>
            <w:vAlign w:val="center"/>
            <w:hideMark/>
          </w:tcPr>
          <w:p w14:paraId="6D1F1076" w14:textId="481C4236" w:rsidR="00B5024A" w:rsidRPr="00B5024A" w:rsidRDefault="00B5024A" w:rsidP="00B5024A">
            <w:pPr>
              <w:spacing w:line="240" w:lineRule="auto"/>
              <w:ind w:firstLine="0"/>
              <w:jc w:val="center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lastRenderedPageBreak/>
              <w:t xml:space="preserve">Operativni cilj 3.3: Unaprijediti podršku roditeljima u </w:t>
            </w:r>
            <w:r w:rsidR="00F23D87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>obezbjeđivanju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t xml:space="preserve"> podsticajnijih uslova za rani razvoj u porodičnom okruženju</w:t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  <w:br/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Indikator 3.3.1  Procenat djece u grupi 20% sa najnižim materijalnim statusom sa kojom odrasli članovi porodice učestvuju u četiri ili više razvojno podsticajnih aktivnosti (MICS) -  69% (2020)    -- (2022)     80%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>Indikator 3.3.2  Procenat djece u grupi 20% sa najnižim materijalnim statusom koja imaju 3 ili više dečijih knjiga (MICS)  -   21% (2020)       -- (2022)       40%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>Indikator 3.3.3  Procenat djece iz Romske zajednice sa kojom odrasli članovi porodice učestvuju u četiri ili više razvojno podsticajnih aktivnosti (MICS) -   51% (2020)       -- (2022)       80% (2024)</w:t>
            </w: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br/>
              <w:t>Indikator 3.3.4  Procenat djece iz Romske zajednice koja imaju 3 ili više dečijih knjiga (MICS) -   6% (2020)       -- (2022)       40% (2024)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6F0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3.3.1 Primjena "Igraj se doma" za roditelje djece iz osjetljivih grupa sa naglaskom na roditelje čija djeca ne pohađaju PVO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82F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"Igraj se doma" se redovno ažurira sa novim sadržajima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F74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2573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91A1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A0F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B2DA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E5A7F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5BB74FAC" w14:textId="77777777" w:rsidTr="00823DF7">
        <w:trPr>
          <w:trHeight w:val="1688"/>
        </w:trPr>
        <w:tc>
          <w:tcPr>
            <w:tcW w:w="3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2E865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4E45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3.3.2 Razvoj integrisanog  intersektorskog programa pružanja podrške roditeljima iz osjetljivih grupa 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964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Smjernice za pružanje podrške roditeljima iz osjetljivih grupa su usvojene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897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8C9D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57B3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2021-2022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0C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CD9B" w14:textId="71835976" w:rsidR="00B5024A" w:rsidRPr="00B5024A" w:rsidRDefault="00B5024A" w:rsidP="009730D2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MZ, MRSS/Centri za socijalni rad, MP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3949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4A888528" w14:textId="77777777" w:rsidTr="00823DF7">
        <w:trPr>
          <w:trHeight w:val="1408"/>
        </w:trPr>
        <w:tc>
          <w:tcPr>
            <w:tcW w:w="3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860F6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914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3.3.3 Pilotiranje smjernica za pružanje podrške roditeljima iz osjetljivih grupa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8824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Dokument sa analizom pilotiranja i preporukama za finalizaciju Smejrnica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B932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B790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E7A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16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21AF" w14:textId="2C4516AB" w:rsidR="00B5024A" w:rsidRPr="00B5024A" w:rsidRDefault="00B5024A" w:rsidP="009730D2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MZ, MRSS/Centri za socijalni rad, MP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FD4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  <w:tr w:rsidR="00B5024A" w:rsidRPr="00B5024A" w14:paraId="0CD95DB2" w14:textId="77777777" w:rsidTr="00823DF7">
        <w:trPr>
          <w:trHeight w:val="1266"/>
        </w:trPr>
        <w:tc>
          <w:tcPr>
            <w:tcW w:w="3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6937FB" w14:textId="77777777" w:rsidR="00B5024A" w:rsidRPr="00B5024A" w:rsidRDefault="00B5024A" w:rsidP="00B5024A">
            <w:pPr>
              <w:spacing w:line="240" w:lineRule="auto"/>
              <w:ind w:firstLine="0"/>
              <w:jc w:val="left"/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79F7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3.3.4 Finalizacija i usvajanje smjernica za pružanje podrške roditeljima iz osjetljivih grupa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D43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Smjernice za pružanje podrške roditeljima iz osjetljivih grupa su usvojene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39DE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C51B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4CE9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7803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DE1D" w14:textId="4AD6C4B4" w:rsidR="00B5024A" w:rsidRPr="00B5024A" w:rsidRDefault="00B5024A" w:rsidP="009730D2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 xml:space="preserve">MZ, MRSS/Centri za socijalni rad, MP,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BBE8" w14:textId="77777777" w:rsidR="00B5024A" w:rsidRPr="00B5024A" w:rsidRDefault="00B5024A" w:rsidP="00566A90">
            <w:pPr>
              <w:spacing w:line="240" w:lineRule="auto"/>
              <w:ind w:firstLine="0"/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</w:pPr>
            <w:r w:rsidRPr="00B5024A">
              <w:rPr>
                <w:rFonts w:ascii="Garamond" w:eastAsia="Times New Roman" w:hAnsi="Garamond" w:cs="Calibri"/>
                <w:sz w:val="22"/>
                <w:szCs w:val="22"/>
                <w:lang w:val="sr-Latn-ME" w:eastAsia="sr-Latn-ME"/>
              </w:rPr>
              <w:t> </w:t>
            </w:r>
          </w:p>
        </w:tc>
      </w:tr>
    </w:tbl>
    <w:p w14:paraId="7FE4EBF3" w14:textId="4F8288B0" w:rsidR="00F43E15" w:rsidRDefault="00B5024A" w:rsidP="00F43E15">
      <w:pPr>
        <w:rPr>
          <w:lang w:val="sr-Latn-ME"/>
        </w:rPr>
      </w:pPr>
      <w:r>
        <w:rPr>
          <w:lang w:val="sr-Latn-ME"/>
        </w:rPr>
        <w:fldChar w:fldCharType="end"/>
      </w:r>
    </w:p>
    <w:p w14:paraId="0C3CCD28" w14:textId="77777777" w:rsidR="00F43E15" w:rsidRDefault="00F43E15" w:rsidP="00F43E15">
      <w:pPr>
        <w:rPr>
          <w:lang w:val="sr-Latn-ME"/>
        </w:rPr>
        <w:sectPr w:rsidR="00F43E15" w:rsidSect="00F43E15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E1934DD" w14:textId="0E89CEA3" w:rsidR="0008423C" w:rsidRPr="00BC1750" w:rsidRDefault="00FD4FFF" w:rsidP="00A4296E">
      <w:pPr>
        <w:pStyle w:val="Heading1"/>
        <w:jc w:val="right"/>
        <w:rPr>
          <w:rFonts w:cs="Times New Roman"/>
          <w:lang w:val="sr-Latn-ME"/>
        </w:rPr>
      </w:pPr>
      <w:r w:rsidRPr="00BC1750">
        <w:rPr>
          <w:rFonts w:cs="Times New Roman"/>
          <w:lang w:val="sr-Latn-ME"/>
        </w:rPr>
        <w:lastRenderedPageBreak/>
        <w:t>PRILOZI</w:t>
      </w:r>
    </w:p>
    <w:p w14:paraId="0B1FBD70" w14:textId="27E8D1DD" w:rsidR="00FD4FFF" w:rsidRPr="00BC1750" w:rsidRDefault="00FD4FFF" w:rsidP="00FD4FFF">
      <w:pPr>
        <w:spacing w:after="160"/>
        <w:ind w:firstLine="0"/>
        <w:rPr>
          <w:i/>
          <w:iCs/>
          <w:sz w:val="20"/>
          <w:szCs w:val="20"/>
          <w:lang w:val="sr-Latn-ME"/>
        </w:rPr>
      </w:pPr>
      <w:r w:rsidRPr="00BC1750">
        <w:rPr>
          <w:sz w:val="20"/>
          <w:szCs w:val="20"/>
          <w:lang w:val="sr-Latn-ME"/>
        </w:rPr>
        <w:t xml:space="preserve">Table </w:t>
      </w:r>
      <w:r w:rsidRPr="00BC1750">
        <w:rPr>
          <w:i/>
          <w:iCs/>
          <w:sz w:val="20"/>
          <w:szCs w:val="20"/>
          <w:lang w:val="sr-Latn-ME"/>
        </w:rPr>
        <w:fldChar w:fldCharType="begin"/>
      </w:r>
      <w:r w:rsidRPr="00BC1750">
        <w:rPr>
          <w:sz w:val="20"/>
          <w:szCs w:val="20"/>
          <w:lang w:val="sr-Latn-ME"/>
        </w:rPr>
        <w:instrText xml:space="preserve"> SEQ Table \* ARABIC </w:instrText>
      </w:r>
      <w:r w:rsidRPr="00BC1750">
        <w:rPr>
          <w:i/>
          <w:iCs/>
          <w:sz w:val="20"/>
          <w:szCs w:val="20"/>
          <w:lang w:val="sr-Latn-ME"/>
        </w:rPr>
        <w:fldChar w:fldCharType="separate"/>
      </w:r>
      <w:r w:rsidRPr="00BC1750">
        <w:rPr>
          <w:noProof/>
          <w:sz w:val="20"/>
          <w:szCs w:val="20"/>
          <w:lang w:val="sr-Latn-ME"/>
        </w:rPr>
        <w:t>1</w:t>
      </w:r>
      <w:r w:rsidRPr="00BC1750">
        <w:rPr>
          <w:i/>
          <w:iCs/>
          <w:sz w:val="20"/>
          <w:szCs w:val="20"/>
          <w:lang w:val="sr-Latn-ME"/>
        </w:rPr>
        <w:fldChar w:fldCharType="end"/>
      </w:r>
      <w:r w:rsidRPr="00BC1750">
        <w:rPr>
          <w:sz w:val="20"/>
          <w:szCs w:val="20"/>
          <w:lang w:val="sr-Latn-ME"/>
        </w:rPr>
        <w:t>. Broj d</w:t>
      </w:r>
      <w:r w:rsidR="00A428F6">
        <w:rPr>
          <w:sz w:val="20"/>
          <w:szCs w:val="20"/>
          <w:lang w:val="sr-Latn-ME"/>
        </w:rPr>
        <w:t>j</w:t>
      </w:r>
      <w:r w:rsidRPr="00BC1750">
        <w:rPr>
          <w:sz w:val="20"/>
          <w:szCs w:val="20"/>
          <w:lang w:val="sr-Latn-ME"/>
        </w:rPr>
        <w:t>ece koja pohađaju predškolske programe i broj vaspitnih grupa u periodu prim</w:t>
      </w:r>
      <w:r w:rsidR="0013447C">
        <w:rPr>
          <w:sz w:val="20"/>
          <w:szCs w:val="20"/>
          <w:lang w:val="sr-Latn-ME"/>
        </w:rPr>
        <w:t>j</w:t>
      </w:r>
      <w:r w:rsidRPr="00BC1750">
        <w:rPr>
          <w:sz w:val="20"/>
          <w:szCs w:val="20"/>
          <w:lang w:val="sr-Latn-ME"/>
        </w:rPr>
        <w:t xml:space="preserve">ene prethodne Strategije (po opštinama) </w:t>
      </w:r>
    </w:p>
    <w:tbl>
      <w:tblPr>
        <w:tblW w:w="13195" w:type="dxa"/>
        <w:tblInd w:w="-95" w:type="dxa"/>
        <w:tblLook w:val="04A0" w:firstRow="1" w:lastRow="0" w:firstColumn="1" w:lastColumn="0" w:noHBand="0" w:noVBand="1"/>
      </w:tblPr>
      <w:tblGrid>
        <w:gridCol w:w="1745"/>
        <w:gridCol w:w="1150"/>
        <w:gridCol w:w="1150"/>
        <w:gridCol w:w="1150"/>
        <w:gridCol w:w="1150"/>
        <w:gridCol w:w="1151"/>
        <w:gridCol w:w="1140"/>
        <w:gridCol w:w="1140"/>
        <w:gridCol w:w="1140"/>
        <w:gridCol w:w="1140"/>
        <w:gridCol w:w="1140"/>
      </w:tblGrid>
      <w:tr w:rsidR="00FD4FFF" w:rsidRPr="00BC1750" w14:paraId="5AD40FF7" w14:textId="77777777" w:rsidTr="00566A90">
        <w:trPr>
          <w:trHeight w:val="280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3290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Opština</w:t>
            </w:r>
          </w:p>
        </w:tc>
        <w:tc>
          <w:tcPr>
            <w:tcW w:w="5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B073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Broj upisane djece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03F2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Broj vaspitnih jedinica</w:t>
            </w:r>
          </w:p>
        </w:tc>
      </w:tr>
      <w:tr w:rsidR="00FD4FFF" w:rsidRPr="00BC1750" w14:paraId="3AFAA078" w14:textId="77777777" w:rsidTr="00566A90">
        <w:trPr>
          <w:trHeight w:val="280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622C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3E84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2015/16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3ECA0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2016/17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98C5E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2017/18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ACE9C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2018/19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5160D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2019/20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1BF9B1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2015/16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6D6A3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2016/17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A5152A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2017/18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9BFF4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2018/19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5C95C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2019/20</w:t>
            </w:r>
          </w:p>
        </w:tc>
      </w:tr>
      <w:tr w:rsidR="00FD4FFF" w:rsidRPr="00BC1750" w14:paraId="0381C9DD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F176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Andrijevica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BD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47D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40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C0C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6B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7E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A9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AC3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B1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134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</w:tr>
      <w:tr w:rsidR="00FD4FFF" w:rsidRPr="00BC1750" w14:paraId="148E5481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DDCE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Bar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FC5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940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04B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1136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87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1230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2DB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1326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4C7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D39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79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CC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46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FB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14</w:t>
            </w:r>
          </w:p>
        </w:tc>
      </w:tr>
      <w:tr w:rsidR="00FD4FFF" w:rsidRPr="00BC1750" w14:paraId="2C7018E8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92DC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Berane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CC0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F4A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32F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13D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996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049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97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90D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4A7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84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11</w:t>
            </w:r>
          </w:p>
        </w:tc>
      </w:tr>
      <w:tr w:rsidR="00FD4FFF" w:rsidRPr="00BC1750" w14:paraId="01F4E153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56F1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Bijelo Polje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538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B0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46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930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5811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988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3A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E2F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D1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F5B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930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DD9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13</w:t>
            </w:r>
          </w:p>
        </w:tc>
      </w:tr>
      <w:tr w:rsidR="00FD4FFF" w:rsidRPr="00BC1750" w14:paraId="0753F767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E859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Budva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64D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1041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A0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3E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1319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1C9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1312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FA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1348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52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914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2B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6DE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E9C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9</w:t>
            </w:r>
          </w:p>
        </w:tc>
      </w:tr>
      <w:tr w:rsidR="00FD4FFF" w:rsidRPr="00BC1750" w14:paraId="1C21EDBB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80D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Cetinje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35F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933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0941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FAE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2B6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176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61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D56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FC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14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</w:t>
            </w:r>
          </w:p>
        </w:tc>
      </w:tr>
      <w:tr w:rsidR="00FD4FFF" w:rsidRPr="00BC1750" w14:paraId="2966180F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21C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Danilovgrad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85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9EC1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1EE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D7D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551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A7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41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FAB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C2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F83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8BC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</w:tr>
      <w:tr w:rsidR="00FD4FFF" w:rsidRPr="00BC1750" w14:paraId="35F94518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018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Herceg Novi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6ED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46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85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16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1090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B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1126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47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A04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B15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1F8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B45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</w:t>
            </w:r>
          </w:p>
        </w:tc>
      </w:tr>
      <w:tr w:rsidR="00FD4FFF" w:rsidRPr="00BC1750" w14:paraId="50D04704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7001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Kolašin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986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5B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C07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AC2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8DF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E8A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6F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CAD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45F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EBF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</w:tr>
      <w:tr w:rsidR="00FD4FFF" w:rsidRPr="00BC1750" w14:paraId="035DDBA7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32D4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Kotor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8B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B7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1C0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F7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B7C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958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5F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155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E28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129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6A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</w:t>
            </w:r>
          </w:p>
        </w:tc>
      </w:tr>
      <w:tr w:rsidR="00FD4FFF" w:rsidRPr="00BC1750" w14:paraId="0C9D08F6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495E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Mojkovac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81B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899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1E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F0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A12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D1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2F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E7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17E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FAD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</w:tr>
      <w:tr w:rsidR="00FD4FFF" w:rsidRPr="00BC1750" w14:paraId="0933CC47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8CB2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Nikšić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5D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1838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839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1990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D6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2136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9B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2211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77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2320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58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C8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F50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46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2EC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26</w:t>
            </w:r>
          </w:p>
        </w:tc>
      </w:tr>
      <w:tr w:rsidR="00FD4FFF" w:rsidRPr="00BC1750" w14:paraId="3522D0CE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6AD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Plav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E3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20B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235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87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19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08C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81B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3E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98D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233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A38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</w:t>
            </w:r>
          </w:p>
        </w:tc>
      </w:tr>
      <w:tr w:rsidR="00FD4FFF" w:rsidRPr="00BC1750" w14:paraId="260B5728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495A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Pljevlja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C55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EB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A0C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D141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35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28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9AE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856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B96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71E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</w:t>
            </w:r>
          </w:p>
        </w:tc>
      </w:tr>
      <w:tr w:rsidR="00FD4FFF" w:rsidRPr="00BC1750" w14:paraId="128C14A7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D14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Plužine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600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86A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636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0D4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93D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FB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F76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81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A4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7C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</w:tr>
      <w:tr w:rsidR="00FD4FFF" w:rsidRPr="00BC1750" w14:paraId="32C457D0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03D7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Podgorica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94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6825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89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7848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9C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8465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7DD1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8901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B00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9492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45C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EF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D5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B8E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A4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48</w:t>
            </w:r>
          </w:p>
        </w:tc>
      </w:tr>
      <w:tr w:rsidR="00FD4FFF" w:rsidRPr="00BC1750" w14:paraId="2B14263A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94DD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Rožaje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50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D59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966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251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88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E4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91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FF1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39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CF7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</w:tr>
      <w:tr w:rsidR="00FD4FFF" w:rsidRPr="00BC1750" w14:paraId="12851CD9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426E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Tivat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5B1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639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499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35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764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413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8C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849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D8A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BA9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FB9D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77D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F8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</w:tr>
      <w:tr w:rsidR="00FD4FFF" w:rsidRPr="00BC1750" w14:paraId="2E6AAAD9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79E4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Ulcinj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72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26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238B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397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467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B33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3098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127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DBA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E0A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C9E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5</w:t>
            </w:r>
          </w:p>
        </w:tc>
      </w:tr>
      <w:tr w:rsidR="00FD4FFF" w:rsidRPr="00BC1750" w14:paraId="7EBBC8C9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0B51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Šavnik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D0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4D15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F52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6AF4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07E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D0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C6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9C3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C52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DEA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20"/>
                <w:szCs w:val="20"/>
                <w:lang w:val="sr-Latn-ME"/>
              </w:rPr>
              <w:t>1</w:t>
            </w:r>
          </w:p>
        </w:tc>
      </w:tr>
      <w:tr w:rsidR="00FD4FFF" w:rsidRPr="00BC1750" w14:paraId="3B3AC02A" w14:textId="77777777" w:rsidTr="00566A90">
        <w:trPr>
          <w:trHeight w:val="28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C25B" w14:textId="77777777" w:rsidR="00FD4FFF" w:rsidRPr="00BC1750" w:rsidRDefault="00FD4FFF" w:rsidP="00106DA9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CFEF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16972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EA79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18957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1E52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20766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D4BC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21662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D277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23080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FDF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12C6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FD3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147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EA50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165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AAA" w14:textId="77777777" w:rsidR="00FD4FFF" w:rsidRPr="00BC1750" w:rsidRDefault="00FD4FFF" w:rsidP="00106DA9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ME"/>
              </w:rPr>
              <w:t>170</w:t>
            </w:r>
          </w:p>
        </w:tc>
      </w:tr>
    </w:tbl>
    <w:p w14:paraId="7E868EC3" w14:textId="77777777" w:rsidR="00FD4FFF" w:rsidRPr="00BC1750" w:rsidRDefault="00FD4FFF" w:rsidP="002F0F6A">
      <w:pPr>
        <w:rPr>
          <w:lang w:val="sr-Latn-ME"/>
        </w:rPr>
      </w:pPr>
    </w:p>
    <w:p w14:paraId="3294C1B1" w14:textId="77777777" w:rsidR="00CB23C0" w:rsidRPr="00BC1750" w:rsidRDefault="00CB23C0" w:rsidP="002F0F6A">
      <w:pPr>
        <w:rPr>
          <w:lang w:val="sr-Latn-ME"/>
        </w:rPr>
        <w:sectPr w:rsidR="00CB23C0" w:rsidRPr="00BC1750" w:rsidSect="00F43E15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0"/>
        <w:tblW w:w="13796" w:type="dxa"/>
        <w:tblLayout w:type="fixed"/>
        <w:tblLook w:val="04A0" w:firstRow="1" w:lastRow="0" w:firstColumn="1" w:lastColumn="0" w:noHBand="0" w:noVBand="1"/>
      </w:tblPr>
      <w:tblGrid>
        <w:gridCol w:w="1116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03633C" w:rsidRPr="00BC1750" w14:paraId="78561661" w14:textId="77777777" w:rsidTr="00765C23">
        <w:trPr>
          <w:trHeight w:val="288"/>
        </w:trPr>
        <w:tc>
          <w:tcPr>
            <w:tcW w:w="1116" w:type="dxa"/>
          </w:tcPr>
          <w:p w14:paraId="33D06520" w14:textId="77777777" w:rsidR="0003633C" w:rsidRPr="00BC1750" w:rsidRDefault="0003633C" w:rsidP="00CB23C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3170" w:type="dxa"/>
            <w:gridSpan w:val="5"/>
            <w:noWrap/>
          </w:tcPr>
          <w:p w14:paraId="31C06136" w14:textId="05CA252E" w:rsidR="0003633C" w:rsidRPr="00BC1750" w:rsidRDefault="0003633C" w:rsidP="00CB23C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Vaspitači (nastavnik/ili profesor predškolskog vaspitanja i obrazovanja)</w:t>
            </w:r>
          </w:p>
        </w:tc>
        <w:tc>
          <w:tcPr>
            <w:tcW w:w="3170" w:type="dxa"/>
            <w:gridSpan w:val="5"/>
            <w:noWrap/>
          </w:tcPr>
          <w:p w14:paraId="141F75B0" w14:textId="45F26718" w:rsidR="0003633C" w:rsidRPr="00BC1750" w:rsidRDefault="0003633C" w:rsidP="00CB23C0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Medicinske sestre</w:t>
            </w:r>
          </w:p>
        </w:tc>
        <w:tc>
          <w:tcPr>
            <w:tcW w:w="3170" w:type="dxa"/>
            <w:gridSpan w:val="5"/>
            <w:noWrap/>
          </w:tcPr>
          <w:p w14:paraId="7EAA600C" w14:textId="5C506B4F" w:rsidR="0003633C" w:rsidRPr="00BC1750" w:rsidRDefault="0003633C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Stručni saradnici (pedagog, psiholog, logoped, defektolog, nutricionista)</w:t>
            </w:r>
          </w:p>
        </w:tc>
        <w:tc>
          <w:tcPr>
            <w:tcW w:w="3170" w:type="dxa"/>
            <w:gridSpan w:val="5"/>
            <w:noWrap/>
          </w:tcPr>
          <w:p w14:paraId="75B693EE" w14:textId="15D748DD" w:rsidR="0003633C" w:rsidRPr="00BC1750" w:rsidRDefault="0003633C" w:rsidP="0003633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Administrativno i pomoćno osoblje</w:t>
            </w:r>
          </w:p>
        </w:tc>
      </w:tr>
      <w:tr w:rsidR="00CB23C0" w:rsidRPr="00BC1750" w14:paraId="64E2F746" w14:textId="77777777" w:rsidTr="00CB23C0">
        <w:trPr>
          <w:trHeight w:val="288"/>
        </w:trPr>
        <w:tc>
          <w:tcPr>
            <w:tcW w:w="1116" w:type="dxa"/>
            <w:hideMark/>
          </w:tcPr>
          <w:p w14:paraId="71822E11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</w:p>
        </w:tc>
        <w:tc>
          <w:tcPr>
            <w:tcW w:w="634" w:type="dxa"/>
            <w:noWrap/>
            <w:hideMark/>
          </w:tcPr>
          <w:p w14:paraId="2A2E2E2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2015/16</w:t>
            </w:r>
          </w:p>
        </w:tc>
        <w:tc>
          <w:tcPr>
            <w:tcW w:w="634" w:type="dxa"/>
            <w:noWrap/>
            <w:hideMark/>
          </w:tcPr>
          <w:p w14:paraId="48AD37E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2016/17</w:t>
            </w:r>
          </w:p>
        </w:tc>
        <w:tc>
          <w:tcPr>
            <w:tcW w:w="634" w:type="dxa"/>
            <w:noWrap/>
            <w:hideMark/>
          </w:tcPr>
          <w:p w14:paraId="3846796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2017/18</w:t>
            </w:r>
          </w:p>
        </w:tc>
        <w:tc>
          <w:tcPr>
            <w:tcW w:w="634" w:type="dxa"/>
            <w:noWrap/>
            <w:hideMark/>
          </w:tcPr>
          <w:p w14:paraId="02AD22A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2018/19</w:t>
            </w:r>
          </w:p>
        </w:tc>
        <w:tc>
          <w:tcPr>
            <w:tcW w:w="634" w:type="dxa"/>
            <w:noWrap/>
            <w:hideMark/>
          </w:tcPr>
          <w:p w14:paraId="4716B17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2019/20</w:t>
            </w:r>
          </w:p>
        </w:tc>
        <w:tc>
          <w:tcPr>
            <w:tcW w:w="634" w:type="dxa"/>
            <w:noWrap/>
            <w:hideMark/>
          </w:tcPr>
          <w:p w14:paraId="4CA2EB7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2015/16</w:t>
            </w:r>
          </w:p>
        </w:tc>
        <w:tc>
          <w:tcPr>
            <w:tcW w:w="634" w:type="dxa"/>
            <w:noWrap/>
            <w:hideMark/>
          </w:tcPr>
          <w:p w14:paraId="212F03E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2016/17</w:t>
            </w:r>
          </w:p>
        </w:tc>
        <w:tc>
          <w:tcPr>
            <w:tcW w:w="634" w:type="dxa"/>
            <w:noWrap/>
            <w:hideMark/>
          </w:tcPr>
          <w:p w14:paraId="23B6659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2017/18</w:t>
            </w:r>
          </w:p>
        </w:tc>
        <w:tc>
          <w:tcPr>
            <w:tcW w:w="634" w:type="dxa"/>
            <w:noWrap/>
            <w:hideMark/>
          </w:tcPr>
          <w:p w14:paraId="2763A75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2018/19</w:t>
            </w:r>
          </w:p>
        </w:tc>
        <w:tc>
          <w:tcPr>
            <w:tcW w:w="634" w:type="dxa"/>
            <w:noWrap/>
            <w:hideMark/>
          </w:tcPr>
          <w:p w14:paraId="3518C1B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2019/20</w:t>
            </w:r>
          </w:p>
        </w:tc>
        <w:tc>
          <w:tcPr>
            <w:tcW w:w="634" w:type="dxa"/>
            <w:noWrap/>
            <w:hideMark/>
          </w:tcPr>
          <w:p w14:paraId="11CCCAB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2015/16</w:t>
            </w:r>
          </w:p>
        </w:tc>
        <w:tc>
          <w:tcPr>
            <w:tcW w:w="634" w:type="dxa"/>
            <w:noWrap/>
            <w:hideMark/>
          </w:tcPr>
          <w:p w14:paraId="7889DFF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2016/17</w:t>
            </w:r>
          </w:p>
        </w:tc>
        <w:tc>
          <w:tcPr>
            <w:tcW w:w="634" w:type="dxa"/>
            <w:noWrap/>
            <w:hideMark/>
          </w:tcPr>
          <w:p w14:paraId="5C62E35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2017/18</w:t>
            </w:r>
          </w:p>
        </w:tc>
        <w:tc>
          <w:tcPr>
            <w:tcW w:w="634" w:type="dxa"/>
            <w:noWrap/>
            <w:hideMark/>
          </w:tcPr>
          <w:p w14:paraId="58B9941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2018/19</w:t>
            </w:r>
          </w:p>
        </w:tc>
        <w:tc>
          <w:tcPr>
            <w:tcW w:w="634" w:type="dxa"/>
            <w:noWrap/>
            <w:hideMark/>
          </w:tcPr>
          <w:p w14:paraId="62733BB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2019/20</w:t>
            </w:r>
          </w:p>
        </w:tc>
        <w:tc>
          <w:tcPr>
            <w:tcW w:w="634" w:type="dxa"/>
            <w:noWrap/>
            <w:hideMark/>
          </w:tcPr>
          <w:p w14:paraId="79C734B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2015/16</w:t>
            </w:r>
          </w:p>
        </w:tc>
        <w:tc>
          <w:tcPr>
            <w:tcW w:w="634" w:type="dxa"/>
            <w:noWrap/>
            <w:hideMark/>
          </w:tcPr>
          <w:p w14:paraId="6A3D809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2016/17</w:t>
            </w:r>
          </w:p>
        </w:tc>
        <w:tc>
          <w:tcPr>
            <w:tcW w:w="634" w:type="dxa"/>
            <w:noWrap/>
            <w:hideMark/>
          </w:tcPr>
          <w:p w14:paraId="547BA28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2017/18</w:t>
            </w:r>
          </w:p>
        </w:tc>
        <w:tc>
          <w:tcPr>
            <w:tcW w:w="634" w:type="dxa"/>
            <w:noWrap/>
            <w:hideMark/>
          </w:tcPr>
          <w:p w14:paraId="26172EA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2018/19</w:t>
            </w:r>
          </w:p>
        </w:tc>
        <w:tc>
          <w:tcPr>
            <w:tcW w:w="634" w:type="dxa"/>
            <w:noWrap/>
            <w:hideMark/>
          </w:tcPr>
          <w:p w14:paraId="626557B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2019/20</w:t>
            </w:r>
          </w:p>
        </w:tc>
      </w:tr>
      <w:tr w:rsidR="00CB23C0" w:rsidRPr="00BC1750" w14:paraId="26947A56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72351291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Andrijevica</w:t>
            </w:r>
          </w:p>
        </w:tc>
        <w:tc>
          <w:tcPr>
            <w:tcW w:w="634" w:type="dxa"/>
            <w:noWrap/>
            <w:hideMark/>
          </w:tcPr>
          <w:p w14:paraId="7916323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63917DC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5F927F9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12350D2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1846A0C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6893E08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0C1A08F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5DD5D43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6F3B844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594E24A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25E20A5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6BB3915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62DC438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3717421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24E96F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6C014C5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24</w:t>
            </w:r>
          </w:p>
        </w:tc>
        <w:tc>
          <w:tcPr>
            <w:tcW w:w="634" w:type="dxa"/>
            <w:noWrap/>
            <w:hideMark/>
          </w:tcPr>
          <w:p w14:paraId="08DA15E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22</w:t>
            </w:r>
          </w:p>
        </w:tc>
        <w:tc>
          <w:tcPr>
            <w:tcW w:w="634" w:type="dxa"/>
            <w:noWrap/>
            <w:hideMark/>
          </w:tcPr>
          <w:p w14:paraId="3185E07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</w:t>
            </w:r>
          </w:p>
        </w:tc>
        <w:tc>
          <w:tcPr>
            <w:tcW w:w="634" w:type="dxa"/>
            <w:noWrap/>
            <w:hideMark/>
          </w:tcPr>
          <w:p w14:paraId="7800B72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22</w:t>
            </w:r>
          </w:p>
        </w:tc>
        <w:tc>
          <w:tcPr>
            <w:tcW w:w="634" w:type="dxa"/>
            <w:noWrap/>
            <w:hideMark/>
          </w:tcPr>
          <w:p w14:paraId="4E802EE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</w:t>
            </w:r>
          </w:p>
        </w:tc>
      </w:tr>
      <w:tr w:rsidR="00CB23C0" w:rsidRPr="00BC1750" w14:paraId="3BCEC6B8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2925F8FB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Bar</w:t>
            </w:r>
          </w:p>
        </w:tc>
        <w:tc>
          <w:tcPr>
            <w:tcW w:w="634" w:type="dxa"/>
            <w:noWrap/>
            <w:hideMark/>
          </w:tcPr>
          <w:p w14:paraId="30CD707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51</w:t>
            </w:r>
          </w:p>
        </w:tc>
        <w:tc>
          <w:tcPr>
            <w:tcW w:w="634" w:type="dxa"/>
            <w:noWrap/>
            <w:hideMark/>
          </w:tcPr>
          <w:p w14:paraId="545FDF9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48</w:t>
            </w:r>
          </w:p>
        </w:tc>
        <w:tc>
          <w:tcPr>
            <w:tcW w:w="634" w:type="dxa"/>
            <w:noWrap/>
            <w:hideMark/>
          </w:tcPr>
          <w:p w14:paraId="7D12833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58</w:t>
            </w:r>
          </w:p>
        </w:tc>
        <w:tc>
          <w:tcPr>
            <w:tcW w:w="634" w:type="dxa"/>
            <w:noWrap/>
            <w:hideMark/>
          </w:tcPr>
          <w:p w14:paraId="4A3FE3F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63</w:t>
            </w:r>
          </w:p>
        </w:tc>
        <w:tc>
          <w:tcPr>
            <w:tcW w:w="634" w:type="dxa"/>
            <w:noWrap/>
            <w:hideMark/>
          </w:tcPr>
          <w:p w14:paraId="101A3E0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78</w:t>
            </w:r>
          </w:p>
        </w:tc>
        <w:tc>
          <w:tcPr>
            <w:tcW w:w="634" w:type="dxa"/>
            <w:noWrap/>
            <w:hideMark/>
          </w:tcPr>
          <w:p w14:paraId="59CB23B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6126A0D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21F42A4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2F0689A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24</w:t>
            </w:r>
          </w:p>
        </w:tc>
        <w:tc>
          <w:tcPr>
            <w:tcW w:w="634" w:type="dxa"/>
            <w:noWrap/>
            <w:hideMark/>
          </w:tcPr>
          <w:p w14:paraId="28DCD8A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33</w:t>
            </w:r>
          </w:p>
        </w:tc>
        <w:tc>
          <w:tcPr>
            <w:tcW w:w="634" w:type="dxa"/>
            <w:noWrap/>
            <w:hideMark/>
          </w:tcPr>
          <w:p w14:paraId="3B6FCBC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4AE9F7C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0CD3364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1DD6295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3BFCEFD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718A8B0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6B05AAD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5379008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27</w:t>
            </w:r>
          </w:p>
        </w:tc>
        <w:tc>
          <w:tcPr>
            <w:tcW w:w="634" w:type="dxa"/>
            <w:noWrap/>
            <w:hideMark/>
          </w:tcPr>
          <w:p w14:paraId="641735C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34</w:t>
            </w:r>
          </w:p>
        </w:tc>
        <w:tc>
          <w:tcPr>
            <w:tcW w:w="634" w:type="dxa"/>
            <w:noWrap/>
            <w:hideMark/>
          </w:tcPr>
          <w:p w14:paraId="6978011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39</w:t>
            </w:r>
          </w:p>
        </w:tc>
      </w:tr>
      <w:tr w:rsidR="00CB23C0" w:rsidRPr="00BC1750" w14:paraId="3417A324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06AA41E3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Berane</w:t>
            </w:r>
          </w:p>
        </w:tc>
        <w:tc>
          <w:tcPr>
            <w:tcW w:w="634" w:type="dxa"/>
            <w:noWrap/>
            <w:hideMark/>
          </w:tcPr>
          <w:p w14:paraId="4CAE480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33</w:t>
            </w:r>
          </w:p>
        </w:tc>
        <w:tc>
          <w:tcPr>
            <w:tcW w:w="634" w:type="dxa"/>
            <w:noWrap/>
            <w:hideMark/>
          </w:tcPr>
          <w:p w14:paraId="550F097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33</w:t>
            </w:r>
          </w:p>
        </w:tc>
        <w:tc>
          <w:tcPr>
            <w:tcW w:w="634" w:type="dxa"/>
            <w:noWrap/>
            <w:hideMark/>
          </w:tcPr>
          <w:p w14:paraId="3CEB05E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36</w:t>
            </w:r>
          </w:p>
        </w:tc>
        <w:tc>
          <w:tcPr>
            <w:tcW w:w="634" w:type="dxa"/>
            <w:noWrap/>
            <w:hideMark/>
          </w:tcPr>
          <w:p w14:paraId="1F4E496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36</w:t>
            </w:r>
          </w:p>
        </w:tc>
        <w:tc>
          <w:tcPr>
            <w:tcW w:w="634" w:type="dxa"/>
            <w:noWrap/>
            <w:hideMark/>
          </w:tcPr>
          <w:p w14:paraId="1963EAF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37</w:t>
            </w:r>
          </w:p>
        </w:tc>
        <w:tc>
          <w:tcPr>
            <w:tcW w:w="634" w:type="dxa"/>
            <w:noWrap/>
            <w:hideMark/>
          </w:tcPr>
          <w:p w14:paraId="293AA03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4921093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136B556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17B822C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634" w:type="dxa"/>
            <w:noWrap/>
            <w:hideMark/>
          </w:tcPr>
          <w:p w14:paraId="0E1A849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2A5D17A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50604A9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91B3BA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44CD697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753B93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01F6768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672D442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4E9C475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5C6A984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15</w:t>
            </w:r>
          </w:p>
        </w:tc>
        <w:tc>
          <w:tcPr>
            <w:tcW w:w="634" w:type="dxa"/>
            <w:noWrap/>
            <w:hideMark/>
          </w:tcPr>
          <w:p w14:paraId="0061697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</w:t>
            </w:r>
          </w:p>
        </w:tc>
      </w:tr>
      <w:tr w:rsidR="00CB23C0" w:rsidRPr="00BC1750" w14:paraId="76264FBE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09DA7CAA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Bijelo Polje</w:t>
            </w:r>
          </w:p>
        </w:tc>
        <w:tc>
          <w:tcPr>
            <w:tcW w:w="634" w:type="dxa"/>
            <w:noWrap/>
            <w:hideMark/>
          </w:tcPr>
          <w:p w14:paraId="1DED4CC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55</w:t>
            </w:r>
          </w:p>
        </w:tc>
        <w:tc>
          <w:tcPr>
            <w:tcW w:w="634" w:type="dxa"/>
            <w:noWrap/>
            <w:hideMark/>
          </w:tcPr>
          <w:p w14:paraId="33A7C2B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62</w:t>
            </w:r>
          </w:p>
        </w:tc>
        <w:tc>
          <w:tcPr>
            <w:tcW w:w="634" w:type="dxa"/>
            <w:noWrap/>
            <w:hideMark/>
          </w:tcPr>
          <w:p w14:paraId="45E5BE7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63</w:t>
            </w:r>
          </w:p>
        </w:tc>
        <w:tc>
          <w:tcPr>
            <w:tcW w:w="634" w:type="dxa"/>
            <w:noWrap/>
            <w:hideMark/>
          </w:tcPr>
          <w:p w14:paraId="19C7FEB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65</w:t>
            </w:r>
          </w:p>
        </w:tc>
        <w:tc>
          <w:tcPr>
            <w:tcW w:w="634" w:type="dxa"/>
            <w:noWrap/>
            <w:hideMark/>
          </w:tcPr>
          <w:p w14:paraId="2882BFF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68</w:t>
            </w:r>
          </w:p>
        </w:tc>
        <w:tc>
          <w:tcPr>
            <w:tcW w:w="634" w:type="dxa"/>
            <w:noWrap/>
            <w:hideMark/>
          </w:tcPr>
          <w:p w14:paraId="3B0C382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21</w:t>
            </w:r>
          </w:p>
        </w:tc>
        <w:tc>
          <w:tcPr>
            <w:tcW w:w="634" w:type="dxa"/>
            <w:noWrap/>
            <w:hideMark/>
          </w:tcPr>
          <w:p w14:paraId="5ED2476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33</w:t>
            </w:r>
          </w:p>
        </w:tc>
        <w:tc>
          <w:tcPr>
            <w:tcW w:w="634" w:type="dxa"/>
            <w:noWrap/>
            <w:hideMark/>
          </w:tcPr>
          <w:p w14:paraId="440AB04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34</w:t>
            </w:r>
          </w:p>
        </w:tc>
        <w:tc>
          <w:tcPr>
            <w:tcW w:w="634" w:type="dxa"/>
            <w:noWrap/>
            <w:hideMark/>
          </w:tcPr>
          <w:p w14:paraId="6918AC6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33</w:t>
            </w:r>
          </w:p>
        </w:tc>
        <w:tc>
          <w:tcPr>
            <w:tcW w:w="634" w:type="dxa"/>
            <w:noWrap/>
            <w:hideMark/>
          </w:tcPr>
          <w:p w14:paraId="729A5F0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35</w:t>
            </w:r>
          </w:p>
        </w:tc>
        <w:tc>
          <w:tcPr>
            <w:tcW w:w="634" w:type="dxa"/>
            <w:noWrap/>
            <w:hideMark/>
          </w:tcPr>
          <w:p w14:paraId="273D770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7C0CF4F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181F110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7ADE383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3A1EEED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4FBE9BA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35</w:t>
            </w:r>
          </w:p>
        </w:tc>
        <w:tc>
          <w:tcPr>
            <w:tcW w:w="634" w:type="dxa"/>
            <w:noWrap/>
            <w:hideMark/>
          </w:tcPr>
          <w:p w14:paraId="5E6744A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37</w:t>
            </w:r>
          </w:p>
        </w:tc>
        <w:tc>
          <w:tcPr>
            <w:tcW w:w="634" w:type="dxa"/>
            <w:noWrap/>
            <w:hideMark/>
          </w:tcPr>
          <w:p w14:paraId="3AC2218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37</w:t>
            </w:r>
          </w:p>
        </w:tc>
        <w:tc>
          <w:tcPr>
            <w:tcW w:w="634" w:type="dxa"/>
            <w:noWrap/>
            <w:hideMark/>
          </w:tcPr>
          <w:p w14:paraId="448CDD8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32</w:t>
            </w:r>
          </w:p>
        </w:tc>
        <w:tc>
          <w:tcPr>
            <w:tcW w:w="634" w:type="dxa"/>
            <w:noWrap/>
            <w:hideMark/>
          </w:tcPr>
          <w:p w14:paraId="6B1A972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34</w:t>
            </w:r>
          </w:p>
        </w:tc>
      </w:tr>
      <w:tr w:rsidR="00CB23C0" w:rsidRPr="00BC1750" w14:paraId="37BFEB1A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36CE276E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Budva</w:t>
            </w:r>
          </w:p>
        </w:tc>
        <w:tc>
          <w:tcPr>
            <w:tcW w:w="634" w:type="dxa"/>
            <w:noWrap/>
            <w:hideMark/>
          </w:tcPr>
          <w:p w14:paraId="1DCB871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58</w:t>
            </w:r>
          </w:p>
        </w:tc>
        <w:tc>
          <w:tcPr>
            <w:tcW w:w="634" w:type="dxa"/>
            <w:noWrap/>
            <w:hideMark/>
          </w:tcPr>
          <w:p w14:paraId="240A7F4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54</w:t>
            </w:r>
          </w:p>
        </w:tc>
        <w:tc>
          <w:tcPr>
            <w:tcW w:w="634" w:type="dxa"/>
            <w:noWrap/>
            <w:hideMark/>
          </w:tcPr>
          <w:p w14:paraId="41C1C5A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58</w:t>
            </w:r>
          </w:p>
        </w:tc>
        <w:tc>
          <w:tcPr>
            <w:tcW w:w="634" w:type="dxa"/>
            <w:noWrap/>
            <w:hideMark/>
          </w:tcPr>
          <w:p w14:paraId="41C838A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59</w:t>
            </w:r>
          </w:p>
        </w:tc>
        <w:tc>
          <w:tcPr>
            <w:tcW w:w="634" w:type="dxa"/>
            <w:noWrap/>
            <w:hideMark/>
          </w:tcPr>
          <w:p w14:paraId="39319C0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61</w:t>
            </w:r>
          </w:p>
        </w:tc>
        <w:tc>
          <w:tcPr>
            <w:tcW w:w="634" w:type="dxa"/>
            <w:noWrap/>
            <w:hideMark/>
          </w:tcPr>
          <w:p w14:paraId="3F3CB2E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634" w:type="dxa"/>
            <w:noWrap/>
            <w:hideMark/>
          </w:tcPr>
          <w:p w14:paraId="16A9393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</w:t>
            </w:r>
          </w:p>
        </w:tc>
        <w:tc>
          <w:tcPr>
            <w:tcW w:w="634" w:type="dxa"/>
            <w:noWrap/>
            <w:hideMark/>
          </w:tcPr>
          <w:p w14:paraId="7505BEC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18</w:t>
            </w:r>
          </w:p>
        </w:tc>
        <w:tc>
          <w:tcPr>
            <w:tcW w:w="634" w:type="dxa"/>
            <w:noWrap/>
            <w:hideMark/>
          </w:tcPr>
          <w:p w14:paraId="7874245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28</w:t>
            </w:r>
          </w:p>
        </w:tc>
        <w:tc>
          <w:tcPr>
            <w:tcW w:w="634" w:type="dxa"/>
            <w:noWrap/>
            <w:hideMark/>
          </w:tcPr>
          <w:p w14:paraId="1AA408C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32</w:t>
            </w:r>
          </w:p>
        </w:tc>
        <w:tc>
          <w:tcPr>
            <w:tcW w:w="634" w:type="dxa"/>
            <w:noWrap/>
            <w:hideMark/>
          </w:tcPr>
          <w:p w14:paraId="21F1CA6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53EDD06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65606E6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3F78831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0D49039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451C48B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634" w:type="dxa"/>
            <w:noWrap/>
            <w:hideMark/>
          </w:tcPr>
          <w:p w14:paraId="691F8F6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31</w:t>
            </w:r>
          </w:p>
        </w:tc>
        <w:tc>
          <w:tcPr>
            <w:tcW w:w="634" w:type="dxa"/>
            <w:noWrap/>
            <w:hideMark/>
          </w:tcPr>
          <w:p w14:paraId="7ACCDE8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634" w:type="dxa"/>
            <w:noWrap/>
            <w:hideMark/>
          </w:tcPr>
          <w:p w14:paraId="2081837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32</w:t>
            </w:r>
          </w:p>
        </w:tc>
        <w:tc>
          <w:tcPr>
            <w:tcW w:w="634" w:type="dxa"/>
            <w:noWrap/>
            <w:hideMark/>
          </w:tcPr>
          <w:p w14:paraId="239C218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31</w:t>
            </w:r>
          </w:p>
        </w:tc>
      </w:tr>
      <w:tr w:rsidR="00CB23C0" w:rsidRPr="00BC1750" w14:paraId="4E45FD64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58AB05DB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Cetinje</w:t>
            </w:r>
          </w:p>
        </w:tc>
        <w:tc>
          <w:tcPr>
            <w:tcW w:w="634" w:type="dxa"/>
            <w:noWrap/>
            <w:hideMark/>
          </w:tcPr>
          <w:p w14:paraId="340C925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38</w:t>
            </w:r>
          </w:p>
        </w:tc>
        <w:tc>
          <w:tcPr>
            <w:tcW w:w="634" w:type="dxa"/>
            <w:noWrap/>
            <w:hideMark/>
          </w:tcPr>
          <w:p w14:paraId="615760D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41</w:t>
            </w:r>
          </w:p>
        </w:tc>
        <w:tc>
          <w:tcPr>
            <w:tcW w:w="634" w:type="dxa"/>
            <w:noWrap/>
            <w:hideMark/>
          </w:tcPr>
          <w:p w14:paraId="702AB8E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42</w:t>
            </w:r>
          </w:p>
        </w:tc>
        <w:tc>
          <w:tcPr>
            <w:tcW w:w="634" w:type="dxa"/>
            <w:noWrap/>
            <w:hideMark/>
          </w:tcPr>
          <w:p w14:paraId="3205250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41</w:t>
            </w:r>
          </w:p>
        </w:tc>
        <w:tc>
          <w:tcPr>
            <w:tcW w:w="634" w:type="dxa"/>
            <w:noWrap/>
            <w:hideMark/>
          </w:tcPr>
          <w:p w14:paraId="0A69672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41</w:t>
            </w:r>
          </w:p>
        </w:tc>
        <w:tc>
          <w:tcPr>
            <w:tcW w:w="634" w:type="dxa"/>
            <w:noWrap/>
            <w:hideMark/>
          </w:tcPr>
          <w:p w14:paraId="08A77AE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1C22655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6E97167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3544EAB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2FECECC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2F43A18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09768D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B9EDD6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78A14AB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EBCC13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0A4E7B8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</w:t>
            </w:r>
          </w:p>
        </w:tc>
        <w:tc>
          <w:tcPr>
            <w:tcW w:w="634" w:type="dxa"/>
            <w:noWrap/>
            <w:hideMark/>
          </w:tcPr>
          <w:p w14:paraId="7FE4FA1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17</w:t>
            </w:r>
          </w:p>
        </w:tc>
        <w:tc>
          <w:tcPr>
            <w:tcW w:w="634" w:type="dxa"/>
            <w:noWrap/>
            <w:hideMark/>
          </w:tcPr>
          <w:p w14:paraId="0E5B830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17</w:t>
            </w:r>
          </w:p>
        </w:tc>
        <w:tc>
          <w:tcPr>
            <w:tcW w:w="634" w:type="dxa"/>
            <w:noWrap/>
            <w:hideMark/>
          </w:tcPr>
          <w:p w14:paraId="67BF47D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18</w:t>
            </w:r>
          </w:p>
        </w:tc>
        <w:tc>
          <w:tcPr>
            <w:tcW w:w="634" w:type="dxa"/>
            <w:noWrap/>
            <w:hideMark/>
          </w:tcPr>
          <w:p w14:paraId="3033CCD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17</w:t>
            </w:r>
          </w:p>
        </w:tc>
      </w:tr>
      <w:tr w:rsidR="00CB23C0" w:rsidRPr="00BC1750" w14:paraId="3900A661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6E16C263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Danilovgrad</w:t>
            </w:r>
          </w:p>
        </w:tc>
        <w:tc>
          <w:tcPr>
            <w:tcW w:w="634" w:type="dxa"/>
            <w:noWrap/>
            <w:hideMark/>
          </w:tcPr>
          <w:p w14:paraId="7A2C40B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0EBC2E0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21</w:t>
            </w:r>
          </w:p>
        </w:tc>
        <w:tc>
          <w:tcPr>
            <w:tcW w:w="634" w:type="dxa"/>
            <w:noWrap/>
            <w:hideMark/>
          </w:tcPr>
          <w:p w14:paraId="643DE81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27</w:t>
            </w:r>
          </w:p>
        </w:tc>
        <w:tc>
          <w:tcPr>
            <w:tcW w:w="634" w:type="dxa"/>
            <w:noWrap/>
            <w:hideMark/>
          </w:tcPr>
          <w:p w14:paraId="35FE246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24</w:t>
            </w:r>
          </w:p>
        </w:tc>
        <w:tc>
          <w:tcPr>
            <w:tcW w:w="634" w:type="dxa"/>
            <w:noWrap/>
            <w:hideMark/>
          </w:tcPr>
          <w:p w14:paraId="71C87AE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28</w:t>
            </w:r>
          </w:p>
        </w:tc>
        <w:tc>
          <w:tcPr>
            <w:tcW w:w="634" w:type="dxa"/>
            <w:noWrap/>
            <w:hideMark/>
          </w:tcPr>
          <w:p w14:paraId="331F11A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49F5470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61B3A29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4370CDF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599AAAD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1D99BF3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2E49A68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5A85709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4C3C2C0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3B7157E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06468A4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5B333FD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582640C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15</w:t>
            </w:r>
          </w:p>
        </w:tc>
        <w:tc>
          <w:tcPr>
            <w:tcW w:w="634" w:type="dxa"/>
            <w:noWrap/>
            <w:hideMark/>
          </w:tcPr>
          <w:p w14:paraId="4E90DCC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18</w:t>
            </w:r>
          </w:p>
        </w:tc>
        <w:tc>
          <w:tcPr>
            <w:tcW w:w="634" w:type="dxa"/>
            <w:noWrap/>
            <w:hideMark/>
          </w:tcPr>
          <w:p w14:paraId="267386A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18</w:t>
            </w:r>
          </w:p>
        </w:tc>
      </w:tr>
      <w:tr w:rsidR="00CB23C0" w:rsidRPr="00BC1750" w14:paraId="732A95BE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68FBB38C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Herceg Novi</w:t>
            </w:r>
          </w:p>
        </w:tc>
        <w:tc>
          <w:tcPr>
            <w:tcW w:w="634" w:type="dxa"/>
            <w:noWrap/>
            <w:hideMark/>
          </w:tcPr>
          <w:p w14:paraId="1B23F9A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56</w:t>
            </w:r>
          </w:p>
        </w:tc>
        <w:tc>
          <w:tcPr>
            <w:tcW w:w="634" w:type="dxa"/>
            <w:noWrap/>
            <w:hideMark/>
          </w:tcPr>
          <w:p w14:paraId="4E2DFFF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58</w:t>
            </w:r>
          </w:p>
        </w:tc>
        <w:tc>
          <w:tcPr>
            <w:tcW w:w="634" w:type="dxa"/>
            <w:noWrap/>
            <w:hideMark/>
          </w:tcPr>
          <w:p w14:paraId="55C1A7A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63</w:t>
            </w:r>
          </w:p>
        </w:tc>
        <w:tc>
          <w:tcPr>
            <w:tcW w:w="634" w:type="dxa"/>
            <w:noWrap/>
            <w:hideMark/>
          </w:tcPr>
          <w:p w14:paraId="014AAF3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62</w:t>
            </w:r>
          </w:p>
        </w:tc>
        <w:tc>
          <w:tcPr>
            <w:tcW w:w="634" w:type="dxa"/>
            <w:noWrap/>
            <w:hideMark/>
          </w:tcPr>
          <w:p w14:paraId="2930346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62</w:t>
            </w:r>
          </w:p>
        </w:tc>
        <w:tc>
          <w:tcPr>
            <w:tcW w:w="634" w:type="dxa"/>
            <w:noWrap/>
            <w:hideMark/>
          </w:tcPr>
          <w:p w14:paraId="3958584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0D40360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7364DD8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7F92F54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43D8AD6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6A808DE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60D08FB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3C262D2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1FA0256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DC815F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FFFA95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634" w:type="dxa"/>
            <w:noWrap/>
            <w:hideMark/>
          </w:tcPr>
          <w:p w14:paraId="6E10CED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634" w:type="dxa"/>
            <w:noWrap/>
            <w:hideMark/>
          </w:tcPr>
          <w:p w14:paraId="15DCE71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30</w:t>
            </w:r>
          </w:p>
        </w:tc>
        <w:tc>
          <w:tcPr>
            <w:tcW w:w="634" w:type="dxa"/>
            <w:noWrap/>
            <w:hideMark/>
          </w:tcPr>
          <w:p w14:paraId="5699A83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31</w:t>
            </w:r>
          </w:p>
        </w:tc>
        <w:tc>
          <w:tcPr>
            <w:tcW w:w="634" w:type="dxa"/>
            <w:noWrap/>
            <w:hideMark/>
          </w:tcPr>
          <w:p w14:paraId="5FD7C19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30</w:t>
            </w:r>
          </w:p>
        </w:tc>
      </w:tr>
      <w:tr w:rsidR="00CB23C0" w:rsidRPr="00BC1750" w14:paraId="1E19BD76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43BF9CB3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Kolašin</w:t>
            </w:r>
          </w:p>
        </w:tc>
        <w:tc>
          <w:tcPr>
            <w:tcW w:w="634" w:type="dxa"/>
            <w:noWrap/>
            <w:hideMark/>
          </w:tcPr>
          <w:p w14:paraId="28EB507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667B1CC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1C0CE56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35CA513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2D9AF49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2CA6FD0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1D4504A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7BCF523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B926EA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1BAD13E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9E1671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373C1BC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803170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49986BE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77701B0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22CA293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409C3A6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4479ABA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0ABB19E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46DCC26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</w:tr>
      <w:tr w:rsidR="00CB23C0" w:rsidRPr="00BC1750" w14:paraId="42C3D759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5C861083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Kotor</w:t>
            </w:r>
          </w:p>
        </w:tc>
        <w:tc>
          <w:tcPr>
            <w:tcW w:w="634" w:type="dxa"/>
            <w:noWrap/>
            <w:hideMark/>
          </w:tcPr>
          <w:p w14:paraId="1E3457B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54</w:t>
            </w:r>
          </w:p>
        </w:tc>
        <w:tc>
          <w:tcPr>
            <w:tcW w:w="634" w:type="dxa"/>
            <w:noWrap/>
            <w:hideMark/>
          </w:tcPr>
          <w:p w14:paraId="5915F76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51</w:t>
            </w:r>
          </w:p>
        </w:tc>
        <w:tc>
          <w:tcPr>
            <w:tcW w:w="634" w:type="dxa"/>
            <w:noWrap/>
            <w:hideMark/>
          </w:tcPr>
          <w:p w14:paraId="3AC1D24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54</w:t>
            </w:r>
          </w:p>
        </w:tc>
        <w:tc>
          <w:tcPr>
            <w:tcW w:w="634" w:type="dxa"/>
            <w:noWrap/>
            <w:hideMark/>
          </w:tcPr>
          <w:p w14:paraId="38AE060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53</w:t>
            </w:r>
          </w:p>
        </w:tc>
        <w:tc>
          <w:tcPr>
            <w:tcW w:w="634" w:type="dxa"/>
            <w:noWrap/>
            <w:hideMark/>
          </w:tcPr>
          <w:p w14:paraId="07291E0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52</w:t>
            </w:r>
          </w:p>
        </w:tc>
        <w:tc>
          <w:tcPr>
            <w:tcW w:w="634" w:type="dxa"/>
            <w:noWrap/>
            <w:hideMark/>
          </w:tcPr>
          <w:p w14:paraId="4F716E7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21</w:t>
            </w:r>
          </w:p>
        </w:tc>
        <w:tc>
          <w:tcPr>
            <w:tcW w:w="634" w:type="dxa"/>
            <w:noWrap/>
            <w:hideMark/>
          </w:tcPr>
          <w:p w14:paraId="4DA8DF5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628C16D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33543B7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</w:t>
            </w:r>
          </w:p>
        </w:tc>
        <w:tc>
          <w:tcPr>
            <w:tcW w:w="634" w:type="dxa"/>
            <w:noWrap/>
            <w:hideMark/>
          </w:tcPr>
          <w:p w14:paraId="4179775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</w:t>
            </w:r>
          </w:p>
        </w:tc>
        <w:tc>
          <w:tcPr>
            <w:tcW w:w="634" w:type="dxa"/>
            <w:noWrap/>
            <w:hideMark/>
          </w:tcPr>
          <w:p w14:paraId="6BE4A9F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3E591C4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B9ECEC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6703D6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6AEF80F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0134401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634" w:type="dxa"/>
            <w:noWrap/>
            <w:hideMark/>
          </w:tcPr>
          <w:p w14:paraId="4C8B14E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26</w:t>
            </w:r>
          </w:p>
        </w:tc>
        <w:tc>
          <w:tcPr>
            <w:tcW w:w="634" w:type="dxa"/>
            <w:noWrap/>
            <w:hideMark/>
          </w:tcPr>
          <w:p w14:paraId="0EADF9B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27</w:t>
            </w:r>
          </w:p>
        </w:tc>
        <w:tc>
          <w:tcPr>
            <w:tcW w:w="634" w:type="dxa"/>
            <w:noWrap/>
            <w:hideMark/>
          </w:tcPr>
          <w:p w14:paraId="435213A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26</w:t>
            </w:r>
          </w:p>
        </w:tc>
        <w:tc>
          <w:tcPr>
            <w:tcW w:w="634" w:type="dxa"/>
            <w:noWrap/>
            <w:hideMark/>
          </w:tcPr>
          <w:p w14:paraId="3EC911F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26</w:t>
            </w:r>
          </w:p>
        </w:tc>
      </w:tr>
      <w:tr w:rsidR="00CB23C0" w:rsidRPr="00BC1750" w14:paraId="773E32A7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6E295343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Mojkovac</w:t>
            </w:r>
          </w:p>
        </w:tc>
        <w:tc>
          <w:tcPr>
            <w:tcW w:w="634" w:type="dxa"/>
            <w:noWrap/>
            <w:hideMark/>
          </w:tcPr>
          <w:p w14:paraId="426C1AB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4848BAC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2931A91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7131114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026FB70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12CDDEF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7EEF658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4116B49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1F1A3EA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4CE2389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1DA14A2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4FA773F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6618BFD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5E8497A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1FBA1DB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42128C4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5C9BA23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59AAAA1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034CF2B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3A089B6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</w:tr>
      <w:tr w:rsidR="00CB23C0" w:rsidRPr="00BC1750" w14:paraId="0314D795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282A3405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Nikšić</w:t>
            </w:r>
          </w:p>
        </w:tc>
        <w:tc>
          <w:tcPr>
            <w:tcW w:w="634" w:type="dxa"/>
            <w:noWrap/>
            <w:hideMark/>
          </w:tcPr>
          <w:p w14:paraId="761A675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133</w:t>
            </w:r>
          </w:p>
        </w:tc>
        <w:tc>
          <w:tcPr>
            <w:tcW w:w="634" w:type="dxa"/>
            <w:noWrap/>
            <w:hideMark/>
          </w:tcPr>
          <w:p w14:paraId="6DFACE3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146</w:t>
            </w:r>
          </w:p>
        </w:tc>
        <w:tc>
          <w:tcPr>
            <w:tcW w:w="634" w:type="dxa"/>
            <w:noWrap/>
            <w:hideMark/>
          </w:tcPr>
          <w:p w14:paraId="49C6FA5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153</w:t>
            </w:r>
          </w:p>
        </w:tc>
        <w:tc>
          <w:tcPr>
            <w:tcW w:w="634" w:type="dxa"/>
            <w:noWrap/>
            <w:hideMark/>
          </w:tcPr>
          <w:p w14:paraId="717F938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167</w:t>
            </w:r>
          </w:p>
        </w:tc>
        <w:tc>
          <w:tcPr>
            <w:tcW w:w="634" w:type="dxa"/>
            <w:noWrap/>
            <w:hideMark/>
          </w:tcPr>
          <w:p w14:paraId="464BA8C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167</w:t>
            </w:r>
          </w:p>
        </w:tc>
        <w:tc>
          <w:tcPr>
            <w:tcW w:w="634" w:type="dxa"/>
            <w:noWrap/>
            <w:hideMark/>
          </w:tcPr>
          <w:p w14:paraId="5F96317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35</w:t>
            </w:r>
          </w:p>
        </w:tc>
        <w:tc>
          <w:tcPr>
            <w:tcW w:w="634" w:type="dxa"/>
            <w:noWrap/>
            <w:hideMark/>
          </w:tcPr>
          <w:p w14:paraId="1FF42F9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37</w:t>
            </w:r>
          </w:p>
        </w:tc>
        <w:tc>
          <w:tcPr>
            <w:tcW w:w="634" w:type="dxa"/>
            <w:noWrap/>
            <w:hideMark/>
          </w:tcPr>
          <w:p w14:paraId="75D1B44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43</w:t>
            </w:r>
          </w:p>
        </w:tc>
        <w:tc>
          <w:tcPr>
            <w:tcW w:w="634" w:type="dxa"/>
            <w:noWrap/>
            <w:hideMark/>
          </w:tcPr>
          <w:p w14:paraId="08FCEEA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56</w:t>
            </w:r>
          </w:p>
        </w:tc>
        <w:tc>
          <w:tcPr>
            <w:tcW w:w="634" w:type="dxa"/>
            <w:noWrap/>
            <w:hideMark/>
          </w:tcPr>
          <w:p w14:paraId="6A5BD8E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55</w:t>
            </w:r>
          </w:p>
        </w:tc>
        <w:tc>
          <w:tcPr>
            <w:tcW w:w="634" w:type="dxa"/>
            <w:noWrap/>
            <w:hideMark/>
          </w:tcPr>
          <w:p w14:paraId="609DE3A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2433323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5B19684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78C33E6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753D7C2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52D1183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44</w:t>
            </w:r>
          </w:p>
        </w:tc>
        <w:tc>
          <w:tcPr>
            <w:tcW w:w="634" w:type="dxa"/>
            <w:noWrap/>
            <w:hideMark/>
          </w:tcPr>
          <w:p w14:paraId="3A9B08C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43</w:t>
            </w:r>
          </w:p>
        </w:tc>
        <w:tc>
          <w:tcPr>
            <w:tcW w:w="634" w:type="dxa"/>
            <w:noWrap/>
            <w:hideMark/>
          </w:tcPr>
          <w:p w14:paraId="68AC1AA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41</w:t>
            </w:r>
          </w:p>
        </w:tc>
        <w:tc>
          <w:tcPr>
            <w:tcW w:w="634" w:type="dxa"/>
            <w:noWrap/>
            <w:hideMark/>
          </w:tcPr>
          <w:p w14:paraId="2D881FA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55</w:t>
            </w:r>
          </w:p>
        </w:tc>
        <w:tc>
          <w:tcPr>
            <w:tcW w:w="634" w:type="dxa"/>
            <w:noWrap/>
            <w:hideMark/>
          </w:tcPr>
          <w:p w14:paraId="5A3374C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50</w:t>
            </w:r>
          </w:p>
        </w:tc>
      </w:tr>
      <w:tr w:rsidR="00CB23C0" w:rsidRPr="00BC1750" w14:paraId="690E5E7D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519F3350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Plav</w:t>
            </w:r>
          </w:p>
        </w:tc>
        <w:tc>
          <w:tcPr>
            <w:tcW w:w="634" w:type="dxa"/>
            <w:noWrap/>
            <w:hideMark/>
          </w:tcPr>
          <w:p w14:paraId="6380692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04E7C3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6DFF562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779883F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310B48F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18FAE20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6BBF010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1996A65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4377E76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69F5B3D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634" w:type="dxa"/>
            <w:noWrap/>
            <w:hideMark/>
          </w:tcPr>
          <w:p w14:paraId="1201DD6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6C97BA7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13DA5A3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3AC33C0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6EE3C3A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32D573A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41C17D2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36EABAE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12</w:t>
            </w:r>
          </w:p>
        </w:tc>
        <w:tc>
          <w:tcPr>
            <w:tcW w:w="634" w:type="dxa"/>
            <w:noWrap/>
            <w:hideMark/>
          </w:tcPr>
          <w:p w14:paraId="660FF35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</w:t>
            </w:r>
          </w:p>
        </w:tc>
        <w:tc>
          <w:tcPr>
            <w:tcW w:w="634" w:type="dxa"/>
            <w:noWrap/>
            <w:hideMark/>
          </w:tcPr>
          <w:p w14:paraId="0CF689B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</w:t>
            </w:r>
          </w:p>
        </w:tc>
      </w:tr>
      <w:tr w:rsidR="00CB23C0" w:rsidRPr="00BC1750" w14:paraId="0A2A4C0F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674BCAE8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Pljevlja</w:t>
            </w:r>
          </w:p>
        </w:tc>
        <w:tc>
          <w:tcPr>
            <w:tcW w:w="634" w:type="dxa"/>
            <w:noWrap/>
            <w:hideMark/>
          </w:tcPr>
          <w:p w14:paraId="61B41CE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30</w:t>
            </w:r>
          </w:p>
        </w:tc>
        <w:tc>
          <w:tcPr>
            <w:tcW w:w="634" w:type="dxa"/>
            <w:noWrap/>
            <w:hideMark/>
          </w:tcPr>
          <w:p w14:paraId="55C5454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32</w:t>
            </w:r>
          </w:p>
        </w:tc>
        <w:tc>
          <w:tcPr>
            <w:tcW w:w="634" w:type="dxa"/>
            <w:noWrap/>
            <w:hideMark/>
          </w:tcPr>
          <w:p w14:paraId="0BFF5E3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36</w:t>
            </w:r>
          </w:p>
        </w:tc>
        <w:tc>
          <w:tcPr>
            <w:tcW w:w="634" w:type="dxa"/>
            <w:noWrap/>
            <w:hideMark/>
          </w:tcPr>
          <w:p w14:paraId="5ECEC21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42</w:t>
            </w:r>
          </w:p>
        </w:tc>
        <w:tc>
          <w:tcPr>
            <w:tcW w:w="634" w:type="dxa"/>
            <w:noWrap/>
            <w:hideMark/>
          </w:tcPr>
          <w:p w14:paraId="3CF7EEB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43</w:t>
            </w:r>
          </w:p>
        </w:tc>
        <w:tc>
          <w:tcPr>
            <w:tcW w:w="634" w:type="dxa"/>
            <w:noWrap/>
            <w:hideMark/>
          </w:tcPr>
          <w:p w14:paraId="0E8D31C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634" w:type="dxa"/>
            <w:noWrap/>
            <w:hideMark/>
          </w:tcPr>
          <w:p w14:paraId="59BB769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634" w:type="dxa"/>
            <w:noWrap/>
            <w:hideMark/>
          </w:tcPr>
          <w:p w14:paraId="07C1236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634" w:type="dxa"/>
            <w:noWrap/>
            <w:hideMark/>
          </w:tcPr>
          <w:p w14:paraId="1778B24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12</w:t>
            </w:r>
          </w:p>
        </w:tc>
        <w:tc>
          <w:tcPr>
            <w:tcW w:w="634" w:type="dxa"/>
            <w:noWrap/>
            <w:hideMark/>
          </w:tcPr>
          <w:p w14:paraId="0C5C826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15</w:t>
            </w:r>
          </w:p>
        </w:tc>
        <w:tc>
          <w:tcPr>
            <w:tcW w:w="634" w:type="dxa"/>
            <w:noWrap/>
            <w:hideMark/>
          </w:tcPr>
          <w:p w14:paraId="540246E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6672EA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6F75F75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B9DA3E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09A4FDA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9A2CBE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18</w:t>
            </w:r>
          </w:p>
        </w:tc>
        <w:tc>
          <w:tcPr>
            <w:tcW w:w="634" w:type="dxa"/>
            <w:noWrap/>
            <w:hideMark/>
          </w:tcPr>
          <w:p w14:paraId="157427A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</w:t>
            </w:r>
          </w:p>
        </w:tc>
        <w:tc>
          <w:tcPr>
            <w:tcW w:w="634" w:type="dxa"/>
            <w:noWrap/>
            <w:hideMark/>
          </w:tcPr>
          <w:p w14:paraId="2422960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20</w:t>
            </w:r>
          </w:p>
        </w:tc>
        <w:tc>
          <w:tcPr>
            <w:tcW w:w="634" w:type="dxa"/>
            <w:noWrap/>
            <w:hideMark/>
          </w:tcPr>
          <w:p w14:paraId="5DE33CC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24</w:t>
            </w:r>
          </w:p>
        </w:tc>
        <w:tc>
          <w:tcPr>
            <w:tcW w:w="634" w:type="dxa"/>
            <w:noWrap/>
            <w:hideMark/>
          </w:tcPr>
          <w:p w14:paraId="719F5FC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</w:t>
            </w:r>
          </w:p>
        </w:tc>
      </w:tr>
      <w:tr w:rsidR="00CB23C0" w:rsidRPr="00BC1750" w14:paraId="668C2FAE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13B48B2E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Plužine</w:t>
            </w:r>
          </w:p>
        </w:tc>
        <w:tc>
          <w:tcPr>
            <w:tcW w:w="634" w:type="dxa"/>
            <w:noWrap/>
            <w:hideMark/>
          </w:tcPr>
          <w:p w14:paraId="104C323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56300F6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6</w:t>
            </w:r>
          </w:p>
        </w:tc>
        <w:tc>
          <w:tcPr>
            <w:tcW w:w="634" w:type="dxa"/>
            <w:noWrap/>
            <w:hideMark/>
          </w:tcPr>
          <w:p w14:paraId="0CCC841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1CF448B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6297411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5FA905A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24B43B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4C70BD9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C25E6B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5105E9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00A4AA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5DDF91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5FAA228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CFB64F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35E36D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006ADCC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26</w:t>
            </w:r>
          </w:p>
        </w:tc>
        <w:tc>
          <w:tcPr>
            <w:tcW w:w="634" w:type="dxa"/>
            <w:noWrap/>
            <w:hideMark/>
          </w:tcPr>
          <w:p w14:paraId="1EA39B5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24</w:t>
            </w:r>
          </w:p>
        </w:tc>
        <w:tc>
          <w:tcPr>
            <w:tcW w:w="634" w:type="dxa"/>
            <w:noWrap/>
            <w:hideMark/>
          </w:tcPr>
          <w:p w14:paraId="058A966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634" w:type="dxa"/>
            <w:noWrap/>
            <w:hideMark/>
          </w:tcPr>
          <w:p w14:paraId="30B789F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28</w:t>
            </w:r>
          </w:p>
        </w:tc>
        <w:tc>
          <w:tcPr>
            <w:tcW w:w="634" w:type="dxa"/>
            <w:noWrap/>
            <w:hideMark/>
          </w:tcPr>
          <w:p w14:paraId="0C34F44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30</w:t>
            </w:r>
          </w:p>
        </w:tc>
      </w:tr>
      <w:tr w:rsidR="00CB23C0" w:rsidRPr="00BC1750" w14:paraId="02C9C7B9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2B0E0D47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Podgorica</w:t>
            </w:r>
          </w:p>
        </w:tc>
        <w:tc>
          <w:tcPr>
            <w:tcW w:w="634" w:type="dxa"/>
            <w:noWrap/>
            <w:hideMark/>
          </w:tcPr>
          <w:p w14:paraId="55201D8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384</w:t>
            </w:r>
          </w:p>
        </w:tc>
        <w:tc>
          <w:tcPr>
            <w:tcW w:w="634" w:type="dxa"/>
            <w:noWrap/>
            <w:hideMark/>
          </w:tcPr>
          <w:p w14:paraId="4C19C1D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401</w:t>
            </w:r>
          </w:p>
        </w:tc>
        <w:tc>
          <w:tcPr>
            <w:tcW w:w="634" w:type="dxa"/>
            <w:noWrap/>
            <w:hideMark/>
          </w:tcPr>
          <w:p w14:paraId="132E7AB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448</w:t>
            </w:r>
          </w:p>
        </w:tc>
        <w:tc>
          <w:tcPr>
            <w:tcW w:w="634" w:type="dxa"/>
            <w:noWrap/>
            <w:hideMark/>
          </w:tcPr>
          <w:p w14:paraId="7925E8D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483</w:t>
            </w:r>
          </w:p>
        </w:tc>
        <w:tc>
          <w:tcPr>
            <w:tcW w:w="634" w:type="dxa"/>
            <w:noWrap/>
            <w:hideMark/>
          </w:tcPr>
          <w:p w14:paraId="3E62425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498</w:t>
            </w:r>
          </w:p>
        </w:tc>
        <w:tc>
          <w:tcPr>
            <w:tcW w:w="634" w:type="dxa"/>
            <w:noWrap/>
            <w:hideMark/>
          </w:tcPr>
          <w:p w14:paraId="5A97F35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165</w:t>
            </w:r>
          </w:p>
        </w:tc>
        <w:tc>
          <w:tcPr>
            <w:tcW w:w="634" w:type="dxa"/>
            <w:noWrap/>
            <w:hideMark/>
          </w:tcPr>
          <w:p w14:paraId="125E8A5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192</w:t>
            </w:r>
          </w:p>
        </w:tc>
        <w:tc>
          <w:tcPr>
            <w:tcW w:w="634" w:type="dxa"/>
            <w:noWrap/>
            <w:hideMark/>
          </w:tcPr>
          <w:p w14:paraId="4FED5D7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232</w:t>
            </w:r>
          </w:p>
        </w:tc>
        <w:tc>
          <w:tcPr>
            <w:tcW w:w="634" w:type="dxa"/>
            <w:noWrap/>
            <w:hideMark/>
          </w:tcPr>
          <w:p w14:paraId="60271A0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250</w:t>
            </w:r>
          </w:p>
        </w:tc>
        <w:tc>
          <w:tcPr>
            <w:tcW w:w="634" w:type="dxa"/>
            <w:noWrap/>
            <w:hideMark/>
          </w:tcPr>
          <w:p w14:paraId="571E9E8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281</w:t>
            </w:r>
          </w:p>
        </w:tc>
        <w:tc>
          <w:tcPr>
            <w:tcW w:w="634" w:type="dxa"/>
            <w:noWrap/>
            <w:hideMark/>
          </w:tcPr>
          <w:p w14:paraId="4CB4003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3079757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3E9CC34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12</w:t>
            </w:r>
          </w:p>
        </w:tc>
        <w:tc>
          <w:tcPr>
            <w:tcW w:w="634" w:type="dxa"/>
            <w:noWrap/>
            <w:hideMark/>
          </w:tcPr>
          <w:p w14:paraId="1EFD561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77DC602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5C61DA6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190</w:t>
            </w:r>
          </w:p>
        </w:tc>
        <w:tc>
          <w:tcPr>
            <w:tcW w:w="634" w:type="dxa"/>
            <w:noWrap/>
            <w:hideMark/>
          </w:tcPr>
          <w:p w14:paraId="3103EB8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195</w:t>
            </w:r>
          </w:p>
        </w:tc>
        <w:tc>
          <w:tcPr>
            <w:tcW w:w="634" w:type="dxa"/>
            <w:noWrap/>
            <w:hideMark/>
          </w:tcPr>
          <w:p w14:paraId="7E701CB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221</w:t>
            </w:r>
          </w:p>
        </w:tc>
        <w:tc>
          <w:tcPr>
            <w:tcW w:w="634" w:type="dxa"/>
            <w:noWrap/>
            <w:hideMark/>
          </w:tcPr>
          <w:p w14:paraId="2E09B36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248</w:t>
            </w:r>
          </w:p>
        </w:tc>
        <w:tc>
          <w:tcPr>
            <w:tcW w:w="634" w:type="dxa"/>
            <w:noWrap/>
            <w:hideMark/>
          </w:tcPr>
          <w:p w14:paraId="45344F0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253</w:t>
            </w:r>
          </w:p>
        </w:tc>
      </w:tr>
      <w:tr w:rsidR="00CB23C0" w:rsidRPr="00BC1750" w14:paraId="18768030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11FFAC72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Rožaje</w:t>
            </w:r>
          </w:p>
        </w:tc>
        <w:tc>
          <w:tcPr>
            <w:tcW w:w="634" w:type="dxa"/>
            <w:noWrap/>
            <w:hideMark/>
          </w:tcPr>
          <w:p w14:paraId="188759A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12</w:t>
            </w:r>
          </w:p>
        </w:tc>
        <w:tc>
          <w:tcPr>
            <w:tcW w:w="634" w:type="dxa"/>
            <w:noWrap/>
            <w:hideMark/>
          </w:tcPr>
          <w:p w14:paraId="1B8703A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25A503E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469378A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21</w:t>
            </w:r>
          </w:p>
        </w:tc>
        <w:tc>
          <w:tcPr>
            <w:tcW w:w="634" w:type="dxa"/>
            <w:noWrap/>
            <w:hideMark/>
          </w:tcPr>
          <w:p w14:paraId="2288804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634" w:type="dxa"/>
            <w:noWrap/>
            <w:hideMark/>
          </w:tcPr>
          <w:p w14:paraId="69AED77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738C299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6323BB3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6CD27D3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7</w:t>
            </w:r>
          </w:p>
        </w:tc>
        <w:tc>
          <w:tcPr>
            <w:tcW w:w="634" w:type="dxa"/>
            <w:noWrap/>
            <w:hideMark/>
          </w:tcPr>
          <w:p w14:paraId="621A2BA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21087D2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5DB62DD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31086CF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2B480E0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064DF58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7D152F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3468076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8</w:t>
            </w:r>
          </w:p>
        </w:tc>
        <w:tc>
          <w:tcPr>
            <w:tcW w:w="634" w:type="dxa"/>
            <w:noWrap/>
            <w:hideMark/>
          </w:tcPr>
          <w:p w14:paraId="15EFB24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634" w:type="dxa"/>
            <w:noWrap/>
            <w:hideMark/>
          </w:tcPr>
          <w:p w14:paraId="27976E2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9</w:t>
            </w:r>
          </w:p>
        </w:tc>
        <w:tc>
          <w:tcPr>
            <w:tcW w:w="634" w:type="dxa"/>
            <w:noWrap/>
            <w:hideMark/>
          </w:tcPr>
          <w:p w14:paraId="776929D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</w:tr>
      <w:tr w:rsidR="00CB23C0" w:rsidRPr="00BC1750" w14:paraId="6778796A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152060B8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Tivat</w:t>
            </w:r>
          </w:p>
        </w:tc>
        <w:tc>
          <w:tcPr>
            <w:tcW w:w="634" w:type="dxa"/>
            <w:noWrap/>
            <w:hideMark/>
          </w:tcPr>
          <w:p w14:paraId="162B3DE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35</w:t>
            </w:r>
          </w:p>
        </w:tc>
        <w:tc>
          <w:tcPr>
            <w:tcW w:w="634" w:type="dxa"/>
            <w:noWrap/>
            <w:hideMark/>
          </w:tcPr>
          <w:p w14:paraId="13F360B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34</w:t>
            </w:r>
          </w:p>
        </w:tc>
        <w:tc>
          <w:tcPr>
            <w:tcW w:w="634" w:type="dxa"/>
            <w:noWrap/>
            <w:hideMark/>
          </w:tcPr>
          <w:p w14:paraId="7AD278D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37</w:t>
            </w:r>
          </w:p>
        </w:tc>
        <w:tc>
          <w:tcPr>
            <w:tcW w:w="634" w:type="dxa"/>
            <w:noWrap/>
            <w:hideMark/>
          </w:tcPr>
          <w:p w14:paraId="7771BB1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38</w:t>
            </w:r>
          </w:p>
        </w:tc>
        <w:tc>
          <w:tcPr>
            <w:tcW w:w="634" w:type="dxa"/>
            <w:noWrap/>
            <w:hideMark/>
          </w:tcPr>
          <w:p w14:paraId="612296F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38</w:t>
            </w:r>
          </w:p>
        </w:tc>
        <w:tc>
          <w:tcPr>
            <w:tcW w:w="634" w:type="dxa"/>
            <w:noWrap/>
            <w:hideMark/>
          </w:tcPr>
          <w:p w14:paraId="0705DA6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13</w:t>
            </w:r>
          </w:p>
        </w:tc>
        <w:tc>
          <w:tcPr>
            <w:tcW w:w="634" w:type="dxa"/>
            <w:noWrap/>
            <w:hideMark/>
          </w:tcPr>
          <w:p w14:paraId="069820A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18</w:t>
            </w:r>
          </w:p>
        </w:tc>
        <w:tc>
          <w:tcPr>
            <w:tcW w:w="634" w:type="dxa"/>
            <w:noWrap/>
            <w:hideMark/>
          </w:tcPr>
          <w:p w14:paraId="152A210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16</w:t>
            </w:r>
          </w:p>
        </w:tc>
        <w:tc>
          <w:tcPr>
            <w:tcW w:w="634" w:type="dxa"/>
            <w:noWrap/>
            <w:hideMark/>
          </w:tcPr>
          <w:p w14:paraId="0C40F7E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33726EB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480F607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10F48F3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112736F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2873FFC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0528B75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060F092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19</w:t>
            </w:r>
          </w:p>
        </w:tc>
        <w:tc>
          <w:tcPr>
            <w:tcW w:w="634" w:type="dxa"/>
            <w:noWrap/>
            <w:hideMark/>
          </w:tcPr>
          <w:p w14:paraId="09DE267C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26</w:t>
            </w:r>
          </w:p>
        </w:tc>
        <w:tc>
          <w:tcPr>
            <w:tcW w:w="634" w:type="dxa"/>
            <w:noWrap/>
            <w:hideMark/>
          </w:tcPr>
          <w:p w14:paraId="2A77215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634" w:type="dxa"/>
            <w:noWrap/>
            <w:hideMark/>
          </w:tcPr>
          <w:p w14:paraId="3745D1B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24</w:t>
            </w:r>
          </w:p>
        </w:tc>
        <w:tc>
          <w:tcPr>
            <w:tcW w:w="634" w:type="dxa"/>
            <w:noWrap/>
            <w:hideMark/>
          </w:tcPr>
          <w:p w14:paraId="0C8BBA5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</w:t>
            </w:r>
          </w:p>
        </w:tc>
      </w:tr>
      <w:tr w:rsidR="00CB23C0" w:rsidRPr="00BC1750" w14:paraId="598E3EA5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13D6C13C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Ulcinj</w:t>
            </w:r>
          </w:p>
        </w:tc>
        <w:tc>
          <w:tcPr>
            <w:tcW w:w="634" w:type="dxa"/>
            <w:noWrap/>
            <w:hideMark/>
          </w:tcPr>
          <w:p w14:paraId="30BFD99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23</w:t>
            </w:r>
          </w:p>
        </w:tc>
        <w:tc>
          <w:tcPr>
            <w:tcW w:w="634" w:type="dxa"/>
            <w:noWrap/>
            <w:hideMark/>
          </w:tcPr>
          <w:p w14:paraId="4B0B319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28</w:t>
            </w:r>
          </w:p>
        </w:tc>
        <w:tc>
          <w:tcPr>
            <w:tcW w:w="634" w:type="dxa"/>
            <w:noWrap/>
            <w:hideMark/>
          </w:tcPr>
          <w:p w14:paraId="0779A55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634" w:type="dxa"/>
            <w:noWrap/>
            <w:hideMark/>
          </w:tcPr>
          <w:p w14:paraId="60C8419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634" w:type="dxa"/>
            <w:noWrap/>
            <w:hideMark/>
          </w:tcPr>
          <w:p w14:paraId="7D88E89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36</w:t>
            </w:r>
          </w:p>
        </w:tc>
        <w:tc>
          <w:tcPr>
            <w:tcW w:w="634" w:type="dxa"/>
            <w:noWrap/>
            <w:hideMark/>
          </w:tcPr>
          <w:p w14:paraId="084ECAB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51C2647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634" w:type="dxa"/>
            <w:noWrap/>
            <w:hideMark/>
          </w:tcPr>
          <w:p w14:paraId="2995926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634" w:type="dxa"/>
            <w:noWrap/>
            <w:hideMark/>
          </w:tcPr>
          <w:p w14:paraId="6A1E83C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2FB388D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634" w:type="dxa"/>
            <w:noWrap/>
            <w:hideMark/>
          </w:tcPr>
          <w:p w14:paraId="1595AED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2A616F4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76F6FCB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7C48DC7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123F2DE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CD1D5C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3904319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70EECA4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13D261D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634" w:type="dxa"/>
            <w:noWrap/>
            <w:hideMark/>
          </w:tcPr>
          <w:p w14:paraId="08FFD4A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12</w:t>
            </w:r>
          </w:p>
        </w:tc>
      </w:tr>
      <w:tr w:rsidR="00CB23C0" w:rsidRPr="00BC1750" w14:paraId="291B5620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41062552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Šavnik</w:t>
            </w:r>
          </w:p>
        </w:tc>
        <w:tc>
          <w:tcPr>
            <w:tcW w:w="634" w:type="dxa"/>
            <w:noWrap/>
            <w:hideMark/>
          </w:tcPr>
          <w:p w14:paraId="23D28B6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5F3B261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B303BB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047061C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6664F2D3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634" w:type="dxa"/>
            <w:noWrap/>
            <w:hideMark/>
          </w:tcPr>
          <w:p w14:paraId="49C4846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131972DD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5258484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1FD983E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76A683B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6D18104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4F350C9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634" w:type="dxa"/>
            <w:noWrap/>
            <w:hideMark/>
          </w:tcPr>
          <w:p w14:paraId="413101D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1020F1D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5AEAC9A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634" w:type="dxa"/>
            <w:noWrap/>
            <w:hideMark/>
          </w:tcPr>
          <w:p w14:paraId="7C46F1DE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634" w:type="dxa"/>
            <w:noWrap/>
            <w:hideMark/>
          </w:tcPr>
          <w:p w14:paraId="48B9C88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1A4FF9F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634" w:type="dxa"/>
            <w:noWrap/>
            <w:hideMark/>
          </w:tcPr>
          <w:p w14:paraId="0935D87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15</w:t>
            </w:r>
          </w:p>
        </w:tc>
        <w:tc>
          <w:tcPr>
            <w:tcW w:w="634" w:type="dxa"/>
            <w:noWrap/>
            <w:hideMark/>
          </w:tcPr>
          <w:p w14:paraId="71BE359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color w:val="000000"/>
                <w:sz w:val="18"/>
                <w:szCs w:val="18"/>
                <w:lang w:val="sr-Latn-ME"/>
              </w:rPr>
              <w:t>14</w:t>
            </w:r>
          </w:p>
        </w:tc>
      </w:tr>
      <w:tr w:rsidR="00CB23C0" w:rsidRPr="00BC1750" w14:paraId="44F0EBE0" w14:textId="77777777" w:rsidTr="00CB23C0">
        <w:trPr>
          <w:trHeight w:val="288"/>
        </w:trPr>
        <w:tc>
          <w:tcPr>
            <w:tcW w:w="1116" w:type="dxa"/>
            <w:noWrap/>
            <w:hideMark/>
          </w:tcPr>
          <w:p w14:paraId="18C3C2CC" w14:textId="77777777" w:rsidR="00CB23C0" w:rsidRPr="00BC1750" w:rsidRDefault="00CB23C0" w:rsidP="00CB23C0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Ukupno</w:t>
            </w:r>
          </w:p>
        </w:tc>
        <w:tc>
          <w:tcPr>
            <w:tcW w:w="634" w:type="dxa"/>
            <w:noWrap/>
            <w:hideMark/>
          </w:tcPr>
          <w:p w14:paraId="2914D64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1015</w:t>
            </w:r>
          </w:p>
        </w:tc>
        <w:tc>
          <w:tcPr>
            <w:tcW w:w="634" w:type="dxa"/>
            <w:noWrap/>
            <w:hideMark/>
          </w:tcPr>
          <w:p w14:paraId="1F6DA7F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1056</w:t>
            </w:r>
          </w:p>
        </w:tc>
        <w:tc>
          <w:tcPr>
            <w:tcW w:w="634" w:type="dxa"/>
            <w:noWrap/>
            <w:hideMark/>
          </w:tcPr>
          <w:p w14:paraId="4CD20C85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1166</w:t>
            </w:r>
          </w:p>
        </w:tc>
        <w:tc>
          <w:tcPr>
            <w:tcW w:w="634" w:type="dxa"/>
            <w:noWrap/>
            <w:hideMark/>
          </w:tcPr>
          <w:p w14:paraId="313716F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1233</w:t>
            </w:r>
          </w:p>
        </w:tc>
        <w:tc>
          <w:tcPr>
            <w:tcW w:w="634" w:type="dxa"/>
            <w:noWrap/>
            <w:hideMark/>
          </w:tcPr>
          <w:p w14:paraId="2978FAF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1290</w:t>
            </w:r>
          </w:p>
        </w:tc>
        <w:tc>
          <w:tcPr>
            <w:tcW w:w="634" w:type="dxa"/>
            <w:noWrap/>
            <w:hideMark/>
          </w:tcPr>
          <w:p w14:paraId="2140AB8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357</w:t>
            </w:r>
          </w:p>
        </w:tc>
        <w:tc>
          <w:tcPr>
            <w:tcW w:w="634" w:type="dxa"/>
            <w:noWrap/>
            <w:hideMark/>
          </w:tcPr>
          <w:p w14:paraId="49010CB2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397</w:t>
            </w:r>
          </w:p>
        </w:tc>
        <w:tc>
          <w:tcPr>
            <w:tcW w:w="634" w:type="dxa"/>
            <w:noWrap/>
            <w:hideMark/>
          </w:tcPr>
          <w:p w14:paraId="4850DA69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456</w:t>
            </w:r>
          </w:p>
        </w:tc>
        <w:tc>
          <w:tcPr>
            <w:tcW w:w="634" w:type="dxa"/>
            <w:noWrap/>
            <w:hideMark/>
          </w:tcPr>
          <w:p w14:paraId="60D7CE80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516</w:t>
            </w:r>
          </w:p>
        </w:tc>
        <w:tc>
          <w:tcPr>
            <w:tcW w:w="634" w:type="dxa"/>
            <w:noWrap/>
            <w:hideMark/>
          </w:tcPr>
          <w:p w14:paraId="5219F4F7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572</w:t>
            </w:r>
          </w:p>
        </w:tc>
        <w:tc>
          <w:tcPr>
            <w:tcW w:w="634" w:type="dxa"/>
            <w:noWrap/>
            <w:hideMark/>
          </w:tcPr>
          <w:p w14:paraId="48D79A3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34</w:t>
            </w:r>
          </w:p>
        </w:tc>
        <w:tc>
          <w:tcPr>
            <w:tcW w:w="634" w:type="dxa"/>
            <w:noWrap/>
            <w:hideMark/>
          </w:tcPr>
          <w:p w14:paraId="1244452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41</w:t>
            </w:r>
          </w:p>
        </w:tc>
        <w:tc>
          <w:tcPr>
            <w:tcW w:w="634" w:type="dxa"/>
            <w:noWrap/>
            <w:hideMark/>
          </w:tcPr>
          <w:p w14:paraId="601E288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43</w:t>
            </w:r>
          </w:p>
        </w:tc>
        <w:tc>
          <w:tcPr>
            <w:tcW w:w="634" w:type="dxa"/>
            <w:noWrap/>
            <w:hideMark/>
          </w:tcPr>
          <w:p w14:paraId="0005E62B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47</w:t>
            </w:r>
          </w:p>
        </w:tc>
        <w:tc>
          <w:tcPr>
            <w:tcW w:w="634" w:type="dxa"/>
            <w:noWrap/>
            <w:hideMark/>
          </w:tcPr>
          <w:p w14:paraId="7D5B9D4A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49</w:t>
            </w:r>
          </w:p>
        </w:tc>
        <w:tc>
          <w:tcPr>
            <w:tcW w:w="634" w:type="dxa"/>
            <w:noWrap/>
            <w:hideMark/>
          </w:tcPr>
          <w:p w14:paraId="3EAE1D64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559</w:t>
            </w:r>
          </w:p>
        </w:tc>
        <w:tc>
          <w:tcPr>
            <w:tcW w:w="634" w:type="dxa"/>
            <w:noWrap/>
            <w:hideMark/>
          </w:tcPr>
          <w:p w14:paraId="38AA502F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574</w:t>
            </w:r>
          </w:p>
        </w:tc>
        <w:tc>
          <w:tcPr>
            <w:tcW w:w="634" w:type="dxa"/>
            <w:noWrap/>
            <w:hideMark/>
          </w:tcPr>
          <w:p w14:paraId="78D2E028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612</w:t>
            </w:r>
          </w:p>
        </w:tc>
        <w:tc>
          <w:tcPr>
            <w:tcW w:w="634" w:type="dxa"/>
            <w:noWrap/>
            <w:hideMark/>
          </w:tcPr>
          <w:p w14:paraId="4CEE4A81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673</w:t>
            </w:r>
          </w:p>
        </w:tc>
        <w:tc>
          <w:tcPr>
            <w:tcW w:w="634" w:type="dxa"/>
            <w:noWrap/>
            <w:hideMark/>
          </w:tcPr>
          <w:p w14:paraId="6CAD06F6" w14:textId="77777777" w:rsidR="00CB23C0" w:rsidRPr="00BC1750" w:rsidRDefault="00CB23C0" w:rsidP="00CB23C0">
            <w:pPr>
              <w:ind w:firstLine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</w:pPr>
            <w:r w:rsidRPr="00BC1750">
              <w:rPr>
                <w:rFonts w:eastAsia="Times New Roman"/>
                <w:b/>
                <w:bCs/>
                <w:color w:val="000000"/>
                <w:sz w:val="18"/>
                <w:szCs w:val="18"/>
                <w:lang w:val="sr-Latn-ME"/>
              </w:rPr>
              <w:t>682</w:t>
            </w:r>
          </w:p>
        </w:tc>
      </w:tr>
    </w:tbl>
    <w:p w14:paraId="6AD36063" w14:textId="7B316FA3" w:rsidR="00FD4FFF" w:rsidRPr="00BC1750" w:rsidRDefault="00FD4FFF" w:rsidP="00CB23C0">
      <w:pPr>
        <w:ind w:firstLine="0"/>
        <w:rPr>
          <w:lang w:val="sr-Latn-ME"/>
        </w:rPr>
      </w:pPr>
    </w:p>
    <w:sectPr w:rsidR="00FD4FFF" w:rsidRPr="00BC1750" w:rsidSect="00F43E15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EE0F" w16cex:dateUtc="2020-07-09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89F54B" w16cid:durableId="22B1EE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AC48B" w14:textId="77777777" w:rsidR="006D33BC" w:rsidRDefault="006D33BC" w:rsidP="002C0493">
      <w:pPr>
        <w:spacing w:line="240" w:lineRule="auto"/>
      </w:pPr>
      <w:r>
        <w:separator/>
      </w:r>
    </w:p>
  </w:endnote>
  <w:endnote w:type="continuationSeparator" w:id="0">
    <w:p w14:paraId="262A5392" w14:textId="77777777" w:rsidR="006D33BC" w:rsidRDefault="006D33BC" w:rsidP="002C0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037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FFE40C" w14:textId="07466ADD" w:rsidR="00566A90" w:rsidRDefault="00566A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0D2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0EEBBB36" w14:textId="77777777" w:rsidR="00566A90" w:rsidRDefault="00566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C9A0A" w14:textId="77777777" w:rsidR="006D33BC" w:rsidRDefault="006D33BC" w:rsidP="002C0493">
      <w:pPr>
        <w:spacing w:line="240" w:lineRule="auto"/>
      </w:pPr>
      <w:r>
        <w:separator/>
      </w:r>
    </w:p>
  </w:footnote>
  <w:footnote w:type="continuationSeparator" w:id="0">
    <w:p w14:paraId="701F4674" w14:textId="77777777" w:rsidR="006D33BC" w:rsidRDefault="006D33BC" w:rsidP="002C0493">
      <w:pPr>
        <w:spacing w:line="240" w:lineRule="auto"/>
      </w:pPr>
      <w:r>
        <w:continuationSeparator/>
      </w:r>
    </w:p>
  </w:footnote>
  <w:footnote w:id="1">
    <w:p w14:paraId="7576A618" w14:textId="6CBD612E" w:rsidR="00566A90" w:rsidRPr="0030781B" w:rsidRDefault="00566A90" w:rsidP="002C0493">
      <w:pPr>
        <w:pStyle w:val="FootnoteText"/>
        <w:ind w:firstLine="0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30781B">
        <w:rPr>
          <w:lang w:val="sr-Latn-ME"/>
        </w:rPr>
        <w:t>Zakon o predškolskom vaspitanju i obrazovanju ("Službeni list Republike Crne Gore", br. 064/02, 049/07, Službeni list Crne Gore", br. 080/10, 040/11, 040/16</w:t>
      </w:r>
      <w:r>
        <w:rPr>
          <w:lang w:val="sr-Latn-ME"/>
        </w:rPr>
        <w:t>, 047/17</w:t>
      </w:r>
      <w:r w:rsidRPr="0030781B">
        <w:rPr>
          <w:lang w:val="sr-Latn-ME"/>
        </w:rPr>
        <w:t>)</w:t>
      </w:r>
    </w:p>
  </w:footnote>
  <w:footnote w:id="2">
    <w:p w14:paraId="00D4846B" w14:textId="5413A2E6" w:rsidR="00566A90" w:rsidRPr="00D02854" w:rsidRDefault="00566A90" w:rsidP="00D02854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sr-Latn-ME"/>
        </w:rPr>
        <w:t xml:space="preserve"> </w:t>
      </w:r>
      <w:r>
        <w:rPr>
          <w:lang w:val="sr-Latn-RS"/>
        </w:rPr>
        <w:t>U daljem tekstu gde god se koristi termin „roditelji“ pod tim terminom podrazumevaju se i staratelji, hranitelji i sve druge osobe koje po različitim osnovama imaju zakonsko pravo da zastupaju djete.</w:t>
      </w:r>
    </w:p>
  </w:footnote>
  <w:footnote w:id="3">
    <w:p w14:paraId="4D15AB3A" w14:textId="2ABAA5FA" w:rsidR="00566A90" w:rsidRPr="00E76DC3" w:rsidRDefault="00566A90" w:rsidP="00E76DC3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sr-Latn-RS"/>
        </w:rPr>
        <w:t xml:space="preserve"> </w:t>
      </w:r>
      <w:bookmarkStart w:id="0" w:name="_Hlk40422244"/>
      <w:r w:rsidRPr="00E76DC3">
        <w:rPr>
          <w:lang w:val="sr-Latn-ME"/>
        </w:rPr>
        <w:t>Izvještaj o sprovođenju Strategije ranog i predškolskog vaspitanja i obrazovanja u Crnoj Gori 2016-2020 do 2019. godine</w:t>
      </w:r>
      <w:bookmarkEnd w:id="0"/>
      <w:r w:rsidRPr="003F51AC">
        <w:rPr>
          <w:lang w:val="sr-Latn-RS"/>
        </w:rPr>
        <w:t>.</w:t>
      </w:r>
    </w:p>
  </w:footnote>
  <w:footnote w:id="4">
    <w:p w14:paraId="56D13A20" w14:textId="2F521EB0" w:rsidR="00566A90" w:rsidRPr="002F0F6A" w:rsidRDefault="00566A90" w:rsidP="002F0F6A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sr-Latn-RS"/>
        </w:rPr>
        <w:t xml:space="preserve"> </w:t>
      </w:r>
      <w:r w:rsidRPr="000E67E7">
        <w:rPr>
          <w:lang w:val="sr-Latn-ME"/>
        </w:rPr>
        <w:t>Najmanje 95% d</w:t>
      </w:r>
      <w:r>
        <w:rPr>
          <w:lang w:val="sr-Latn-ME"/>
        </w:rPr>
        <w:t>j</w:t>
      </w:r>
      <w:r w:rsidRPr="000E67E7">
        <w:rPr>
          <w:lang w:val="sr-Latn-ME"/>
        </w:rPr>
        <w:t>ece uzrasta od 4 godine do polaska u osnovno obrazovanje je uključeno u programe predškolskog vaspitanja i obrazovanja (https://ec.europa.eu/eurostat/web/education-and-training/eu-benchmarks</w:t>
      </w:r>
      <w:r w:rsidRPr="003F51AC">
        <w:rPr>
          <w:lang w:val="sr-Latn-RS"/>
        </w:rPr>
        <w:t>)</w:t>
      </w:r>
    </w:p>
  </w:footnote>
  <w:footnote w:id="5">
    <w:p w14:paraId="00D46A90" w14:textId="6185E8C6" w:rsidR="00566A90" w:rsidRPr="00240C7C" w:rsidRDefault="00566A90" w:rsidP="00240C7C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sr-Latn-RS"/>
        </w:rPr>
        <w:t xml:space="preserve"> </w:t>
      </w:r>
      <w:hyperlink r:id="rId1" w:history="1">
        <w:r w:rsidRPr="00240C7C">
          <w:rPr>
            <w:rStyle w:val="Hyperlink"/>
            <w:lang w:val="sr-Latn-RS"/>
          </w:rPr>
          <w:t>Eurostat podaci</w:t>
        </w:r>
      </w:hyperlink>
      <w:r>
        <w:rPr>
          <w:lang w:val="sr-Latn-RS"/>
        </w:rPr>
        <w:t xml:space="preserve"> </w:t>
      </w:r>
    </w:p>
  </w:footnote>
  <w:footnote w:id="6">
    <w:p w14:paraId="3E5C8693" w14:textId="66023F21" w:rsidR="00566A90" w:rsidRPr="00C857AE" w:rsidRDefault="00566A90" w:rsidP="00C857AE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sr-Latn-RS"/>
        </w:rPr>
        <w:t xml:space="preserve"> </w:t>
      </w:r>
      <w:r w:rsidRPr="00C857AE">
        <w:rPr>
          <w:lang w:val="sr-Latn-ME"/>
        </w:rPr>
        <w:t>Prema Izvještaju o radu i stanju u upravnim oblastima iz nadležnosti Ministarstva prosvjete u 2019. godini kroz sajmove inovativnih praksi zaposleni u svim javnim PU imali su priliku da predstave svoju praksu, razmijene iskustva, inovacije, kreativne prakse i unaprijede znanja i vještine (obrađene su teme: Promocija ranog razvoja i rad s roditeljima, Rezultati interaktivnih službi, Didaktički i asistivni materiali)</w:t>
      </w:r>
      <w:r>
        <w:rPr>
          <w:lang w:val="sr-Latn-ME"/>
        </w:rPr>
        <w:t xml:space="preserve"> </w:t>
      </w:r>
    </w:p>
  </w:footnote>
  <w:footnote w:id="7">
    <w:p w14:paraId="5A2F012F" w14:textId="74E60816" w:rsidR="00566A90" w:rsidRPr="00177C7F" w:rsidRDefault="00566A90" w:rsidP="00C340A9">
      <w:pPr>
        <w:pStyle w:val="FootnoteText"/>
        <w:ind w:firstLine="0"/>
        <w:rPr>
          <w:lang w:val="sr-Latn-ME"/>
        </w:rPr>
      </w:pPr>
      <w:r w:rsidRPr="00177C7F">
        <w:rPr>
          <w:rStyle w:val="FootnoteReference"/>
          <w:lang w:val="sr-Latn-ME"/>
        </w:rPr>
        <w:footnoteRef/>
      </w:r>
      <w:r w:rsidRPr="00177C7F">
        <w:rPr>
          <w:lang w:val="sr-Latn-ME"/>
        </w:rPr>
        <w:t xml:space="preserve"> Milić, S. (2018). Analiza potreba sa preporukama za profesionalni razvoj vaspitača u Crnoj Gori. UNICEF, Podgorica.</w:t>
      </w:r>
    </w:p>
  </w:footnote>
  <w:footnote w:id="8">
    <w:p w14:paraId="3F5394D0" w14:textId="53414B12" w:rsidR="00566A90" w:rsidRPr="00177C7F" w:rsidRDefault="00566A90" w:rsidP="00207087">
      <w:pPr>
        <w:pStyle w:val="FootnoteText"/>
        <w:ind w:firstLine="0"/>
        <w:rPr>
          <w:lang w:val="sr-Latn-ME"/>
        </w:rPr>
      </w:pPr>
      <w:r w:rsidRPr="00177C7F">
        <w:rPr>
          <w:rStyle w:val="FootnoteReference"/>
          <w:lang w:val="sr-Latn-ME"/>
        </w:rPr>
        <w:footnoteRef/>
      </w:r>
      <w:r w:rsidRPr="00177C7F">
        <w:rPr>
          <w:lang w:val="sr-Latn-ME"/>
        </w:rPr>
        <w:t xml:space="preserve"> Milić, S. (2018). Analiza potreba sa preporukama za profesionalni razvoj vaspitača u Crnoj Gori. UNICEF, Podgorica</w:t>
      </w:r>
    </w:p>
  </w:footnote>
  <w:footnote w:id="9">
    <w:p w14:paraId="42BF03D5" w14:textId="0D344A0B" w:rsidR="00566A90" w:rsidRPr="00177C7F" w:rsidRDefault="00566A90" w:rsidP="00177C7F">
      <w:pPr>
        <w:pStyle w:val="FootnoteText"/>
        <w:ind w:firstLine="0"/>
        <w:rPr>
          <w:lang w:val="sr-Latn-RS"/>
        </w:rPr>
      </w:pPr>
      <w:r w:rsidRPr="00177C7F">
        <w:rPr>
          <w:rStyle w:val="FootnoteReference"/>
          <w:lang w:val="sr-Latn-ME"/>
        </w:rPr>
        <w:footnoteRef/>
      </w:r>
      <w:r w:rsidRPr="00177C7F">
        <w:rPr>
          <w:lang w:val="sr-Latn-ME"/>
        </w:rPr>
        <w:t xml:space="preserve"> Program je razvijen u saradnji stručnjaka Univerziteta Oksford, Bangor, Stelenboš i Kejptaun uz podršku UNICEF i Svetske zdravstvene organizacije (SZO).</w:t>
      </w:r>
    </w:p>
  </w:footnote>
  <w:footnote w:id="10">
    <w:p w14:paraId="320BC8F6" w14:textId="29927DF7" w:rsidR="00566A90" w:rsidRPr="00230AAD" w:rsidRDefault="00566A90" w:rsidP="00230AAD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de-DE"/>
        </w:rPr>
        <w:t xml:space="preserve"> </w:t>
      </w:r>
      <w:r w:rsidRPr="00230AAD">
        <w:rPr>
          <w:lang w:val="sr-Latn-ME"/>
        </w:rPr>
        <w:t xml:space="preserve"> </w:t>
      </w:r>
      <w:r>
        <w:rPr>
          <w:lang w:val="sr-Latn-ME"/>
        </w:rPr>
        <w:t>P</w:t>
      </w:r>
      <w:r w:rsidRPr="00230AAD">
        <w:rPr>
          <w:lang w:val="sr-Latn-ME"/>
        </w:rPr>
        <w:t>rema podacima Instituta za javno zdravlje iz 2016. godine.</w:t>
      </w:r>
    </w:p>
  </w:footnote>
  <w:footnote w:id="11">
    <w:p w14:paraId="02E01A1D" w14:textId="4A3E00EF" w:rsidR="00566A90" w:rsidRPr="003A64EF" w:rsidRDefault="00566A90" w:rsidP="00B544F8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MICS 2018 studija (UNICEF) </w:t>
      </w:r>
      <w:hyperlink r:id="rId2" w:history="1">
        <w:r w:rsidRPr="008F7A30">
          <w:rPr>
            <w:rStyle w:val="Hyperlink"/>
            <w:lang w:val="sr-Latn-RS"/>
          </w:rPr>
          <w:t>https://www.unicef.org/montenegro/sites/unicef.org.montenegro/files/2019-12/MNE_MICS6%20Statistical%20Snapshot%20ECD%20ENG_Montenegro%202018_FINAL.pdf</w:t>
        </w:r>
      </w:hyperlink>
      <w:r>
        <w:rPr>
          <w:lang w:val="sr-Latn-RS"/>
        </w:rPr>
        <w:t xml:space="preserve"> </w:t>
      </w:r>
    </w:p>
  </w:footnote>
  <w:footnote w:id="12">
    <w:p w14:paraId="1F9CC4A7" w14:textId="0870B5A1" w:rsidR="00566A90" w:rsidRPr="0075226B" w:rsidRDefault="00566A90" w:rsidP="0075226B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1318E4">
        <w:rPr>
          <w:lang w:val="sr-Latn-ME"/>
        </w:rPr>
        <w:t>R. Irimija, D. Kirjaćesku, S. Vasić, Analiza podrške i multisektorskog odgovora na potrebe djece sa smetnjama u razvoju u Crnoj Gori, Pluriconsult i Predstavništvo UNICEF-a u Crnoj Gori, 2018</w:t>
      </w:r>
    </w:p>
  </w:footnote>
  <w:footnote w:id="13">
    <w:p w14:paraId="6E45E8FC" w14:textId="77777777" w:rsidR="00566A90" w:rsidRPr="003936A9" w:rsidRDefault="00566A90" w:rsidP="00B960AA">
      <w:pPr>
        <w:pStyle w:val="FootnoteText"/>
        <w:ind w:firstLine="0"/>
        <w:jc w:val="lef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 xml:space="preserve">MICS 2018 – romska naselja (UNICEF), </w:t>
      </w:r>
      <w:r w:rsidRPr="003936A9">
        <w:rPr>
          <w:lang w:val="sr-Latn-RS"/>
        </w:rPr>
        <w:t>https://www.unicef.org/montenegro/sites/unicef.org.montenegro/files/2019-12/MNE_MICS6%20Statistical%20Snapshot%20Education%20ENG_Montenegro%20Roma%20Settlements%202018_FINAL.pdf</w:t>
      </w:r>
    </w:p>
  </w:footnote>
  <w:footnote w:id="14">
    <w:p w14:paraId="0B07F640" w14:textId="77777777" w:rsidR="00566A90" w:rsidRPr="00B16D15" w:rsidRDefault="00566A90" w:rsidP="00B960AA">
      <w:pPr>
        <w:pStyle w:val="FootnoteText"/>
        <w:ind w:firstLine="0"/>
        <w:rPr>
          <w:lang w:val="sr-Latn-ME"/>
        </w:rPr>
      </w:pPr>
      <w:r>
        <w:rPr>
          <w:rStyle w:val="FootnoteReference"/>
        </w:rPr>
        <w:footnoteRef/>
      </w:r>
      <w:r w:rsidRPr="003F51AC">
        <w:rPr>
          <w:lang w:val="sr-Latn-RS"/>
        </w:rPr>
        <w:t xml:space="preserve"> </w:t>
      </w:r>
      <w:r w:rsidRPr="00B16D15">
        <w:rPr>
          <w:lang w:val="sr-Latn-ME"/>
        </w:rPr>
        <w:t>ECDI indeks ranog razvoja (Early Childhood Development Index) izražava se na skali 0-100 i odnosi se na procenat djece uzrasta 3-4 godine čiji razvoj je usklađen sa razvojnim očekivanjima za dati uzrast.</w:t>
      </w:r>
    </w:p>
  </w:footnote>
  <w:footnote w:id="15">
    <w:p w14:paraId="4B7E9B8A" w14:textId="77777777" w:rsidR="00566A90" w:rsidRDefault="00566A90" w:rsidP="00B960AA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MICS 2018 (UNICEF), </w:t>
      </w:r>
      <w:r w:rsidRPr="00B8418E">
        <w:t>https://www.unicef.org/montenegro/sites/unicef.org.montenegro/files/2019-12/MNE_MICS6%20Statistical%20Snapshot%20ECD%20ENG_Montenegro%202018_FINAL.pdf</w:t>
      </w:r>
    </w:p>
  </w:footnote>
  <w:footnote w:id="16">
    <w:p w14:paraId="1A4536C4" w14:textId="6F9CA85C" w:rsidR="00566A90" w:rsidRPr="00556560" w:rsidRDefault="00566A90" w:rsidP="00556560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Rani razvoj djece zavisi prije svega od porodičnog okruženja (u kojoj mjeri roditelji primjenjuju prakse koje su razvojno podsticajne i u kojoj mjeri su djeca uključena u visokokvalitetne programe PVO). Kada su u pitanju djeca iz osjetljivih grupa ECDI zavisi i od stepena u kojem porodice i djeca dobijaju adekvatnu podršku kroz zdravstvene i socijalne usluge. </w:t>
      </w:r>
    </w:p>
  </w:footnote>
  <w:footnote w:id="17">
    <w:p w14:paraId="1EF41FE0" w14:textId="6D50AAF5" w:rsidR="00566A90" w:rsidRPr="003C05A3" w:rsidRDefault="00566A90" w:rsidP="003C05A3">
      <w:pPr>
        <w:pStyle w:val="FootnoteText"/>
        <w:ind w:firstLine="0"/>
        <w:rPr>
          <w:lang w:val="sr-Latn-ME"/>
        </w:rPr>
      </w:pPr>
      <w:r w:rsidRPr="003C05A3">
        <w:rPr>
          <w:rStyle w:val="FootnoteReference"/>
          <w:lang w:val="sr-Latn-ME"/>
        </w:rPr>
        <w:footnoteRef/>
      </w:r>
      <w:r w:rsidRPr="003C05A3">
        <w:rPr>
          <w:lang w:val="sr-Latn-ME"/>
        </w:rPr>
        <w:t xml:space="preserve"> Prema podacima EUROSTAT-a oko 40% djece uzrasta 0-17 godina je u riziku od siromaštva</w:t>
      </w:r>
      <w:r>
        <w:rPr>
          <w:lang w:val="sr-Latn-ME"/>
        </w:rPr>
        <w:t>. Rizik od siromaštva varira u zavisnosti od nivoa obrazovanja majki pa je ona za djecu čije majke nemaju završeno srednej obrazovanje stopa rizika od siromaštva dostiže 85%.</w:t>
      </w:r>
    </w:p>
  </w:footnote>
  <w:footnote w:id="18">
    <w:p w14:paraId="6DF8BA6C" w14:textId="79B4FFCE" w:rsidR="00566A90" w:rsidRPr="00A86F40" w:rsidRDefault="00566A90" w:rsidP="00C9011D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sr-Latn-ME"/>
        </w:rPr>
        <w:t xml:space="preserve"> </w:t>
      </w:r>
      <w:r w:rsidRPr="003F0A7E">
        <w:rPr>
          <w:lang w:val="sr-Latn-ME"/>
        </w:rPr>
        <w:t>Milić, S. (2018). Analiza potreba sa preporukama za profesionalni razvoj vaspitača u Crnoj Gori. UNICEF, Podgorica.</w:t>
      </w:r>
    </w:p>
  </w:footnote>
  <w:footnote w:id="19">
    <w:p w14:paraId="4A8C9304" w14:textId="7833FE0B" w:rsidR="00566A90" w:rsidRPr="00C9011D" w:rsidRDefault="00566A90" w:rsidP="00C9011D">
      <w:pPr>
        <w:pStyle w:val="FootnoteText"/>
        <w:ind w:firstLine="0"/>
        <w:rPr>
          <w:lang w:val="sr-Latn-RS"/>
        </w:rPr>
      </w:pPr>
      <w:r w:rsidRPr="00C9011D">
        <w:rPr>
          <w:rStyle w:val="FootnoteReference"/>
        </w:rPr>
        <w:footnoteRef/>
      </w:r>
      <w:r w:rsidRPr="003F51AC">
        <w:rPr>
          <w:lang w:val="sr-Latn-ME"/>
        </w:rPr>
        <w:t xml:space="preserve"> </w:t>
      </w:r>
      <w:r w:rsidRPr="00C9011D">
        <w:rPr>
          <w:lang w:val="sr-Latn-RS"/>
        </w:rPr>
        <w:t>Različite PU mogu da postanu centri izvrsnosti u različitima domenima rada</w:t>
      </w:r>
    </w:p>
  </w:footnote>
  <w:footnote w:id="20">
    <w:p w14:paraId="4DF1CDD3" w14:textId="09DE156E" w:rsidR="00566A90" w:rsidRPr="003F51AC" w:rsidRDefault="00566A90" w:rsidP="00AE623F">
      <w:pPr>
        <w:pStyle w:val="FootnoteText"/>
        <w:ind w:firstLine="0"/>
        <w:rPr>
          <w:lang w:val="sr-Latn-RS"/>
        </w:rPr>
      </w:pPr>
      <w:r>
        <w:rPr>
          <w:rStyle w:val="FootnoteReference"/>
        </w:rPr>
        <w:footnoteRef/>
      </w:r>
      <w:r w:rsidRPr="003F51AC">
        <w:rPr>
          <w:lang w:val="sr-Latn-RS"/>
        </w:rPr>
        <w:t xml:space="preserve">  Na prim</w:t>
      </w:r>
      <w:r>
        <w:rPr>
          <w:lang w:val="sr-Latn-RS"/>
        </w:rPr>
        <w:t>j</w:t>
      </w:r>
      <w:r w:rsidRPr="003F51AC">
        <w:rPr>
          <w:lang w:val="sr-Latn-RS"/>
        </w:rPr>
        <w:t>er, podizanje svijesti roditelja o važnosti ranog razvoja i pozitivnog roditeljstva, razvoj vještina za primjenu pozitivnih i razvojno adekvatnih roditeljskih praksi, smanjivanje nasilja i nasilnih metoda vaspitanja, kao i pozitivnih partnerskih odnosa u porodici.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D0210"/>
    <w:multiLevelType w:val="hybridMultilevel"/>
    <w:tmpl w:val="82B6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56BB5"/>
    <w:multiLevelType w:val="hybridMultilevel"/>
    <w:tmpl w:val="3FDC446A"/>
    <w:lvl w:ilvl="0" w:tplc="612434A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23F7D"/>
    <w:multiLevelType w:val="hybridMultilevel"/>
    <w:tmpl w:val="A704D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DF7546"/>
    <w:multiLevelType w:val="hybridMultilevel"/>
    <w:tmpl w:val="BCA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08"/>
    <w:rsid w:val="00001F7B"/>
    <w:rsid w:val="0000239B"/>
    <w:rsid w:val="00007FCF"/>
    <w:rsid w:val="000124BE"/>
    <w:rsid w:val="00016D61"/>
    <w:rsid w:val="00024975"/>
    <w:rsid w:val="00025176"/>
    <w:rsid w:val="0003200B"/>
    <w:rsid w:val="00033194"/>
    <w:rsid w:val="00033644"/>
    <w:rsid w:val="0003633C"/>
    <w:rsid w:val="00043116"/>
    <w:rsid w:val="000441DC"/>
    <w:rsid w:val="00050BB5"/>
    <w:rsid w:val="00051064"/>
    <w:rsid w:val="0006112F"/>
    <w:rsid w:val="00070085"/>
    <w:rsid w:val="00072C9E"/>
    <w:rsid w:val="00073433"/>
    <w:rsid w:val="00075DEC"/>
    <w:rsid w:val="00076ECF"/>
    <w:rsid w:val="00080B96"/>
    <w:rsid w:val="00083817"/>
    <w:rsid w:val="000839CC"/>
    <w:rsid w:val="0008423C"/>
    <w:rsid w:val="00084A11"/>
    <w:rsid w:val="00085AC6"/>
    <w:rsid w:val="00085ED3"/>
    <w:rsid w:val="0009064A"/>
    <w:rsid w:val="00093D46"/>
    <w:rsid w:val="000942DA"/>
    <w:rsid w:val="000A3E8E"/>
    <w:rsid w:val="000A56E1"/>
    <w:rsid w:val="000A7C4B"/>
    <w:rsid w:val="000B13EE"/>
    <w:rsid w:val="000B509D"/>
    <w:rsid w:val="000C0899"/>
    <w:rsid w:val="000C3EA1"/>
    <w:rsid w:val="000D318F"/>
    <w:rsid w:val="000D58E5"/>
    <w:rsid w:val="000D5C28"/>
    <w:rsid w:val="000D64E3"/>
    <w:rsid w:val="000E0DF2"/>
    <w:rsid w:val="000E17C9"/>
    <w:rsid w:val="000E36CF"/>
    <w:rsid w:val="000E3C22"/>
    <w:rsid w:val="000E67E7"/>
    <w:rsid w:val="000E7486"/>
    <w:rsid w:val="000F0AE5"/>
    <w:rsid w:val="000F3BCB"/>
    <w:rsid w:val="000F6E7D"/>
    <w:rsid w:val="000F7527"/>
    <w:rsid w:val="00106DA9"/>
    <w:rsid w:val="00124F61"/>
    <w:rsid w:val="00126B2B"/>
    <w:rsid w:val="001301B2"/>
    <w:rsid w:val="001318E4"/>
    <w:rsid w:val="00131984"/>
    <w:rsid w:val="00132995"/>
    <w:rsid w:val="0013447C"/>
    <w:rsid w:val="00134D9D"/>
    <w:rsid w:val="00140D6F"/>
    <w:rsid w:val="00142083"/>
    <w:rsid w:val="001507F2"/>
    <w:rsid w:val="001509FE"/>
    <w:rsid w:val="001546EE"/>
    <w:rsid w:val="0015523E"/>
    <w:rsid w:val="001648C3"/>
    <w:rsid w:val="00166972"/>
    <w:rsid w:val="00177C7F"/>
    <w:rsid w:val="00180CDC"/>
    <w:rsid w:val="00181946"/>
    <w:rsid w:val="0018393C"/>
    <w:rsid w:val="00183C64"/>
    <w:rsid w:val="001956C4"/>
    <w:rsid w:val="00196B8C"/>
    <w:rsid w:val="001A0574"/>
    <w:rsid w:val="001A46E2"/>
    <w:rsid w:val="001B07B7"/>
    <w:rsid w:val="001C2FA1"/>
    <w:rsid w:val="001C50AD"/>
    <w:rsid w:val="001D1895"/>
    <w:rsid w:val="001E0251"/>
    <w:rsid w:val="001E4AB6"/>
    <w:rsid w:val="001E4EB9"/>
    <w:rsid w:val="001E531B"/>
    <w:rsid w:val="001E7508"/>
    <w:rsid w:val="001F1C03"/>
    <w:rsid w:val="001F5004"/>
    <w:rsid w:val="00200A41"/>
    <w:rsid w:val="00204739"/>
    <w:rsid w:val="00207087"/>
    <w:rsid w:val="00213931"/>
    <w:rsid w:val="00221978"/>
    <w:rsid w:val="00222645"/>
    <w:rsid w:val="0022360D"/>
    <w:rsid w:val="0023027A"/>
    <w:rsid w:val="00230AAD"/>
    <w:rsid w:val="00230F13"/>
    <w:rsid w:val="002319DD"/>
    <w:rsid w:val="00240C7C"/>
    <w:rsid w:val="0025582F"/>
    <w:rsid w:val="00256EEE"/>
    <w:rsid w:val="00260839"/>
    <w:rsid w:val="00282813"/>
    <w:rsid w:val="00282B47"/>
    <w:rsid w:val="00287DF3"/>
    <w:rsid w:val="00290B57"/>
    <w:rsid w:val="00294713"/>
    <w:rsid w:val="002972DA"/>
    <w:rsid w:val="0029764C"/>
    <w:rsid w:val="002A08AC"/>
    <w:rsid w:val="002A3069"/>
    <w:rsid w:val="002A4505"/>
    <w:rsid w:val="002B31C9"/>
    <w:rsid w:val="002B6FE7"/>
    <w:rsid w:val="002C0493"/>
    <w:rsid w:val="002C62C4"/>
    <w:rsid w:val="002D39A5"/>
    <w:rsid w:val="002E48E7"/>
    <w:rsid w:val="002E76E1"/>
    <w:rsid w:val="002E7761"/>
    <w:rsid w:val="002E7988"/>
    <w:rsid w:val="002F0F6A"/>
    <w:rsid w:val="002F2FFC"/>
    <w:rsid w:val="002F77E8"/>
    <w:rsid w:val="00300DA9"/>
    <w:rsid w:val="00302664"/>
    <w:rsid w:val="00303BD7"/>
    <w:rsid w:val="00305C01"/>
    <w:rsid w:val="003067D7"/>
    <w:rsid w:val="0030781B"/>
    <w:rsid w:val="00312D8E"/>
    <w:rsid w:val="003176E1"/>
    <w:rsid w:val="00317BF1"/>
    <w:rsid w:val="003215F6"/>
    <w:rsid w:val="00321BD3"/>
    <w:rsid w:val="00321D78"/>
    <w:rsid w:val="00325C8F"/>
    <w:rsid w:val="00330D78"/>
    <w:rsid w:val="003332AB"/>
    <w:rsid w:val="00342ABA"/>
    <w:rsid w:val="0035418D"/>
    <w:rsid w:val="00354802"/>
    <w:rsid w:val="0036451C"/>
    <w:rsid w:val="00366B2F"/>
    <w:rsid w:val="003759E0"/>
    <w:rsid w:val="00375A6A"/>
    <w:rsid w:val="0037752F"/>
    <w:rsid w:val="003865E6"/>
    <w:rsid w:val="003901DA"/>
    <w:rsid w:val="00391862"/>
    <w:rsid w:val="00392C8E"/>
    <w:rsid w:val="0039300E"/>
    <w:rsid w:val="00393391"/>
    <w:rsid w:val="003936A9"/>
    <w:rsid w:val="00394823"/>
    <w:rsid w:val="003A002D"/>
    <w:rsid w:val="003A08DC"/>
    <w:rsid w:val="003A1992"/>
    <w:rsid w:val="003A56A6"/>
    <w:rsid w:val="003A5ED5"/>
    <w:rsid w:val="003A6126"/>
    <w:rsid w:val="003A64EF"/>
    <w:rsid w:val="003B134D"/>
    <w:rsid w:val="003B3240"/>
    <w:rsid w:val="003B6CCE"/>
    <w:rsid w:val="003C05A3"/>
    <w:rsid w:val="003C6607"/>
    <w:rsid w:val="003C6917"/>
    <w:rsid w:val="003D7DCF"/>
    <w:rsid w:val="003D7F02"/>
    <w:rsid w:val="003E278A"/>
    <w:rsid w:val="003E70E3"/>
    <w:rsid w:val="003F0A7E"/>
    <w:rsid w:val="003F1393"/>
    <w:rsid w:val="003F19F8"/>
    <w:rsid w:val="003F3F30"/>
    <w:rsid w:val="003F4732"/>
    <w:rsid w:val="003F51AC"/>
    <w:rsid w:val="003F5DAC"/>
    <w:rsid w:val="00405134"/>
    <w:rsid w:val="00405617"/>
    <w:rsid w:val="004122DC"/>
    <w:rsid w:val="00414824"/>
    <w:rsid w:val="00426318"/>
    <w:rsid w:val="00427A58"/>
    <w:rsid w:val="0043131D"/>
    <w:rsid w:val="0043669F"/>
    <w:rsid w:val="004373AF"/>
    <w:rsid w:val="00441D70"/>
    <w:rsid w:val="00441EE3"/>
    <w:rsid w:val="00446010"/>
    <w:rsid w:val="0044618E"/>
    <w:rsid w:val="00453F92"/>
    <w:rsid w:val="00457EAE"/>
    <w:rsid w:val="00470A7F"/>
    <w:rsid w:val="00470F0A"/>
    <w:rsid w:val="00473AF4"/>
    <w:rsid w:val="00473BB7"/>
    <w:rsid w:val="00481A17"/>
    <w:rsid w:val="00483E4D"/>
    <w:rsid w:val="004973AB"/>
    <w:rsid w:val="004A342C"/>
    <w:rsid w:val="004A36FD"/>
    <w:rsid w:val="004B1FD4"/>
    <w:rsid w:val="004B3182"/>
    <w:rsid w:val="004B68B5"/>
    <w:rsid w:val="004C099B"/>
    <w:rsid w:val="004D3364"/>
    <w:rsid w:val="004D48F1"/>
    <w:rsid w:val="004E143D"/>
    <w:rsid w:val="004E2FC3"/>
    <w:rsid w:val="004E4500"/>
    <w:rsid w:val="004F04F0"/>
    <w:rsid w:val="005031ED"/>
    <w:rsid w:val="00503F35"/>
    <w:rsid w:val="0050420C"/>
    <w:rsid w:val="00504CE8"/>
    <w:rsid w:val="00505272"/>
    <w:rsid w:val="00507776"/>
    <w:rsid w:val="00510EA9"/>
    <w:rsid w:val="00513392"/>
    <w:rsid w:val="0051411B"/>
    <w:rsid w:val="00515BE8"/>
    <w:rsid w:val="00515FDC"/>
    <w:rsid w:val="00521A38"/>
    <w:rsid w:val="00521A75"/>
    <w:rsid w:val="00532083"/>
    <w:rsid w:val="005370BC"/>
    <w:rsid w:val="00540A76"/>
    <w:rsid w:val="0054156B"/>
    <w:rsid w:val="0054592B"/>
    <w:rsid w:val="00550D6C"/>
    <w:rsid w:val="00552A11"/>
    <w:rsid w:val="00553405"/>
    <w:rsid w:val="005543F1"/>
    <w:rsid w:val="005559FC"/>
    <w:rsid w:val="0055621B"/>
    <w:rsid w:val="00556560"/>
    <w:rsid w:val="00556E1D"/>
    <w:rsid w:val="00564CB4"/>
    <w:rsid w:val="00565BB8"/>
    <w:rsid w:val="00566A90"/>
    <w:rsid w:val="00580198"/>
    <w:rsid w:val="00581CC7"/>
    <w:rsid w:val="0058251A"/>
    <w:rsid w:val="005862A7"/>
    <w:rsid w:val="00591C2F"/>
    <w:rsid w:val="0059437D"/>
    <w:rsid w:val="00595736"/>
    <w:rsid w:val="00597867"/>
    <w:rsid w:val="005A0339"/>
    <w:rsid w:val="005B0E1F"/>
    <w:rsid w:val="005B3038"/>
    <w:rsid w:val="005B3CEA"/>
    <w:rsid w:val="005C63C9"/>
    <w:rsid w:val="005D0B6B"/>
    <w:rsid w:val="005D0E5A"/>
    <w:rsid w:val="005E05A3"/>
    <w:rsid w:val="005E37E6"/>
    <w:rsid w:val="005E38E2"/>
    <w:rsid w:val="005E433D"/>
    <w:rsid w:val="005E50D2"/>
    <w:rsid w:val="005E654D"/>
    <w:rsid w:val="005F4396"/>
    <w:rsid w:val="005F6170"/>
    <w:rsid w:val="00601524"/>
    <w:rsid w:val="0060152C"/>
    <w:rsid w:val="006160F8"/>
    <w:rsid w:val="00617C6D"/>
    <w:rsid w:val="006267D3"/>
    <w:rsid w:val="006276D5"/>
    <w:rsid w:val="00627AD2"/>
    <w:rsid w:val="006402F3"/>
    <w:rsid w:val="00640A64"/>
    <w:rsid w:val="006410E3"/>
    <w:rsid w:val="00642806"/>
    <w:rsid w:val="00644A54"/>
    <w:rsid w:val="00645EF7"/>
    <w:rsid w:val="006514EA"/>
    <w:rsid w:val="006536EF"/>
    <w:rsid w:val="00655FEC"/>
    <w:rsid w:val="0066029E"/>
    <w:rsid w:val="00667D39"/>
    <w:rsid w:val="00694063"/>
    <w:rsid w:val="006A42EF"/>
    <w:rsid w:val="006A72C5"/>
    <w:rsid w:val="006B02F9"/>
    <w:rsid w:val="006B465E"/>
    <w:rsid w:val="006B5DC8"/>
    <w:rsid w:val="006B7003"/>
    <w:rsid w:val="006B7669"/>
    <w:rsid w:val="006C10A2"/>
    <w:rsid w:val="006C5111"/>
    <w:rsid w:val="006D0040"/>
    <w:rsid w:val="006D33BC"/>
    <w:rsid w:val="006D615B"/>
    <w:rsid w:val="006E56C4"/>
    <w:rsid w:val="0070035A"/>
    <w:rsid w:val="00701798"/>
    <w:rsid w:val="00710A6B"/>
    <w:rsid w:val="00712770"/>
    <w:rsid w:val="0071334B"/>
    <w:rsid w:val="0071472D"/>
    <w:rsid w:val="007158A6"/>
    <w:rsid w:val="007175CD"/>
    <w:rsid w:val="00721817"/>
    <w:rsid w:val="00734385"/>
    <w:rsid w:val="00737E69"/>
    <w:rsid w:val="00742A26"/>
    <w:rsid w:val="0074544D"/>
    <w:rsid w:val="0074744A"/>
    <w:rsid w:val="00747BE9"/>
    <w:rsid w:val="0075226B"/>
    <w:rsid w:val="00756101"/>
    <w:rsid w:val="007601B0"/>
    <w:rsid w:val="00763CEB"/>
    <w:rsid w:val="00765C23"/>
    <w:rsid w:val="00770C4B"/>
    <w:rsid w:val="00772D4F"/>
    <w:rsid w:val="007815D1"/>
    <w:rsid w:val="007819B7"/>
    <w:rsid w:val="00786565"/>
    <w:rsid w:val="00786C97"/>
    <w:rsid w:val="00787CBD"/>
    <w:rsid w:val="00797AC5"/>
    <w:rsid w:val="007A0A70"/>
    <w:rsid w:val="007B4890"/>
    <w:rsid w:val="007B4DEB"/>
    <w:rsid w:val="007B528B"/>
    <w:rsid w:val="007C3A96"/>
    <w:rsid w:val="007D1C4D"/>
    <w:rsid w:val="007D43AD"/>
    <w:rsid w:val="007D61AB"/>
    <w:rsid w:val="007E0B97"/>
    <w:rsid w:val="007E20EA"/>
    <w:rsid w:val="007E3A64"/>
    <w:rsid w:val="007F1707"/>
    <w:rsid w:val="007F3EDD"/>
    <w:rsid w:val="007F49E0"/>
    <w:rsid w:val="007F5317"/>
    <w:rsid w:val="007F56F3"/>
    <w:rsid w:val="007F6E35"/>
    <w:rsid w:val="007F7AC4"/>
    <w:rsid w:val="00800989"/>
    <w:rsid w:val="008027A3"/>
    <w:rsid w:val="00806051"/>
    <w:rsid w:val="00807537"/>
    <w:rsid w:val="008109E7"/>
    <w:rsid w:val="008139DB"/>
    <w:rsid w:val="00816236"/>
    <w:rsid w:val="00816539"/>
    <w:rsid w:val="00820DCD"/>
    <w:rsid w:val="00822587"/>
    <w:rsid w:val="00823423"/>
    <w:rsid w:val="00823DF7"/>
    <w:rsid w:val="008265F4"/>
    <w:rsid w:val="00832B84"/>
    <w:rsid w:val="00834395"/>
    <w:rsid w:val="00841DBD"/>
    <w:rsid w:val="00841FBD"/>
    <w:rsid w:val="00842D41"/>
    <w:rsid w:val="00847244"/>
    <w:rsid w:val="008514D8"/>
    <w:rsid w:val="008554EE"/>
    <w:rsid w:val="008578CB"/>
    <w:rsid w:val="0086219F"/>
    <w:rsid w:val="00870B16"/>
    <w:rsid w:val="0087161C"/>
    <w:rsid w:val="00871D97"/>
    <w:rsid w:val="00875422"/>
    <w:rsid w:val="00881B10"/>
    <w:rsid w:val="00881CA3"/>
    <w:rsid w:val="008946AB"/>
    <w:rsid w:val="008A28A4"/>
    <w:rsid w:val="008A666F"/>
    <w:rsid w:val="008A7296"/>
    <w:rsid w:val="008B1717"/>
    <w:rsid w:val="008B4E83"/>
    <w:rsid w:val="008C4C6C"/>
    <w:rsid w:val="008C5B67"/>
    <w:rsid w:val="008D1830"/>
    <w:rsid w:val="008D1919"/>
    <w:rsid w:val="008D4980"/>
    <w:rsid w:val="008D7304"/>
    <w:rsid w:val="008E432F"/>
    <w:rsid w:val="008E7026"/>
    <w:rsid w:val="008E7A34"/>
    <w:rsid w:val="008F1062"/>
    <w:rsid w:val="0090025D"/>
    <w:rsid w:val="00900A7A"/>
    <w:rsid w:val="00902186"/>
    <w:rsid w:val="00902C05"/>
    <w:rsid w:val="00906187"/>
    <w:rsid w:val="0090767F"/>
    <w:rsid w:val="00914417"/>
    <w:rsid w:val="00915571"/>
    <w:rsid w:val="00920968"/>
    <w:rsid w:val="00927697"/>
    <w:rsid w:val="009347D2"/>
    <w:rsid w:val="00934C04"/>
    <w:rsid w:val="00936C8E"/>
    <w:rsid w:val="00946D9A"/>
    <w:rsid w:val="00952CF3"/>
    <w:rsid w:val="0095338D"/>
    <w:rsid w:val="00967845"/>
    <w:rsid w:val="009730D2"/>
    <w:rsid w:val="00975560"/>
    <w:rsid w:val="009815D5"/>
    <w:rsid w:val="009832ED"/>
    <w:rsid w:val="00992DC4"/>
    <w:rsid w:val="00993325"/>
    <w:rsid w:val="009954DB"/>
    <w:rsid w:val="009A2EEF"/>
    <w:rsid w:val="009A32AF"/>
    <w:rsid w:val="009A7813"/>
    <w:rsid w:val="009B3FCF"/>
    <w:rsid w:val="009C286D"/>
    <w:rsid w:val="009C3985"/>
    <w:rsid w:val="009C4904"/>
    <w:rsid w:val="009C54B5"/>
    <w:rsid w:val="009D4256"/>
    <w:rsid w:val="009E2114"/>
    <w:rsid w:val="009E23B4"/>
    <w:rsid w:val="009E4476"/>
    <w:rsid w:val="00A02AB2"/>
    <w:rsid w:val="00A103E4"/>
    <w:rsid w:val="00A104E5"/>
    <w:rsid w:val="00A128D0"/>
    <w:rsid w:val="00A14F5F"/>
    <w:rsid w:val="00A251E5"/>
    <w:rsid w:val="00A2691B"/>
    <w:rsid w:val="00A3111B"/>
    <w:rsid w:val="00A32928"/>
    <w:rsid w:val="00A35036"/>
    <w:rsid w:val="00A37A9F"/>
    <w:rsid w:val="00A428F6"/>
    <w:rsid w:val="00A4296E"/>
    <w:rsid w:val="00A507A9"/>
    <w:rsid w:val="00A5425D"/>
    <w:rsid w:val="00A60648"/>
    <w:rsid w:val="00A6781C"/>
    <w:rsid w:val="00A73486"/>
    <w:rsid w:val="00A760E6"/>
    <w:rsid w:val="00A8355C"/>
    <w:rsid w:val="00A846DE"/>
    <w:rsid w:val="00A86F40"/>
    <w:rsid w:val="00A900AD"/>
    <w:rsid w:val="00A91CB6"/>
    <w:rsid w:val="00AA5323"/>
    <w:rsid w:val="00AA7BF1"/>
    <w:rsid w:val="00AB30F3"/>
    <w:rsid w:val="00AB6810"/>
    <w:rsid w:val="00AC05F7"/>
    <w:rsid w:val="00AC2EA5"/>
    <w:rsid w:val="00AC4297"/>
    <w:rsid w:val="00AC7E74"/>
    <w:rsid w:val="00AD0037"/>
    <w:rsid w:val="00AD4A0A"/>
    <w:rsid w:val="00AE1DAE"/>
    <w:rsid w:val="00AE39D4"/>
    <w:rsid w:val="00AE623F"/>
    <w:rsid w:val="00AF754B"/>
    <w:rsid w:val="00B0047A"/>
    <w:rsid w:val="00B04EFB"/>
    <w:rsid w:val="00B05C46"/>
    <w:rsid w:val="00B06B01"/>
    <w:rsid w:val="00B11739"/>
    <w:rsid w:val="00B13095"/>
    <w:rsid w:val="00B13C71"/>
    <w:rsid w:val="00B14A2C"/>
    <w:rsid w:val="00B14F47"/>
    <w:rsid w:val="00B156B6"/>
    <w:rsid w:val="00B16A4A"/>
    <w:rsid w:val="00B16D15"/>
    <w:rsid w:val="00B207CC"/>
    <w:rsid w:val="00B209F2"/>
    <w:rsid w:val="00B21223"/>
    <w:rsid w:val="00B25643"/>
    <w:rsid w:val="00B25F68"/>
    <w:rsid w:val="00B3106E"/>
    <w:rsid w:val="00B37A5D"/>
    <w:rsid w:val="00B41E40"/>
    <w:rsid w:val="00B426F3"/>
    <w:rsid w:val="00B4290E"/>
    <w:rsid w:val="00B43C1B"/>
    <w:rsid w:val="00B44522"/>
    <w:rsid w:val="00B46C5E"/>
    <w:rsid w:val="00B50118"/>
    <w:rsid w:val="00B501A8"/>
    <w:rsid w:val="00B5024A"/>
    <w:rsid w:val="00B50E6F"/>
    <w:rsid w:val="00B51BA0"/>
    <w:rsid w:val="00B53A21"/>
    <w:rsid w:val="00B544F8"/>
    <w:rsid w:val="00B54518"/>
    <w:rsid w:val="00B60500"/>
    <w:rsid w:val="00B61E26"/>
    <w:rsid w:val="00B638B1"/>
    <w:rsid w:val="00B65D7C"/>
    <w:rsid w:val="00B65D9C"/>
    <w:rsid w:val="00B66772"/>
    <w:rsid w:val="00B80240"/>
    <w:rsid w:val="00B80745"/>
    <w:rsid w:val="00B8418E"/>
    <w:rsid w:val="00B84F60"/>
    <w:rsid w:val="00B85C78"/>
    <w:rsid w:val="00B93E0D"/>
    <w:rsid w:val="00B960AA"/>
    <w:rsid w:val="00B967B0"/>
    <w:rsid w:val="00BB57D2"/>
    <w:rsid w:val="00BB5A4A"/>
    <w:rsid w:val="00BB5CC0"/>
    <w:rsid w:val="00BC06D9"/>
    <w:rsid w:val="00BC1750"/>
    <w:rsid w:val="00BC6421"/>
    <w:rsid w:val="00BD2533"/>
    <w:rsid w:val="00BD2ED1"/>
    <w:rsid w:val="00BE26CA"/>
    <w:rsid w:val="00BE2E62"/>
    <w:rsid w:val="00BE321D"/>
    <w:rsid w:val="00BE4052"/>
    <w:rsid w:val="00BF33CD"/>
    <w:rsid w:val="00C041A1"/>
    <w:rsid w:val="00C06A62"/>
    <w:rsid w:val="00C132D6"/>
    <w:rsid w:val="00C20A00"/>
    <w:rsid w:val="00C21D1D"/>
    <w:rsid w:val="00C277A9"/>
    <w:rsid w:val="00C27A7D"/>
    <w:rsid w:val="00C322C8"/>
    <w:rsid w:val="00C33DCE"/>
    <w:rsid w:val="00C340A9"/>
    <w:rsid w:val="00C34753"/>
    <w:rsid w:val="00C35352"/>
    <w:rsid w:val="00C4266F"/>
    <w:rsid w:val="00C43173"/>
    <w:rsid w:val="00C4650C"/>
    <w:rsid w:val="00C46729"/>
    <w:rsid w:val="00C46764"/>
    <w:rsid w:val="00C574C2"/>
    <w:rsid w:val="00C60C9D"/>
    <w:rsid w:val="00C61C49"/>
    <w:rsid w:val="00C71DC7"/>
    <w:rsid w:val="00C73C06"/>
    <w:rsid w:val="00C76F43"/>
    <w:rsid w:val="00C77D7E"/>
    <w:rsid w:val="00C803E5"/>
    <w:rsid w:val="00C80BA3"/>
    <w:rsid w:val="00C8150A"/>
    <w:rsid w:val="00C816EA"/>
    <w:rsid w:val="00C826A7"/>
    <w:rsid w:val="00C82F0F"/>
    <w:rsid w:val="00C83C67"/>
    <w:rsid w:val="00C857AE"/>
    <w:rsid w:val="00C86867"/>
    <w:rsid w:val="00C86935"/>
    <w:rsid w:val="00C9011D"/>
    <w:rsid w:val="00C918E5"/>
    <w:rsid w:val="00C97DCB"/>
    <w:rsid w:val="00CA004A"/>
    <w:rsid w:val="00CB11C2"/>
    <w:rsid w:val="00CB23C0"/>
    <w:rsid w:val="00CB7298"/>
    <w:rsid w:val="00CB79CE"/>
    <w:rsid w:val="00CB7C7C"/>
    <w:rsid w:val="00CC081E"/>
    <w:rsid w:val="00CC491D"/>
    <w:rsid w:val="00CD30D8"/>
    <w:rsid w:val="00CE34E2"/>
    <w:rsid w:val="00CE3E8D"/>
    <w:rsid w:val="00CE4BF7"/>
    <w:rsid w:val="00CE61DB"/>
    <w:rsid w:val="00CF18B3"/>
    <w:rsid w:val="00CF5899"/>
    <w:rsid w:val="00CF66D6"/>
    <w:rsid w:val="00D02854"/>
    <w:rsid w:val="00D02C25"/>
    <w:rsid w:val="00D11BB1"/>
    <w:rsid w:val="00D12C54"/>
    <w:rsid w:val="00D16E8A"/>
    <w:rsid w:val="00D21D8B"/>
    <w:rsid w:val="00D2603F"/>
    <w:rsid w:val="00D2605C"/>
    <w:rsid w:val="00D26D0C"/>
    <w:rsid w:val="00D3001D"/>
    <w:rsid w:val="00D31116"/>
    <w:rsid w:val="00D31D81"/>
    <w:rsid w:val="00D33188"/>
    <w:rsid w:val="00D34520"/>
    <w:rsid w:val="00D353B6"/>
    <w:rsid w:val="00D37C6C"/>
    <w:rsid w:val="00D437EB"/>
    <w:rsid w:val="00D441CB"/>
    <w:rsid w:val="00D46546"/>
    <w:rsid w:val="00D475D8"/>
    <w:rsid w:val="00D52C82"/>
    <w:rsid w:val="00D52D94"/>
    <w:rsid w:val="00D55903"/>
    <w:rsid w:val="00D665E4"/>
    <w:rsid w:val="00D671E1"/>
    <w:rsid w:val="00D7208E"/>
    <w:rsid w:val="00D7392B"/>
    <w:rsid w:val="00D74C02"/>
    <w:rsid w:val="00D7566A"/>
    <w:rsid w:val="00D762A1"/>
    <w:rsid w:val="00D81280"/>
    <w:rsid w:val="00D85DDD"/>
    <w:rsid w:val="00D92FA4"/>
    <w:rsid w:val="00DA4C16"/>
    <w:rsid w:val="00DB31F6"/>
    <w:rsid w:val="00DC0558"/>
    <w:rsid w:val="00DC50D4"/>
    <w:rsid w:val="00DD4B10"/>
    <w:rsid w:val="00DD5AFD"/>
    <w:rsid w:val="00DD5E6A"/>
    <w:rsid w:val="00DD5FC5"/>
    <w:rsid w:val="00DE3991"/>
    <w:rsid w:val="00DE64AC"/>
    <w:rsid w:val="00DF1417"/>
    <w:rsid w:val="00DF20A6"/>
    <w:rsid w:val="00DF2443"/>
    <w:rsid w:val="00DF3D92"/>
    <w:rsid w:val="00DF45F0"/>
    <w:rsid w:val="00E00582"/>
    <w:rsid w:val="00E02C28"/>
    <w:rsid w:val="00E04F12"/>
    <w:rsid w:val="00E0643E"/>
    <w:rsid w:val="00E14CF8"/>
    <w:rsid w:val="00E2057A"/>
    <w:rsid w:val="00E22744"/>
    <w:rsid w:val="00E2372B"/>
    <w:rsid w:val="00E26BDE"/>
    <w:rsid w:val="00E329B4"/>
    <w:rsid w:val="00E35181"/>
    <w:rsid w:val="00E44A85"/>
    <w:rsid w:val="00E53275"/>
    <w:rsid w:val="00E6030C"/>
    <w:rsid w:val="00E64371"/>
    <w:rsid w:val="00E73AE5"/>
    <w:rsid w:val="00E76DC3"/>
    <w:rsid w:val="00E77F97"/>
    <w:rsid w:val="00E81CB7"/>
    <w:rsid w:val="00E82835"/>
    <w:rsid w:val="00E86E27"/>
    <w:rsid w:val="00E90BC7"/>
    <w:rsid w:val="00E93620"/>
    <w:rsid w:val="00E941FF"/>
    <w:rsid w:val="00EA21A5"/>
    <w:rsid w:val="00EA23D2"/>
    <w:rsid w:val="00EA333E"/>
    <w:rsid w:val="00EA3832"/>
    <w:rsid w:val="00EB535A"/>
    <w:rsid w:val="00EB5EE6"/>
    <w:rsid w:val="00EC0769"/>
    <w:rsid w:val="00EC15B2"/>
    <w:rsid w:val="00EC4925"/>
    <w:rsid w:val="00EC75D4"/>
    <w:rsid w:val="00ED4A3E"/>
    <w:rsid w:val="00ED76DB"/>
    <w:rsid w:val="00EE047D"/>
    <w:rsid w:val="00EE38C6"/>
    <w:rsid w:val="00EE49B4"/>
    <w:rsid w:val="00F01F2C"/>
    <w:rsid w:val="00F23D87"/>
    <w:rsid w:val="00F2406C"/>
    <w:rsid w:val="00F24D1D"/>
    <w:rsid w:val="00F24E7F"/>
    <w:rsid w:val="00F27350"/>
    <w:rsid w:val="00F3068C"/>
    <w:rsid w:val="00F326D4"/>
    <w:rsid w:val="00F35A14"/>
    <w:rsid w:val="00F40293"/>
    <w:rsid w:val="00F40A14"/>
    <w:rsid w:val="00F42616"/>
    <w:rsid w:val="00F43E15"/>
    <w:rsid w:val="00F51F61"/>
    <w:rsid w:val="00F546EB"/>
    <w:rsid w:val="00F56A75"/>
    <w:rsid w:val="00F57610"/>
    <w:rsid w:val="00F701F8"/>
    <w:rsid w:val="00F75757"/>
    <w:rsid w:val="00F77791"/>
    <w:rsid w:val="00F77B42"/>
    <w:rsid w:val="00F80E67"/>
    <w:rsid w:val="00F93CEC"/>
    <w:rsid w:val="00FA30CD"/>
    <w:rsid w:val="00FA4D12"/>
    <w:rsid w:val="00FA6129"/>
    <w:rsid w:val="00FA689E"/>
    <w:rsid w:val="00FB22ED"/>
    <w:rsid w:val="00FC01F5"/>
    <w:rsid w:val="00FC1958"/>
    <w:rsid w:val="00FC30D0"/>
    <w:rsid w:val="00FC3CB9"/>
    <w:rsid w:val="00FC49D9"/>
    <w:rsid w:val="00FC7C05"/>
    <w:rsid w:val="00FD338F"/>
    <w:rsid w:val="00FD4FFF"/>
    <w:rsid w:val="00FF1911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8768"/>
  <w15:docId w15:val="{D33074F8-5E94-4BC9-9E9B-38572C8B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16"/>
        <w:lang w:val="en-US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7E"/>
    <w:pPr>
      <w:spacing w:after="0"/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3EE"/>
    <w:pPr>
      <w:keepNext/>
      <w:keepLines/>
      <w:spacing w:after="360"/>
      <w:jc w:val="center"/>
      <w:outlineLvl w:val="0"/>
    </w:pPr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4FFF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E5"/>
    <w:pPr>
      <w:keepNext/>
      <w:keepLines/>
      <w:spacing w:before="240" w:after="240"/>
      <w:ind w:firstLine="0"/>
      <w:outlineLvl w:val="2"/>
    </w:pPr>
    <w:rPr>
      <w:rFonts w:eastAsiaTheme="majorEastAsia" w:cstheme="majorBidi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3EE"/>
    <w:rPr>
      <w:rFonts w:eastAsiaTheme="majorEastAsia" w:cstheme="majorBidi"/>
      <w:b/>
      <w:caps/>
      <w:color w:val="000000" w:themeColor="text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9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91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D4FFF"/>
    <w:rPr>
      <w:rFonts w:eastAsiaTheme="majorEastAsia" w:cstheme="majorBidi"/>
      <w:b/>
      <w:sz w:val="24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25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1E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04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4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C04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493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C049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493"/>
    <w:rPr>
      <w:sz w:val="20"/>
      <w:szCs w:val="20"/>
    </w:rPr>
  </w:style>
  <w:style w:type="character" w:styleId="FootnoteReference">
    <w:name w:val="footnote reference"/>
    <w:aliases w:val="ftref,BVI fnr,16 Point,Superscript 6 Point,Footnote text,Ref. de nota al pie1"/>
    <w:basedOn w:val="DefaultParagraphFont"/>
    <w:uiPriority w:val="99"/>
    <w:semiHidden/>
    <w:unhideWhenUsed/>
    <w:rsid w:val="002C049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558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ody">
    <w:name w:val="Body"/>
    <w:basedOn w:val="ListParagraph"/>
    <w:link w:val="BodyChar"/>
    <w:rsid w:val="007B528B"/>
    <w:pPr>
      <w:spacing w:line="240" w:lineRule="auto"/>
      <w:ind w:left="0" w:firstLine="0"/>
      <w:contextualSpacing w:val="0"/>
    </w:pPr>
    <w:rPr>
      <w:rFonts w:ascii="Calibri" w:eastAsia="Times New Roman" w:hAnsi="Calibri"/>
      <w:color w:val="000000"/>
      <w:sz w:val="22"/>
      <w:szCs w:val="22"/>
      <w:lang w:val="en-CA"/>
    </w:rPr>
  </w:style>
  <w:style w:type="character" w:customStyle="1" w:styleId="BodyChar">
    <w:name w:val="Body Char"/>
    <w:link w:val="Body"/>
    <w:locked/>
    <w:rsid w:val="007B528B"/>
    <w:rPr>
      <w:rFonts w:ascii="Calibri" w:eastAsia="Times New Roman" w:hAnsi="Calibri"/>
      <w:color w:val="000000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7B528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1984"/>
    <w:pPr>
      <w:spacing w:after="0" w:line="240" w:lineRule="auto"/>
      <w:jc w:val="left"/>
    </w:pPr>
    <w:rPr>
      <w:rFonts w:ascii="PMingLiU" w:eastAsiaTheme="minorEastAsia" w:hAnsi="PMingLiU" w:cstheme="minorBidi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1984"/>
    <w:rPr>
      <w:rFonts w:ascii="PMingLiU" w:eastAsiaTheme="minorEastAsia" w:hAnsi="PMingLiU" w:cstheme="minorBidi"/>
      <w:szCs w:val="22"/>
      <w:lang w:eastAsia="ja-JP"/>
    </w:rPr>
  </w:style>
  <w:style w:type="table" w:customStyle="1" w:styleId="TableGrid">
    <w:name w:val="TableGrid"/>
    <w:rsid w:val="00131984"/>
    <w:pPr>
      <w:spacing w:after="0" w:line="240" w:lineRule="auto"/>
      <w:jc w:val="left"/>
    </w:pPr>
    <w:rPr>
      <w:rFonts w:asciiTheme="minorHAnsi" w:eastAsiaTheme="minorEastAsia" w:hAnsiTheme="minorHAnsi" w:cstheme="minorBidi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44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4F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803E5"/>
    <w:rPr>
      <w:rFonts w:eastAsiaTheme="majorEastAsia" w:cstheme="majorBidi"/>
      <w:i/>
      <w:sz w:val="24"/>
      <w:szCs w:val="24"/>
    </w:rPr>
  </w:style>
  <w:style w:type="paragraph" w:styleId="Revision">
    <w:name w:val="Revision"/>
    <w:hidden/>
    <w:uiPriority w:val="99"/>
    <w:semiHidden/>
    <w:rsid w:val="008D7304"/>
    <w:pPr>
      <w:spacing w:after="0" w:line="240" w:lineRule="auto"/>
      <w:jc w:val="left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0F6E7D"/>
    <w:pPr>
      <w:spacing w:after="120" w:line="480" w:lineRule="auto"/>
      <w:ind w:firstLine="567"/>
    </w:pPr>
    <w:rPr>
      <w:rFonts w:eastAsia="Times New Roman"/>
      <w:szCs w:val="20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6E7D"/>
    <w:rPr>
      <w:rFonts w:eastAsia="Times New Roman"/>
      <w:sz w:val="24"/>
      <w:szCs w:val="20"/>
      <w:lang w:val="sr-Latn-C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0C7C"/>
    <w:rPr>
      <w:color w:val="605E5C"/>
      <w:shd w:val="clear" w:color="auto" w:fill="E1DFDD"/>
    </w:rPr>
  </w:style>
  <w:style w:type="paragraph" w:customStyle="1" w:styleId="Goalparagraph">
    <w:name w:val="Goal paragraph"/>
    <w:basedOn w:val="Normal"/>
    <w:link w:val="GoalparagraphChar"/>
    <w:rsid w:val="00282813"/>
    <w:pPr>
      <w:spacing w:before="120" w:after="120" w:line="240" w:lineRule="auto"/>
      <w:ind w:left="720" w:hanging="720"/>
      <w:jc w:val="left"/>
    </w:pPr>
    <w:rPr>
      <w:rFonts w:ascii="Calibri" w:eastAsia="Times New Roman" w:hAnsi="Calibri"/>
      <w:sz w:val="20"/>
      <w:szCs w:val="21"/>
      <w:lang w:val="en-CA"/>
    </w:rPr>
  </w:style>
  <w:style w:type="character" w:customStyle="1" w:styleId="GoalparagraphChar">
    <w:name w:val="Goal paragraph Char"/>
    <w:link w:val="Goalparagraph"/>
    <w:locked/>
    <w:rsid w:val="00282813"/>
    <w:rPr>
      <w:rFonts w:ascii="Calibri" w:eastAsia="Times New Roman" w:hAnsi="Calibri"/>
      <w:sz w:val="20"/>
      <w:szCs w:val="21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cef.org/montenegro/sites/unicef.org.montenegro/files/2019-12/MNE_MICS6%20Statistical%20Snapshot%20ECD%20ENG_Montenegro%202018_FINAL.pdf" TargetMode="External"/><Relationship Id="rId1" Type="http://schemas.openxmlformats.org/officeDocument/2006/relationships/hyperlink" Target="https://appsso.eurostat.ec.europa.eu/nui/show.do?query=BOOKMARK_DS-550539_QID_632A4A37_UID_-3F171EB0&amp;layout=TIME,C,X,0;GEO,L,Y,0;UNIT,L,Z,0;ISCED11,L,Z,1;INDICATORS,C,Z,2;&amp;zSelection=DS-550539ISCED11,ED02;DS-550539UNIT,RT;DS-550539INDICATORS,OBS_FLAG;&amp;rankName1=ISCED11_1_2_-1_2&amp;rankName2=UNIT_1_2_-1_2&amp;rankName3=INDICATORS_1_2_-1_2&amp;rankName4=TIME_1_0_0_0&amp;rankName5=GEO_1_2_0_1&amp;sortC=ASC_-1_FIRST&amp;rStp=&amp;cStp=&amp;rDCh=&amp;cDCh=&amp;rDM=true&amp;cDM=true&amp;footnes=false&amp;empty=false&amp;wai=false&amp;time_mode=NONE&amp;time_most_recent=false&amp;lang=EN&amp;cfo=%23%23%23%2C%23%23%23.%23%23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99EB-E5D4-44BF-AC24-EEE032F7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13091</Words>
  <Characters>74621</Characters>
  <Application>Microsoft Office Word</Application>
  <DocSecurity>0</DocSecurity>
  <Lines>621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Baucal</dc:creator>
  <cp:lastModifiedBy>user</cp:lastModifiedBy>
  <cp:revision>10</cp:revision>
  <dcterms:created xsi:type="dcterms:W3CDTF">2020-08-04T09:44:00Z</dcterms:created>
  <dcterms:modified xsi:type="dcterms:W3CDTF">2020-08-04T10:16:00Z</dcterms:modified>
</cp:coreProperties>
</file>