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8C576E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JUN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:rsidR="00C54B26" w:rsidRDefault="008C576E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JUN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>
                <w:pict>
                  <v:rect id="Rectangle 10" o:spid="_x0000_s1026" o:spt="1" alt="rectangle" style="position:absolute;left:0pt;margin-left:-70.75pt;margin-top:-75.7pt;height:88.15pt;width:612.3pt;z-index:-251655168;v-text-anchor:middle;mso-width-relative:page;mso-height-relative:page;" fillcolor="#EFF1F0" filled="t" stroked="f" coordsize="21600,21600" o:gfxdata="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I&#10;3Jk92gAAAA0BAAAPAAAAAAAAAAEAIAAAACIAAABkcnMvZG93bnJldi54bWxQSwECFAAUAAAACACH&#10;TuJAQnUynlsCAADMBAAADgAAAAAAAAABACAAAAApAQAAZHJzL2Uyb0RvYy54bWxQSwUGAAAAAAYA&#10;BgBZAQAA9gUAAAAA&#10;">
                    <v:fill on="t" focussize="0,0"/>
                    <v:stroke on="f" weight="1pt"/>
                    <v:imagedata o:title=""/>
                    <o:lock v:ext="edit" aspectratio="f"/>
                  </v:rect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wpsCustomData="http://www.wps.cn/officeDocument/2013/wpsCustomData">
                <w:pict>
                  <v:rect id="Rectangle 8" o:spid="_x0000_s1026" o:spt="1" alt="rectangle" style="position:absolute;left:0pt;margin-left:-70.75pt;margin-top:383.65pt;height:336.45pt;width:612.3pt;z-index:-251657216;v-text-anchor:middle;mso-width-relative:page;mso-height-relative:page;" fillcolor="#404040 [2429]" filled="t" stroked="f" coordsize="21600,21600" o:gfxdata="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/0VaF2wAAAA4BAAAPAAAAAAAAAAEAIAAAACIAAABkcnMv&#10;ZG93bnJldi54bWxQSwECFAAUAAAACACHTuJAuY+xRHICAAADBQAADgAAAAAAAAABACAAAAAqAQAA&#10;ZHJzL2Uyb0RvYy54bWxQSwUGAAAAAAYABgBZAQAADgYAAAAA&#10;">
                    <v:fill on="t" focussize="0,0"/>
                    <v:stroke on="f" weight="1pt"/>
                    <v:imagedata o:title=""/>
                    <o:lock v:ext="edit" aspectratio="f"/>
                  </v:rect>
                </w:pict>
              </mc:Fallback>
            </mc:AlternateContent>
          </w:r>
          <w:r>
            <w:rPr>
              <w:b/>
            </w:rPr>
            <w:br w:type="page"/>
          </w:r>
        </w:p>
        <w:p w:rsidR="00C54B26" w:rsidRDefault="003C2878">
          <w:pPr>
            <w:spacing w:after="200"/>
            <w:rPr>
              <w:b/>
            </w:rPr>
          </w:pPr>
        </w:p>
      </w:sdtContent>
    </w:sdt>
    <w:p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C54B26" w:rsidRDefault="00C54B26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29E0" w:rsidRDefault="00FA29E0" w:rsidP="00FA29E0">
      <w:pPr>
        <w:shd w:val="clear" w:color="auto" w:fill="FFFFFF"/>
        <w:jc w:val="both"/>
        <w:rPr>
          <w:rFonts w:eastAsia="Times New Roman" w:cstheme="minorHAnsi"/>
          <w:sz w:val="24"/>
          <w:szCs w:val="24"/>
          <w:lang w:val="sr-Latn-ME"/>
        </w:rPr>
      </w:pPr>
      <w:r>
        <w:rPr>
          <w:rFonts w:eastAsia="Times New Roman" w:cstheme="minorHAnsi"/>
          <w:b/>
          <w:sz w:val="24"/>
          <w:szCs w:val="24"/>
          <w:lang w:val="sr-Latn-ME" w:eastAsia="en-GB"/>
        </w:rPr>
        <w:t>Prihodi budžeta za šest mjeseci 2025. godine iznosili su 1.322,8 mil. € ili 16,7% procijenjenog BDP-a (7.918,5 mil. €) što je za 13,1 mil. € ili 1% veće u odnosu na isti period prethodne godine.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Prihodi za pola godine su naplaćeni na nivou od 97,3% plana. Glavni razlog nešto niže naplate odnosi se na priliv sredstava iz donacija koje su u odnosu na planirane naplaćene za 31,7 mil. € manje, a n</w:t>
      </w:r>
      <w:r>
        <w:rPr>
          <w:rFonts w:eastAsia="Times New Roman" w:cstheme="minorHAnsi"/>
          <w:sz w:val="24"/>
          <w:szCs w:val="24"/>
          <w:lang w:val="sr-Latn-ME"/>
        </w:rPr>
        <w:t xml:space="preserve">aplata po ovom osnovu očekuje se do kraja godine. </w:t>
      </w:r>
    </w:p>
    <w:p w:rsidR="00C54B26" w:rsidRDefault="008C576E">
      <w:pPr>
        <w:shd w:val="clear" w:color="auto" w:fill="FFFFFF"/>
        <w:jc w:val="both"/>
        <w:rPr>
          <w:rFonts w:eastAsia="Times New Roman" w:cstheme="minorHAnsi"/>
          <w:b/>
          <w:sz w:val="24"/>
          <w:szCs w:val="24"/>
          <w:lang w:val="sr-Latn-ME" w:eastAsia="en-GB"/>
        </w:rPr>
      </w:pPr>
      <w:r>
        <w:rPr>
          <w:rFonts w:eastAsia="Times New Roman" w:cstheme="minorHAnsi"/>
          <w:b/>
          <w:sz w:val="24"/>
          <w:szCs w:val="24"/>
          <w:lang w:val="sr-Latn-ME" w:eastAsia="en-GB"/>
        </w:rPr>
        <w:t>Glavni generatori rasta prihoda su: porez na dodatu vrijednost, porez na dobit i akcize:</w:t>
      </w:r>
    </w:p>
    <w:tbl>
      <w:tblPr>
        <w:tblStyle w:val="PlainTable51"/>
        <w:tblW w:w="5096" w:type="pct"/>
        <w:tblLayout w:type="fixed"/>
        <w:tblLook w:val="04A0" w:firstRow="1" w:lastRow="0" w:firstColumn="1" w:lastColumn="0" w:noHBand="0" w:noVBand="1"/>
      </w:tblPr>
      <w:tblGrid>
        <w:gridCol w:w="2431"/>
        <w:gridCol w:w="1889"/>
        <w:gridCol w:w="1799"/>
        <w:gridCol w:w="1801"/>
        <w:gridCol w:w="1620"/>
      </w:tblGrid>
      <w:tr w:rsidR="009E0225" w:rsidTr="00A66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4" w:type="pct"/>
            <w:noWrap/>
          </w:tcPr>
          <w:p w:rsidR="00C54B26" w:rsidRDefault="008C576E">
            <w:pPr>
              <w:spacing w:line="240" w:lineRule="auto"/>
              <w:jc w:val="center"/>
              <w:rPr>
                <w:rFonts w:asciiTheme="majorHAnsi" w:eastAsia="Times New Roman" w:hAnsiTheme="majorHAnsi"/>
                <w:b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b/>
                <w:lang w:val="sr-Latn-ME"/>
              </w:rPr>
              <w:t>Glavne kategorije prihoda budžeta</w:t>
            </w:r>
          </w:p>
        </w:tc>
        <w:tc>
          <w:tcPr>
            <w:tcW w:w="990" w:type="pct"/>
          </w:tcPr>
          <w:p w:rsidR="00C54B26" w:rsidRDefault="008C576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lang w:val="sr-Latn-ME"/>
              </w:rPr>
            </w:pPr>
            <w:r>
              <w:rPr>
                <w:rFonts w:asciiTheme="majorHAnsi" w:eastAsia="Times New Roman" w:hAnsiTheme="majorHAnsi"/>
                <w:b/>
                <w:lang w:val="sr-Latn-ME"/>
              </w:rPr>
              <w:t>Januar-jun</w:t>
            </w:r>
          </w:p>
          <w:p w:rsidR="00C54B26" w:rsidRDefault="008C576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b/>
                <w:lang w:val="sr-Latn-ME"/>
              </w:rPr>
              <w:t>2024</w:t>
            </w:r>
          </w:p>
        </w:tc>
        <w:tc>
          <w:tcPr>
            <w:tcW w:w="943" w:type="pct"/>
          </w:tcPr>
          <w:p w:rsidR="00C54B26" w:rsidRDefault="008C576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b/>
                <w:lang w:val="sr-Latn-ME"/>
              </w:rPr>
              <w:t>Januar-jun 2025</w:t>
            </w:r>
          </w:p>
        </w:tc>
        <w:tc>
          <w:tcPr>
            <w:tcW w:w="944" w:type="pct"/>
          </w:tcPr>
          <w:p w:rsidR="00C54B26" w:rsidRDefault="008C576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b/>
                <w:lang w:val="sr-Latn-ME"/>
              </w:rPr>
              <w:t>Apsolutno odstupanje</w:t>
            </w:r>
          </w:p>
        </w:tc>
        <w:tc>
          <w:tcPr>
            <w:tcW w:w="849" w:type="pct"/>
          </w:tcPr>
          <w:p w:rsidR="00C54B26" w:rsidRDefault="008C576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/>
                <w:b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b/>
                <w:lang w:val="sr-Latn-ME"/>
              </w:rPr>
              <w:t>Stopa promjene</w:t>
            </w:r>
          </w:p>
        </w:tc>
      </w:tr>
      <w:tr w:rsidR="00FA29E0" w:rsidTr="00A66D5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pct"/>
            <w:noWrap/>
            <w:vAlign w:val="center"/>
          </w:tcPr>
          <w:p w:rsidR="00FA29E0" w:rsidRDefault="00FA29E0" w:rsidP="00FA29E0">
            <w:pPr>
              <w:spacing w:line="240" w:lineRule="auto"/>
              <w:rPr>
                <w:rFonts w:asciiTheme="majorHAnsi" w:eastAsia="Times New Roman" w:hAnsiTheme="majorHAnsi"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lang w:val="sr-Latn-ME"/>
              </w:rPr>
              <w:t>Porez na dohodak fizičkih lica</w:t>
            </w:r>
          </w:p>
        </w:tc>
        <w:tc>
          <w:tcPr>
            <w:tcW w:w="990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sr-Latn-ME"/>
              </w:rPr>
            </w:pPr>
            <w:r>
              <w:rPr>
                <w:rFonts w:eastAsia="Times New Roman"/>
                <w:lang w:val="sr-Latn-ME"/>
              </w:rPr>
              <w:t>37.77</w:t>
            </w:r>
          </w:p>
        </w:tc>
        <w:tc>
          <w:tcPr>
            <w:tcW w:w="943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sr-Latn-ME"/>
              </w:rPr>
            </w:pPr>
            <w:r>
              <w:rPr>
                <w:rFonts w:eastAsia="Times New Roman"/>
                <w:lang w:val="sr-Latn-ME"/>
              </w:rPr>
              <w:t>46.59</w:t>
            </w:r>
          </w:p>
        </w:tc>
        <w:tc>
          <w:tcPr>
            <w:tcW w:w="944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6100"/>
                <w:lang w:val="sr-Latn-ME"/>
              </w:rPr>
            </w:pPr>
            <w:r>
              <w:rPr>
                <w:rFonts w:eastAsia="Times New Roman"/>
                <w:color w:val="006100"/>
                <w:lang w:val="sr-Latn-ME"/>
              </w:rPr>
              <w:t>8.82</w:t>
            </w:r>
          </w:p>
        </w:tc>
        <w:tc>
          <w:tcPr>
            <w:tcW w:w="849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6100"/>
                <w:lang w:val="sr-Latn-ME"/>
              </w:rPr>
            </w:pPr>
            <w:r>
              <w:rPr>
                <w:rFonts w:eastAsia="Times New Roman"/>
                <w:color w:val="006100"/>
                <w:lang w:val="sr-Latn-ME"/>
              </w:rPr>
              <w:t>23.34</w:t>
            </w:r>
          </w:p>
        </w:tc>
      </w:tr>
      <w:tr w:rsidR="00FA29E0" w:rsidTr="009E022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pct"/>
            <w:noWrap/>
            <w:vAlign w:val="center"/>
          </w:tcPr>
          <w:p w:rsidR="00FA29E0" w:rsidRDefault="00FA29E0" w:rsidP="00FA29E0">
            <w:pPr>
              <w:spacing w:line="240" w:lineRule="auto"/>
              <w:rPr>
                <w:rFonts w:asciiTheme="majorHAnsi" w:eastAsia="Times New Roman" w:hAnsiTheme="majorHAnsi"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lang w:val="sr-Latn-ME"/>
              </w:rPr>
              <w:t>Porez na dobit pravnih lica</w:t>
            </w:r>
          </w:p>
        </w:tc>
        <w:tc>
          <w:tcPr>
            <w:tcW w:w="990" w:type="pct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sr-Latn-ME"/>
              </w:rPr>
            </w:pPr>
            <w:r>
              <w:rPr>
                <w:rFonts w:eastAsia="Times New Roman"/>
                <w:lang w:val="sr-Latn-ME"/>
              </w:rPr>
              <w:t>191.19</w:t>
            </w:r>
          </w:p>
        </w:tc>
        <w:tc>
          <w:tcPr>
            <w:tcW w:w="943" w:type="pct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sr-Latn-ME"/>
              </w:rPr>
            </w:pPr>
            <w:r>
              <w:rPr>
                <w:rFonts w:eastAsia="Times New Roman"/>
                <w:lang w:val="sr-Latn-ME"/>
              </w:rPr>
              <w:t>210.11</w:t>
            </w:r>
          </w:p>
        </w:tc>
        <w:tc>
          <w:tcPr>
            <w:tcW w:w="944" w:type="pct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6100"/>
                <w:lang w:val="sr-Latn-ME"/>
              </w:rPr>
            </w:pPr>
            <w:r>
              <w:rPr>
                <w:rFonts w:eastAsia="Times New Roman"/>
                <w:color w:val="006100"/>
                <w:lang w:val="sr-Latn-ME"/>
              </w:rPr>
              <w:t>18.92</w:t>
            </w:r>
          </w:p>
        </w:tc>
        <w:tc>
          <w:tcPr>
            <w:tcW w:w="849" w:type="pct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6100"/>
                <w:lang w:val="sr-Latn-ME"/>
              </w:rPr>
            </w:pPr>
            <w:r>
              <w:rPr>
                <w:rFonts w:eastAsia="Times New Roman"/>
                <w:color w:val="006100"/>
                <w:lang w:val="sr-Latn-ME"/>
              </w:rPr>
              <w:t>9.90</w:t>
            </w:r>
          </w:p>
        </w:tc>
      </w:tr>
      <w:tr w:rsidR="00FA29E0" w:rsidTr="00A66D5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pct"/>
            <w:noWrap/>
            <w:vAlign w:val="center"/>
          </w:tcPr>
          <w:p w:rsidR="00FA29E0" w:rsidRDefault="00FA29E0" w:rsidP="00FA29E0">
            <w:pPr>
              <w:spacing w:line="240" w:lineRule="auto"/>
              <w:rPr>
                <w:rFonts w:asciiTheme="majorHAnsi" w:eastAsia="Times New Roman" w:hAnsiTheme="majorHAnsi"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lang w:val="sr-Latn-ME"/>
              </w:rPr>
              <w:t>Porez na dodatu vrijednost</w:t>
            </w:r>
          </w:p>
        </w:tc>
        <w:tc>
          <w:tcPr>
            <w:tcW w:w="990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sr-Latn-ME"/>
              </w:rPr>
            </w:pPr>
            <w:r>
              <w:rPr>
                <w:rFonts w:eastAsia="Times New Roman"/>
                <w:lang w:val="sr-Latn-ME"/>
              </w:rPr>
              <w:t>535.96</w:t>
            </w:r>
          </w:p>
        </w:tc>
        <w:tc>
          <w:tcPr>
            <w:tcW w:w="943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sr-Latn-ME"/>
              </w:rPr>
            </w:pPr>
            <w:r>
              <w:rPr>
                <w:rFonts w:eastAsia="Times New Roman"/>
                <w:lang w:val="sr-Latn-ME"/>
              </w:rPr>
              <w:t>602.06</w:t>
            </w:r>
          </w:p>
        </w:tc>
        <w:tc>
          <w:tcPr>
            <w:tcW w:w="944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6100"/>
                <w:lang w:val="sr-Latn-ME"/>
              </w:rPr>
            </w:pPr>
            <w:r>
              <w:rPr>
                <w:rFonts w:eastAsia="Times New Roman"/>
                <w:color w:val="006100"/>
                <w:lang w:val="sr-Latn-ME"/>
              </w:rPr>
              <w:t>66.10</w:t>
            </w:r>
          </w:p>
        </w:tc>
        <w:tc>
          <w:tcPr>
            <w:tcW w:w="849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6100"/>
                <w:lang w:val="sr-Latn-ME"/>
              </w:rPr>
            </w:pPr>
            <w:r>
              <w:rPr>
                <w:rFonts w:eastAsia="Times New Roman"/>
                <w:color w:val="006100"/>
                <w:lang w:val="sr-Latn-ME"/>
              </w:rPr>
              <w:t>12.33</w:t>
            </w:r>
          </w:p>
        </w:tc>
      </w:tr>
      <w:tr w:rsidR="00FA29E0" w:rsidTr="009E02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pct"/>
            <w:noWrap/>
            <w:vAlign w:val="center"/>
          </w:tcPr>
          <w:p w:rsidR="00FA29E0" w:rsidRDefault="00FA29E0" w:rsidP="00FA29E0">
            <w:pPr>
              <w:spacing w:line="240" w:lineRule="auto"/>
              <w:rPr>
                <w:rFonts w:asciiTheme="majorHAnsi" w:eastAsia="Times New Roman" w:hAnsiTheme="majorHAnsi"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lang w:val="sr-Latn-ME"/>
              </w:rPr>
              <w:t xml:space="preserve">Akcize </w:t>
            </w:r>
          </w:p>
        </w:tc>
        <w:tc>
          <w:tcPr>
            <w:tcW w:w="990" w:type="pct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sr-Latn-ME"/>
              </w:rPr>
            </w:pPr>
            <w:r>
              <w:rPr>
                <w:rFonts w:eastAsia="Times New Roman"/>
                <w:lang w:val="sr-Latn-ME"/>
              </w:rPr>
              <w:t>160.22</w:t>
            </w:r>
          </w:p>
        </w:tc>
        <w:tc>
          <w:tcPr>
            <w:tcW w:w="943" w:type="pct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sr-Latn-ME"/>
              </w:rPr>
            </w:pPr>
            <w:r>
              <w:rPr>
                <w:rFonts w:eastAsia="Times New Roman"/>
                <w:lang w:val="sr-Latn-ME"/>
              </w:rPr>
              <w:t>172.86</w:t>
            </w:r>
          </w:p>
        </w:tc>
        <w:tc>
          <w:tcPr>
            <w:tcW w:w="944" w:type="pct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6100"/>
                <w:lang w:val="sr-Latn-ME"/>
              </w:rPr>
            </w:pPr>
            <w:r>
              <w:rPr>
                <w:rFonts w:eastAsia="Times New Roman"/>
                <w:color w:val="006100"/>
                <w:lang w:val="sr-Latn-ME"/>
              </w:rPr>
              <w:t>12.64</w:t>
            </w:r>
          </w:p>
        </w:tc>
        <w:tc>
          <w:tcPr>
            <w:tcW w:w="849" w:type="pct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6100"/>
                <w:lang w:val="sr-Latn-ME"/>
              </w:rPr>
            </w:pPr>
            <w:r>
              <w:rPr>
                <w:rFonts w:eastAsia="Times New Roman"/>
                <w:color w:val="006100"/>
                <w:lang w:val="sr-Latn-ME"/>
              </w:rPr>
              <w:t>7.89</w:t>
            </w:r>
          </w:p>
        </w:tc>
      </w:tr>
      <w:tr w:rsidR="00FA29E0" w:rsidTr="00A66D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pct"/>
            <w:noWrap/>
            <w:vAlign w:val="center"/>
          </w:tcPr>
          <w:p w:rsidR="00FA29E0" w:rsidRDefault="00FA29E0" w:rsidP="00FA29E0">
            <w:pPr>
              <w:spacing w:line="240" w:lineRule="auto"/>
              <w:rPr>
                <w:rFonts w:asciiTheme="majorHAnsi" w:eastAsia="Times New Roman" w:hAnsiTheme="majorHAnsi"/>
                <w:bCs/>
                <w:i w:val="0"/>
                <w:iCs w:val="0"/>
                <w:lang w:val="sr-Latn-ME"/>
              </w:rPr>
            </w:pPr>
            <w:r>
              <w:rPr>
                <w:rFonts w:asciiTheme="majorHAnsi" w:eastAsia="Times New Roman" w:hAnsiTheme="majorHAnsi"/>
                <w:bCs/>
                <w:lang w:val="sr-Latn-ME"/>
              </w:rPr>
              <w:t>Doprinosi</w:t>
            </w:r>
          </w:p>
        </w:tc>
        <w:tc>
          <w:tcPr>
            <w:tcW w:w="990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lang w:val="sr-Latn-ME"/>
              </w:rPr>
            </w:pPr>
            <w:r>
              <w:rPr>
                <w:rFonts w:eastAsia="Times New Roman"/>
                <w:bCs/>
                <w:lang w:val="sr-Latn-ME"/>
              </w:rPr>
              <w:t>265.96</w:t>
            </w:r>
          </w:p>
        </w:tc>
        <w:tc>
          <w:tcPr>
            <w:tcW w:w="943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lang w:val="sr-Latn-ME"/>
              </w:rPr>
            </w:pPr>
            <w:r>
              <w:rPr>
                <w:rFonts w:eastAsia="Times New Roman"/>
                <w:bCs/>
                <w:lang w:val="sr-Latn-ME"/>
              </w:rPr>
              <w:t>184.08</w:t>
            </w:r>
          </w:p>
        </w:tc>
        <w:tc>
          <w:tcPr>
            <w:tcW w:w="944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9C0006"/>
                <w:lang w:val="sr-Latn-ME"/>
              </w:rPr>
            </w:pPr>
            <w:r>
              <w:rPr>
                <w:rFonts w:eastAsia="Times New Roman"/>
                <w:bCs/>
                <w:color w:val="9C0006"/>
                <w:lang w:val="sr-Latn-ME"/>
              </w:rPr>
              <w:t>-81.88</w:t>
            </w:r>
          </w:p>
        </w:tc>
        <w:tc>
          <w:tcPr>
            <w:tcW w:w="849" w:type="pct"/>
            <w:shd w:val="clear" w:color="auto" w:fill="F2F2F2" w:themeFill="background1" w:themeFillShade="F2"/>
            <w:noWrap/>
          </w:tcPr>
          <w:p w:rsidR="00FA29E0" w:rsidRDefault="00FA29E0" w:rsidP="00FA29E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9C0006"/>
                <w:lang w:val="sr-Latn-ME"/>
              </w:rPr>
            </w:pPr>
            <w:r>
              <w:rPr>
                <w:rFonts w:eastAsia="Times New Roman"/>
                <w:bCs/>
                <w:color w:val="9C0006"/>
                <w:lang w:val="sr-Latn-ME"/>
              </w:rPr>
              <w:t>-30.79</w:t>
            </w:r>
          </w:p>
        </w:tc>
      </w:tr>
    </w:tbl>
    <w:p w:rsidR="00C54B26" w:rsidRDefault="00C54B26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lang w:val="sr-Latn-ME" w:eastAsia="en-GB"/>
        </w:rPr>
      </w:pPr>
    </w:p>
    <w:p w:rsidR="00C54B26" w:rsidRDefault="00C54B26">
      <w:pPr>
        <w:shd w:val="clear" w:color="auto" w:fill="FFFFFF"/>
        <w:jc w:val="both"/>
        <w:rPr>
          <w:rFonts w:eastAsia="Times New Roman" w:cstheme="minorHAnsi"/>
          <w:color w:val="000000"/>
          <w:sz w:val="8"/>
          <w:szCs w:val="8"/>
          <w:lang w:val="sr-Latn-ME" w:eastAsia="en-GB"/>
        </w:rPr>
      </w:pPr>
    </w:p>
    <w:p w:rsidR="00FA29E0" w:rsidRDefault="00FA29E0" w:rsidP="00FA29E0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210,1 mil. €, što predstavlja značajan rast, i to za 18,9 mil. € ili 9,9% u odnosu na isti period 2024. godine, što je i za 11,7 mil. € ili 5,9% veće u odnosu na plan za posmatrani period. </w:t>
      </w:r>
    </w:p>
    <w:p w:rsidR="00FA29E0" w:rsidRDefault="00FA29E0" w:rsidP="00FA29E0">
      <w:pPr>
        <w:spacing w:line="259" w:lineRule="auto"/>
        <w:jc w:val="both"/>
        <w:rPr>
          <w:rFonts w:eastAsia="Times New Roman" w:cstheme="minorHAnsi"/>
          <w:color w:val="FF0000"/>
          <w:sz w:val="24"/>
          <w:szCs w:val="24"/>
          <w:lang w:val="sr-Latn-ME" w:eastAsia="en-GB"/>
        </w:rPr>
      </w:pPr>
      <w:r>
        <w:rPr>
          <w:rFonts w:eastAsia="Times New Roman" w:cstheme="minorHAnsi"/>
          <w:b/>
          <w:sz w:val="24"/>
          <w:szCs w:val="24"/>
          <w:lang w:val="sr-Latn-ME" w:eastAsia="en-GB"/>
        </w:rPr>
        <w:lastRenderedPageBreak/>
        <w:t>Porez na dohodak fizičkih lica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46,6 mil. €, što je za 8,8 mil. € ili 23,3% veće u odnosu na isti period 2024. godine i neznatno ispod plana za posmatrani period (0,9 mil. € ili 1,8%).</w:t>
      </w:r>
    </w:p>
    <w:p w:rsidR="00FA29E0" w:rsidRDefault="00FA29E0" w:rsidP="00FA29E0">
      <w:pPr>
        <w:spacing w:line="259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602,1 mil. €, što je za čak 66,1 mil. € ili 12,3% veće u odnosu na isti period 2024. godine, dok je ova kategorija prihoda budžeta ostvarena u manjem iznosu u odnosu na plan za 9,7 mil. € ili 1,6 %. Glavni razlog blago nižeg priliva PDV-a je veći povraćaj PDV-a u junu, koji je bio za čak 6,4 mil. € veći u odnosu na jun 2024. godine, dok je na nivou šestomjesečnog perioda iznosio oko 66,8 mil. €, što je za 12 mil. € ili 21,9% veće u odnosu na isti period prethodne godine.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Tome svjedoči i podatak Poreske uprave i Uprave carina po kojem je bruto naplata u junu veća ne samo u odnosu na prethodnu godinu već i u odnosu na plan i to za preko 12 mil. €, što ukazuje na stabilnu naplatu glavnih prihoda budžeta i pored ubrzanog povraćaja PDV-a. </w:t>
      </w:r>
    </w:p>
    <w:p w:rsidR="00FA29E0" w:rsidRDefault="00FA29E0" w:rsidP="00FA29E0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>
        <w:rPr>
          <w:rFonts w:eastAsia="Times New Roman" w:cstheme="minorHAnsi"/>
          <w:b/>
          <w:sz w:val="24"/>
          <w:szCs w:val="24"/>
          <w:lang w:val="sr-Latn-ME" w:eastAsia="en-GB"/>
        </w:rPr>
        <w:t>Akcize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su ostvarene u iznosu od 172,9 mil. €, što je za 12,6 mil. € ili 7,9% veće u odnosu na isti period 2024. godine i iznad planiranog nivoa su za 2,2 mil. € ili 1,3%. </w:t>
      </w:r>
    </w:p>
    <w:p w:rsidR="00FA29E0" w:rsidRDefault="00FA29E0" w:rsidP="00FA29E0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23,7 mil. €, što je za 9,1 mil. € ili 62,5% veće u odnosu na plan, dok je navedena kategorija prihoda manja u odnosu na posmatrani period 2024. godine za 17,2 mil. € ili 42,1%. Razlog odstupanja je prvenstveno izvršenje ove kategorije prihoda budžeta u prvih šest mjeseci 2024. godine, i to po osnovu uplata dobiti CBCG (za 2022. i 2023. godinu), programa ekonomskog državljanstva, kao i uplata od strane Ministarstva rada i socijalnog dijaloga na ime povraćaja neisplaćenih sredstava. U aprilu ove godine je CBCG uplatila dobit u iznosu od 4,9 mil. €, i to za 2024. godinu. </w:t>
      </w:r>
    </w:p>
    <w:p w:rsidR="00FA29E0" w:rsidRDefault="00FA29E0" w:rsidP="00FA29E0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>
        <w:rPr>
          <w:rFonts w:eastAsia="Times New Roman" w:cstheme="minorHAnsi"/>
          <w:sz w:val="24"/>
          <w:szCs w:val="24"/>
          <w:lang w:val="sr-Latn-ME" w:eastAsia="en-GB"/>
        </w:rPr>
        <w:t xml:space="preserve">Sa druge strane, </w:t>
      </w:r>
      <w:r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184,1 mil. € što je za 81,9 mil. € ili 30,8% manje posmatrano u odnosu na isti period 2024. godine i 18,7 mil. € ili 9,2% manje u odnosu na plan. </w:t>
      </w:r>
    </w:p>
    <w:p w:rsidR="00FA29E0" w:rsidRDefault="00FA29E0" w:rsidP="00FA29E0">
      <w:pPr>
        <w:shd w:val="clear" w:color="auto" w:fill="FFFFFF"/>
        <w:spacing w:line="259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Samo u junu mjesecu 2025 godine realizovano je ukupno 225,8 mil. € prihoda budžeta, što je za 4,6 mil. € ili 2,1% veće u odnosu na isti period 2024. godine. Do ostvarenja plana za jun mjesec nedostajalo je 14,5 mil. €, odnosno realizovano je 94% plana. </w:t>
      </w:r>
    </w:p>
    <w:p w:rsidR="00C54B26" w:rsidRDefault="00C54B26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 xml:space="preserve">Izdaci budžeta </w:t>
      </w:r>
      <w:r>
        <w:rPr>
          <w:rFonts w:cstheme="minorHAnsi"/>
          <w:sz w:val="24"/>
          <w:szCs w:val="24"/>
          <w:lang w:val="sr-Latn-ME"/>
        </w:rPr>
        <w:t>za prvih šest mjeseci 2025. godine</w:t>
      </w:r>
      <w:r>
        <w:rPr>
          <w:rFonts w:cstheme="minorHAnsi"/>
          <w:bCs/>
          <w:sz w:val="24"/>
          <w:szCs w:val="24"/>
          <w:lang w:val="sr-Latn-ME"/>
        </w:rPr>
        <w:t xml:space="preserve"> iznosili su 1.430,2 mil. € ili 18,1% procijenjenog BDP-a. </w:t>
      </w:r>
    </w:p>
    <w:p w:rsidR="00C54B26" w:rsidRDefault="00C54B2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>
            <wp:extent cx="1887220" cy="321564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9318" cy="3235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>
            <wp:extent cx="4029075" cy="32226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301" cy="3245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>
            <wp:extent cx="5913755" cy="37433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374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4B26" w:rsidRDefault="00C54B2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C54B26" w:rsidRDefault="008C576E" w:rsidP="005A4CCD">
      <w:pPr>
        <w:pStyle w:val="NormalWeb"/>
        <w:jc w:val="both"/>
        <w:rPr>
          <w:highlight w:val="yellow"/>
          <w:lang w:val="sr-Latn-ME"/>
        </w:rPr>
      </w:pPr>
      <w:r w:rsidRPr="005A4CCD">
        <w:rPr>
          <w:rFonts w:ascii="Arial" w:hAnsi="Arial" w:cs="Arial"/>
          <w:b/>
          <w:bCs/>
          <w:lang w:val="sr-Latn-ME"/>
        </w:rPr>
        <w:t>Tekući izdaci u tekućem budžetu</w:t>
      </w:r>
      <w:r w:rsidRPr="005A4CCD">
        <w:rPr>
          <w:rFonts w:ascii="Arial" w:hAnsi="Arial" w:cs="Arial"/>
          <w:bCs/>
          <w:lang w:val="sr-Latn-ME"/>
        </w:rPr>
        <w:t xml:space="preserve"> u posmatranom periodu ostvareni su u iznosu od 556,34 mil. €, što predstavlja 95,9% plana. Veće ostvarenje je zabilježeno dominantno </w:t>
      </w:r>
      <w:r w:rsidRPr="005A4CCD">
        <w:rPr>
          <w:rFonts w:ascii="Arial" w:hAnsi="Arial" w:cs="Arial"/>
          <w:bCs/>
          <w:lang w:val="sr-Latn-ME"/>
        </w:rPr>
        <w:lastRenderedPageBreak/>
        <w:t xml:space="preserve">kod kamata na poziciji Kamate nerezidentima, dok je manje ostvarenje zabilježeno dominantno kod rashoda za materijal i rashoda za tekuće održavanje. Manje ostvarenje u odnosu na plan </w:t>
      </w:r>
      <w:r w:rsidRPr="005A4CCD">
        <w:rPr>
          <w:rFonts w:ascii="Arial" w:hAnsi="Arial" w:cs="Arial"/>
          <w:bCs/>
        </w:rPr>
        <w:t xml:space="preserve">za 11,9 mil. </w:t>
      </w:r>
      <w:r w:rsidRPr="005A4CCD">
        <w:rPr>
          <w:rFonts w:ascii="Arial" w:hAnsi="Arial" w:cs="Arial"/>
          <w:bCs/>
          <w:lang w:val="sr-Latn-ME"/>
        </w:rPr>
        <w:t xml:space="preserve">€ ili  </w:t>
      </w:r>
      <w:r w:rsidRPr="005A4CCD">
        <w:rPr>
          <w:rFonts w:ascii="Arial" w:hAnsi="Arial" w:cs="Arial"/>
          <w:bCs/>
        </w:rPr>
        <w:t xml:space="preserve">3,3% </w:t>
      </w:r>
      <w:r w:rsidRPr="005A4CCD">
        <w:rPr>
          <w:rFonts w:ascii="Arial" w:hAnsi="Arial" w:cs="Arial"/>
          <w:bCs/>
          <w:lang w:val="sr-Latn-ME"/>
        </w:rPr>
        <w:t xml:space="preserve">zabilježeno je kod Bruto zarada i doprinosa na teret poslodavca koji su ostvareni u iznosu od 343,34 mil. € ili 96,7% </w:t>
      </w:r>
      <w:proofErr w:type="spellStart"/>
      <w:r w:rsidRPr="005A4CCD">
        <w:rPr>
          <w:rFonts w:ascii="Arial" w:hAnsi="Arial" w:cs="Arial"/>
        </w:rPr>
        <w:t>zbog</w:t>
      </w:r>
      <w:proofErr w:type="spellEnd"/>
      <w:r w:rsidR="009E0225">
        <w:rPr>
          <w:rFonts w:ascii="Arial" w:hAnsi="Arial" w:cs="Arial"/>
        </w:rPr>
        <w:t xml:space="preserve"> </w:t>
      </w:r>
      <w:proofErr w:type="spellStart"/>
      <w:r w:rsidR="009E0225">
        <w:rPr>
          <w:rFonts w:ascii="Arial" w:hAnsi="Arial" w:cs="Arial"/>
        </w:rPr>
        <w:t>sporije</w:t>
      </w:r>
      <w:proofErr w:type="spellEnd"/>
      <w:r w:rsidR="009E0225">
        <w:rPr>
          <w:rFonts w:ascii="Arial" w:hAnsi="Arial" w:cs="Arial"/>
        </w:rPr>
        <w:t xml:space="preserve"> </w:t>
      </w:r>
      <w:proofErr w:type="spellStart"/>
      <w:r w:rsidR="009E0225">
        <w:rPr>
          <w:rFonts w:ascii="Arial" w:hAnsi="Arial" w:cs="Arial"/>
        </w:rPr>
        <w:t>dinamike</w:t>
      </w:r>
      <w:proofErr w:type="spellEnd"/>
      <w:r w:rsidR="009E0225">
        <w:rPr>
          <w:rFonts w:ascii="Arial" w:hAnsi="Arial" w:cs="Arial"/>
        </w:rPr>
        <w:t xml:space="preserve"> </w:t>
      </w:r>
      <w:r w:rsidR="009E0225">
        <w:rPr>
          <w:rFonts w:ascii="Arial" w:hAnsi="Arial" w:cs="Arial"/>
          <w:lang w:val="sr-Latn-ME"/>
        </w:rPr>
        <w:t>zapošljavanja</w:t>
      </w:r>
      <w:r w:rsidRPr="005A4CCD">
        <w:rPr>
          <w:rFonts w:ascii="Arial" w:hAnsi="Arial" w:cs="Arial"/>
        </w:rPr>
        <w:t xml:space="preserve">, </w:t>
      </w:r>
      <w:proofErr w:type="spellStart"/>
      <w:r w:rsidRPr="005A4CCD">
        <w:rPr>
          <w:rFonts w:ascii="Arial" w:hAnsi="Arial" w:cs="Arial"/>
        </w:rPr>
        <w:t>kao</w:t>
      </w:r>
      <w:proofErr w:type="spellEnd"/>
      <w:r w:rsidRPr="005A4CCD">
        <w:rPr>
          <w:rFonts w:ascii="Arial" w:hAnsi="Arial" w:cs="Arial"/>
        </w:rPr>
        <w:t xml:space="preserve"> </w:t>
      </w:r>
      <w:proofErr w:type="spellStart"/>
      <w:r w:rsidRPr="005A4CCD">
        <w:rPr>
          <w:rFonts w:ascii="Arial" w:hAnsi="Arial" w:cs="Arial"/>
        </w:rPr>
        <w:t>i</w:t>
      </w:r>
      <w:proofErr w:type="spellEnd"/>
      <w:r w:rsidRPr="005A4CCD">
        <w:rPr>
          <w:rFonts w:ascii="Arial" w:hAnsi="Arial" w:cs="Arial"/>
        </w:rPr>
        <w:t xml:space="preserve"> </w:t>
      </w:r>
      <w:proofErr w:type="spellStart"/>
      <w:r w:rsidRPr="005A4CCD">
        <w:rPr>
          <w:rFonts w:ascii="Arial" w:hAnsi="Arial" w:cs="Arial"/>
        </w:rPr>
        <w:t>zbog</w:t>
      </w:r>
      <w:proofErr w:type="spellEnd"/>
      <w:r w:rsidRPr="005A4CCD">
        <w:rPr>
          <w:rFonts w:ascii="Arial" w:hAnsi="Arial" w:cs="Arial"/>
        </w:rPr>
        <w:t xml:space="preserve"> </w:t>
      </w:r>
      <w:proofErr w:type="spellStart"/>
      <w:r w:rsidRPr="005A4CCD">
        <w:rPr>
          <w:rFonts w:ascii="Arial" w:hAnsi="Arial" w:cs="Arial"/>
        </w:rPr>
        <w:t>neusvajanja</w:t>
      </w:r>
      <w:proofErr w:type="spellEnd"/>
      <w:r w:rsidRPr="005A4CCD">
        <w:rPr>
          <w:rFonts w:ascii="Arial" w:hAnsi="Arial" w:cs="Arial"/>
        </w:rPr>
        <w:t xml:space="preserve"> </w:t>
      </w:r>
      <w:proofErr w:type="spellStart"/>
      <w:r w:rsidRPr="005A4CCD">
        <w:rPr>
          <w:rFonts w:ascii="Arial" w:hAnsi="Arial" w:cs="Arial"/>
        </w:rPr>
        <w:t>predloženog</w:t>
      </w:r>
      <w:proofErr w:type="spellEnd"/>
      <w:r w:rsidRPr="005A4CCD">
        <w:rPr>
          <w:rFonts w:ascii="Arial" w:hAnsi="Arial" w:cs="Arial"/>
        </w:rPr>
        <w:t xml:space="preserve"> </w:t>
      </w:r>
      <w:proofErr w:type="spellStart"/>
      <w:r w:rsidRPr="005A4CCD">
        <w:rPr>
          <w:rFonts w:ascii="Arial" w:hAnsi="Arial" w:cs="Arial"/>
        </w:rPr>
        <w:t>povećanja</w:t>
      </w:r>
      <w:proofErr w:type="spellEnd"/>
      <w:r w:rsidRPr="005A4CCD">
        <w:rPr>
          <w:rFonts w:ascii="Arial" w:hAnsi="Arial" w:cs="Arial"/>
        </w:rPr>
        <w:t xml:space="preserve"> </w:t>
      </w:r>
      <w:proofErr w:type="spellStart"/>
      <w:r w:rsidRPr="005A4CCD">
        <w:rPr>
          <w:rFonts w:ascii="Arial" w:hAnsi="Arial" w:cs="Arial"/>
        </w:rPr>
        <w:t>zarada</w:t>
      </w:r>
      <w:proofErr w:type="spellEnd"/>
      <w:r w:rsidRPr="005A4CCD">
        <w:rPr>
          <w:rFonts w:ascii="Arial" w:hAnsi="Arial" w:cs="Arial"/>
        </w:rPr>
        <w:t xml:space="preserve"> </w:t>
      </w:r>
      <w:proofErr w:type="spellStart"/>
      <w:r w:rsidRPr="005A4CCD">
        <w:rPr>
          <w:rFonts w:ascii="Arial" w:hAnsi="Arial" w:cs="Arial"/>
        </w:rPr>
        <w:t>javni</w:t>
      </w:r>
      <w:r w:rsidR="008E2A16">
        <w:rPr>
          <w:rFonts w:ascii="Arial" w:hAnsi="Arial" w:cs="Arial"/>
        </w:rPr>
        <w:t>m</w:t>
      </w:r>
      <w:proofErr w:type="spellEnd"/>
      <w:r w:rsidRPr="005A4CCD">
        <w:rPr>
          <w:rFonts w:ascii="Arial" w:hAnsi="Arial" w:cs="Arial"/>
        </w:rPr>
        <w:t xml:space="preserve"> </w:t>
      </w:r>
      <w:proofErr w:type="spellStart"/>
      <w:r w:rsidRPr="005A4CCD">
        <w:rPr>
          <w:rFonts w:ascii="Arial" w:hAnsi="Arial" w:cs="Arial"/>
        </w:rPr>
        <w:t>funkcioner</w:t>
      </w:r>
      <w:r w:rsidR="008E2A16">
        <w:rPr>
          <w:rFonts w:ascii="Arial" w:hAnsi="Arial" w:cs="Arial"/>
        </w:rPr>
        <w:t>ima</w:t>
      </w:r>
      <w:proofErr w:type="spellEnd"/>
      <w:r w:rsidRPr="005A4CCD">
        <w:rPr>
          <w:rFonts w:ascii="Arial" w:hAnsi="Arial" w:cs="Arial"/>
        </w:rPr>
        <w:t xml:space="preserve"> za 30%.</w:t>
      </w:r>
    </w:p>
    <w:p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Transferi za socijalnu zaštitu</w:t>
      </w:r>
      <w:r>
        <w:rPr>
          <w:rFonts w:cstheme="minorHAnsi"/>
          <w:bCs/>
          <w:sz w:val="24"/>
          <w:szCs w:val="24"/>
          <w:lang w:val="sr-Latn-ME"/>
        </w:rPr>
        <w:t xml:space="preserve"> ostvareni su u iznosu od 543,63 mil. € što predstavlja ostvarenje 102,3% plana i u odnosu na isti period prethodne godine veći su za 60,59 mil. € ili 12,5%. </w:t>
      </w:r>
      <w:r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>
        <w:rPr>
          <w:rFonts w:cstheme="minorHAnsi"/>
          <w:bCs/>
          <w:sz w:val="24"/>
          <w:szCs w:val="24"/>
          <w:lang w:val="sr-Latn-ME"/>
        </w:rPr>
        <w:t xml:space="preserve"> su 203,13 mil. € i manji su od plana za 8,50 mil. € ili 4,0%. </w:t>
      </w:r>
    </w:p>
    <w:p w:rsidR="00C54B26" w:rsidRDefault="00C54B2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C54B26" w:rsidRDefault="008C576E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sz w:val="24"/>
          <w:szCs w:val="24"/>
          <w:lang w:val="sr-Latn-ME"/>
        </w:rPr>
        <w:t>Kapitalni izdaci u periodu januar-jun 2025. godine ostvareni</w:t>
      </w:r>
      <w:r w:rsidR="005E31E4">
        <w:rPr>
          <w:rFonts w:cstheme="minorHAnsi"/>
          <w:bCs/>
          <w:sz w:val="24"/>
          <w:szCs w:val="24"/>
          <w:lang w:val="sr-Latn-ME"/>
        </w:rPr>
        <w:t xml:space="preserve"> su</w:t>
      </w:r>
      <w:r>
        <w:rPr>
          <w:rFonts w:cstheme="minorHAnsi"/>
          <w:bCs/>
          <w:sz w:val="24"/>
          <w:szCs w:val="24"/>
          <w:lang w:val="sr-Latn-ME"/>
        </w:rPr>
        <w:t xml:space="preserve"> u iznosu od </w:t>
      </w:r>
      <w:r>
        <w:rPr>
          <w:rFonts w:cstheme="minorHAnsi"/>
          <w:bCs/>
          <w:sz w:val="24"/>
          <w:szCs w:val="24"/>
        </w:rPr>
        <w:t>56,53</w:t>
      </w:r>
      <w:r>
        <w:rPr>
          <w:rFonts w:cstheme="minorHAnsi"/>
          <w:bCs/>
          <w:sz w:val="24"/>
          <w:szCs w:val="24"/>
          <w:lang w:val="sr-Latn-ME"/>
        </w:rPr>
        <w:t xml:space="preserve"> mil. € što predstavlja ostvarenje</w:t>
      </w:r>
      <w:r>
        <w:rPr>
          <w:rFonts w:cstheme="minorHAnsi"/>
          <w:bCs/>
          <w:sz w:val="24"/>
          <w:szCs w:val="24"/>
        </w:rPr>
        <w:t xml:space="preserve"> 201,2</w:t>
      </w:r>
      <w:r>
        <w:rPr>
          <w:rFonts w:cstheme="minorHAnsi"/>
          <w:bCs/>
          <w:sz w:val="24"/>
          <w:szCs w:val="24"/>
          <w:lang w:val="sr-Latn-ME"/>
        </w:rPr>
        <w:t>%</w:t>
      </w:r>
      <w:r w:rsidR="005E31E4">
        <w:rPr>
          <w:rFonts w:cstheme="minorHAnsi"/>
          <w:bCs/>
          <w:sz w:val="24"/>
          <w:szCs w:val="24"/>
          <w:lang w:val="sr-Latn-ME"/>
        </w:rPr>
        <w:t xml:space="preserve"> plana</w:t>
      </w:r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dok</w:t>
      </w:r>
      <w:proofErr w:type="spellEnd"/>
      <w:r>
        <w:rPr>
          <w:rFonts w:cstheme="minorHAnsi"/>
          <w:bCs/>
          <w:sz w:val="24"/>
          <w:szCs w:val="24"/>
        </w:rPr>
        <w:t xml:space="preserve"> je </w:t>
      </w:r>
      <w:proofErr w:type="spellStart"/>
      <w:r>
        <w:rPr>
          <w:rFonts w:cstheme="minorHAnsi"/>
          <w:bCs/>
          <w:sz w:val="24"/>
          <w:szCs w:val="24"/>
        </w:rPr>
        <w:t>posmatrano</w:t>
      </w:r>
      <w:proofErr w:type="spellEnd"/>
      <w:r>
        <w:rPr>
          <w:rFonts w:cstheme="minorHAnsi"/>
          <w:bCs/>
          <w:sz w:val="24"/>
          <w:szCs w:val="24"/>
        </w:rPr>
        <w:t xml:space="preserve"> za </w:t>
      </w:r>
      <w:proofErr w:type="spellStart"/>
      <w:r>
        <w:rPr>
          <w:rFonts w:cstheme="minorHAnsi"/>
          <w:bCs/>
          <w:sz w:val="24"/>
          <w:szCs w:val="24"/>
        </w:rPr>
        <w:t>jun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mjesec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ostvarenje</w:t>
      </w:r>
      <w:proofErr w:type="spellEnd"/>
      <w:r>
        <w:rPr>
          <w:rFonts w:cstheme="minorHAnsi"/>
          <w:bCs/>
          <w:sz w:val="24"/>
          <w:szCs w:val="24"/>
        </w:rPr>
        <w:t xml:space="preserve"> 23,03 mil. </w:t>
      </w:r>
      <w:r>
        <w:rPr>
          <w:rFonts w:cstheme="minorHAnsi"/>
          <w:bCs/>
          <w:sz w:val="24"/>
          <w:szCs w:val="24"/>
          <w:lang w:val="sr-Latn-ME"/>
        </w:rPr>
        <w:t>€</w:t>
      </w:r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ili</w:t>
      </w:r>
      <w:proofErr w:type="spellEnd"/>
      <w:r>
        <w:rPr>
          <w:rFonts w:cstheme="minorHAnsi"/>
          <w:bCs/>
          <w:sz w:val="24"/>
          <w:szCs w:val="24"/>
        </w:rPr>
        <w:t xml:space="preserve"> 371%</w:t>
      </w:r>
      <w:r w:rsidR="005E31E4">
        <w:rPr>
          <w:rFonts w:cstheme="minorHAnsi"/>
          <w:bCs/>
          <w:sz w:val="24"/>
          <w:szCs w:val="24"/>
        </w:rPr>
        <w:t xml:space="preserve"> plana</w:t>
      </w:r>
      <w:r>
        <w:rPr>
          <w:rFonts w:cstheme="minorHAnsi"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i</w:t>
      </w:r>
      <w:proofErr w:type="spellEnd"/>
      <w:r>
        <w:rPr>
          <w:rFonts w:cstheme="minorHAnsi"/>
          <w:bCs/>
          <w:sz w:val="24"/>
          <w:szCs w:val="24"/>
        </w:rPr>
        <w:t xml:space="preserve"> to </w:t>
      </w:r>
      <w:r>
        <w:rPr>
          <w:rFonts w:cstheme="minorHAnsi"/>
          <w:bCs/>
          <w:sz w:val="24"/>
          <w:szCs w:val="24"/>
          <w:lang w:val="sr-Latn-ME"/>
        </w:rPr>
        <w:t xml:space="preserve">dominantno za potrebe nabavke </w:t>
      </w:r>
      <w:r w:rsidR="0053091E">
        <w:rPr>
          <w:rFonts w:cstheme="minorHAnsi"/>
          <w:bCs/>
          <w:sz w:val="24"/>
          <w:szCs w:val="24"/>
          <w:lang w:val="sr-Latn-ME"/>
        </w:rPr>
        <w:t xml:space="preserve">vojnih </w:t>
      </w:r>
      <w:r w:rsidR="005A1550">
        <w:rPr>
          <w:rFonts w:cstheme="minorHAnsi"/>
          <w:bCs/>
          <w:sz w:val="24"/>
          <w:szCs w:val="24"/>
          <w:lang w:val="sr-Latn-ME"/>
        </w:rPr>
        <w:t xml:space="preserve">brodova </w:t>
      </w:r>
      <w:r>
        <w:rPr>
          <w:rFonts w:cstheme="minorHAnsi"/>
          <w:bCs/>
          <w:sz w:val="24"/>
          <w:szCs w:val="24"/>
          <w:lang w:val="sr-Latn-ME"/>
        </w:rPr>
        <w:t>za Vojsku Crne Gore kod Ministarstva odbrane</w:t>
      </w:r>
      <w:r w:rsidR="009E0225">
        <w:rPr>
          <w:rFonts w:cstheme="minorHAnsi"/>
          <w:bCs/>
          <w:sz w:val="24"/>
          <w:szCs w:val="24"/>
          <w:lang w:val="sr-Latn-ME"/>
        </w:rPr>
        <w:t>, koja je realizovana iz namjenskih kreditnih aranžmana</w:t>
      </w:r>
      <w:r w:rsidR="00D77750">
        <w:rPr>
          <w:rFonts w:cstheme="minorHAnsi"/>
          <w:bCs/>
          <w:sz w:val="24"/>
          <w:szCs w:val="24"/>
          <w:lang w:val="sr-Latn-ME"/>
        </w:rPr>
        <w:t xml:space="preserve">, shodno Ugovoru o kreditu </w:t>
      </w:r>
      <w:r w:rsidR="00D77750" w:rsidRPr="00D77750">
        <w:rPr>
          <w:rFonts w:cstheme="minorHAnsi"/>
          <w:bCs/>
          <w:sz w:val="24"/>
          <w:szCs w:val="24"/>
          <w:lang w:val="sr-Latn-ME"/>
        </w:rPr>
        <w:t>u okviru bilateralnog aranžmana sa Vladom Republike Francuske</w:t>
      </w:r>
      <w:r w:rsidR="00E17338">
        <w:rPr>
          <w:rFonts w:cstheme="minorHAnsi"/>
          <w:bCs/>
          <w:sz w:val="24"/>
          <w:szCs w:val="24"/>
          <w:lang w:val="sr-Latn-ME"/>
        </w:rPr>
        <w:t>.</w:t>
      </w:r>
    </w:p>
    <w:p w:rsidR="00C54B26" w:rsidRDefault="00C54B2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C54B26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0" w:name="_Hlk204325138"/>
      <w:r>
        <w:rPr>
          <w:rFonts w:cstheme="minorHAnsi"/>
          <w:sz w:val="24"/>
          <w:szCs w:val="24"/>
          <w:lang w:val="sr-Latn-ME"/>
        </w:rPr>
        <w:t xml:space="preserve">Posmatrajući </w:t>
      </w:r>
      <w:r>
        <w:rPr>
          <w:rFonts w:cstheme="minorHAnsi"/>
          <w:b/>
          <w:sz w:val="24"/>
          <w:szCs w:val="24"/>
          <w:lang w:val="sr-Latn-ME"/>
        </w:rPr>
        <w:t>jun</w:t>
      </w:r>
      <w:r>
        <w:rPr>
          <w:rFonts w:cstheme="minorHAnsi"/>
          <w:sz w:val="24"/>
          <w:szCs w:val="24"/>
          <w:lang w:val="sr-Latn-ME"/>
        </w:rPr>
        <w:t xml:space="preserve">, </w:t>
      </w:r>
      <w:r w:rsidR="00E06CBF">
        <w:rPr>
          <w:rFonts w:cstheme="minorHAnsi"/>
          <w:sz w:val="24"/>
          <w:szCs w:val="24"/>
          <w:lang w:val="sr-Latn-ME"/>
        </w:rPr>
        <w:t xml:space="preserve">ukupni </w:t>
      </w:r>
      <w:r>
        <w:rPr>
          <w:rFonts w:cstheme="minorHAnsi"/>
          <w:sz w:val="24"/>
          <w:szCs w:val="24"/>
          <w:lang w:val="sr-Latn-ME"/>
        </w:rPr>
        <w:t>izdaci</w:t>
      </w:r>
      <w:r w:rsidR="00E06CBF">
        <w:rPr>
          <w:rFonts w:cstheme="minorHAnsi"/>
          <w:sz w:val="24"/>
          <w:szCs w:val="24"/>
          <w:lang w:val="sr-Latn-ME"/>
        </w:rPr>
        <w:t xml:space="preserve"> budžeta</w:t>
      </w:r>
      <w:r>
        <w:rPr>
          <w:rFonts w:cstheme="minorHAnsi"/>
          <w:sz w:val="24"/>
          <w:szCs w:val="24"/>
          <w:lang w:val="sr-Latn-ME"/>
        </w:rPr>
        <w:t xml:space="preserve"> iznose 267,4 mil. € i veći su za 16,9 mil. € ili 6,7% od plana, dok su u </w:t>
      </w:r>
      <w:r w:rsidRPr="005A4CCD">
        <w:rPr>
          <w:rFonts w:cstheme="minorHAnsi"/>
          <w:sz w:val="24"/>
          <w:szCs w:val="24"/>
          <w:lang w:val="sr-Latn-ME"/>
        </w:rPr>
        <w:t>odnosu</w:t>
      </w:r>
      <w:r>
        <w:rPr>
          <w:rFonts w:cstheme="minorHAnsi"/>
          <w:sz w:val="24"/>
          <w:szCs w:val="24"/>
          <w:lang w:val="sr-Latn-ME"/>
        </w:rPr>
        <w:t xml:space="preserve"> na posmatrani period prethodne godine veći za 43,1 mil. € ili </w:t>
      </w:r>
      <w:r w:rsidRPr="005A4CCD">
        <w:rPr>
          <w:rFonts w:cstheme="minorHAnsi"/>
          <w:sz w:val="24"/>
          <w:szCs w:val="24"/>
          <w:lang w:val="sr-Latn-ME"/>
        </w:rPr>
        <w:t>19,2%.</w:t>
      </w:r>
    </w:p>
    <w:p w:rsidR="00E5768B" w:rsidRDefault="008C576E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Odstupanje od plana se dominantno odnosi na veće ostvarenje na pozicij</w:t>
      </w:r>
      <w:r w:rsidR="009E0225">
        <w:rPr>
          <w:rFonts w:cstheme="minorHAnsi"/>
          <w:sz w:val="24"/>
          <w:szCs w:val="24"/>
          <w:lang w:val="sr-Latn-ME"/>
        </w:rPr>
        <w:t>i</w:t>
      </w:r>
      <w:r>
        <w:rPr>
          <w:rFonts w:cstheme="minorHAnsi"/>
          <w:sz w:val="24"/>
          <w:szCs w:val="24"/>
          <w:lang w:val="sr-Latn-ME"/>
        </w:rPr>
        <w:t xml:space="preserve"> Transfera za socijalnu zaštitu koji su ostvareni u iznosu od 4,59 mil. € više u odnosu na plan</w:t>
      </w:r>
      <w:r w:rsidR="000D40FD">
        <w:rPr>
          <w:rFonts w:cstheme="minorHAnsi"/>
          <w:sz w:val="24"/>
          <w:szCs w:val="24"/>
          <w:lang w:val="sr-Latn-ME"/>
        </w:rPr>
        <w:t>, u skladu sa stvarnim obračunom prava iz oblasti socijalne zaštite i penzij</w:t>
      </w:r>
      <w:r w:rsidR="0053091E">
        <w:rPr>
          <w:rFonts w:cstheme="minorHAnsi"/>
          <w:sz w:val="24"/>
          <w:szCs w:val="24"/>
          <w:lang w:val="sr-Latn-ME"/>
        </w:rPr>
        <w:t>skog i invalidskog osiguranja.</w:t>
      </w:r>
      <w:r w:rsidR="00A66D57">
        <w:rPr>
          <w:rFonts w:cstheme="minorHAnsi"/>
          <w:sz w:val="24"/>
          <w:szCs w:val="24"/>
          <w:lang w:val="sr-Latn-ME"/>
        </w:rPr>
        <w:t xml:space="preserve"> </w:t>
      </w:r>
      <w:r>
        <w:rPr>
          <w:rFonts w:cstheme="minorHAnsi"/>
          <w:sz w:val="24"/>
          <w:szCs w:val="24"/>
          <w:lang w:val="sr-Latn-ME"/>
        </w:rPr>
        <w:t xml:space="preserve">Kod Tekućih izdataka izdvaja se veće ostvarenje u odnosu na plan kod Subvencija koje su ostvarene u iznosu od 5,19 mil. € što je 26,1% </w:t>
      </w:r>
      <w:r w:rsidRPr="005A4CCD">
        <w:rPr>
          <w:rFonts w:cstheme="minorHAnsi"/>
          <w:sz w:val="24"/>
          <w:szCs w:val="24"/>
          <w:lang w:val="sr-Latn-ME"/>
        </w:rPr>
        <w:t xml:space="preserve">veće </w:t>
      </w:r>
      <w:r w:rsidR="001237CC">
        <w:rPr>
          <w:rFonts w:cstheme="minorHAnsi"/>
          <w:sz w:val="24"/>
          <w:szCs w:val="24"/>
          <w:lang w:val="sr-Latn-ME"/>
        </w:rPr>
        <w:t>od plana</w:t>
      </w:r>
      <w:r w:rsidR="00150364">
        <w:rPr>
          <w:rFonts w:cstheme="minorHAnsi"/>
          <w:sz w:val="24"/>
          <w:szCs w:val="24"/>
          <w:lang w:val="sr-Latn-ME"/>
        </w:rPr>
        <w:t xml:space="preserve"> </w:t>
      </w:r>
      <w:r>
        <w:rPr>
          <w:rFonts w:cstheme="minorHAnsi"/>
          <w:sz w:val="24"/>
          <w:szCs w:val="24"/>
          <w:lang w:val="sr-Latn-ME"/>
        </w:rPr>
        <w:t xml:space="preserve">i </w:t>
      </w:r>
      <w:r w:rsidR="0053091E" w:rsidRPr="0053091E">
        <w:rPr>
          <w:rFonts w:cstheme="minorHAnsi"/>
          <w:sz w:val="24"/>
          <w:szCs w:val="24"/>
          <w:lang w:val="sr-Latn-ME"/>
        </w:rPr>
        <w:t xml:space="preserve">najvećim dijelom </w:t>
      </w:r>
      <w:r>
        <w:rPr>
          <w:rFonts w:cstheme="minorHAnsi"/>
          <w:sz w:val="24"/>
          <w:szCs w:val="24"/>
          <w:lang w:val="sr-Latn-ME"/>
        </w:rPr>
        <w:t xml:space="preserve">kod ostalih izdataka koji su ostvareni u iznosu od 10,32 mil. € što je za 118,1% veće u odnosu na plan dominantno na poziciji Kontribucije za članstvo u domaćim i međunarodnim organizacijama kod Ministarstva odbrane. </w:t>
      </w:r>
    </w:p>
    <w:bookmarkEnd w:id="0"/>
    <w:p w:rsidR="00E5768B" w:rsidRDefault="00E5768B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C54B26" w:rsidRDefault="008C576E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Uzimajući u obzir ostvarene prihode i rashode, u prvih šest mjeseci 2025. godine ostvaren je deficit budžeta u iznosu od 10</w:t>
      </w:r>
      <w:r w:rsidR="00FA29E0">
        <w:rPr>
          <w:rFonts w:cstheme="minorHAnsi"/>
          <w:b/>
          <w:sz w:val="24"/>
          <w:szCs w:val="24"/>
          <w:lang w:val="sr-Latn-ME"/>
        </w:rPr>
        <w:t>7</w:t>
      </w:r>
      <w:r>
        <w:rPr>
          <w:rFonts w:cstheme="minorHAnsi"/>
          <w:b/>
          <w:sz w:val="24"/>
          <w:szCs w:val="24"/>
          <w:lang w:val="sr-Latn-ME"/>
        </w:rPr>
        <w:t>,</w:t>
      </w:r>
      <w:r w:rsidR="00FA29E0">
        <w:rPr>
          <w:rFonts w:cstheme="minorHAnsi"/>
          <w:b/>
          <w:sz w:val="24"/>
          <w:szCs w:val="24"/>
          <w:lang w:val="sr-Latn-ME"/>
        </w:rPr>
        <w:t>3</w:t>
      </w:r>
      <w:r>
        <w:rPr>
          <w:rFonts w:cstheme="minorHAnsi"/>
          <w:b/>
          <w:sz w:val="24"/>
          <w:szCs w:val="24"/>
          <w:lang w:val="sr-Latn-ME"/>
        </w:rPr>
        <w:t xml:space="preserve"> mil. €, odnosno na nivou od 1,4% procijenjenog BDP-a</w:t>
      </w:r>
      <w:r w:rsidRPr="005A4CCD">
        <w:rPr>
          <w:rFonts w:cstheme="minorHAnsi"/>
          <w:b/>
          <w:sz w:val="24"/>
          <w:szCs w:val="24"/>
          <w:lang w:val="sr-Latn-ME"/>
        </w:rPr>
        <w:t xml:space="preserve">, što je za </w:t>
      </w:r>
      <w:r w:rsidR="00FA29E0">
        <w:rPr>
          <w:rFonts w:cstheme="minorHAnsi"/>
          <w:b/>
          <w:sz w:val="24"/>
          <w:szCs w:val="24"/>
          <w:lang w:val="sr-Latn-ME"/>
        </w:rPr>
        <w:t>9,00</w:t>
      </w:r>
      <w:r w:rsidRPr="005A4CCD">
        <w:rPr>
          <w:rFonts w:cstheme="minorHAnsi"/>
          <w:b/>
          <w:sz w:val="24"/>
          <w:szCs w:val="24"/>
          <w:lang w:val="sr-Latn-ME"/>
        </w:rPr>
        <w:t xml:space="preserve"> mil. € bolje ostvarenje od plana koji predviđa ostvarenje deficita od 116,3 mil. €.</w:t>
      </w:r>
      <w:r>
        <w:rPr>
          <w:rFonts w:cstheme="minorHAnsi"/>
          <w:b/>
          <w:sz w:val="24"/>
          <w:szCs w:val="24"/>
          <w:lang w:val="sr-Latn-ME"/>
        </w:rPr>
        <w:t xml:space="preserve"> </w:t>
      </w:r>
    </w:p>
    <w:p w:rsidR="00C54B26" w:rsidRDefault="00C54B26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bookmarkStart w:id="1" w:name="_GoBack"/>
      <w:bookmarkEnd w:id="1"/>
    </w:p>
    <w:p w:rsidR="00C54B26" w:rsidRDefault="00C54B26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C54B26" w:rsidRDefault="00C54B26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C54B26" w:rsidRDefault="00C54B26">
      <w:pPr>
        <w:spacing w:after="0"/>
        <w:jc w:val="both"/>
        <w:rPr>
          <w:rFonts w:cstheme="minorHAnsi"/>
          <w:lang w:val="sr-Latn-ME"/>
        </w:rPr>
      </w:pPr>
    </w:p>
    <w:p w:rsidR="00C54B26" w:rsidRDefault="00C54B26">
      <w:pPr>
        <w:spacing w:after="0"/>
        <w:jc w:val="both"/>
        <w:rPr>
          <w:rFonts w:cstheme="minorHAnsi"/>
          <w:lang w:val="sr-Latn-ME"/>
        </w:rPr>
      </w:pPr>
    </w:p>
    <w:p w:rsidR="00C54B26" w:rsidRDefault="00C54B26">
      <w:pPr>
        <w:spacing w:after="0"/>
        <w:jc w:val="both"/>
        <w:rPr>
          <w:rFonts w:cstheme="minorHAnsi"/>
          <w:lang w:val="sr-Latn-ME"/>
        </w:rPr>
      </w:pPr>
    </w:p>
    <w:sectPr w:rsidR="00C54B26">
      <w:headerReference w:type="even" r:id="rId15"/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878" w:rsidRDefault="003C2878">
      <w:pPr>
        <w:spacing w:line="240" w:lineRule="auto"/>
      </w:pPr>
      <w:r>
        <w:separator/>
      </w:r>
    </w:p>
  </w:endnote>
  <w:endnote w:type="continuationSeparator" w:id="0">
    <w:p w:rsidR="003C2878" w:rsidRDefault="003C28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878" w:rsidRDefault="003C2878">
      <w:pPr>
        <w:spacing w:after="0"/>
      </w:pPr>
      <w:r>
        <w:separator/>
      </w:r>
    </w:p>
  </w:footnote>
  <w:footnote w:type="continuationSeparator" w:id="0">
    <w:p w:rsidR="003C2878" w:rsidRDefault="003C28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JUN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JUN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37F19"/>
    <w:rsid w:val="00054237"/>
    <w:rsid w:val="000621DE"/>
    <w:rsid w:val="00074E8B"/>
    <w:rsid w:val="0008362B"/>
    <w:rsid w:val="00084539"/>
    <w:rsid w:val="00094AD0"/>
    <w:rsid w:val="000B7269"/>
    <w:rsid w:val="000C51B0"/>
    <w:rsid w:val="000C54CF"/>
    <w:rsid w:val="000D40FD"/>
    <w:rsid w:val="000D64A2"/>
    <w:rsid w:val="000F1291"/>
    <w:rsid w:val="000F1DCE"/>
    <w:rsid w:val="000F249B"/>
    <w:rsid w:val="00114F1F"/>
    <w:rsid w:val="001237CC"/>
    <w:rsid w:val="00141318"/>
    <w:rsid w:val="00141324"/>
    <w:rsid w:val="001457B6"/>
    <w:rsid w:val="00150364"/>
    <w:rsid w:val="00157C41"/>
    <w:rsid w:val="00160B42"/>
    <w:rsid w:val="0016270C"/>
    <w:rsid w:val="001705A9"/>
    <w:rsid w:val="001707D3"/>
    <w:rsid w:val="001734F0"/>
    <w:rsid w:val="001739F9"/>
    <w:rsid w:val="0017523B"/>
    <w:rsid w:val="00184B29"/>
    <w:rsid w:val="00190438"/>
    <w:rsid w:val="001A482B"/>
    <w:rsid w:val="001B0742"/>
    <w:rsid w:val="001D1B11"/>
    <w:rsid w:val="00203C63"/>
    <w:rsid w:val="002144AC"/>
    <w:rsid w:val="00216841"/>
    <w:rsid w:val="002614D2"/>
    <w:rsid w:val="0027008F"/>
    <w:rsid w:val="00275FCC"/>
    <w:rsid w:val="0028471D"/>
    <w:rsid w:val="002867C0"/>
    <w:rsid w:val="0028778C"/>
    <w:rsid w:val="00292255"/>
    <w:rsid w:val="00292EF9"/>
    <w:rsid w:val="002930A4"/>
    <w:rsid w:val="002961AE"/>
    <w:rsid w:val="002D1103"/>
    <w:rsid w:val="002D43C7"/>
    <w:rsid w:val="002D5234"/>
    <w:rsid w:val="002E4B84"/>
    <w:rsid w:val="002F0C48"/>
    <w:rsid w:val="00324F09"/>
    <w:rsid w:val="0033156F"/>
    <w:rsid w:val="003315D4"/>
    <w:rsid w:val="00333419"/>
    <w:rsid w:val="003417D5"/>
    <w:rsid w:val="003427D9"/>
    <w:rsid w:val="00345A42"/>
    <w:rsid w:val="00352C50"/>
    <w:rsid w:val="00352C96"/>
    <w:rsid w:val="00374FEB"/>
    <w:rsid w:val="00375503"/>
    <w:rsid w:val="0038669C"/>
    <w:rsid w:val="0039389D"/>
    <w:rsid w:val="003957A9"/>
    <w:rsid w:val="003A12F8"/>
    <w:rsid w:val="003A3017"/>
    <w:rsid w:val="003A63CA"/>
    <w:rsid w:val="003B3056"/>
    <w:rsid w:val="003B30B2"/>
    <w:rsid w:val="003C0235"/>
    <w:rsid w:val="003C2878"/>
    <w:rsid w:val="003C2FD0"/>
    <w:rsid w:val="003D2F00"/>
    <w:rsid w:val="003D75FC"/>
    <w:rsid w:val="003F1D58"/>
    <w:rsid w:val="00400D66"/>
    <w:rsid w:val="00403B65"/>
    <w:rsid w:val="004154B5"/>
    <w:rsid w:val="00425990"/>
    <w:rsid w:val="00432129"/>
    <w:rsid w:val="00432DAB"/>
    <w:rsid w:val="004517F1"/>
    <w:rsid w:val="00454B19"/>
    <w:rsid w:val="00460B3F"/>
    <w:rsid w:val="00475CD6"/>
    <w:rsid w:val="004C1C5C"/>
    <w:rsid w:val="004C48A4"/>
    <w:rsid w:val="004D5303"/>
    <w:rsid w:val="004E0C6B"/>
    <w:rsid w:val="004E4D8D"/>
    <w:rsid w:val="004E62A9"/>
    <w:rsid w:val="005064AE"/>
    <w:rsid w:val="005069A5"/>
    <w:rsid w:val="0051615D"/>
    <w:rsid w:val="00517792"/>
    <w:rsid w:val="005210E2"/>
    <w:rsid w:val="00524BAA"/>
    <w:rsid w:val="0053091E"/>
    <w:rsid w:val="0054001F"/>
    <w:rsid w:val="00543F4D"/>
    <w:rsid w:val="005467F7"/>
    <w:rsid w:val="00547978"/>
    <w:rsid w:val="00557C32"/>
    <w:rsid w:val="00572478"/>
    <w:rsid w:val="00580701"/>
    <w:rsid w:val="00583963"/>
    <w:rsid w:val="00583969"/>
    <w:rsid w:val="00596F03"/>
    <w:rsid w:val="005A1550"/>
    <w:rsid w:val="005A4CCD"/>
    <w:rsid w:val="005B12D7"/>
    <w:rsid w:val="005C3444"/>
    <w:rsid w:val="005C445C"/>
    <w:rsid w:val="005C532A"/>
    <w:rsid w:val="005C5BDA"/>
    <w:rsid w:val="005D5F51"/>
    <w:rsid w:val="005D6185"/>
    <w:rsid w:val="005D6AE7"/>
    <w:rsid w:val="005E31E4"/>
    <w:rsid w:val="005F4A5E"/>
    <w:rsid w:val="006009DE"/>
    <w:rsid w:val="00604FB4"/>
    <w:rsid w:val="00616989"/>
    <w:rsid w:val="006312C8"/>
    <w:rsid w:val="006410EE"/>
    <w:rsid w:val="00677F51"/>
    <w:rsid w:val="006863D1"/>
    <w:rsid w:val="00693645"/>
    <w:rsid w:val="006942FF"/>
    <w:rsid w:val="006A27D3"/>
    <w:rsid w:val="006C44A8"/>
    <w:rsid w:val="006F05F8"/>
    <w:rsid w:val="007066E2"/>
    <w:rsid w:val="00711406"/>
    <w:rsid w:val="00721E80"/>
    <w:rsid w:val="00727CEE"/>
    <w:rsid w:val="00735186"/>
    <w:rsid w:val="0075756D"/>
    <w:rsid w:val="00757B0E"/>
    <w:rsid w:val="007616AE"/>
    <w:rsid w:val="00761844"/>
    <w:rsid w:val="007637C9"/>
    <w:rsid w:val="0076531B"/>
    <w:rsid w:val="00772FAE"/>
    <w:rsid w:val="0078166D"/>
    <w:rsid w:val="00787292"/>
    <w:rsid w:val="007A3DFA"/>
    <w:rsid w:val="007B346A"/>
    <w:rsid w:val="007C75C6"/>
    <w:rsid w:val="007D4AF8"/>
    <w:rsid w:val="007E1D31"/>
    <w:rsid w:val="007E31E3"/>
    <w:rsid w:val="007E6E06"/>
    <w:rsid w:val="007F5D4F"/>
    <w:rsid w:val="00805737"/>
    <w:rsid w:val="008101BC"/>
    <w:rsid w:val="00820F57"/>
    <w:rsid w:val="0083277A"/>
    <w:rsid w:val="00833A54"/>
    <w:rsid w:val="00837FD1"/>
    <w:rsid w:val="00844CF4"/>
    <w:rsid w:val="00854AF0"/>
    <w:rsid w:val="00856810"/>
    <w:rsid w:val="00866932"/>
    <w:rsid w:val="00877911"/>
    <w:rsid w:val="0089200B"/>
    <w:rsid w:val="008B33AC"/>
    <w:rsid w:val="008C0452"/>
    <w:rsid w:val="008C576E"/>
    <w:rsid w:val="008C717A"/>
    <w:rsid w:val="008D03EF"/>
    <w:rsid w:val="008D3D29"/>
    <w:rsid w:val="008D638C"/>
    <w:rsid w:val="008E2A16"/>
    <w:rsid w:val="008E6939"/>
    <w:rsid w:val="009168BB"/>
    <w:rsid w:val="0093329C"/>
    <w:rsid w:val="00942CE0"/>
    <w:rsid w:val="0095115D"/>
    <w:rsid w:val="0095315D"/>
    <w:rsid w:val="0095581E"/>
    <w:rsid w:val="00962160"/>
    <w:rsid w:val="00963A77"/>
    <w:rsid w:val="00973FAA"/>
    <w:rsid w:val="009768B2"/>
    <w:rsid w:val="00991CAE"/>
    <w:rsid w:val="00996D0B"/>
    <w:rsid w:val="009A18AC"/>
    <w:rsid w:val="009A5B66"/>
    <w:rsid w:val="009C354E"/>
    <w:rsid w:val="009C54B0"/>
    <w:rsid w:val="009D05D8"/>
    <w:rsid w:val="009D09C9"/>
    <w:rsid w:val="009D4F36"/>
    <w:rsid w:val="009D588A"/>
    <w:rsid w:val="009E0225"/>
    <w:rsid w:val="009E5E24"/>
    <w:rsid w:val="009E64C2"/>
    <w:rsid w:val="009F13BB"/>
    <w:rsid w:val="00A00EB5"/>
    <w:rsid w:val="00A04707"/>
    <w:rsid w:val="00A12B6E"/>
    <w:rsid w:val="00A1451B"/>
    <w:rsid w:val="00A241D5"/>
    <w:rsid w:val="00A362E1"/>
    <w:rsid w:val="00A50BF2"/>
    <w:rsid w:val="00A55D7D"/>
    <w:rsid w:val="00A66AC6"/>
    <w:rsid w:val="00A66D57"/>
    <w:rsid w:val="00A72F5A"/>
    <w:rsid w:val="00A81000"/>
    <w:rsid w:val="00A833BE"/>
    <w:rsid w:val="00A83985"/>
    <w:rsid w:val="00A93FD0"/>
    <w:rsid w:val="00AA1F13"/>
    <w:rsid w:val="00AA77F2"/>
    <w:rsid w:val="00AB662A"/>
    <w:rsid w:val="00AC3403"/>
    <w:rsid w:val="00AD2DDA"/>
    <w:rsid w:val="00AD5923"/>
    <w:rsid w:val="00AE23D1"/>
    <w:rsid w:val="00AE36E6"/>
    <w:rsid w:val="00AE4A01"/>
    <w:rsid w:val="00AF6A8A"/>
    <w:rsid w:val="00B15613"/>
    <w:rsid w:val="00B30D61"/>
    <w:rsid w:val="00B70300"/>
    <w:rsid w:val="00B74778"/>
    <w:rsid w:val="00B74D8B"/>
    <w:rsid w:val="00B74FD5"/>
    <w:rsid w:val="00B8201F"/>
    <w:rsid w:val="00B8622E"/>
    <w:rsid w:val="00B869FC"/>
    <w:rsid w:val="00B86BF9"/>
    <w:rsid w:val="00B8750F"/>
    <w:rsid w:val="00B911D7"/>
    <w:rsid w:val="00B93FDF"/>
    <w:rsid w:val="00B96EC1"/>
    <w:rsid w:val="00B97819"/>
    <w:rsid w:val="00BB0743"/>
    <w:rsid w:val="00BB1E58"/>
    <w:rsid w:val="00BB4D5B"/>
    <w:rsid w:val="00BB4EA3"/>
    <w:rsid w:val="00BC0146"/>
    <w:rsid w:val="00BC5723"/>
    <w:rsid w:val="00BD274F"/>
    <w:rsid w:val="00C253B6"/>
    <w:rsid w:val="00C27590"/>
    <w:rsid w:val="00C34D86"/>
    <w:rsid w:val="00C54B26"/>
    <w:rsid w:val="00C55F88"/>
    <w:rsid w:val="00C6469F"/>
    <w:rsid w:val="00C6686F"/>
    <w:rsid w:val="00C7170F"/>
    <w:rsid w:val="00C71768"/>
    <w:rsid w:val="00C77D65"/>
    <w:rsid w:val="00C80AFE"/>
    <w:rsid w:val="00C93DA3"/>
    <w:rsid w:val="00CA4B4A"/>
    <w:rsid w:val="00CB1D57"/>
    <w:rsid w:val="00CB4A4D"/>
    <w:rsid w:val="00CC1FA4"/>
    <w:rsid w:val="00CC6C38"/>
    <w:rsid w:val="00CC7A96"/>
    <w:rsid w:val="00CD08E1"/>
    <w:rsid w:val="00CF0EAB"/>
    <w:rsid w:val="00D000CB"/>
    <w:rsid w:val="00D10217"/>
    <w:rsid w:val="00D135CF"/>
    <w:rsid w:val="00D15D40"/>
    <w:rsid w:val="00D161F4"/>
    <w:rsid w:val="00D219FA"/>
    <w:rsid w:val="00D26C67"/>
    <w:rsid w:val="00D35104"/>
    <w:rsid w:val="00D403E8"/>
    <w:rsid w:val="00D47EAC"/>
    <w:rsid w:val="00D512C6"/>
    <w:rsid w:val="00D61BD3"/>
    <w:rsid w:val="00D65569"/>
    <w:rsid w:val="00D7221C"/>
    <w:rsid w:val="00D73345"/>
    <w:rsid w:val="00D739CF"/>
    <w:rsid w:val="00D75307"/>
    <w:rsid w:val="00D77750"/>
    <w:rsid w:val="00D908A7"/>
    <w:rsid w:val="00D92D06"/>
    <w:rsid w:val="00DA7C93"/>
    <w:rsid w:val="00DB75FE"/>
    <w:rsid w:val="00DB7E8C"/>
    <w:rsid w:val="00DC3A5D"/>
    <w:rsid w:val="00DD09D7"/>
    <w:rsid w:val="00DE4A8F"/>
    <w:rsid w:val="00DE6F3F"/>
    <w:rsid w:val="00DE7FDF"/>
    <w:rsid w:val="00DF4546"/>
    <w:rsid w:val="00E06CBF"/>
    <w:rsid w:val="00E0736E"/>
    <w:rsid w:val="00E16ECA"/>
    <w:rsid w:val="00E17338"/>
    <w:rsid w:val="00E218DF"/>
    <w:rsid w:val="00E21E42"/>
    <w:rsid w:val="00E3725A"/>
    <w:rsid w:val="00E5768B"/>
    <w:rsid w:val="00E707C0"/>
    <w:rsid w:val="00E82B50"/>
    <w:rsid w:val="00EA2BE8"/>
    <w:rsid w:val="00EB348B"/>
    <w:rsid w:val="00EC31F1"/>
    <w:rsid w:val="00EC5127"/>
    <w:rsid w:val="00EF0E81"/>
    <w:rsid w:val="00F0184E"/>
    <w:rsid w:val="00F03D88"/>
    <w:rsid w:val="00F07B0B"/>
    <w:rsid w:val="00F07EB5"/>
    <w:rsid w:val="00F202E2"/>
    <w:rsid w:val="00F25B79"/>
    <w:rsid w:val="00F358B2"/>
    <w:rsid w:val="00F61D4C"/>
    <w:rsid w:val="00F65DA0"/>
    <w:rsid w:val="00F66AC9"/>
    <w:rsid w:val="00F74000"/>
    <w:rsid w:val="00F760B5"/>
    <w:rsid w:val="00F85F53"/>
    <w:rsid w:val="00F8732A"/>
    <w:rsid w:val="00F90454"/>
    <w:rsid w:val="00FA1966"/>
    <w:rsid w:val="00FA29E0"/>
    <w:rsid w:val="00FA2D0E"/>
    <w:rsid w:val="00FA6245"/>
    <w:rsid w:val="00FA7359"/>
    <w:rsid w:val="00FA7F52"/>
    <w:rsid w:val="00FB1138"/>
    <w:rsid w:val="00FB1EFC"/>
    <w:rsid w:val="00FB2EA1"/>
    <w:rsid w:val="00FB44D6"/>
    <w:rsid w:val="00FC097D"/>
    <w:rsid w:val="00FC4C61"/>
    <w:rsid w:val="00FC7DDE"/>
    <w:rsid w:val="00FD1162"/>
    <w:rsid w:val="00FD36E3"/>
    <w:rsid w:val="00FD6922"/>
    <w:rsid w:val="00FD71E8"/>
    <w:rsid w:val="00FD73F1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5E6FF5FE"/>
  <w15:docId w15:val="{FDE4A53D-FC5C-4CDF-927D-412243ACE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1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9061CE-66E2-4B34-B568-DBCC6822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2</TotalTime>
  <Pages>5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creator>Windows User</dc:creator>
  <cp:lastModifiedBy>Milica Rahovic</cp:lastModifiedBy>
  <cp:revision>5</cp:revision>
  <cp:lastPrinted>2025-03-25T06:34:00Z</cp:lastPrinted>
  <dcterms:created xsi:type="dcterms:W3CDTF">2025-07-30T07:43:00Z</dcterms:created>
  <dcterms:modified xsi:type="dcterms:W3CDTF">2025-07-31T11:38:00Z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